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8F1AD">
      <w:pPr>
        <w:shd w:val="clear"/>
        <w:jc w:val="center"/>
        <w:rPr>
          <w:rFonts w:hint="eastAsia" w:eastAsia="宋体"/>
          <w:b/>
          <w:bCs/>
          <w:sz w:val="36"/>
          <w:szCs w:val="36"/>
          <w:highlight w:val="none"/>
          <w:lang w:val="en-US" w:eastAsia="zh-CN"/>
        </w:rPr>
      </w:pPr>
      <w:bookmarkStart w:id="0" w:name="_Toc20225"/>
      <w:r>
        <w:rPr>
          <w:rFonts w:hint="eastAsia"/>
          <w:b/>
          <w:bCs/>
          <w:sz w:val="36"/>
          <w:szCs w:val="36"/>
          <w:highlight w:val="none"/>
        </w:rPr>
        <w:t>喀喇沁旗紧密型县域医共体信息化建设服务项目</w:t>
      </w:r>
      <w:bookmarkEnd w:id="0"/>
      <w:r>
        <w:rPr>
          <w:rFonts w:hint="eastAsia"/>
          <w:b/>
          <w:bCs/>
          <w:sz w:val="36"/>
          <w:szCs w:val="36"/>
          <w:highlight w:val="none"/>
        </w:rPr>
        <w:t>技术参数与性能指标</w:t>
      </w:r>
      <w:r>
        <w:rPr>
          <w:rFonts w:hint="eastAsia"/>
          <w:b/>
          <w:bCs/>
          <w:sz w:val="36"/>
          <w:szCs w:val="36"/>
          <w:highlight w:val="none"/>
          <w:lang w:val="en-US" w:eastAsia="zh-CN"/>
        </w:rPr>
        <w:t>表</w:t>
      </w:r>
    </w:p>
    <w:p w14:paraId="22FCDBDC">
      <w:pPr>
        <w:shd w:val="clear"/>
        <w:jc w:val="center"/>
        <w:rPr>
          <w:b/>
          <w:bCs/>
          <w:sz w:val="36"/>
          <w:szCs w:val="36"/>
          <w:highlight w:val="none"/>
        </w:rPr>
      </w:pPr>
    </w:p>
    <w:p w14:paraId="34282C00">
      <w:pPr>
        <w:numPr>
          <w:ilvl w:val="0"/>
          <w:numId w:val="4"/>
        </w:numPr>
        <w:shd w:val="clear"/>
        <w:rPr>
          <w:b/>
          <w:bCs/>
          <w:sz w:val="28"/>
          <w:szCs w:val="28"/>
          <w:highlight w:val="none"/>
        </w:rPr>
      </w:pPr>
      <w:r>
        <w:rPr>
          <w:rFonts w:hint="eastAsia"/>
          <w:b/>
          <w:bCs/>
          <w:sz w:val="28"/>
          <w:szCs w:val="28"/>
          <w:highlight w:val="none"/>
        </w:rPr>
        <w:t>总列表</w:t>
      </w:r>
    </w:p>
    <w:tbl>
      <w:tblPr>
        <w:tblStyle w:val="48"/>
        <w:tblW w:w="49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9550"/>
        <w:gridCol w:w="3811"/>
      </w:tblGrid>
      <w:tr w14:paraId="739B1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blHeader/>
        </w:trPr>
        <w:tc>
          <w:tcPr>
            <w:tcW w:w="255" w:type="pct"/>
            <w:shd w:val="clear" w:color="auto" w:fill="auto"/>
            <w:vAlign w:val="center"/>
          </w:tcPr>
          <w:p w14:paraId="3557D81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3390" w:type="pct"/>
            <w:shd w:val="clear" w:color="auto" w:fill="auto"/>
            <w:vAlign w:val="center"/>
          </w:tcPr>
          <w:p w14:paraId="521FE18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类别</w:t>
            </w:r>
          </w:p>
        </w:tc>
        <w:tc>
          <w:tcPr>
            <w:tcW w:w="1353" w:type="pct"/>
            <w:shd w:val="clear" w:color="auto" w:fill="auto"/>
            <w:vAlign w:val="center"/>
          </w:tcPr>
          <w:p w14:paraId="4980044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50F0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498DCEB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3390" w:type="pct"/>
            <w:shd w:val="clear" w:color="auto" w:fill="auto"/>
            <w:vAlign w:val="center"/>
          </w:tcPr>
          <w:p w14:paraId="0767CA56">
            <w:pPr>
              <w:shd w:val="clear"/>
              <w:jc w:val="center"/>
              <w:rPr>
                <w:rFonts w:ascii="宋体" w:hAnsi="宋体" w:cs="宋体"/>
                <w:color w:val="000000"/>
                <w:kern w:val="0"/>
                <w:sz w:val="18"/>
                <w:szCs w:val="18"/>
                <w:highlight w:val="none"/>
              </w:rPr>
            </w:pPr>
            <w:r>
              <w:rPr>
                <w:rFonts w:hint="eastAsia"/>
                <w:sz w:val="18"/>
                <w:szCs w:val="18"/>
                <w:highlight w:val="none"/>
              </w:rPr>
              <w:t>喀喇沁旗医共体软件服务</w:t>
            </w:r>
          </w:p>
        </w:tc>
        <w:tc>
          <w:tcPr>
            <w:tcW w:w="1353" w:type="pct"/>
            <w:shd w:val="clear" w:color="auto" w:fill="auto"/>
            <w:vAlign w:val="center"/>
          </w:tcPr>
          <w:p w14:paraId="073112E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3497000</w:t>
            </w:r>
          </w:p>
        </w:tc>
      </w:tr>
      <w:tr w14:paraId="6C58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7DAE4B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3390" w:type="pct"/>
            <w:shd w:val="clear" w:color="auto" w:fill="auto"/>
            <w:vAlign w:val="center"/>
          </w:tcPr>
          <w:p w14:paraId="0CFA583A">
            <w:pPr>
              <w:shd w:val="clear"/>
              <w:jc w:val="center"/>
              <w:rPr>
                <w:rFonts w:ascii="宋体" w:hAnsi="宋体" w:cs="宋体"/>
                <w:color w:val="000000"/>
                <w:kern w:val="0"/>
                <w:sz w:val="18"/>
                <w:szCs w:val="18"/>
                <w:highlight w:val="none"/>
              </w:rPr>
            </w:pPr>
            <w:r>
              <w:rPr>
                <w:rFonts w:hint="eastAsia"/>
                <w:sz w:val="18"/>
                <w:szCs w:val="18"/>
                <w:highlight w:val="none"/>
              </w:rPr>
              <w:t>喀喇沁旗医共体配套设备</w:t>
            </w:r>
          </w:p>
        </w:tc>
        <w:tc>
          <w:tcPr>
            <w:tcW w:w="1353" w:type="pct"/>
            <w:shd w:val="clear" w:color="auto" w:fill="auto"/>
            <w:vAlign w:val="center"/>
          </w:tcPr>
          <w:p w14:paraId="52B1D4A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2671370</w:t>
            </w:r>
          </w:p>
        </w:tc>
      </w:tr>
      <w:tr w14:paraId="5875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74734FBB">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3</w:t>
            </w:r>
          </w:p>
        </w:tc>
        <w:tc>
          <w:tcPr>
            <w:tcW w:w="3390" w:type="pct"/>
            <w:shd w:val="clear" w:color="auto" w:fill="auto"/>
            <w:vAlign w:val="center"/>
          </w:tcPr>
          <w:p w14:paraId="2CB80D31">
            <w:pPr>
              <w:widowControl/>
              <w:shd w:val="clear"/>
              <w:jc w:val="center"/>
              <w:rPr>
                <w:rFonts w:ascii="宋体" w:hAnsi="宋体" w:cs="宋体"/>
                <w:color w:val="000000"/>
                <w:kern w:val="0"/>
                <w:sz w:val="18"/>
                <w:szCs w:val="18"/>
                <w:highlight w:val="none"/>
              </w:rPr>
            </w:pPr>
            <w:r>
              <w:rPr>
                <w:rFonts w:hint="eastAsia"/>
                <w:sz w:val="18"/>
                <w:szCs w:val="18"/>
                <w:highlight w:val="none"/>
              </w:rPr>
              <w:t>喀喇沁旗医院软件服务</w:t>
            </w:r>
          </w:p>
        </w:tc>
        <w:tc>
          <w:tcPr>
            <w:tcW w:w="1353" w:type="pct"/>
            <w:shd w:val="clear" w:color="auto" w:fill="auto"/>
            <w:vAlign w:val="center"/>
          </w:tcPr>
          <w:p w14:paraId="375FF25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3661000</w:t>
            </w:r>
          </w:p>
        </w:tc>
      </w:tr>
      <w:tr w14:paraId="6265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26707370">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4</w:t>
            </w:r>
          </w:p>
        </w:tc>
        <w:tc>
          <w:tcPr>
            <w:tcW w:w="3390" w:type="pct"/>
            <w:shd w:val="clear" w:color="auto" w:fill="auto"/>
            <w:vAlign w:val="center"/>
          </w:tcPr>
          <w:p w14:paraId="28B1AA3E">
            <w:pPr>
              <w:widowControl/>
              <w:shd w:val="clear"/>
              <w:jc w:val="center"/>
              <w:rPr>
                <w:rFonts w:ascii="宋体" w:hAnsi="宋体" w:cs="宋体"/>
                <w:color w:val="000000"/>
                <w:kern w:val="0"/>
                <w:sz w:val="18"/>
                <w:szCs w:val="18"/>
                <w:highlight w:val="none"/>
              </w:rPr>
            </w:pPr>
            <w:r>
              <w:rPr>
                <w:rFonts w:hint="eastAsia"/>
                <w:sz w:val="18"/>
                <w:szCs w:val="18"/>
                <w:highlight w:val="none"/>
              </w:rPr>
              <w:t>喀喇沁旗医院配套设备</w:t>
            </w:r>
          </w:p>
        </w:tc>
        <w:tc>
          <w:tcPr>
            <w:tcW w:w="1353" w:type="pct"/>
            <w:shd w:val="clear" w:color="auto" w:fill="auto"/>
            <w:vAlign w:val="center"/>
          </w:tcPr>
          <w:p w14:paraId="7745B6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1176720</w:t>
            </w:r>
          </w:p>
        </w:tc>
      </w:tr>
      <w:tr w14:paraId="11EA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12FE6D25">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5</w:t>
            </w:r>
          </w:p>
        </w:tc>
        <w:tc>
          <w:tcPr>
            <w:tcW w:w="3390" w:type="pct"/>
            <w:shd w:val="clear" w:color="auto" w:fill="auto"/>
            <w:vAlign w:val="center"/>
          </w:tcPr>
          <w:p w14:paraId="274A5FB4">
            <w:pPr>
              <w:widowControl/>
              <w:shd w:val="clear"/>
              <w:jc w:val="center"/>
              <w:rPr>
                <w:rFonts w:ascii="宋体" w:hAnsi="宋体" w:cs="宋体"/>
                <w:color w:val="000000"/>
                <w:kern w:val="0"/>
                <w:sz w:val="18"/>
                <w:szCs w:val="18"/>
                <w:highlight w:val="none"/>
              </w:rPr>
            </w:pPr>
            <w:r>
              <w:rPr>
                <w:rFonts w:hint="eastAsia"/>
                <w:sz w:val="18"/>
                <w:szCs w:val="18"/>
                <w:highlight w:val="none"/>
              </w:rPr>
              <w:t>喀喇沁旗医院医共体接口对接服务</w:t>
            </w:r>
          </w:p>
        </w:tc>
        <w:tc>
          <w:tcPr>
            <w:tcW w:w="1353" w:type="pct"/>
            <w:shd w:val="clear" w:color="auto" w:fill="auto"/>
            <w:vAlign w:val="center"/>
          </w:tcPr>
          <w:p w14:paraId="65E54A6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170000</w:t>
            </w:r>
          </w:p>
        </w:tc>
      </w:tr>
      <w:tr w14:paraId="62AA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36860CEC">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6</w:t>
            </w:r>
          </w:p>
        </w:tc>
        <w:tc>
          <w:tcPr>
            <w:tcW w:w="3390" w:type="pct"/>
            <w:shd w:val="clear" w:color="auto" w:fill="auto"/>
            <w:vAlign w:val="center"/>
          </w:tcPr>
          <w:p w14:paraId="50970E20">
            <w:pPr>
              <w:widowControl/>
              <w:shd w:val="clear"/>
              <w:jc w:val="center"/>
              <w:rPr>
                <w:rFonts w:ascii="宋体" w:hAnsi="宋体" w:cs="宋体"/>
                <w:color w:val="000000"/>
                <w:kern w:val="0"/>
                <w:sz w:val="18"/>
                <w:szCs w:val="18"/>
                <w:highlight w:val="none"/>
              </w:rPr>
            </w:pPr>
            <w:r>
              <w:rPr>
                <w:rFonts w:hint="eastAsia"/>
                <w:sz w:val="18"/>
                <w:szCs w:val="18"/>
                <w:highlight w:val="none"/>
              </w:rPr>
              <w:t>喀喇沁旗中医蒙医医院医共体接口对接服务</w:t>
            </w:r>
          </w:p>
        </w:tc>
        <w:tc>
          <w:tcPr>
            <w:tcW w:w="1353" w:type="pct"/>
            <w:shd w:val="clear" w:color="auto" w:fill="auto"/>
            <w:vAlign w:val="center"/>
          </w:tcPr>
          <w:p w14:paraId="664B612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170000</w:t>
            </w:r>
          </w:p>
        </w:tc>
      </w:tr>
      <w:tr w14:paraId="4EB6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55" w:type="pct"/>
            <w:shd w:val="clear" w:color="auto" w:fill="auto"/>
            <w:vAlign w:val="center"/>
          </w:tcPr>
          <w:p w14:paraId="02A67788">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7</w:t>
            </w:r>
          </w:p>
        </w:tc>
        <w:tc>
          <w:tcPr>
            <w:tcW w:w="3390" w:type="pct"/>
            <w:shd w:val="clear" w:color="auto" w:fill="auto"/>
            <w:vAlign w:val="center"/>
          </w:tcPr>
          <w:p w14:paraId="52BDBF8A">
            <w:pPr>
              <w:widowControl/>
              <w:shd w:val="clear"/>
              <w:jc w:val="center"/>
              <w:rPr>
                <w:rFonts w:ascii="宋体" w:hAnsi="宋体" w:cs="宋体"/>
                <w:color w:val="000000"/>
                <w:kern w:val="0"/>
                <w:sz w:val="18"/>
                <w:szCs w:val="18"/>
                <w:highlight w:val="none"/>
              </w:rPr>
            </w:pPr>
            <w:r>
              <w:rPr>
                <w:rFonts w:hint="eastAsia"/>
                <w:sz w:val="18"/>
                <w:szCs w:val="18"/>
                <w:highlight w:val="none"/>
              </w:rPr>
              <w:t>喀喇沁旗妇幼保健院医共体接口对接服务</w:t>
            </w:r>
          </w:p>
        </w:tc>
        <w:tc>
          <w:tcPr>
            <w:tcW w:w="1353" w:type="pct"/>
            <w:shd w:val="clear" w:color="auto" w:fill="auto"/>
            <w:vAlign w:val="center"/>
          </w:tcPr>
          <w:p w14:paraId="2323AAF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170000</w:t>
            </w:r>
          </w:p>
        </w:tc>
      </w:tr>
      <w:tr w14:paraId="1FF7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4C197CFE">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8</w:t>
            </w:r>
          </w:p>
        </w:tc>
        <w:tc>
          <w:tcPr>
            <w:tcW w:w="3390" w:type="pct"/>
            <w:shd w:val="clear" w:color="auto" w:fill="auto"/>
            <w:vAlign w:val="center"/>
          </w:tcPr>
          <w:p w14:paraId="4D1A3E8F">
            <w:pPr>
              <w:widowControl/>
              <w:shd w:val="clear"/>
              <w:jc w:val="center"/>
              <w:rPr>
                <w:rFonts w:ascii="宋体" w:hAnsi="宋体" w:cs="宋体"/>
                <w:color w:val="000000"/>
                <w:kern w:val="0"/>
                <w:sz w:val="18"/>
                <w:szCs w:val="18"/>
                <w:highlight w:val="none"/>
              </w:rPr>
            </w:pPr>
            <w:r>
              <w:rPr>
                <w:rFonts w:hint="eastAsia"/>
                <w:sz w:val="18"/>
                <w:szCs w:val="18"/>
                <w:highlight w:val="none"/>
              </w:rPr>
              <w:t>喀喇沁旗各基层医疗机构医共体接口对接服务</w:t>
            </w:r>
          </w:p>
        </w:tc>
        <w:tc>
          <w:tcPr>
            <w:tcW w:w="1353" w:type="pct"/>
            <w:shd w:val="clear" w:color="auto" w:fill="auto"/>
            <w:vAlign w:val="center"/>
          </w:tcPr>
          <w:p w14:paraId="2B3F8A9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252000</w:t>
            </w:r>
          </w:p>
        </w:tc>
      </w:tr>
      <w:tr w14:paraId="2539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0855E2C0">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9</w:t>
            </w:r>
          </w:p>
        </w:tc>
        <w:tc>
          <w:tcPr>
            <w:tcW w:w="3390" w:type="pct"/>
            <w:shd w:val="clear" w:color="auto" w:fill="auto"/>
            <w:vAlign w:val="center"/>
          </w:tcPr>
          <w:p w14:paraId="7E30D5F0">
            <w:pPr>
              <w:widowControl/>
              <w:shd w:val="clear"/>
              <w:jc w:val="center"/>
              <w:rPr>
                <w:rFonts w:ascii="宋体" w:hAnsi="宋体" w:cs="宋体"/>
                <w:color w:val="000000"/>
                <w:kern w:val="0"/>
                <w:sz w:val="18"/>
                <w:szCs w:val="18"/>
                <w:highlight w:val="none"/>
              </w:rPr>
            </w:pPr>
            <w:r>
              <w:rPr>
                <w:rFonts w:hint="eastAsia"/>
                <w:sz w:val="18"/>
                <w:szCs w:val="18"/>
                <w:highlight w:val="none"/>
              </w:rPr>
              <w:t>喀喇沁旗医院院内系统接口对接服务</w:t>
            </w:r>
          </w:p>
        </w:tc>
        <w:tc>
          <w:tcPr>
            <w:tcW w:w="1353" w:type="pct"/>
            <w:shd w:val="clear" w:color="auto" w:fill="auto"/>
            <w:vAlign w:val="center"/>
          </w:tcPr>
          <w:p w14:paraId="27AD0B0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714000</w:t>
            </w:r>
          </w:p>
        </w:tc>
      </w:tr>
      <w:tr w14:paraId="5A3D3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786A7723">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0</w:t>
            </w:r>
          </w:p>
        </w:tc>
        <w:tc>
          <w:tcPr>
            <w:tcW w:w="3390" w:type="pct"/>
            <w:shd w:val="clear" w:color="auto" w:fill="auto"/>
            <w:vAlign w:val="center"/>
          </w:tcPr>
          <w:p w14:paraId="05D9E96D">
            <w:pPr>
              <w:widowControl/>
              <w:shd w:val="clear"/>
              <w:jc w:val="center"/>
              <w:rPr>
                <w:rFonts w:ascii="宋体" w:hAnsi="宋体" w:cs="宋体"/>
                <w:color w:val="000000"/>
                <w:kern w:val="0"/>
                <w:sz w:val="18"/>
                <w:szCs w:val="18"/>
                <w:highlight w:val="none"/>
              </w:rPr>
            </w:pPr>
            <w:r>
              <w:rPr>
                <w:rFonts w:hint="eastAsia"/>
                <w:sz w:val="18"/>
                <w:szCs w:val="18"/>
                <w:highlight w:val="none"/>
              </w:rPr>
              <w:t>网络专线服务</w:t>
            </w:r>
          </w:p>
        </w:tc>
        <w:tc>
          <w:tcPr>
            <w:tcW w:w="1353" w:type="pct"/>
            <w:shd w:val="clear" w:color="auto" w:fill="auto"/>
            <w:vAlign w:val="center"/>
          </w:tcPr>
          <w:p w14:paraId="47BAD20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913500</w:t>
            </w:r>
          </w:p>
        </w:tc>
      </w:tr>
      <w:tr w14:paraId="272BA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5" w:type="pct"/>
            <w:shd w:val="clear" w:color="auto" w:fill="auto"/>
            <w:vAlign w:val="center"/>
          </w:tcPr>
          <w:p w14:paraId="0D12B1C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11</w:t>
            </w:r>
          </w:p>
        </w:tc>
        <w:tc>
          <w:tcPr>
            <w:tcW w:w="3390" w:type="pct"/>
            <w:shd w:val="clear" w:color="auto" w:fill="auto"/>
            <w:vAlign w:val="center"/>
          </w:tcPr>
          <w:p w14:paraId="7571F7BF">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合计</w:t>
            </w:r>
          </w:p>
        </w:tc>
        <w:tc>
          <w:tcPr>
            <w:tcW w:w="1353" w:type="pct"/>
            <w:shd w:val="clear" w:color="auto" w:fill="auto"/>
            <w:vAlign w:val="center"/>
          </w:tcPr>
          <w:p w14:paraId="4AF6BB1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13395590</w:t>
            </w:r>
          </w:p>
        </w:tc>
      </w:tr>
    </w:tbl>
    <w:p w14:paraId="5A0F7A0A">
      <w:pPr>
        <w:shd w:val="clear"/>
        <w:rPr>
          <w:b/>
          <w:bCs/>
          <w:sz w:val="18"/>
          <w:szCs w:val="18"/>
          <w:highlight w:val="none"/>
        </w:rPr>
      </w:pPr>
    </w:p>
    <w:p w14:paraId="48ECF734">
      <w:pPr>
        <w:shd w:val="clear"/>
        <w:rPr>
          <w:b/>
          <w:bCs/>
          <w:sz w:val="36"/>
          <w:szCs w:val="36"/>
          <w:highlight w:val="none"/>
        </w:rPr>
      </w:pPr>
      <w:r>
        <w:rPr>
          <w:rFonts w:hint="eastAsia"/>
          <w:b/>
          <w:bCs/>
          <w:sz w:val="36"/>
          <w:szCs w:val="36"/>
          <w:highlight w:val="none"/>
        </w:rPr>
        <w:br w:type="page"/>
      </w:r>
    </w:p>
    <w:p w14:paraId="0EDA362D">
      <w:pPr>
        <w:numPr>
          <w:ilvl w:val="0"/>
          <w:numId w:val="4"/>
        </w:numPr>
        <w:shd w:val="clear"/>
        <w:rPr>
          <w:b/>
          <w:bCs/>
          <w:sz w:val="28"/>
          <w:szCs w:val="28"/>
          <w:highlight w:val="none"/>
        </w:rPr>
      </w:pPr>
      <w:r>
        <w:rPr>
          <w:rFonts w:hint="eastAsia"/>
          <w:b/>
          <w:bCs/>
          <w:sz w:val="28"/>
          <w:szCs w:val="28"/>
          <w:highlight w:val="none"/>
        </w:rPr>
        <w:t>详细列表</w:t>
      </w:r>
    </w:p>
    <w:p w14:paraId="0453575D">
      <w:pPr>
        <w:pStyle w:val="5"/>
        <w:numPr>
          <w:ilvl w:val="2"/>
          <w:numId w:val="0"/>
        </w:numPr>
        <w:shd w:val="clear"/>
        <w:rPr>
          <w:highlight w:val="none"/>
        </w:rPr>
      </w:pPr>
      <w:bookmarkStart w:id="1" w:name="_Toc10806"/>
      <w:r>
        <w:rPr>
          <w:rFonts w:hint="eastAsia"/>
          <w:highlight w:val="none"/>
        </w:rPr>
        <w:t>1、喀喇沁旗医共体软件服务</w:t>
      </w:r>
      <w:bookmarkEnd w:id="1"/>
    </w:p>
    <w:tbl>
      <w:tblPr>
        <w:tblStyle w:val="48"/>
        <w:tblW w:w="13985" w:type="dxa"/>
        <w:tblInd w:w="93" w:type="dxa"/>
        <w:tblLayout w:type="fixed"/>
        <w:tblCellMar>
          <w:top w:w="0" w:type="dxa"/>
          <w:left w:w="108" w:type="dxa"/>
          <w:bottom w:w="0" w:type="dxa"/>
          <w:right w:w="108" w:type="dxa"/>
        </w:tblCellMar>
      </w:tblPr>
      <w:tblGrid>
        <w:gridCol w:w="576"/>
        <w:gridCol w:w="597"/>
        <w:gridCol w:w="631"/>
        <w:gridCol w:w="786"/>
        <w:gridCol w:w="851"/>
        <w:gridCol w:w="8196"/>
        <w:gridCol w:w="708"/>
        <w:gridCol w:w="806"/>
        <w:gridCol w:w="834"/>
      </w:tblGrid>
      <w:tr w14:paraId="3DCCB20F">
        <w:tblPrEx>
          <w:tblCellMar>
            <w:top w:w="0" w:type="dxa"/>
            <w:left w:w="108" w:type="dxa"/>
            <w:bottom w:w="0" w:type="dxa"/>
            <w:right w:w="108" w:type="dxa"/>
          </w:tblCellMar>
        </w:tblPrEx>
        <w:trPr>
          <w:trHeight w:val="57" w:hRule="atLeast"/>
          <w:tblHeader/>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2E8C953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597" w:type="dxa"/>
            <w:tcBorders>
              <w:top w:val="single" w:color="auto" w:sz="4" w:space="0"/>
              <w:left w:val="nil"/>
              <w:bottom w:val="single" w:color="auto" w:sz="4" w:space="0"/>
              <w:right w:val="single" w:color="auto" w:sz="4" w:space="0"/>
            </w:tcBorders>
            <w:shd w:val="clear" w:color="auto" w:fill="auto"/>
            <w:vAlign w:val="center"/>
          </w:tcPr>
          <w:p w14:paraId="29F5373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系统分类</w:t>
            </w:r>
          </w:p>
        </w:tc>
        <w:tc>
          <w:tcPr>
            <w:tcW w:w="631" w:type="dxa"/>
            <w:tcBorders>
              <w:top w:val="single" w:color="auto" w:sz="4" w:space="0"/>
              <w:left w:val="nil"/>
              <w:bottom w:val="single" w:color="auto" w:sz="4" w:space="0"/>
              <w:right w:val="single" w:color="auto" w:sz="4" w:space="0"/>
            </w:tcBorders>
            <w:shd w:val="clear" w:color="auto" w:fill="auto"/>
            <w:vAlign w:val="center"/>
          </w:tcPr>
          <w:p w14:paraId="2FD5B6D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系统名称</w:t>
            </w:r>
          </w:p>
        </w:tc>
        <w:tc>
          <w:tcPr>
            <w:tcW w:w="786" w:type="dxa"/>
            <w:tcBorders>
              <w:top w:val="single" w:color="auto" w:sz="4" w:space="0"/>
              <w:left w:val="nil"/>
              <w:bottom w:val="single" w:color="auto" w:sz="4" w:space="0"/>
              <w:right w:val="single" w:color="auto" w:sz="4" w:space="0"/>
            </w:tcBorders>
            <w:shd w:val="clear" w:color="auto" w:fill="auto"/>
            <w:vAlign w:val="center"/>
          </w:tcPr>
          <w:p w14:paraId="6FDB0A3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子系统</w:t>
            </w:r>
          </w:p>
        </w:tc>
        <w:tc>
          <w:tcPr>
            <w:tcW w:w="9047" w:type="dxa"/>
            <w:gridSpan w:val="2"/>
            <w:tcBorders>
              <w:top w:val="single" w:color="auto" w:sz="4" w:space="0"/>
              <w:left w:val="nil"/>
              <w:bottom w:val="single" w:color="auto" w:sz="4" w:space="0"/>
              <w:right w:val="single" w:color="auto" w:sz="4" w:space="0"/>
            </w:tcBorders>
            <w:shd w:val="clear" w:color="auto" w:fill="auto"/>
            <w:vAlign w:val="center"/>
          </w:tcPr>
          <w:p w14:paraId="3A93FC74">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技术要求（参数具体要求）</w:t>
            </w:r>
          </w:p>
        </w:tc>
        <w:tc>
          <w:tcPr>
            <w:tcW w:w="708" w:type="dxa"/>
            <w:tcBorders>
              <w:top w:val="single" w:color="auto" w:sz="4" w:space="0"/>
              <w:left w:val="nil"/>
              <w:bottom w:val="single" w:color="auto" w:sz="4" w:space="0"/>
              <w:right w:val="single" w:color="auto" w:sz="4" w:space="0"/>
            </w:tcBorders>
            <w:shd w:val="clear" w:color="auto" w:fill="auto"/>
            <w:vAlign w:val="center"/>
          </w:tcPr>
          <w:p w14:paraId="383D4BC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806" w:type="dxa"/>
            <w:tcBorders>
              <w:top w:val="single" w:color="auto" w:sz="4" w:space="0"/>
              <w:left w:val="nil"/>
              <w:bottom w:val="single" w:color="auto" w:sz="4" w:space="0"/>
              <w:right w:val="single" w:color="auto" w:sz="4" w:space="0"/>
            </w:tcBorders>
            <w:shd w:val="clear" w:color="auto" w:fill="auto"/>
            <w:vAlign w:val="center"/>
          </w:tcPr>
          <w:p w14:paraId="76D2B9FF">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预算单价（元）</w:t>
            </w:r>
          </w:p>
        </w:tc>
        <w:tc>
          <w:tcPr>
            <w:tcW w:w="834" w:type="dxa"/>
            <w:tcBorders>
              <w:top w:val="single" w:color="auto" w:sz="4" w:space="0"/>
              <w:left w:val="nil"/>
              <w:bottom w:val="single" w:color="auto" w:sz="4" w:space="0"/>
              <w:right w:val="single" w:color="auto" w:sz="4" w:space="0"/>
            </w:tcBorders>
            <w:shd w:val="clear" w:color="auto" w:fill="auto"/>
            <w:vAlign w:val="center"/>
          </w:tcPr>
          <w:p w14:paraId="326EE3A1">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预算总价（元）</w:t>
            </w:r>
          </w:p>
        </w:tc>
      </w:tr>
      <w:tr w14:paraId="49CFBC37">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79A5F2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597" w:type="dxa"/>
            <w:vMerge w:val="restart"/>
            <w:tcBorders>
              <w:top w:val="nil"/>
              <w:left w:val="single" w:color="auto" w:sz="4" w:space="0"/>
              <w:bottom w:val="single" w:color="auto" w:sz="4" w:space="0"/>
              <w:right w:val="single" w:color="auto" w:sz="4" w:space="0"/>
            </w:tcBorders>
            <w:shd w:val="clear" w:color="auto" w:fill="auto"/>
            <w:vAlign w:val="center"/>
          </w:tcPr>
          <w:p w14:paraId="4B9BCEE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医共体软件平台</w:t>
            </w:r>
          </w:p>
        </w:tc>
        <w:tc>
          <w:tcPr>
            <w:tcW w:w="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994DF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医共体一体化信息平台</w:t>
            </w:r>
          </w:p>
        </w:tc>
        <w:tc>
          <w:tcPr>
            <w:tcW w:w="786" w:type="dxa"/>
            <w:tcBorders>
              <w:top w:val="single" w:color="auto" w:sz="4" w:space="0"/>
              <w:left w:val="nil"/>
              <w:bottom w:val="single" w:color="auto" w:sz="4" w:space="0"/>
              <w:right w:val="single" w:color="auto" w:sz="4" w:space="0"/>
            </w:tcBorders>
            <w:shd w:val="clear" w:color="auto" w:fill="auto"/>
            <w:vAlign w:val="center"/>
          </w:tcPr>
          <w:p w14:paraId="0D615F2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平台基础服务</w:t>
            </w:r>
          </w:p>
        </w:tc>
        <w:tc>
          <w:tcPr>
            <w:tcW w:w="9047" w:type="dxa"/>
            <w:gridSpan w:val="2"/>
            <w:tcBorders>
              <w:top w:val="nil"/>
              <w:left w:val="nil"/>
              <w:bottom w:val="single" w:color="auto" w:sz="4" w:space="0"/>
              <w:right w:val="single" w:color="auto" w:sz="4" w:space="0"/>
            </w:tcBorders>
            <w:shd w:val="clear" w:color="auto" w:fill="auto"/>
            <w:vAlign w:val="center"/>
          </w:tcPr>
          <w:p w14:paraId="283B9C1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1、注册服务：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（1）医共体一体化信息集成平台包含注册类服务</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注册类服务主要包括个人或患者注册服务、专业人员注册服务、机构注册服务、术语注册服务、卫生字典注册服务等。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医共体一体化信息集成平台提供注册服务，主要包括对居民、医疗卫生从业人员、医疗卫生机构、医疗卫生术语的注册管理服务，平台对这些实体提供唯一的标识。针对各类实体形成各类注册库（如个人注册库、医疗卫生机构注册库等），每个注册库都具有管理和解决单个实体具有多个标识符问题的能力。注册库</w:t>
            </w:r>
            <w:r>
              <w:rPr>
                <w:rFonts w:hint="eastAsia" w:ascii="宋体" w:hAnsi="宋体" w:cs="宋体"/>
                <w:kern w:val="0"/>
                <w:sz w:val="18"/>
                <w:szCs w:val="18"/>
                <w:highlight w:val="none"/>
              </w:rPr>
              <w:t>含有</w:t>
            </w:r>
            <w:r>
              <w:rPr>
                <w:rFonts w:hint="eastAsia" w:ascii="宋体" w:hAnsi="宋体" w:cs="宋体"/>
                <w:color w:val="000000"/>
                <w:kern w:val="0"/>
                <w:sz w:val="18"/>
                <w:szCs w:val="18"/>
                <w:highlight w:val="none"/>
              </w:rPr>
              <w:t>一个内部的非公布的标识符。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2、主索引服务：居民身份唯一索引服务是医共体一体化信息集成平台提供的基础服务之一。当居民在建档或就医时，平台对医院的</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或健康档案系统提供唯一索引服务，对于医院业务系统产生的患者ID进行关联管理。在信息交换过程中，将系统中的患者标识信息传入PIX管理器中，PIX管理器会对传入的信息进行在各自域中的标识信息比对（可能会存在在同一个ID域中为同一个患者分配了多个ID），如有分配多个ID的情况，PIX管理器会对相应系统发出信息更新通知，以保证同一患者在一个ID域中只存在一个标识ID。</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安全审计与隐私服务：隐私管理服务用来制定从法律，制度和居民要求等几个方面对居民医疗信息的访问进行限制和授权。系统封装医疗信息服务总线的隐私管理服务功能实现隐私信息的统一管理和维护。功能需包含：隐私管理服务、统一身份认证、密钥管理、数据安全与加密、修改痕迹、节点管理、日志审计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门户应用服务：门户应用服务提供用于创建医共体一体化内部门户、公共服务门户的各种应用组件与框架。通过门户应用服务快速构建个性化的门户网站，可以实现UI（用户交互）层的应用集成。提供可视化的门户网页栏目配置工具，单点登录、内容管理、文档管理等专项基础服务，以及消息中心、日历，工作台、日常事务、BI中心、短信、全文检索、自助服务、待办事项等诸多公共应用插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统一用户管理系统：通过调用统一用户管理组件，提高平台主要应用系统的访问安全性，以及信息资源访问的灵活性，满足应用系统对跨平台、跨部门、跨应用的信息采集、信息处理、业务监管等业务对统一用户身份管理的实际需求。</w:t>
            </w:r>
          </w:p>
        </w:tc>
        <w:tc>
          <w:tcPr>
            <w:tcW w:w="708" w:type="dxa"/>
            <w:tcBorders>
              <w:top w:val="nil"/>
              <w:left w:val="nil"/>
              <w:bottom w:val="single" w:color="auto" w:sz="4" w:space="0"/>
              <w:right w:val="single" w:color="auto" w:sz="4" w:space="0"/>
            </w:tcBorders>
            <w:shd w:val="clear" w:color="auto" w:fill="auto"/>
            <w:vAlign w:val="center"/>
          </w:tcPr>
          <w:p w14:paraId="1B65EB76">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5BFA6F7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11BE6DC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4FCDFF07">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BE31AB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597" w:type="dxa"/>
            <w:vMerge w:val="continue"/>
            <w:tcBorders>
              <w:top w:val="nil"/>
              <w:left w:val="single" w:color="auto" w:sz="4" w:space="0"/>
              <w:bottom w:val="single" w:color="auto" w:sz="4" w:space="0"/>
              <w:right w:val="single" w:color="auto" w:sz="4" w:space="0"/>
            </w:tcBorders>
            <w:vAlign w:val="center"/>
          </w:tcPr>
          <w:p w14:paraId="1FF6A845">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378456EC">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4A53FC9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数据采集与交换平台</w:t>
            </w:r>
          </w:p>
        </w:tc>
        <w:tc>
          <w:tcPr>
            <w:tcW w:w="9047" w:type="dxa"/>
            <w:gridSpan w:val="2"/>
            <w:tcBorders>
              <w:top w:val="nil"/>
              <w:left w:val="nil"/>
              <w:bottom w:val="single" w:color="auto" w:sz="4" w:space="0"/>
              <w:right w:val="single" w:color="auto" w:sz="4" w:space="0"/>
            </w:tcBorders>
            <w:shd w:val="clear" w:color="auto" w:fill="auto"/>
            <w:vAlign w:val="center"/>
          </w:tcPr>
          <w:p w14:paraId="791985B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1、门户管理：包括安全证书信息配置、管理员信息配置、基础代码配置管理、任务管理。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2、数据采集：数据采集模块具备推/拉数据的功能。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3、任务配置管理：对数据采集协调共享系统的任务进行统一配置，但同时也支持根据机构进行特别配置。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4、中间库基础信息配置：部署在机构，机构有查看和修改的权限。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5、中间库手工测试流程模块：主要负责数据采集系统数据库数据的测试工作</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6、服务调试：实现数据采集服务接口的调试功能。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7、数据校验：对数据采集模块获取的数据根据相关标准进行校验，分别统计出错误数据项、空数据项、正确数据项。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8、数据质量评价：根据数据校验环节得到的数据质量信息（数据空置率、一致性、及时性、正确性等），和数据质量评价算法，对数据的质量进行评价。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9、数据质量评价统计：周期性的统计数据质量评价信息，其中包括该期间采集的数据条数、数量大小、正确率、空置率等信息。并将统计结果和评价详细通过上传功能，上传至数据质量监控评价系统。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10、数据量统计：按照数据采集方式的不同，其中包括中间库、服务、数据集成，周期性的统计采集的数据数量。并将统计结果通过上传功能，上传至数据质量监控评价系统。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11、数据上传：不通过数据评价的数据记录，直接存入库中。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12、系统资源监控：实现主要系统的集成、网关基础配置和网关性能的监控，包括CPU、内存、硬盘、网络上载/下载的具体使用情况。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13、标准订阅：提供订阅服务，能够实时动态的从标准管理工具获取发布的最新的数据采集标准。标准采用国家和</w:t>
            </w:r>
            <w:r>
              <w:rPr>
                <w:rFonts w:hint="eastAsia" w:ascii="宋体" w:hAnsi="宋体" w:cs="宋体"/>
                <w:color w:val="000000"/>
                <w:kern w:val="0"/>
                <w:sz w:val="18"/>
                <w:szCs w:val="18"/>
                <w:highlight w:val="none"/>
                <w:lang w:val="en-US" w:eastAsia="zh-CN"/>
              </w:rPr>
              <w:t>卫生健康</w:t>
            </w:r>
            <w:r>
              <w:rPr>
                <w:rFonts w:hint="eastAsia" w:ascii="宋体" w:hAnsi="宋体" w:cs="宋体"/>
                <w:color w:val="000000"/>
                <w:kern w:val="0"/>
                <w:sz w:val="18"/>
                <w:szCs w:val="18"/>
                <w:highlight w:val="none"/>
              </w:rPr>
              <w:t>相关标准及HL7、IHE、ICD10、CDA等国际标准制定。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14、标准查看：能够查看当前数据采集协调共享系统正在使用的数据采集标准。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15、数据质量评价查看：能够查看当前系统采集到的所有数据质量评价信息。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16、数据评价结果：支持数据质量评价结果统计，在统计完后实时将结果推给数据质量监控评价系统。</w:t>
            </w:r>
          </w:p>
        </w:tc>
        <w:tc>
          <w:tcPr>
            <w:tcW w:w="708" w:type="dxa"/>
            <w:tcBorders>
              <w:top w:val="nil"/>
              <w:left w:val="nil"/>
              <w:bottom w:val="single" w:color="auto" w:sz="4" w:space="0"/>
              <w:right w:val="single" w:color="auto" w:sz="4" w:space="0"/>
            </w:tcBorders>
            <w:shd w:val="clear" w:color="auto" w:fill="auto"/>
            <w:vAlign w:val="center"/>
          </w:tcPr>
          <w:p w14:paraId="172FEEA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31A806D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c>
          <w:tcPr>
            <w:tcW w:w="834" w:type="dxa"/>
            <w:tcBorders>
              <w:top w:val="nil"/>
              <w:left w:val="nil"/>
              <w:bottom w:val="single" w:color="auto" w:sz="4" w:space="0"/>
              <w:right w:val="single" w:color="auto" w:sz="4" w:space="0"/>
            </w:tcBorders>
            <w:shd w:val="clear" w:color="auto" w:fill="auto"/>
            <w:vAlign w:val="center"/>
          </w:tcPr>
          <w:p w14:paraId="17025E5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02B951F9">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927FA5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597" w:type="dxa"/>
            <w:vMerge w:val="continue"/>
            <w:tcBorders>
              <w:top w:val="nil"/>
              <w:left w:val="single" w:color="auto" w:sz="4" w:space="0"/>
              <w:bottom w:val="single" w:color="auto" w:sz="4" w:space="0"/>
              <w:right w:val="single" w:color="auto" w:sz="4" w:space="0"/>
            </w:tcBorders>
            <w:vAlign w:val="center"/>
          </w:tcPr>
          <w:p w14:paraId="7E4DB374">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147D712D">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573B438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健康档案浏览器</w:t>
            </w:r>
          </w:p>
        </w:tc>
        <w:tc>
          <w:tcPr>
            <w:tcW w:w="9047" w:type="dxa"/>
            <w:gridSpan w:val="2"/>
            <w:tcBorders>
              <w:top w:val="nil"/>
              <w:left w:val="nil"/>
              <w:bottom w:val="single" w:color="auto" w:sz="4" w:space="0"/>
              <w:right w:val="single" w:color="auto" w:sz="4" w:space="0"/>
            </w:tcBorders>
            <w:shd w:val="clear" w:color="auto" w:fill="auto"/>
            <w:vAlign w:val="center"/>
          </w:tcPr>
          <w:p w14:paraId="15A1995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居民从基层医疗卫生机构向上级医院转诊时，或者从上级医院转回基层医疗卫生机构时，可把居民在当前医疗机构就诊的病历通过电子文件、数据接口等方式共享给转诊的目标机构，为居民的后续治疗提供参考，让医生了解之前的治疗过程。详细共享的病历内容包括：患者列表、居民健康特征、个人基本信息、出院小结、首次病程记录、待产记录、入院评估记录、剖宫产记录、阴道分娩记录、生命体征测量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健康档案浏览器主要将区域内各医疗卫生机构的数据进行采集、整合和利用，来实现区域内各医疗卫生机构间门急诊、住院记录的互联互通及居民健康信息的调阅和共享。主要提供WEB方式的浏览服务，它能按照时间顺序、病历内容类别等用户习惯方式来组织病历的内容，为用户浏览提供导航并负责与用户的交互。</w:t>
            </w:r>
            <w:r>
              <w:rPr>
                <w:rFonts w:hint="eastAsia" w:ascii="宋体" w:hAnsi="宋体" w:cs="宋体"/>
                <w:color w:val="000000"/>
                <w:kern w:val="0"/>
                <w:sz w:val="18"/>
                <w:szCs w:val="18"/>
                <w:highlight w:val="none"/>
              </w:rPr>
              <w:br w:type="textWrapping"/>
            </w:r>
            <w:r>
              <w:rPr>
                <w:rFonts w:hint="eastAsia" w:ascii="宋体" w:hAnsi="宋体" w:cs="宋体"/>
                <w:color w:val="auto"/>
                <w:kern w:val="0"/>
                <w:sz w:val="18"/>
                <w:szCs w:val="18"/>
                <w:highlight w:val="none"/>
              </w:rPr>
              <w:t>■</w:t>
            </w:r>
            <w:r>
              <w:rPr>
                <w:rFonts w:hint="eastAsia" w:ascii="宋体" w:hAnsi="宋体" w:cs="宋体"/>
                <w:color w:val="000000"/>
                <w:kern w:val="0"/>
                <w:sz w:val="18"/>
                <w:szCs w:val="18"/>
                <w:highlight w:val="none"/>
              </w:rPr>
              <w:t>3、在患者授权允许条件下，医生可以调阅患者在区域内所有医疗机构的电子病历信息，全面了解患者的既往病史及治疗情况。（提供功能截图证明材料）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4、具体功能包括：健康信息、诊疗记录、体检记录、病历调阅、安全管理、数据检索、关注患者、文档收藏、统计分析。</w:t>
            </w:r>
          </w:p>
        </w:tc>
        <w:tc>
          <w:tcPr>
            <w:tcW w:w="708" w:type="dxa"/>
            <w:tcBorders>
              <w:top w:val="nil"/>
              <w:left w:val="nil"/>
              <w:bottom w:val="single" w:color="auto" w:sz="4" w:space="0"/>
              <w:right w:val="single" w:color="auto" w:sz="4" w:space="0"/>
            </w:tcBorders>
            <w:shd w:val="clear" w:color="auto" w:fill="auto"/>
            <w:vAlign w:val="center"/>
          </w:tcPr>
          <w:p w14:paraId="0104894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14E4510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c>
          <w:tcPr>
            <w:tcW w:w="834" w:type="dxa"/>
            <w:tcBorders>
              <w:top w:val="nil"/>
              <w:left w:val="nil"/>
              <w:bottom w:val="single" w:color="auto" w:sz="4" w:space="0"/>
              <w:right w:val="single" w:color="auto" w:sz="4" w:space="0"/>
            </w:tcBorders>
            <w:shd w:val="clear" w:color="auto" w:fill="auto"/>
            <w:vAlign w:val="center"/>
          </w:tcPr>
          <w:p w14:paraId="5AFA8CA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2AB63452">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FF4A57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597" w:type="dxa"/>
            <w:vMerge w:val="continue"/>
            <w:tcBorders>
              <w:top w:val="nil"/>
              <w:left w:val="single" w:color="auto" w:sz="4" w:space="0"/>
              <w:bottom w:val="single" w:color="auto" w:sz="4" w:space="0"/>
              <w:right w:val="single" w:color="auto" w:sz="4" w:space="0"/>
            </w:tcBorders>
            <w:vAlign w:val="center"/>
          </w:tcPr>
          <w:p w14:paraId="7931B996">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181010F2">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2EDE862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资源预约服务系统</w:t>
            </w:r>
          </w:p>
        </w:tc>
        <w:tc>
          <w:tcPr>
            <w:tcW w:w="9047" w:type="dxa"/>
            <w:gridSpan w:val="2"/>
            <w:tcBorders>
              <w:top w:val="nil"/>
              <w:left w:val="nil"/>
              <w:bottom w:val="single" w:color="auto" w:sz="4" w:space="0"/>
              <w:right w:val="single" w:color="auto" w:sz="4" w:space="0"/>
            </w:tcBorders>
            <w:shd w:val="clear" w:color="auto" w:fill="auto"/>
            <w:vAlign w:val="center"/>
          </w:tcPr>
          <w:p w14:paraId="01B214A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1、基础数据维护：主要维护机构、科室、医生等基础数据，包括照片、介绍等信息。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2、医嘱维护：主要采集上级医院检查、检验医嘱信息，包括医嘱大类、子类、收费项等信息。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3、预约挂号：基层医生根据居民病情需要，帮助居民选择适合病情的上级医院专家的门诊号，通过选择相关机构、科室、医生，找到对应就诊日期的号源，进行预约挂号。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4、预约检查：基层医院开立的检查医嘱单，但是基层医院没有相应的检查设备资源，可以帮助居民预约上级医院检查，预约成功后，居民拿着检查单去上级医院直接做检查项目。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5、预约检验：基层医院开立的检验医嘱单，但是基层医院没有相应的检验设备资源，可以帮助居民预约上级医院检查，预约成功后，居民拿着检验单去上级医院直接做检验项目。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6、预约床位：基层医生根据患者病情需要，帮助患者预约上级医院床位，当床位预约成功后，患者再去上级医院办理住院手续，进行住院治疗。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7、预约体检：居民需要进行体检，</w:t>
            </w:r>
            <w:r>
              <w:rPr>
                <w:rFonts w:hint="eastAsia" w:ascii="宋体" w:hAnsi="宋体" w:cs="宋体"/>
                <w:color w:val="000000"/>
                <w:kern w:val="0"/>
                <w:sz w:val="18"/>
                <w:szCs w:val="18"/>
                <w:highlight w:val="none"/>
                <w:lang w:val="en-US" w:eastAsia="zh-CN"/>
              </w:rPr>
              <w:t>登录</w:t>
            </w:r>
            <w:r>
              <w:rPr>
                <w:rFonts w:hint="eastAsia" w:ascii="宋体" w:hAnsi="宋体" w:cs="宋体"/>
                <w:color w:val="000000"/>
                <w:kern w:val="0"/>
                <w:sz w:val="18"/>
                <w:szCs w:val="18"/>
                <w:highlight w:val="none"/>
              </w:rPr>
              <w:t>微信公众号或者到基层机构让医生帮忙预约，选择上级医院相关体检套餐，选择预约体检日期，进行体检预约，到预约的日期，自行到医院凭借预约凭证进行体检。</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8、预约记录：查看预约挂号、检查、检验、床位、体检等预约记录。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9、预约统计：统计预约挂号就诊率、取消率、爽约率等数据。</w:t>
            </w:r>
          </w:p>
        </w:tc>
        <w:tc>
          <w:tcPr>
            <w:tcW w:w="708" w:type="dxa"/>
            <w:tcBorders>
              <w:top w:val="nil"/>
              <w:left w:val="nil"/>
              <w:bottom w:val="single" w:color="auto" w:sz="4" w:space="0"/>
              <w:right w:val="single" w:color="auto" w:sz="4" w:space="0"/>
            </w:tcBorders>
            <w:shd w:val="clear" w:color="auto" w:fill="auto"/>
            <w:vAlign w:val="center"/>
          </w:tcPr>
          <w:p w14:paraId="092639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322B4EB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c>
          <w:tcPr>
            <w:tcW w:w="834" w:type="dxa"/>
            <w:tcBorders>
              <w:top w:val="nil"/>
              <w:left w:val="nil"/>
              <w:bottom w:val="single" w:color="auto" w:sz="4" w:space="0"/>
              <w:right w:val="single" w:color="auto" w:sz="4" w:space="0"/>
            </w:tcBorders>
            <w:shd w:val="clear" w:color="auto" w:fill="auto"/>
            <w:vAlign w:val="center"/>
          </w:tcPr>
          <w:p w14:paraId="59028B9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1A6A35C3">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32EC92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597" w:type="dxa"/>
            <w:vMerge w:val="continue"/>
            <w:tcBorders>
              <w:top w:val="nil"/>
              <w:left w:val="single" w:color="auto" w:sz="4" w:space="0"/>
              <w:bottom w:val="single" w:color="auto" w:sz="4" w:space="0"/>
              <w:right w:val="single" w:color="auto" w:sz="4" w:space="0"/>
            </w:tcBorders>
            <w:vAlign w:val="center"/>
          </w:tcPr>
          <w:p w14:paraId="41FCBF46">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5EC6E308">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19205AE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平台服务管理</w:t>
            </w:r>
          </w:p>
        </w:tc>
        <w:tc>
          <w:tcPr>
            <w:tcW w:w="9047" w:type="dxa"/>
            <w:gridSpan w:val="2"/>
            <w:tcBorders>
              <w:top w:val="nil"/>
              <w:left w:val="nil"/>
              <w:bottom w:val="single" w:color="auto" w:sz="4" w:space="0"/>
              <w:right w:val="single" w:color="auto" w:sz="4" w:space="0"/>
            </w:tcBorders>
            <w:shd w:val="clear" w:color="auto" w:fill="auto"/>
            <w:vAlign w:val="center"/>
          </w:tcPr>
          <w:p w14:paraId="5E68489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1、服务资源目录：通过应用注册和服务发布，管理所有对外或是业务协同所需要的暴露到平台上的服务，形成服务资源目录。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2、服务发布注册管理：包括创建应用、服务发布、服务申请、服务发布调用申请审批。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3、服务监控功能：服务监控统计：实现平台服务监控，服务访问统计排名，服务总览（服务总数，在线服务数，离线服务数，出错服务数，当日调用量，累计调用总量，服务响应时间排名等）。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4、服务管理：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（1）创建应用：实现服务发布方和服务调用方创建应用功能，所有服务都必须从属于某个应用。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（2）服务总览：把服务监控的相关内容以图表形式在大屏上显示，可以一目了然的从全局的角度，实时查看服务的相关情况，且提供一定程度的下钻功能。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（3）服务监控：实现检测服务在线离线情况，并展现出来，当前一共有多少个服务，其中离线多少，在线多少。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（4）服务统计分析：统计服务调用排名，服务可靠性排名，服务按响应时间排名，服务调用方按调用总数排名，服务出错次数排名等服务调用相关的一些统计。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（5）服务发布：在服务管理门户上提交服务发布申请，然后通过管理方审批通过后，把服务注册到服务管理系统上，并把注册的服务同步到服务资源目录中。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（6）服务调用申请：在服务管理门户上查找服务资源目录，然后选择需要调用的服务，提交相关调用申请，平台管理审批通过后，会为申请者生成一个调用授权的</w:t>
            </w:r>
            <w:r>
              <w:rPr>
                <w:rFonts w:hint="eastAsia" w:ascii="宋体" w:hAnsi="宋体" w:cs="宋体"/>
                <w:color w:val="000000"/>
                <w:kern w:val="0"/>
                <w:sz w:val="18"/>
                <w:szCs w:val="18"/>
                <w:highlight w:val="none"/>
                <w:lang w:val="en-US" w:eastAsia="zh-CN"/>
              </w:rPr>
              <w:t>令牌</w:t>
            </w:r>
            <w:r>
              <w:rPr>
                <w:rFonts w:hint="eastAsia" w:ascii="宋体" w:hAnsi="宋体" w:cs="宋体"/>
                <w:color w:val="000000"/>
                <w:kern w:val="0"/>
                <w:sz w:val="18"/>
                <w:szCs w:val="18"/>
                <w:highlight w:val="none"/>
              </w:rPr>
              <w:t>,调用该接口时，要带着审核通</w:t>
            </w:r>
            <w:r>
              <w:rPr>
                <w:rFonts w:hint="eastAsia" w:ascii="宋体" w:hAnsi="宋体" w:cs="宋体"/>
                <w:color w:val="000000"/>
                <w:kern w:val="0"/>
                <w:sz w:val="18"/>
                <w:szCs w:val="18"/>
                <w:highlight w:val="none"/>
                <w:lang w:val="en-US" w:eastAsia="zh-CN"/>
              </w:rPr>
              <w:t>过</w:t>
            </w:r>
            <w:r>
              <w:rPr>
                <w:rFonts w:hint="eastAsia" w:ascii="宋体" w:hAnsi="宋体" w:cs="宋体"/>
                <w:color w:val="000000"/>
                <w:kern w:val="0"/>
                <w:sz w:val="18"/>
                <w:szCs w:val="18"/>
                <w:highlight w:val="none"/>
              </w:rPr>
              <w:t>后的</w:t>
            </w:r>
            <w:r>
              <w:rPr>
                <w:rFonts w:hint="eastAsia" w:ascii="宋体" w:hAnsi="宋体" w:cs="宋体"/>
                <w:color w:val="000000"/>
                <w:kern w:val="0"/>
                <w:sz w:val="18"/>
                <w:szCs w:val="18"/>
                <w:highlight w:val="none"/>
                <w:lang w:val="en-US" w:eastAsia="zh-CN"/>
              </w:rPr>
              <w:t>令牌</w:t>
            </w:r>
            <w:r>
              <w:rPr>
                <w:rFonts w:hint="eastAsia" w:ascii="宋体" w:hAnsi="宋体" w:cs="宋体"/>
                <w:color w:val="000000"/>
                <w:kern w:val="0"/>
                <w:sz w:val="18"/>
                <w:szCs w:val="18"/>
                <w:highlight w:val="none"/>
              </w:rPr>
              <w:t>，之后调用要带着</w:t>
            </w:r>
            <w:r>
              <w:rPr>
                <w:rFonts w:hint="eastAsia" w:ascii="宋体" w:hAnsi="宋体" w:cs="宋体"/>
                <w:color w:val="000000"/>
                <w:kern w:val="0"/>
                <w:sz w:val="18"/>
                <w:szCs w:val="18"/>
                <w:highlight w:val="none"/>
                <w:lang w:val="en-US" w:eastAsia="zh-CN"/>
              </w:rPr>
              <w:t>令牌</w:t>
            </w:r>
            <w:r>
              <w:rPr>
                <w:rFonts w:hint="eastAsia" w:ascii="宋体" w:hAnsi="宋体" w:cs="宋体"/>
                <w:color w:val="000000"/>
                <w:kern w:val="0"/>
                <w:sz w:val="18"/>
                <w:szCs w:val="18"/>
                <w:highlight w:val="none"/>
              </w:rPr>
              <w:t>才能访问。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服务发布、调用申请审核：审核服务发布方提交的服务发布申请，并检查发布的服务是否符合服务管理规范，然后同意或拒绝该发布申请。审核服务调用方提交的服务发布申请，并检查提交的申请是否符合服务管理规范，然后同意或拒绝该调用申请。</w:t>
            </w:r>
          </w:p>
        </w:tc>
        <w:tc>
          <w:tcPr>
            <w:tcW w:w="708" w:type="dxa"/>
            <w:tcBorders>
              <w:top w:val="nil"/>
              <w:left w:val="nil"/>
              <w:bottom w:val="single" w:color="auto" w:sz="4" w:space="0"/>
              <w:right w:val="single" w:color="auto" w:sz="4" w:space="0"/>
            </w:tcBorders>
            <w:shd w:val="clear" w:color="auto" w:fill="auto"/>
            <w:vAlign w:val="center"/>
          </w:tcPr>
          <w:p w14:paraId="5EF4E25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5C70518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c>
          <w:tcPr>
            <w:tcW w:w="834" w:type="dxa"/>
            <w:tcBorders>
              <w:top w:val="nil"/>
              <w:left w:val="nil"/>
              <w:bottom w:val="single" w:color="auto" w:sz="4" w:space="0"/>
              <w:right w:val="single" w:color="auto" w:sz="4" w:space="0"/>
            </w:tcBorders>
            <w:shd w:val="clear" w:color="auto" w:fill="auto"/>
            <w:vAlign w:val="center"/>
          </w:tcPr>
          <w:p w14:paraId="74ABE4F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6E2CC8CC">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59D1AC2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597" w:type="dxa"/>
            <w:vMerge w:val="continue"/>
            <w:tcBorders>
              <w:top w:val="nil"/>
              <w:left w:val="single" w:color="auto" w:sz="4" w:space="0"/>
              <w:bottom w:val="single" w:color="auto" w:sz="4" w:space="0"/>
              <w:right w:val="single" w:color="auto" w:sz="4" w:space="0"/>
            </w:tcBorders>
            <w:vAlign w:val="center"/>
          </w:tcPr>
          <w:p w14:paraId="348E2C89">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4AE3C003">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3AEBCF1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平台门户管理</w:t>
            </w:r>
          </w:p>
        </w:tc>
        <w:tc>
          <w:tcPr>
            <w:tcW w:w="9047" w:type="dxa"/>
            <w:gridSpan w:val="2"/>
            <w:tcBorders>
              <w:top w:val="nil"/>
              <w:left w:val="nil"/>
              <w:bottom w:val="single" w:color="auto" w:sz="4" w:space="0"/>
              <w:right w:val="single" w:color="auto" w:sz="4" w:space="0"/>
            </w:tcBorders>
            <w:shd w:val="clear" w:color="auto" w:fill="auto"/>
            <w:vAlign w:val="center"/>
          </w:tcPr>
          <w:p w14:paraId="06D3DC7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1、单点登录：一次登录就</w:t>
            </w:r>
            <w:r>
              <w:rPr>
                <w:rFonts w:hint="eastAsia" w:ascii="宋体" w:hAnsi="宋体" w:cs="宋体"/>
                <w:color w:val="000000"/>
                <w:kern w:val="0"/>
                <w:sz w:val="18"/>
                <w:szCs w:val="18"/>
                <w:highlight w:val="none"/>
                <w:lang w:val="en-US" w:eastAsia="zh-CN"/>
              </w:rPr>
              <w:t>可以</w:t>
            </w:r>
            <w:r>
              <w:rPr>
                <w:rFonts w:hint="eastAsia" w:ascii="宋体" w:hAnsi="宋体" w:cs="宋体"/>
                <w:color w:val="000000"/>
                <w:kern w:val="0"/>
                <w:sz w:val="18"/>
                <w:szCs w:val="18"/>
                <w:highlight w:val="none"/>
              </w:rPr>
              <w:t>访问多个门户整合的业务子系统和其它资源。</w:t>
            </w:r>
            <w:r>
              <w:rPr>
                <w:rFonts w:hint="eastAsia" w:ascii="宋体" w:hAnsi="宋体" w:cs="宋体"/>
                <w:color w:val="000000"/>
                <w:kern w:val="0"/>
                <w:sz w:val="18"/>
                <w:szCs w:val="18"/>
                <w:highlight w:val="none"/>
              </w:rPr>
              <w:br w:type="textWrapping"/>
            </w:r>
            <w:r>
              <w:rPr>
                <w:rFonts w:hint="eastAsia" w:ascii="宋体" w:hAnsi="宋体" w:cs="宋体"/>
                <w:color w:val="auto"/>
                <w:kern w:val="0"/>
                <w:sz w:val="18"/>
                <w:szCs w:val="18"/>
                <w:highlight w:val="none"/>
              </w:rPr>
              <w:t>■2、应用集成：提供在门户展示业务系统的统一入口，实现不同业务系统的内容、页面在平台门户上的整合。（提供功能截图证明材料）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3、个性化视图：基于不同的用户角色预制不同的视图，实现个性化门户。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4、内容管理：包括栏目管理、信息管理、信息审核，实现栏目的制作，信息内容编辑、提交、审核、发布的流程。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5、统计分析：提供对门户运行状态的分析，包括平台在线人数，平台访问分析，入口分析等。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6、系统管理：对门户中的用户，角色，菜单，机构等的权限分配，实现门户的基本管理功能。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7、日志管理：提供对门户的操作日志，访问日志，登录日志的审计。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8、运维监控：通过集成服务，展示服务运行状态的情况，数据采集情况及硬件网络情况。</w:t>
            </w:r>
          </w:p>
        </w:tc>
        <w:tc>
          <w:tcPr>
            <w:tcW w:w="708" w:type="dxa"/>
            <w:tcBorders>
              <w:top w:val="nil"/>
              <w:left w:val="nil"/>
              <w:bottom w:val="single" w:color="auto" w:sz="4" w:space="0"/>
              <w:right w:val="single" w:color="auto" w:sz="4" w:space="0"/>
            </w:tcBorders>
            <w:shd w:val="clear" w:color="auto" w:fill="auto"/>
            <w:vAlign w:val="center"/>
          </w:tcPr>
          <w:p w14:paraId="2DA2250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17B7C01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c>
          <w:tcPr>
            <w:tcW w:w="834" w:type="dxa"/>
            <w:tcBorders>
              <w:top w:val="nil"/>
              <w:left w:val="nil"/>
              <w:bottom w:val="single" w:color="auto" w:sz="4" w:space="0"/>
              <w:right w:val="single" w:color="auto" w:sz="4" w:space="0"/>
            </w:tcBorders>
            <w:shd w:val="clear" w:color="auto" w:fill="auto"/>
            <w:vAlign w:val="center"/>
          </w:tcPr>
          <w:p w14:paraId="3BCBBE8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69DCA6EE">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6C5129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w:t>
            </w:r>
          </w:p>
        </w:tc>
        <w:tc>
          <w:tcPr>
            <w:tcW w:w="597" w:type="dxa"/>
            <w:vMerge w:val="continue"/>
            <w:tcBorders>
              <w:top w:val="nil"/>
              <w:left w:val="single" w:color="auto" w:sz="4" w:space="0"/>
              <w:bottom w:val="single" w:color="auto" w:sz="4" w:space="0"/>
              <w:right w:val="single" w:color="auto" w:sz="4" w:space="0"/>
            </w:tcBorders>
            <w:vAlign w:val="center"/>
          </w:tcPr>
          <w:p w14:paraId="5A5CC669">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6205CC97">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33A3540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资源管理系统</w:t>
            </w:r>
          </w:p>
        </w:tc>
        <w:tc>
          <w:tcPr>
            <w:tcW w:w="9047" w:type="dxa"/>
            <w:gridSpan w:val="2"/>
            <w:tcBorders>
              <w:top w:val="nil"/>
              <w:left w:val="nil"/>
              <w:bottom w:val="single" w:color="auto" w:sz="4" w:space="0"/>
              <w:right w:val="single" w:color="auto" w:sz="4" w:space="0"/>
            </w:tcBorders>
            <w:shd w:val="clear" w:color="auto" w:fill="auto"/>
            <w:vAlign w:val="center"/>
          </w:tcPr>
          <w:p w14:paraId="0CB076D3">
            <w:pPr>
              <w:widowControl/>
              <w:shd w:val="clear"/>
              <w:jc w:val="left"/>
              <w:rPr>
                <w:rFonts w:ascii="宋体" w:hAnsi="宋体" w:cs="宋体"/>
                <w:color w:val="000000"/>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color w:val="000000"/>
                <w:kern w:val="0"/>
                <w:sz w:val="18"/>
                <w:szCs w:val="18"/>
                <w:highlight w:val="none"/>
              </w:rPr>
              <w:t>通过全方位的梳理医疗机构已有的医疗资源，进行合理有效的管理，主要包括机构、科室、医生、专家团队、排班、诊疗项目等基础资源；通过整合资源达到互通共享和统一分配。（提供功能截图证明材料）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包括</w:t>
            </w:r>
            <w:r>
              <w:rPr>
                <w:rFonts w:hint="eastAsia" w:ascii="宋体" w:hAnsi="宋体" w:cs="宋体"/>
                <w:color w:val="000000"/>
                <w:kern w:val="0"/>
                <w:sz w:val="18"/>
                <w:szCs w:val="18"/>
                <w:highlight w:val="none"/>
                <w:lang w:val="en-US" w:eastAsia="zh-CN"/>
              </w:rPr>
              <w:t>但不限于以下内容</w:t>
            </w:r>
            <w:r>
              <w:rPr>
                <w:rFonts w:hint="eastAsia" w:ascii="宋体" w:hAnsi="宋体" w:cs="宋体"/>
                <w:color w:val="000000"/>
                <w:kern w:val="0"/>
                <w:sz w:val="18"/>
                <w:szCs w:val="18"/>
                <w:highlight w:val="none"/>
              </w:rPr>
              <w:t>：系统管理、字典管理、基础数据管理、医嘱管理、收费项管理、专家团队、基层坐诊专家、基层坐诊专家排班管理、机构排班报表、接口授权、统计分析。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1、整合医疗机构、科室和医生基础数据，为分级诊疗，区域预约诊疗系统，远程会诊等业务系统提供基础数据。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2、管理机构和科室提供的医疗服务，系统通过配置，可以管理机构科室是否开展分级诊疗等业务。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3、整合医生资源，配置专家团队，对分级诊疗申请单进行审核。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4、管理专家基层坐诊，通过系统设置基层坐诊专家，并对接统一用户管理系统分配专家账号权限，专家可直接登录基层</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进行坐诊。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5、整合诊疗项目数据，配置上级医院允许下级医院申请的检查检验项目。</w:t>
            </w:r>
          </w:p>
        </w:tc>
        <w:tc>
          <w:tcPr>
            <w:tcW w:w="708" w:type="dxa"/>
            <w:tcBorders>
              <w:top w:val="nil"/>
              <w:left w:val="nil"/>
              <w:bottom w:val="single" w:color="auto" w:sz="4" w:space="0"/>
              <w:right w:val="single" w:color="auto" w:sz="4" w:space="0"/>
            </w:tcBorders>
            <w:shd w:val="clear" w:color="auto" w:fill="auto"/>
            <w:vAlign w:val="center"/>
          </w:tcPr>
          <w:p w14:paraId="44A2852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315BA7A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c>
          <w:tcPr>
            <w:tcW w:w="834" w:type="dxa"/>
            <w:tcBorders>
              <w:top w:val="nil"/>
              <w:left w:val="nil"/>
              <w:bottom w:val="single" w:color="auto" w:sz="4" w:space="0"/>
              <w:right w:val="single" w:color="auto" w:sz="4" w:space="0"/>
            </w:tcBorders>
            <w:shd w:val="clear" w:color="auto" w:fill="auto"/>
            <w:vAlign w:val="center"/>
          </w:tcPr>
          <w:p w14:paraId="03F4FBB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700967D8">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99840B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597" w:type="dxa"/>
            <w:vMerge w:val="continue"/>
            <w:tcBorders>
              <w:top w:val="nil"/>
              <w:left w:val="single" w:color="auto" w:sz="4" w:space="0"/>
              <w:bottom w:val="single" w:color="auto" w:sz="4" w:space="0"/>
              <w:right w:val="single" w:color="auto" w:sz="4" w:space="0"/>
            </w:tcBorders>
            <w:vAlign w:val="center"/>
          </w:tcPr>
          <w:p w14:paraId="54A6730E">
            <w:pPr>
              <w:widowControl/>
              <w:shd w:val="clear"/>
              <w:jc w:val="left"/>
              <w:rPr>
                <w:rFonts w:ascii="宋体" w:hAnsi="宋体" w:cs="宋体"/>
                <w:color w:val="000000"/>
                <w:kern w:val="0"/>
                <w:sz w:val="18"/>
                <w:szCs w:val="18"/>
                <w:highlight w:val="none"/>
              </w:rPr>
            </w:pPr>
          </w:p>
        </w:tc>
        <w:tc>
          <w:tcPr>
            <w:tcW w:w="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EB6A6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医共体一体化业务协同中心</w:t>
            </w:r>
          </w:p>
        </w:tc>
        <w:tc>
          <w:tcPr>
            <w:tcW w:w="786" w:type="dxa"/>
            <w:tcBorders>
              <w:top w:val="single" w:color="auto" w:sz="4" w:space="0"/>
              <w:left w:val="nil"/>
              <w:bottom w:val="single" w:color="auto" w:sz="4" w:space="0"/>
              <w:right w:val="single" w:color="auto" w:sz="4" w:space="0"/>
            </w:tcBorders>
            <w:shd w:val="clear" w:color="auto" w:fill="auto"/>
            <w:vAlign w:val="center"/>
          </w:tcPr>
          <w:p w14:paraId="0E25A5A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数据质量控制系统</w:t>
            </w:r>
          </w:p>
        </w:tc>
        <w:tc>
          <w:tcPr>
            <w:tcW w:w="9047" w:type="dxa"/>
            <w:gridSpan w:val="2"/>
            <w:tcBorders>
              <w:top w:val="nil"/>
              <w:left w:val="nil"/>
              <w:bottom w:val="single" w:color="auto" w:sz="4" w:space="0"/>
              <w:right w:val="single" w:color="auto" w:sz="4" w:space="0"/>
            </w:tcBorders>
            <w:shd w:val="clear" w:color="auto" w:fill="auto"/>
            <w:vAlign w:val="center"/>
          </w:tcPr>
          <w:p w14:paraId="6D33CF6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质控模板要求可以配置让各个统计维度根据模板的不同，配置不同的统计表和字段，甚至是各个统计维度的名称和说明，可以为健康档案浏览器配置一套适合的评估医疗及运营数据的模板，可以为基卫系统，配置一套适合的评估公卫数据的模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2、在质控模板中</w:t>
            </w:r>
            <w:r>
              <w:rPr>
                <w:rFonts w:hint="eastAsia" w:ascii="宋体" w:hAnsi="宋体" w:cs="宋体"/>
                <w:color w:val="000000"/>
                <w:kern w:val="0"/>
                <w:sz w:val="18"/>
                <w:szCs w:val="18"/>
                <w:highlight w:val="none"/>
                <w:lang w:val="en-US" w:eastAsia="zh-CN"/>
              </w:rPr>
              <w:t>包括但不限于</w:t>
            </w:r>
            <w:r>
              <w:rPr>
                <w:rFonts w:hint="eastAsia" w:ascii="宋体" w:hAnsi="宋体" w:cs="宋体"/>
                <w:color w:val="000000"/>
                <w:kern w:val="0"/>
                <w:sz w:val="18"/>
                <w:szCs w:val="18"/>
                <w:highlight w:val="none"/>
              </w:rPr>
              <w:t>平台维护、机构维护、模板维护、平台模板维护等内容。（提供功能截图证明材料）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3、质控得分要求一方面提供了一套将统计结果转换为得分的核算方式，另一方面，允许使用者可依据质控模板，为不同的质控模板调整各个得分项的权重份额。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4、在质控得分方面需要包括手动计算等内容，其他功能</w:t>
            </w:r>
            <w:r>
              <w:rPr>
                <w:rFonts w:hint="eastAsia" w:ascii="宋体" w:hAnsi="宋体" w:cs="宋体"/>
                <w:color w:val="000000"/>
                <w:kern w:val="0"/>
                <w:sz w:val="18"/>
                <w:szCs w:val="18"/>
                <w:highlight w:val="none"/>
                <w:lang w:val="en-US" w:eastAsia="zh-CN"/>
              </w:rPr>
              <w:t>包括但不限于</w:t>
            </w:r>
            <w:r>
              <w:rPr>
                <w:rFonts w:hint="eastAsia" w:ascii="宋体" w:hAnsi="宋体" w:cs="宋体"/>
                <w:color w:val="000000"/>
                <w:kern w:val="0"/>
                <w:sz w:val="18"/>
                <w:szCs w:val="18"/>
                <w:highlight w:val="none"/>
              </w:rPr>
              <w:t>：校验配置—应用字段空置率配置、业务完整性配置、连续性配置、合理性配置、关联性配置、校验调度—手动调度、定时调度、调度计划、数据报告、质控排名、统计分析等内容。（提供功能截图证明材料）</w:t>
            </w:r>
          </w:p>
        </w:tc>
        <w:tc>
          <w:tcPr>
            <w:tcW w:w="708" w:type="dxa"/>
            <w:tcBorders>
              <w:top w:val="nil"/>
              <w:left w:val="nil"/>
              <w:bottom w:val="single" w:color="auto" w:sz="4" w:space="0"/>
              <w:right w:val="single" w:color="auto" w:sz="4" w:space="0"/>
            </w:tcBorders>
            <w:shd w:val="clear" w:color="auto" w:fill="auto"/>
            <w:vAlign w:val="center"/>
          </w:tcPr>
          <w:p w14:paraId="63C3CC3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5A9FA38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66000</w:t>
            </w:r>
          </w:p>
        </w:tc>
        <w:tc>
          <w:tcPr>
            <w:tcW w:w="834" w:type="dxa"/>
            <w:tcBorders>
              <w:top w:val="nil"/>
              <w:left w:val="nil"/>
              <w:bottom w:val="single" w:color="auto" w:sz="4" w:space="0"/>
              <w:right w:val="single" w:color="auto" w:sz="4" w:space="0"/>
            </w:tcBorders>
            <w:shd w:val="clear" w:color="auto" w:fill="auto"/>
            <w:vAlign w:val="center"/>
          </w:tcPr>
          <w:p w14:paraId="3B5DC26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66000</w:t>
            </w:r>
          </w:p>
        </w:tc>
      </w:tr>
      <w:tr w14:paraId="302B5A62">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694FC6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w:t>
            </w:r>
          </w:p>
        </w:tc>
        <w:tc>
          <w:tcPr>
            <w:tcW w:w="597" w:type="dxa"/>
            <w:vMerge w:val="continue"/>
            <w:tcBorders>
              <w:top w:val="nil"/>
              <w:left w:val="single" w:color="auto" w:sz="4" w:space="0"/>
              <w:bottom w:val="single" w:color="auto" w:sz="4" w:space="0"/>
              <w:right w:val="single" w:color="auto" w:sz="4" w:space="0"/>
            </w:tcBorders>
            <w:vAlign w:val="center"/>
          </w:tcPr>
          <w:p w14:paraId="12945A6A">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1A27C546">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2A85A9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医共体数据资源中心</w:t>
            </w:r>
          </w:p>
        </w:tc>
        <w:tc>
          <w:tcPr>
            <w:tcW w:w="9047" w:type="dxa"/>
            <w:gridSpan w:val="2"/>
            <w:tcBorders>
              <w:top w:val="nil"/>
              <w:left w:val="nil"/>
              <w:bottom w:val="single" w:color="auto" w:sz="4" w:space="0"/>
              <w:right w:val="single" w:color="auto" w:sz="4" w:space="0"/>
            </w:tcBorders>
            <w:shd w:val="clear" w:color="auto" w:fill="auto"/>
            <w:vAlign w:val="center"/>
          </w:tcPr>
          <w:p w14:paraId="2F22118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1、全员人口信息库：全员人口信息库里面包含固定人口信息、流动人口信息和社会公益组织的相关采集信息，用来在健康档案有效性的判断上。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2、健康档案资源库：健康档案是居民健康管理（疾病防治、健康保护、健康促进等）过程的规范、科学记录。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电子病历资源库：电子病历(EMR)是由医疗机构以电子化方式创建、保存和使用，重点针对门诊、住院患者(或保健对象)临床诊断治疗过程的系统、规范的记录。是居民在医疗机构历次就诊过程中产生和被记录的完整、详细的临床信息资源。医院内授权用户可对其进行访问</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电子病历是现代医疗机构开展高效、优质的临床诊疗、科研以及医疗管理工作所必需的重要临床信息资源，与电子健康档案联系密切，互相补充，是电子健康档案的主要信息来源和重要组成部分。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4、卫生资源库：卫生资源库作为区域内卫生资源的统一管理库，需覆盖辖区内所有卫生资源相关信息，包括卫生机构、人员等。基于平台的其他应用使用的卫生资源均需要从该数据库中获取。</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5、影像共享数据库：以医共体牵头医院为中心，建立县域影像数据专题共享数据库，</w:t>
            </w:r>
            <w:r>
              <w:rPr>
                <w:rFonts w:hint="eastAsia" w:ascii="宋体" w:hAnsi="宋体" w:cs="宋体"/>
                <w:color w:val="000000"/>
                <w:kern w:val="0"/>
                <w:sz w:val="18"/>
                <w:szCs w:val="18"/>
                <w:highlight w:val="none"/>
                <w:lang w:val="en-US" w:eastAsia="zh-CN"/>
              </w:rPr>
              <w:t>实现</w:t>
            </w:r>
            <w:r>
              <w:rPr>
                <w:rFonts w:hint="eastAsia" w:ascii="宋体" w:hAnsi="宋体" w:cs="宋体"/>
                <w:color w:val="000000"/>
                <w:kern w:val="0"/>
                <w:sz w:val="18"/>
                <w:szCs w:val="18"/>
                <w:highlight w:val="none"/>
              </w:rPr>
              <w:t>同级别医院影像结果互认和远程影像诊断需求。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6、检验共享数据库：以医共体牵头医院为中心，建立县域检验共享数据库，</w:t>
            </w:r>
            <w:r>
              <w:rPr>
                <w:rFonts w:hint="eastAsia" w:ascii="宋体" w:hAnsi="宋体" w:cs="宋体"/>
                <w:color w:val="000000"/>
                <w:kern w:val="0"/>
                <w:sz w:val="18"/>
                <w:szCs w:val="18"/>
                <w:highlight w:val="none"/>
                <w:lang w:val="en-US" w:eastAsia="zh-CN"/>
              </w:rPr>
              <w:t>实现</w:t>
            </w:r>
            <w:r>
              <w:rPr>
                <w:rFonts w:hint="eastAsia" w:ascii="宋体" w:hAnsi="宋体" w:cs="宋体"/>
                <w:color w:val="000000"/>
                <w:kern w:val="0"/>
                <w:sz w:val="18"/>
                <w:szCs w:val="18"/>
                <w:highlight w:val="none"/>
              </w:rPr>
              <w:t>同级别医院检验结果互认和跨机构检验结果共享需求。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7、心电共享数据库：以医共体牵头医院为中心，建立县域心电数据专题共享数据库，</w:t>
            </w:r>
            <w:r>
              <w:rPr>
                <w:rFonts w:hint="eastAsia" w:ascii="宋体" w:hAnsi="宋体" w:cs="宋体"/>
                <w:color w:val="000000"/>
                <w:kern w:val="0"/>
                <w:sz w:val="18"/>
                <w:szCs w:val="18"/>
                <w:highlight w:val="none"/>
                <w:lang w:val="en-US" w:eastAsia="zh-CN"/>
              </w:rPr>
              <w:t>实现</w:t>
            </w:r>
            <w:r>
              <w:rPr>
                <w:rFonts w:hint="eastAsia" w:ascii="宋体" w:hAnsi="宋体" w:cs="宋体"/>
                <w:color w:val="000000"/>
                <w:kern w:val="0"/>
                <w:sz w:val="18"/>
                <w:szCs w:val="18"/>
                <w:highlight w:val="none"/>
              </w:rPr>
              <w:t>同级别医院心电结果互认和远程心电诊断需求。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数据标准与基础数据库：平台基础数据库主要包括注册数据、索引数据、资源目录以及元数据等。基础信息库是为各个系统提供基础信息服务的相关信息集合。基础信息库从总体上应包括卫生数据元与代码标准、实有人口信息、基础地理与自然环境数据、知识与模型数据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9、互联网医疗数据库：医共体一体化机构对外业务扩展，针对移动互联网业务产生数据的存储。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对外交换数据库：共享数据库是完成对内/对外数据交换的数据存储区域。主要包括：与医共体一体化内医院、社区卫生服务中心、公共卫生机构、卫生相关业务系统、各级医共体一体化平台等交换各类相关信息。</w:t>
            </w:r>
          </w:p>
        </w:tc>
        <w:tc>
          <w:tcPr>
            <w:tcW w:w="708" w:type="dxa"/>
            <w:tcBorders>
              <w:top w:val="nil"/>
              <w:left w:val="nil"/>
              <w:bottom w:val="single" w:color="auto" w:sz="4" w:space="0"/>
              <w:right w:val="single" w:color="auto" w:sz="4" w:space="0"/>
            </w:tcBorders>
            <w:shd w:val="clear" w:color="auto" w:fill="auto"/>
            <w:vAlign w:val="center"/>
          </w:tcPr>
          <w:p w14:paraId="4AEA30A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7F19A09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188000</w:t>
            </w:r>
          </w:p>
        </w:tc>
        <w:tc>
          <w:tcPr>
            <w:tcW w:w="834" w:type="dxa"/>
            <w:tcBorders>
              <w:top w:val="nil"/>
              <w:left w:val="nil"/>
              <w:bottom w:val="single" w:color="auto" w:sz="4" w:space="0"/>
              <w:right w:val="single" w:color="auto" w:sz="4" w:space="0"/>
            </w:tcBorders>
            <w:shd w:val="clear" w:color="auto" w:fill="auto"/>
            <w:vAlign w:val="center"/>
          </w:tcPr>
          <w:p w14:paraId="0A16129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188000</w:t>
            </w:r>
          </w:p>
        </w:tc>
      </w:tr>
      <w:tr w14:paraId="313C4774">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24B25DA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597" w:type="dxa"/>
            <w:vMerge w:val="continue"/>
            <w:tcBorders>
              <w:top w:val="nil"/>
              <w:left w:val="single" w:color="auto" w:sz="4" w:space="0"/>
              <w:bottom w:val="single" w:color="auto" w:sz="4" w:space="0"/>
              <w:right w:val="single" w:color="auto" w:sz="4" w:space="0"/>
            </w:tcBorders>
            <w:vAlign w:val="center"/>
          </w:tcPr>
          <w:p w14:paraId="3A72844E">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536C4B90">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7DE06A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双向转诊系统</w:t>
            </w:r>
          </w:p>
        </w:tc>
        <w:tc>
          <w:tcPr>
            <w:tcW w:w="9047" w:type="dxa"/>
            <w:gridSpan w:val="2"/>
            <w:tcBorders>
              <w:top w:val="nil"/>
              <w:left w:val="nil"/>
              <w:bottom w:val="single" w:color="auto" w:sz="4" w:space="0"/>
              <w:right w:val="single" w:color="auto" w:sz="4" w:space="0"/>
            </w:tcBorders>
            <w:shd w:val="clear" w:color="auto" w:fill="auto"/>
            <w:vAlign w:val="center"/>
          </w:tcPr>
          <w:p w14:paraId="0C85D08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1、</w:t>
            </w:r>
            <w:r>
              <w:rPr>
                <w:rFonts w:hint="eastAsia" w:ascii="宋体" w:hAnsi="宋体" w:cs="宋体"/>
                <w:color w:val="000000"/>
                <w:kern w:val="0"/>
                <w:sz w:val="18"/>
                <w:szCs w:val="18"/>
                <w:highlight w:val="none"/>
              </w:rPr>
              <w:t>转诊申请：医生输入患者身份证号码查询系统中的患者基本信息，填写转诊申请单中的患者信息、转诊信息、诊断信息、注意事项等，发起一次转诊申请。转诊类型分为：住院和门诊；转诊方向分为：上转、下转和平转。医生可查询自己发起的转诊单，可编辑或取消转诊。（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2、</w:t>
            </w:r>
            <w:r>
              <w:rPr>
                <w:rFonts w:hint="eastAsia" w:ascii="宋体" w:hAnsi="宋体" w:cs="宋体"/>
                <w:color w:val="000000"/>
                <w:kern w:val="0"/>
                <w:sz w:val="18"/>
                <w:szCs w:val="18"/>
                <w:highlight w:val="none"/>
              </w:rPr>
              <w:t>科主任审核（备案）：如果本医院转诊流程设置为科主任审核，科室主任查询本科室待审核的转入申请单和转出申请单，进行审核操作，如果是审核转入申请单，可以指定接诊医生。科主任可查看转诊患者在转出医院的就诊的电子病历信息。如果本医院转诊流程设置为科主任备案，则无需科室主任审批，科室主任可以查询本科室的转诊申请单记录以及详细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3、</w:t>
            </w:r>
            <w:r>
              <w:rPr>
                <w:rFonts w:hint="eastAsia" w:ascii="宋体" w:hAnsi="宋体" w:cs="宋体"/>
                <w:color w:val="000000"/>
                <w:kern w:val="0"/>
                <w:sz w:val="18"/>
                <w:szCs w:val="18"/>
                <w:highlight w:val="none"/>
              </w:rPr>
              <w:t>医院管理员审核（备案）：如果本医院转诊流程设置为管理员审核，医院管理员查询本医院的待审核的转入申请单和转出申请单，进行审核操作，如果是审核转入申请单，可以指定接诊医生。如果本医院转诊流程设置为管理员备案，则无需医院管理员审批，医院管理员可以查询本医院的转诊申请单记录以及详细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4、</w:t>
            </w:r>
            <w:r>
              <w:rPr>
                <w:rFonts w:hint="eastAsia" w:ascii="宋体" w:hAnsi="宋体" w:cs="宋体"/>
                <w:color w:val="000000"/>
                <w:kern w:val="0"/>
                <w:sz w:val="18"/>
                <w:szCs w:val="18"/>
                <w:highlight w:val="none"/>
              </w:rPr>
              <w:t>医生接诊：医生查询自己待接诊的转诊单列表，选择进行接诊操作，可查看转诊患者在转出医院的就诊的电子病历信息。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病历资料共享和调阅：病历资料共享和调阅可以共享调阅电子病历、EHR，可以通过接口形式或者手动上传。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6、</w:t>
            </w:r>
            <w:r>
              <w:rPr>
                <w:rFonts w:hint="eastAsia" w:ascii="宋体" w:hAnsi="宋体" w:cs="宋体"/>
                <w:color w:val="000000"/>
                <w:kern w:val="0"/>
                <w:sz w:val="18"/>
                <w:szCs w:val="18"/>
                <w:highlight w:val="none"/>
              </w:rPr>
              <w:t>机构参数设置：机构参数设置以医疗卫生机构为单位设置其转诊、接诊、预约挂号、预约床位、病历资料调阅方式、同步</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用户、申请单科室人员、</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排班同步、转诊次数等参数。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7、基础资源管理：</w:t>
            </w:r>
            <w:r>
              <w:rPr>
                <w:rFonts w:hint="eastAsia" w:ascii="宋体" w:hAnsi="宋体" w:cs="宋体"/>
                <w:color w:val="000000"/>
                <w:kern w:val="0"/>
                <w:sz w:val="18"/>
                <w:szCs w:val="18"/>
                <w:highlight w:val="none"/>
              </w:rPr>
              <w:t>机构管理：实现各医疗机构作为协同平台用户进行注册，支持填报基础信息及资源配置情况；支持批量导入机构信息；支持平台通过审核机制，确定各机构在平台中的功能权限及业务规则等信息。科室管理：用户可通过输入所在机构、科室名称、科室级别等信息实现新增科室。同时提供科室的修改和删除功能。医生管理：提供系统内所有医护人员基本信息、科室分配、角色分配及账户信息的管理功能，对系统人员</w:t>
            </w:r>
            <w:r>
              <w:rPr>
                <w:rFonts w:hint="eastAsia" w:ascii="宋体" w:hAnsi="宋体" w:cs="宋体"/>
                <w:color w:val="000000"/>
                <w:kern w:val="0"/>
                <w:sz w:val="18"/>
                <w:szCs w:val="18"/>
                <w:highlight w:val="none"/>
                <w:lang w:val="en-US" w:eastAsia="zh-CN"/>
              </w:rPr>
              <w:t>进</w:t>
            </w:r>
            <w:r>
              <w:rPr>
                <w:rFonts w:hint="eastAsia" w:ascii="宋体" w:hAnsi="宋体" w:cs="宋体"/>
                <w:color w:val="000000"/>
                <w:kern w:val="0"/>
                <w:sz w:val="18"/>
                <w:szCs w:val="18"/>
                <w:highlight w:val="none"/>
              </w:rPr>
              <w:t>行有效配置，使系统能正常使用。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8、系统管理：</w:t>
            </w:r>
            <w:r>
              <w:rPr>
                <w:rFonts w:hint="eastAsia" w:ascii="宋体" w:hAnsi="宋体" w:cs="宋体"/>
                <w:color w:val="000000"/>
                <w:kern w:val="0"/>
                <w:sz w:val="18"/>
                <w:szCs w:val="18"/>
                <w:highlight w:val="none"/>
              </w:rPr>
              <w:t>用户管理：提供系统内所有医护人员的账户的基本信息，以及科室分配、角色分配管理功能。权限管理：如需要导入大量的权限信息，可通过权限批量导入一次性导入所有权限减轻手动新增时的繁杂工作量。也可以通过手动新增权限来维护少量的权限信息，同时提供权限的修改和删除操作。权限分配管理：对系统的角色进行菜单授权管理等。</w:t>
            </w:r>
          </w:p>
        </w:tc>
        <w:tc>
          <w:tcPr>
            <w:tcW w:w="708" w:type="dxa"/>
            <w:tcBorders>
              <w:top w:val="nil"/>
              <w:left w:val="nil"/>
              <w:bottom w:val="single" w:color="auto" w:sz="4" w:space="0"/>
              <w:right w:val="single" w:color="auto" w:sz="4" w:space="0"/>
            </w:tcBorders>
            <w:shd w:val="clear" w:color="auto" w:fill="auto"/>
            <w:vAlign w:val="center"/>
          </w:tcPr>
          <w:p w14:paraId="2F13CEB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40C6548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c>
          <w:tcPr>
            <w:tcW w:w="834" w:type="dxa"/>
            <w:tcBorders>
              <w:top w:val="nil"/>
              <w:left w:val="nil"/>
              <w:bottom w:val="single" w:color="auto" w:sz="4" w:space="0"/>
              <w:right w:val="single" w:color="auto" w:sz="4" w:space="0"/>
            </w:tcBorders>
            <w:shd w:val="clear" w:color="auto" w:fill="auto"/>
            <w:vAlign w:val="center"/>
          </w:tcPr>
          <w:p w14:paraId="0399142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r>
      <w:tr w14:paraId="3469804B">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728280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597" w:type="dxa"/>
            <w:vMerge w:val="continue"/>
            <w:tcBorders>
              <w:top w:val="nil"/>
              <w:left w:val="single" w:color="auto" w:sz="4" w:space="0"/>
              <w:bottom w:val="single" w:color="auto" w:sz="4" w:space="0"/>
              <w:right w:val="single" w:color="auto" w:sz="4" w:space="0"/>
            </w:tcBorders>
            <w:vAlign w:val="center"/>
          </w:tcPr>
          <w:p w14:paraId="119B1D8D">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16D319E4">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440FD18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远程会诊管理</w:t>
            </w:r>
          </w:p>
        </w:tc>
        <w:tc>
          <w:tcPr>
            <w:tcW w:w="9047" w:type="dxa"/>
            <w:gridSpan w:val="2"/>
            <w:tcBorders>
              <w:top w:val="nil"/>
              <w:left w:val="nil"/>
              <w:bottom w:val="single" w:color="auto" w:sz="4" w:space="0"/>
              <w:right w:val="single" w:color="auto" w:sz="4" w:space="0"/>
            </w:tcBorders>
            <w:shd w:val="clear" w:color="auto" w:fill="auto"/>
            <w:vAlign w:val="center"/>
          </w:tcPr>
          <w:p w14:paraId="1CA3CB2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交互式远程会诊：支持会诊专家与申请医生、患者间的实时交互式远程会诊；支持患者的临床需求，实现患者在病床上就能实时接受专家远程会诊服务；支持会诊专家对异地病床上的患者视频画面进行远程控制；针对危重症患者，支持床边监护仪等生命体征数据的实时传输，提供连续、动态的诊断依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2、离线式远程会诊</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支持会诊专家与申请医生间的非实时离线式远程会诊；支持申请医生提交会诊申请信息和病历资料；会诊专家根据实际情况，非实时浏览会诊申请信息和病理资料，并编写和发布会诊报告；申请医生再浏览会诊报告。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1、会诊申请：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申请方新建会诊申请单，填选患者或扫描患者电子健康码录入患者信息，填写会诊原因、会诊目的等信息后保存申请单，支持派单、预约、抢单三种会诊模式，选择模式后提交申请单。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保存申请：申请方新建会诊申请单，填选患者或扫描患者电子健康码录入患者信息，填写会诊原因、会诊目的等信息后保存申请单，保存基本信息后可进行患者病历信息填写及附件上传。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提交申请：选择会诊模式，填写会诊类型、会诊时间等，选择相应的会诊医生后进行提交，提交之前可对会诊基本信息进行修改和确认。有三种会诊模式：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（1）派单模式：申请方选择期望的会诊医生后由会诊方机构管理员进行会诊安排，安排会诊医生及会诊时间后可在会诊时间内进行会诊。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预约模式：申请方按照医疗机构、科室、医生、会诊日期等条件查询可预约的会诊专家排班信息，选择合适的排班时段提交申请单，系统对所选排班进行预约，预约成功后会诊专家在预约的时段内可为患者进行远程视频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（3）抢单模式：申请方填写会诊时间、选择抢单条件后提交，其他机构的医生可查看符合条件的申请单进行抢单操作，抢单完成后即可在会诊时间内进行视频会诊。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资料采集：申请方申请会诊后可填写患者病历资料，也可扫描上传病历的电子文件，也可通过接口的方式上传病历资料。影像数据采集：在申请方部署影像数据采集前置机系统，从PACS系统、影像检查设备、数字影像扫描仪采集患者的影像DICOM数据，并上传到中心存储，供会诊专家调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3、会诊管理：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（1）申请方：查询申请单、修改申请单、取消会诊、确认会诊安排、患者病历资料管理、浏览会诊报告。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（2）会诊方：查询申请单、安排会诊、拒绝会诊。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4、专家会诊：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（1）申请方：查询申请单、病历资料浏览、影像浏览、</w:t>
            </w:r>
            <w:r>
              <w:rPr>
                <w:rFonts w:hint="eastAsia" w:ascii="宋体" w:hAnsi="宋体" w:cs="宋体"/>
                <w:color w:val="000000"/>
                <w:kern w:val="0"/>
                <w:sz w:val="18"/>
                <w:szCs w:val="18"/>
                <w:highlight w:val="none"/>
                <w:lang w:val="en-US" w:eastAsia="zh-CN"/>
              </w:rPr>
              <w:t>提供</w:t>
            </w:r>
            <w:r>
              <w:rPr>
                <w:rFonts w:hint="eastAsia" w:ascii="宋体" w:hAnsi="宋体" w:cs="宋体"/>
                <w:color w:val="000000"/>
                <w:kern w:val="0"/>
                <w:sz w:val="18"/>
                <w:szCs w:val="18"/>
                <w:highlight w:val="none"/>
              </w:rPr>
              <w:t>实时远程监护数据、进入视频会议室、浏览会诊报告。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（2）会诊方：查询申请单、病历资料浏览、影像浏览、</w:t>
            </w:r>
            <w:r>
              <w:rPr>
                <w:rFonts w:hint="eastAsia" w:ascii="宋体" w:hAnsi="宋体" w:cs="宋体"/>
                <w:color w:val="000000"/>
                <w:kern w:val="0"/>
                <w:sz w:val="18"/>
                <w:szCs w:val="18"/>
                <w:highlight w:val="none"/>
                <w:lang w:val="en-US" w:eastAsia="zh-CN"/>
              </w:rPr>
              <w:t>提供</w:t>
            </w:r>
            <w:r>
              <w:rPr>
                <w:rFonts w:hint="eastAsia" w:ascii="宋体" w:hAnsi="宋体" w:cs="宋体"/>
                <w:color w:val="000000"/>
                <w:kern w:val="0"/>
                <w:sz w:val="18"/>
                <w:szCs w:val="18"/>
                <w:highlight w:val="none"/>
              </w:rPr>
              <w:t>实时远程监护数据、进入视频会议室、书写会诊报告。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w:t>
            </w:r>
            <w:r>
              <w:rPr>
                <w:rFonts w:hint="eastAsia" w:ascii="宋体" w:hAnsi="宋体" w:cs="宋体"/>
                <w:color w:val="000000"/>
                <w:kern w:val="0"/>
                <w:sz w:val="18"/>
                <w:szCs w:val="18"/>
                <w:highlight w:val="none"/>
                <w:lang w:val="en-US" w:eastAsia="zh-CN"/>
              </w:rPr>
              <w:t>提供</w:t>
            </w:r>
            <w:r>
              <w:rPr>
                <w:rFonts w:hint="eastAsia" w:ascii="宋体" w:hAnsi="宋体" w:cs="宋体"/>
                <w:color w:val="000000"/>
                <w:kern w:val="0"/>
                <w:sz w:val="18"/>
                <w:szCs w:val="18"/>
                <w:highlight w:val="none"/>
              </w:rPr>
              <w:t>实时远程监护数据的解决方案请参见远程监护子系统。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（4）视频会议的解决方案请参见视频会议子系统。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5、会诊结论：专家会诊结束后可录入会诊结论和诊疗建议，支持语音录入方式，提交结论后发布远程会诊报告。申请方可下载、打印会诊报告。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6、会诊抢单：在抢单模式下，专家查询待抢单申请列表，查看申请单详情，调阅患者病历资料，根据情况进行抢单。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7、专家排班管理：在预约模式下，各个医疗机构对本机构自己进行远程会诊的专家进行排班管理，安排出诊专家和出诊时间。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8、会诊费用管理：各个医疗机构可按照专家级别等条件设置会诊的价格标准及与申请方的分配比例。费用结算：系统自动列出结算周期内的会诊清单，计算会诊未结算费用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结算费用并记录医院间费用结算的情况，结算对账。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会诊费用支付：会诊方确认会诊信息后即生成会诊费用，申请方医生可打开支付订单确认窗口展示支付二维码，患者可通过微信/支付宝扫码进行支付。患者也可在移动端查询会诊待支付订单，进行会诊费用支付。会诊退费：支付完成后可提供退费功能。由申请医生为患者发起退费，申请成功后将由第三方支付平台将费用按照患者支付时的原路径退回。</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10、会诊评价：申请方对于已经完成的会诊可对会诊的时间安排、会诊的效果、会诊的质量等多方面情况进行评价。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11、会场管理：维护各个会场的基本信息。一个会议接入点为一个会场。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12、会议管理：实现会议的管理功能，其中包括会议的密码管理，会议的安排时间，设置可以接入会议的会场，会议开始时间结束时间等管理，并可以接口形式启动视频会议系统。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13、统计分析：按照医院、医生等对会诊次数进行统计分析。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14、系统管理：实现基础数据维护、权限管理、系统参数配置等功能。</w:t>
            </w:r>
          </w:p>
        </w:tc>
        <w:tc>
          <w:tcPr>
            <w:tcW w:w="708" w:type="dxa"/>
            <w:tcBorders>
              <w:top w:val="nil"/>
              <w:left w:val="nil"/>
              <w:bottom w:val="single" w:color="auto" w:sz="4" w:space="0"/>
              <w:right w:val="single" w:color="auto" w:sz="4" w:space="0"/>
            </w:tcBorders>
            <w:shd w:val="clear" w:color="auto" w:fill="auto"/>
            <w:vAlign w:val="center"/>
          </w:tcPr>
          <w:p w14:paraId="72F3356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2464E95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c>
          <w:tcPr>
            <w:tcW w:w="834" w:type="dxa"/>
            <w:tcBorders>
              <w:top w:val="nil"/>
              <w:left w:val="nil"/>
              <w:bottom w:val="single" w:color="auto" w:sz="4" w:space="0"/>
              <w:right w:val="single" w:color="auto" w:sz="4" w:space="0"/>
            </w:tcBorders>
            <w:shd w:val="clear" w:color="auto" w:fill="auto"/>
            <w:vAlign w:val="center"/>
          </w:tcPr>
          <w:p w14:paraId="4A6CFA9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r>
      <w:tr w14:paraId="626B313E">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110D62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597" w:type="dxa"/>
            <w:vMerge w:val="continue"/>
            <w:tcBorders>
              <w:top w:val="nil"/>
              <w:left w:val="single" w:color="auto" w:sz="4" w:space="0"/>
              <w:bottom w:val="single" w:color="auto" w:sz="4" w:space="0"/>
              <w:right w:val="single" w:color="auto" w:sz="4" w:space="0"/>
            </w:tcBorders>
            <w:vAlign w:val="center"/>
          </w:tcPr>
          <w:p w14:paraId="7148B2D7">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65B40053">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29BEC00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影像共享服务中心系统</w:t>
            </w:r>
          </w:p>
        </w:tc>
        <w:tc>
          <w:tcPr>
            <w:tcW w:w="9047" w:type="dxa"/>
            <w:gridSpan w:val="2"/>
            <w:tcBorders>
              <w:top w:val="nil"/>
              <w:left w:val="nil"/>
              <w:bottom w:val="single" w:color="auto" w:sz="4" w:space="0"/>
              <w:right w:val="single" w:color="auto" w:sz="4" w:space="0"/>
            </w:tcBorders>
            <w:shd w:val="clear" w:color="auto" w:fill="auto"/>
            <w:vAlign w:val="center"/>
          </w:tcPr>
          <w:p w14:paraId="640786A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影像共享服务中心应用系统主要是依托于牵头医院影像系统，建设影像共享服务中心应用系统，通过医共体信息一体化平台数据互联、传输和整合等基础服务支撑能力，前端医技申请单和影像设备采集数据，与医共体成员机构系统对接或直接在平台上搭建前端应用供医共体成员登记申请和上传数据，采集数据先存储到医共体数据中心，再对接到牵头医院影像系统，加载到影像系统正常业务序列。具体影像处理和报告由牵头医院技师通过医院内部影像系统完成，完成后系统自动将报告及胶片推送到医共体信息一体化平台和医共体数据中心。后端报告查阅打印，可基于平台搭建应用系统供医共体医生应用，或直接集成到医共体成员内部工作站。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远程影像诊断申请：申请方登录RIS系统客户端，填写患者信息为患者做登记后，为患者做影像检查并上传影像图像至PACS系统；申请方申请远程影像诊断跳转至远程医疗系统远程影像申请页面申请影像诊断，选填患者信息、会诊信息（申请方、会诊方和诊断模式等）、患者诊断描述、症状体征和检查目的等信息，诊断模式分为指定模式和抢单模式，申请时默认诊断模式为指定模式，提交申请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2、影像诊断申请管理：申请单查询：作为申请方和诊断方查询登录权限内对应的远程影像申请单，同时可查询申请单详细信息。修改申请单：申请单提交后未推送时可重新修改申请单信息。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3、影像采集：在申请方部署影像数据采集前置机系统，从PACS系统、影像检查设备、数字影像扫描仪采集患者的影像数据，并上传到中心存储，供专家调阅。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4、影像诊断抢单：申请方根据抢单规则（机构等级和医生职称）发布抢单申请单后，符合抢单规则的机构可在远程影像抢单页面进行抢单；同时可查看申请单详情信息。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5、影像诊断：诊断方登录远程影像诊断客户端调阅患者影像图像，浏览图像，为患者做影像诊断。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6、影像报告：填写报告：诊断方根据患者影像图像做出诊断后填写诊断报告，保存报告，审核报告。获取报告：申请方登录远程医疗系统获取报告成功后，可预览、下载诊断报告。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7、影像诊断评价：申请方对此次影像诊断的诊断准确度、及时度等指标做出评价；诊断方可在申请单摘要中查看评价内容等。</w:t>
            </w:r>
          </w:p>
        </w:tc>
        <w:tc>
          <w:tcPr>
            <w:tcW w:w="708" w:type="dxa"/>
            <w:tcBorders>
              <w:top w:val="nil"/>
              <w:left w:val="nil"/>
              <w:bottom w:val="single" w:color="auto" w:sz="4" w:space="0"/>
              <w:right w:val="single" w:color="auto" w:sz="4" w:space="0"/>
            </w:tcBorders>
            <w:shd w:val="clear" w:color="auto" w:fill="auto"/>
            <w:vAlign w:val="center"/>
          </w:tcPr>
          <w:p w14:paraId="26AAA67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34B46B6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c>
          <w:tcPr>
            <w:tcW w:w="834" w:type="dxa"/>
            <w:tcBorders>
              <w:top w:val="nil"/>
              <w:left w:val="nil"/>
              <w:bottom w:val="single" w:color="auto" w:sz="4" w:space="0"/>
              <w:right w:val="single" w:color="auto" w:sz="4" w:space="0"/>
            </w:tcBorders>
            <w:shd w:val="clear" w:color="auto" w:fill="auto"/>
            <w:vAlign w:val="center"/>
          </w:tcPr>
          <w:p w14:paraId="1B5BD1D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r>
      <w:tr w14:paraId="4380DE1A">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20B5779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13</w:t>
            </w:r>
          </w:p>
        </w:tc>
        <w:tc>
          <w:tcPr>
            <w:tcW w:w="597" w:type="dxa"/>
            <w:vMerge w:val="continue"/>
            <w:tcBorders>
              <w:top w:val="nil"/>
              <w:left w:val="single" w:color="auto" w:sz="4" w:space="0"/>
              <w:bottom w:val="single" w:color="auto" w:sz="4" w:space="0"/>
              <w:right w:val="single" w:color="auto" w:sz="4" w:space="0"/>
            </w:tcBorders>
            <w:vAlign w:val="center"/>
          </w:tcPr>
          <w:p w14:paraId="20798080">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12E3A47F">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50A69AB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检验共享服务中心系统</w:t>
            </w:r>
          </w:p>
        </w:tc>
        <w:tc>
          <w:tcPr>
            <w:tcW w:w="9047" w:type="dxa"/>
            <w:gridSpan w:val="2"/>
            <w:tcBorders>
              <w:top w:val="nil"/>
              <w:left w:val="nil"/>
              <w:bottom w:val="single" w:color="auto" w:sz="4" w:space="0"/>
              <w:right w:val="single" w:color="auto" w:sz="4" w:space="0"/>
            </w:tcBorders>
            <w:shd w:val="clear" w:color="auto" w:fill="auto"/>
            <w:vAlign w:val="center"/>
          </w:tcPr>
          <w:p w14:paraId="2976E42B">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检验共享服务中心应用系统主要是依托牵头医院临检系统，建设检验共享服务中心系统，通过医共体信息一体化平台数据互联、传输和整合等基础服务支撑能力，将前端检验申请单、样本采集和仪器采集数据，与医共体成员机构系统对接或直接在平台上搭建前端应用供医共体成员登记申请、样本采集、标本配送和上传数据，采集数据先存储到医共体数据中心，再推送到</w:t>
            </w:r>
            <w:r>
              <w:rPr>
                <w:rFonts w:hint="eastAsia" w:ascii="宋体" w:hAnsi="宋体" w:cs="宋体"/>
                <w:color w:val="000000"/>
                <w:kern w:val="0"/>
                <w:sz w:val="18"/>
                <w:szCs w:val="18"/>
                <w:highlight w:val="none"/>
                <w:lang w:eastAsia="zh-CN"/>
              </w:rPr>
              <w:t>牵头</w:t>
            </w:r>
            <w:r>
              <w:rPr>
                <w:rFonts w:hint="eastAsia" w:ascii="宋体" w:hAnsi="宋体" w:cs="宋体"/>
                <w:color w:val="000000"/>
                <w:kern w:val="0"/>
                <w:sz w:val="18"/>
                <w:szCs w:val="18"/>
                <w:highlight w:val="none"/>
              </w:rPr>
              <w:t>医院临检系统，加载到核心医院临检系统正常业务序列。具体检验处理和报告由核心医院技师通过医院内部临检系统完成，完成后系统自动将报告推送到医共体信息一体化平台和医共体数据中心。后端报告查阅打印，可基于平台搭建应用系统供医共体医生应用，或直接集成到医共体成员内部工作站。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申请单管理：检验申请单提供HTML网页版预览格式，方便医技科室查看申请内容。申请单填写界面分为申请单列表、检查树选择区、医嘱选择区、已选择项目列表、注意事项显示、申请单信息填写等几个区域，临床医生可在一个界面完成对病人历史申请单的查看，检查医嘱的开立，注意事项的查看、以及主诉、现病史、体征和其它相关项目的填写(注：主诉、现病史和体征可从病人就诊病历直接提取，减少了医生录入内容)；检查医嘱录入方式采用树状结构，对繁杂的检查目录进行分类，使临床医生可以更快的定位到目标选项，简化以往手动录入医嘱的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2、标本采集管理：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（1）支持打印条码和预置条码。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（2）可在采血室打印标签。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（3）可在门诊工作站、护士站、医生工作站打印标签。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（4）可记录采样者、采样日期、采样时间、样本描述等信息。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3、标本接收：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（1）可根据检验标本号从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系统中获取病人信息及检验医嘱项目信息。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（2）可根据病人的登记号从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系统中获取病人信息及检验医嘱项目信息。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（3）根据执行科室、日期、病人标识等条件对比核收检验申请。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（4）可在样本核收的同时自动将检验医嘱计费。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（5）可在样本核收的同时核实标本的执行科室。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（6）可在标本核收的同时将标本拒收，并通知相关的科室。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4、标本检验：</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（1）支持单向通讯，计算机自动接收仪器检验结果。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（2）支持双向通讯，申请单的项目信息自动传入仪器，计算机自动接收仪器检验结果。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（3）支持与LAS(实验室自动化系统)进行连接，实现无人化实验室。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（4）支持键盘录入、修改检验结果，包括单个和成批方式，同时写入日志系统。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（5）支持取消审定检验报告方式，同时写入日志系统。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（6）支持自动生成计算项目，判定结果高低状态，标示结果异常状态。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（7）支持自动处理错项、漏项、多项等错误情况。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（8）支持区别常规报告、急诊报告、打印报告、未打印报告、住院病人报告、门诊病人报告、急诊病人报告、体检病人报告。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5、标本送检：标本采集后不需要病患或者家属在参与后续环节直到报告回传。</w:t>
            </w:r>
          </w:p>
          <w:p w14:paraId="4141549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6、检验诊断报告发布：医生可在申请单界面查看病人检验结果报告。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7、统计分析管理：费用统计、工作量统计、疾病统计、任务来源统计、报告查询统计。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8、质控管理：初检、复检医生可以根据医生工作中出现错误，按照责任人和不同的错误类型进行上报。</w:t>
            </w:r>
          </w:p>
        </w:tc>
        <w:tc>
          <w:tcPr>
            <w:tcW w:w="708" w:type="dxa"/>
            <w:tcBorders>
              <w:top w:val="nil"/>
              <w:left w:val="nil"/>
              <w:bottom w:val="single" w:color="auto" w:sz="4" w:space="0"/>
              <w:right w:val="single" w:color="auto" w:sz="4" w:space="0"/>
            </w:tcBorders>
            <w:shd w:val="clear" w:color="auto" w:fill="auto"/>
            <w:vAlign w:val="center"/>
          </w:tcPr>
          <w:p w14:paraId="0F1A648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70F0B038">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val="en-US" w:eastAsia="zh-CN"/>
              </w:rPr>
              <w:t>115000</w:t>
            </w:r>
          </w:p>
        </w:tc>
        <w:tc>
          <w:tcPr>
            <w:tcW w:w="834" w:type="dxa"/>
            <w:tcBorders>
              <w:top w:val="nil"/>
              <w:left w:val="nil"/>
              <w:bottom w:val="single" w:color="auto" w:sz="4" w:space="0"/>
              <w:right w:val="single" w:color="auto" w:sz="4" w:space="0"/>
            </w:tcBorders>
            <w:shd w:val="clear" w:color="auto" w:fill="auto"/>
            <w:vAlign w:val="center"/>
          </w:tcPr>
          <w:p w14:paraId="2BF017F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r>
      <w:tr w14:paraId="4FDDC7F2">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244B564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14</w:t>
            </w:r>
          </w:p>
        </w:tc>
        <w:tc>
          <w:tcPr>
            <w:tcW w:w="597" w:type="dxa"/>
            <w:vMerge w:val="continue"/>
            <w:tcBorders>
              <w:top w:val="nil"/>
              <w:left w:val="single" w:color="auto" w:sz="4" w:space="0"/>
              <w:bottom w:val="single" w:color="auto" w:sz="4" w:space="0"/>
              <w:right w:val="single" w:color="auto" w:sz="4" w:space="0"/>
            </w:tcBorders>
            <w:vAlign w:val="center"/>
          </w:tcPr>
          <w:p w14:paraId="72B0F44A">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74268632">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05EABEE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心电共享服务中心系统</w:t>
            </w:r>
          </w:p>
        </w:tc>
        <w:tc>
          <w:tcPr>
            <w:tcW w:w="9047" w:type="dxa"/>
            <w:gridSpan w:val="2"/>
            <w:tcBorders>
              <w:top w:val="nil"/>
              <w:left w:val="nil"/>
              <w:bottom w:val="single" w:color="auto" w:sz="4" w:space="0"/>
              <w:right w:val="single" w:color="auto" w:sz="4" w:space="0"/>
            </w:tcBorders>
            <w:shd w:val="clear" w:color="auto" w:fill="auto"/>
            <w:vAlign w:val="center"/>
          </w:tcPr>
          <w:p w14:paraId="32AE243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心电共享服务中心应用系统主要是通过医共体信息一体化平台数据互联、传输和整合等基础服务支撑能力，前端心电申请单和仪器采集数据，与医共体成员机构系统对接或直接在平台上搭建前端应用供医共体成员登记申请和上传数据，采集数据先存储到医共体数据中心，再推送到核心医院心电系统，加载到核心医院心电系统正常业务序列。具体心电处理和报告由核心医院技师通过医院内部心电系统完成，完成后系统自动将报告推送到医共体信息一体化平台和医共体数据中心。后端报告查阅打印，可基于平台搭建应用系统供医共体医生应用，或直接集成到医共体成员内部工作站。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申请单管理：检查申请单可提供HTML网页版预览格式，更加方便医技科室查看申请内容。申请单填写界面分为申请单列表、检查树选择区、医嘱选择区、已选择项目列表、注意事项显示、申请单信息填写等几个区域，临床医生可在一个界面完成对病人历史申请单的查看，检查医嘱的开立，注意事项的查看、主诉、现病史、体征和其它相关项目的填写(注：主诉、现病史和体征可从病人就诊病历直接提取，减少医生录入内容)；检查医嘱录入方式采用树状结构，对繁杂的检查目录进行分类，使临床医生可以更快的定位到目标选项，简化以往手动录入医嘱的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2、心电数据服务：心电共享服务中心系统提供心电数据相关服务功能。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3、远程诊断任务分发：将诊断任务分发给相关医院，根据登录用户身份，自动提供待做心电工作列表。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心电诊断报告发布：医生可以通过分析诊断模块对采集的心电图报告进行分析处理，医生可以浏览无损导心电波形图、参考波、心向量、瀑布图等。心电系统提供电子分规测量工具，更加便捷的辅助医生进行数据测量；提供导联修复功能，在采集端左右手反接或者导联接错的情况下，通过修复功能可以纠正错误数据，不需要患者重复检查；提供异常波形标记；提供平行尺等工具。心电数据自动分析。系统还提供完善的诊断模板和诊断模板自定义功能，提供多种报告打印模式，例如2*6+II、4*3+II，1*12等多种报告模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5、统计分析管理：费用统计、工作量统计、疾病统计、任务来源统计、阳性率统计、病理检查状态查询统计、报告查询统计。</w:t>
            </w:r>
          </w:p>
        </w:tc>
        <w:tc>
          <w:tcPr>
            <w:tcW w:w="708" w:type="dxa"/>
            <w:tcBorders>
              <w:top w:val="nil"/>
              <w:left w:val="nil"/>
              <w:bottom w:val="single" w:color="auto" w:sz="4" w:space="0"/>
              <w:right w:val="single" w:color="auto" w:sz="4" w:space="0"/>
            </w:tcBorders>
            <w:shd w:val="clear" w:color="auto" w:fill="auto"/>
            <w:vAlign w:val="center"/>
          </w:tcPr>
          <w:p w14:paraId="73B6F50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5114495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c>
          <w:tcPr>
            <w:tcW w:w="834" w:type="dxa"/>
            <w:tcBorders>
              <w:top w:val="nil"/>
              <w:left w:val="nil"/>
              <w:bottom w:val="single" w:color="auto" w:sz="4" w:space="0"/>
              <w:right w:val="single" w:color="auto" w:sz="4" w:space="0"/>
            </w:tcBorders>
            <w:shd w:val="clear" w:color="auto" w:fill="auto"/>
            <w:vAlign w:val="center"/>
          </w:tcPr>
          <w:p w14:paraId="0DC78A3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r>
      <w:tr w14:paraId="06304289">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A6B546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597" w:type="dxa"/>
            <w:vMerge w:val="continue"/>
            <w:tcBorders>
              <w:top w:val="nil"/>
              <w:left w:val="single" w:color="auto" w:sz="4" w:space="0"/>
              <w:bottom w:val="single" w:color="auto" w:sz="4" w:space="0"/>
              <w:right w:val="single" w:color="auto" w:sz="4" w:space="0"/>
            </w:tcBorders>
            <w:vAlign w:val="center"/>
          </w:tcPr>
          <w:p w14:paraId="29E61174">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25FFA7A7">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5461894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病理共享服务中心系统</w:t>
            </w:r>
          </w:p>
        </w:tc>
        <w:tc>
          <w:tcPr>
            <w:tcW w:w="9047" w:type="dxa"/>
            <w:gridSpan w:val="2"/>
            <w:tcBorders>
              <w:top w:val="nil"/>
              <w:left w:val="nil"/>
              <w:bottom w:val="single" w:color="auto" w:sz="4" w:space="0"/>
              <w:right w:val="single" w:color="auto" w:sz="4" w:space="0"/>
            </w:tcBorders>
            <w:shd w:val="clear" w:color="auto" w:fill="auto"/>
            <w:vAlign w:val="center"/>
          </w:tcPr>
          <w:p w14:paraId="691B824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病理共享服务中心是基于移动互联网技术与数据安全传输技术的远程病理会诊平台，是把传统切片进行数字化，集成显微影像处理、Web图像浏览等技术，整合上级医院的病理领域经验、专家资源。平台可进行诊断交流、疑难病例讨论、专家数字切片解读、病理远程教学。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1、申请端模块：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（1）申请会诊：可进行诊断或会诊病例资料录入，如病人基本信息、临床病史、大体所见、免疫组化等。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（2）上传切片和附件功能：每个诊断或会诊病例可选择多张切片扫描与上传；也可以指定相应附件上传。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（3）上传管理：可查看上传切片的切片名、路径、速度、上传时间以及进度等信息及对正在上传的切片可以删除和停止操作。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（4）专家选择：支持上级医院病理科专家选择，可按专家类型和所属系统选择专家，可查看专家特长和专家详细信息。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（5）病例管理：可以对病例信息进行查看、编辑、删除等操作，并可以增加上传或删除该病例对应的切片和附件。针对待会诊、已退回、已完成诊断的病例可以修改后再重新传给专家会诊。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病理会诊费用支付：支持远程病理费用的支付，远程会诊的收费初步是下级医院对上级医院的模式，远程病理的费用暂时由下级医院代收，然后下级医院定期和上级医院进行结算，平台登记病理会诊的费用支付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（7）病例统计功能：可以统计专家针对该站点所诊断病例数及费用信息。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（8）查看报告功能：支持会诊报告的下载查看，并可以将报告保存至本地计算机。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（9）打印功能：提供会诊报告打印功能。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2、管理端模块：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（1）病例管理功能：可以查看各个医院站点待诊断的病例、已诊断的病例，可以查看病例详情。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（2）诊断报表统计功能：可以统计专家针对所有站点在指定时间内总共完成诊断的病例数及费用信息，以及各个分站点在指定时间内完成远程诊断的病例数，并可以查看病例详情。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专家管理功能：提供添加专家级别（需填写专家级别的编号、名称、费用及备注等信息）和新增专家功能（需填写用户信息、专家所属类型及专家会诊站点），并可以对已有的专家信息进行修改、删除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（4）所属系统管理功能：可以添加专家所属系统类别，并可以对已有的系统进行修改、删除等操作；数据安全性操作、日志管理、数据备份和恢复、故障排除等。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3、专家端模块：专家可利用专业数字病理远程会诊平台，通过浏览器或专家客户端，即可进行数字病理远程诊断或会诊，不受时间与空间限制。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数字病理审核：接受质控的病理科，应当将本科室病例的切片，通过数字切片扫描系统数字化，再将病人信息资料以及初步、最终诊断意见全部上传至质控平台；上一级质控中心，按照固定周期对基层提供的诊断资料进行质量评价，提出改进措施和进行必要的业务技术培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冰冻切片远程制片指导：冰冻切片诊断是病理诊断中的重要组成部分，而基层医院病理诊断能力不足，因此冰冻切片特别是疑难冰冻切片在线远程的及时准确的病理诊断，为临床的正确治疗提供重要科学依据。针对冰冻切片远程病理的及时准确性，远程病理中心专家通过远程视频及远程设备操作，指导合作医院医生进行制片，进而规范取材、制片的流程，提高切片的质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远程培训教学：通过远程病理诊断平台的建立，可实现上级医院病理科医生与医共体内医院病理科医生间的实时在线沟通交流，可开展多形式的培训与读片会议等。病理中心专家可以定期组织远程培训，对病理切片的制作过程取材、固定、脱水、浸蜡、包埋、切片和染色进行规范化培训，同时可以针对常规病理、疑难病理进行阅片培训，合作医院医生可以实时向教学专家咨询提问，教学专家医生可在自己的远程教学PC系统看到提问合作医院学员医生的问题，可进行摘选展开，并进行回答，合作医院学员医生在培训点可以看到所有专家答疑过程。</w:t>
            </w:r>
          </w:p>
        </w:tc>
        <w:tc>
          <w:tcPr>
            <w:tcW w:w="708" w:type="dxa"/>
            <w:tcBorders>
              <w:top w:val="nil"/>
              <w:left w:val="nil"/>
              <w:bottom w:val="single" w:color="auto" w:sz="4" w:space="0"/>
              <w:right w:val="single" w:color="auto" w:sz="4" w:space="0"/>
            </w:tcBorders>
            <w:shd w:val="clear" w:color="auto" w:fill="auto"/>
            <w:vAlign w:val="center"/>
          </w:tcPr>
          <w:p w14:paraId="5B19A20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7C097BA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c>
          <w:tcPr>
            <w:tcW w:w="834" w:type="dxa"/>
            <w:tcBorders>
              <w:top w:val="nil"/>
              <w:left w:val="nil"/>
              <w:bottom w:val="single" w:color="auto" w:sz="4" w:space="0"/>
              <w:right w:val="single" w:color="auto" w:sz="4" w:space="0"/>
            </w:tcBorders>
            <w:shd w:val="clear" w:color="auto" w:fill="auto"/>
            <w:vAlign w:val="center"/>
          </w:tcPr>
          <w:p w14:paraId="47EDE65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r>
      <w:tr w14:paraId="561AA6B5">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1CA006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p>
        </w:tc>
        <w:tc>
          <w:tcPr>
            <w:tcW w:w="597" w:type="dxa"/>
            <w:vMerge w:val="continue"/>
            <w:tcBorders>
              <w:top w:val="nil"/>
              <w:left w:val="single" w:color="auto" w:sz="4" w:space="0"/>
              <w:bottom w:val="single" w:color="auto" w:sz="4" w:space="0"/>
              <w:right w:val="single" w:color="auto" w:sz="4" w:space="0"/>
            </w:tcBorders>
            <w:vAlign w:val="center"/>
          </w:tcPr>
          <w:p w14:paraId="087A9D5C">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0522E13D">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572BFD9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消毒供应共享服务中心系统</w:t>
            </w:r>
          </w:p>
        </w:tc>
        <w:tc>
          <w:tcPr>
            <w:tcW w:w="9047" w:type="dxa"/>
            <w:gridSpan w:val="2"/>
            <w:tcBorders>
              <w:top w:val="nil"/>
              <w:left w:val="nil"/>
              <w:bottom w:val="single" w:color="auto" w:sz="4" w:space="0"/>
              <w:right w:val="single" w:color="auto" w:sz="4" w:space="0"/>
            </w:tcBorders>
            <w:shd w:val="clear" w:color="auto" w:fill="auto"/>
            <w:vAlign w:val="center"/>
          </w:tcPr>
          <w:p w14:paraId="3E129F1B">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建设消毒供应共享服务中心，进一步规范区域无菌物资供应工作流程、提高工作效率、加强安全和质量管理、加强院感管理水平、提高无菌物品的可追溯性，实现贯穿供应室、手术室、病区、医技科室等相关工作区域的无菌物品质量追溯和过程管理。规范临床无菌物品的使用，同时降低临床科室工作负担,改善和加强无菌物品成本核算管理。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消毒包信息维护：对消毒包进行分类管理，根据分类进行消毒包数据维护，定义名称，规格，价格，属性，分类，类型，使用科室，器械明细，有效期，以及图片管理，根据属性分为普通包，手术包，敷料包等不同的属性包，在系统中有着不同的管理模式。根据器械维护数据，对消毒包与器械进行绑定，手术器械包可生成对应的固定条码，便于后期制作固定钢牌，便于扫码操作。</w:t>
            </w:r>
          </w:p>
          <w:p w14:paraId="1F5002F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2、消毒包请领：临床科室可对需要的包进行申请，供应室根据请领的单据，进行回收、发放。病区可对普通包提请领单，敷料包提敷料请领单，也可向供应室借包，提借包单。系统中的操作流程如下：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（1）请领单：请领-&gt;回收-&gt;发放。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（2）借包单：请领-&gt;发放-&gt;接收-&gt;归还-&gt;回收。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（3）敷料单：请领-&gt;打包-&gt;发放。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消毒包回收：消毒包回收包括普通包回收以及手术包回收，对于借包单归还后也是按照普通包回收处理。普通包回收是供应室根据临床科室申请的单据以及归还的借包单，安排护工去科室回收，单据信息核对无误后，进行回收操作。手术包回收是对于手术器械污包进行手术回收，回收时可查看器械明细、器械图片以及器械使用追踪信息等查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4、消毒包清洗：对于回收的消毒包，按照清洗程序在规定的清洗时间内进行清洗，清洗手术包、普通包等。清洗完毕后进行清洗验收，验收不合格的消毒包会自动在清洗不合格中登记</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5、消毒包包装：清洗验收过的单据，可进行手术包、普通包、外来器械等打包，并打印包外条码。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消毒包灭菌：主要分为灭菌装车、灭菌进锅、灭菌验收、灭菌不合格登记。可对灭菌锅进行BD测试，BD测试验收合格的灭菌锅，才可进行消毒包灭菌进锅，灭菌时可进行高温生物监测，BD测试，低温等离子监测，环氧乙烷监测等，在规定时间灭菌完毕后，根据机器运行结果进行验收；灭菌机数据检测验收合格的消毒包才能发放，灭菌不合格的会自动进行不合格登记，并可重新进锅灭菌。</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7、消毒包发放：主要包括手术器械包发放以及普通包发放，手术器械包扫包外码发放以及普通包按单据发放和扫包外码发放。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8、消毒包登记：主要包括临床科室使用消毒包进行的登记，用于进行消毒包追踪时，追踪消毒包绑定的病人信息。手术器械包可在手术清点界面扫描消毒包，进行病人绑定，从而实现消毒包的全过程追踪。</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9、消毒包追踪：主要包括消毒包全过程追踪以及位置追踪，对消毒包全过程的详细记录。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查询统计：系统提供多种查询功能和统计报表，可以按照不同的方式查询库存情况并进行查询，也可以展示各工作区、各分类的汇总结果，对供应室内部工作各环节进行人员、设备工作量统计，对器械损耗统计，产出所需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系统配置：主要包括基础数据、参数设置、码表维护、机器设置、表格导入等模块，基础数据主要是设置清洗方式、清洗程序等，参数配置主要是对系统内各模块的特殊控制，码表维护主要是新增清洗方式、清洗/灭菌程序，清洗/灭菌不合格原因登记，器械缺失原因等数据，机器设置用户维护清洗机、灭菌器以及绑定机器数据路径。</w:t>
            </w:r>
          </w:p>
        </w:tc>
        <w:tc>
          <w:tcPr>
            <w:tcW w:w="708" w:type="dxa"/>
            <w:tcBorders>
              <w:top w:val="nil"/>
              <w:left w:val="nil"/>
              <w:bottom w:val="single" w:color="auto" w:sz="4" w:space="0"/>
              <w:right w:val="single" w:color="auto" w:sz="4" w:space="0"/>
            </w:tcBorders>
            <w:shd w:val="clear" w:color="auto" w:fill="auto"/>
            <w:vAlign w:val="center"/>
          </w:tcPr>
          <w:p w14:paraId="32E5EE1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3428D24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c>
          <w:tcPr>
            <w:tcW w:w="834" w:type="dxa"/>
            <w:tcBorders>
              <w:top w:val="nil"/>
              <w:left w:val="nil"/>
              <w:bottom w:val="single" w:color="auto" w:sz="4" w:space="0"/>
              <w:right w:val="single" w:color="auto" w:sz="4" w:space="0"/>
            </w:tcBorders>
            <w:shd w:val="clear" w:color="auto" w:fill="auto"/>
            <w:vAlign w:val="center"/>
          </w:tcPr>
          <w:p w14:paraId="7E17FC9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115000</w:t>
            </w:r>
          </w:p>
        </w:tc>
      </w:tr>
      <w:tr w14:paraId="7C15ECDD">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08D022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17</w:t>
            </w:r>
          </w:p>
        </w:tc>
        <w:tc>
          <w:tcPr>
            <w:tcW w:w="597" w:type="dxa"/>
            <w:vMerge w:val="continue"/>
            <w:tcBorders>
              <w:top w:val="nil"/>
              <w:left w:val="single" w:color="auto" w:sz="4" w:space="0"/>
              <w:bottom w:val="single" w:color="auto" w:sz="4" w:space="0"/>
              <w:right w:val="single" w:color="auto" w:sz="4" w:space="0"/>
            </w:tcBorders>
            <w:vAlign w:val="center"/>
          </w:tcPr>
          <w:p w14:paraId="748E836D">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56478743">
            <w:pPr>
              <w:widowControl/>
              <w:shd w:val="clear"/>
              <w:jc w:val="left"/>
              <w:rPr>
                <w:rFonts w:ascii="宋体" w:hAnsi="宋体" w:cs="宋体"/>
                <w:color w:val="000000"/>
                <w:kern w:val="0"/>
                <w:sz w:val="18"/>
                <w:szCs w:val="18"/>
                <w:highlight w:val="none"/>
              </w:rPr>
            </w:pPr>
          </w:p>
        </w:tc>
        <w:tc>
          <w:tcPr>
            <w:tcW w:w="786" w:type="dxa"/>
            <w:tcBorders>
              <w:top w:val="single" w:color="auto" w:sz="4" w:space="0"/>
              <w:left w:val="single" w:color="auto" w:sz="4" w:space="0"/>
              <w:bottom w:val="single" w:color="auto" w:sz="4" w:space="0"/>
              <w:right w:val="single" w:color="auto" w:sz="4" w:space="0"/>
            </w:tcBorders>
            <w:shd w:val="clear" w:color="auto" w:fill="auto"/>
            <w:vAlign w:val="center"/>
          </w:tcPr>
          <w:p w14:paraId="695E3E3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院前急诊急救管理中心</w:t>
            </w:r>
          </w:p>
        </w:tc>
        <w:tc>
          <w:tcPr>
            <w:tcW w:w="9047" w:type="dxa"/>
            <w:gridSpan w:val="2"/>
            <w:tcBorders>
              <w:top w:val="nil"/>
              <w:left w:val="nil"/>
              <w:bottom w:val="single" w:color="auto" w:sz="4" w:space="0"/>
              <w:right w:val="single" w:color="auto" w:sz="4" w:space="0"/>
            </w:tcBorders>
            <w:shd w:val="clear" w:color="auto" w:fill="auto"/>
            <w:vAlign w:val="center"/>
          </w:tcPr>
          <w:p w14:paraId="1A0B81B8">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含整体院前急救系统的建设和一台急救车中的移动急救终端、车载摄像头、急救头戴直播相机、车载5G路由器、车载数据采集器、急救车线路等的建设和改造。</w:t>
            </w:r>
          </w:p>
          <w:p w14:paraId="46E5E3A6">
            <w:pPr>
              <w:widowControl/>
              <w:shd w:val="clear"/>
              <w:jc w:val="left"/>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配套设备具体参数如下：</w:t>
            </w:r>
          </w:p>
          <w:p w14:paraId="61903316">
            <w:pPr>
              <w:widowControl/>
              <w:numPr>
                <w:ilvl w:val="0"/>
                <w:numId w:val="5"/>
              </w:numPr>
              <w:shd w:val="clear"/>
              <w:jc w:val="left"/>
              <w:rPr>
                <w:rFonts w:hint="eastAsia" w:ascii="宋体" w:hAnsi="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移动急救终端：CPU≥八核处理器，主频≥2.0GHZ，运行内存≥4GB，储存内存≥64GB，电池容量≥4500mAh，工作时间≥10小时，屏幕尺寸≥5.2英寸，屏幕分辨率：1920*1080，摄像头：1300万像素，自动对焦摄像头，防水防尘工业等级≥IP67，网络：支持802.11a/b/g/n/ac协议，支持准心扫描和扫描按键。</w:t>
            </w:r>
          </w:p>
          <w:p w14:paraId="500DD92E">
            <w:pPr>
              <w:widowControl/>
              <w:numPr>
                <w:ilvl w:val="0"/>
                <w:numId w:val="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车载摄像头</w:t>
            </w:r>
            <w:r>
              <w:rPr>
                <w:rFonts w:hint="eastAsia" w:ascii="宋体" w:hAnsi="宋体" w:cs="宋体"/>
                <w:color w:val="000000"/>
                <w:kern w:val="0"/>
                <w:sz w:val="18"/>
                <w:szCs w:val="18"/>
                <w:highlight w:val="none"/>
                <w:lang w:eastAsia="zh-CN"/>
              </w:rPr>
              <w:t>：存储编码：H.265，焦距：4mm，夜视类型：红外，夜视类别：半球，像素：</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lang w:eastAsia="zh-CN"/>
              </w:rPr>
              <w:t>400</w:t>
            </w:r>
            <w:r>
              <w:rPr>
                <w:rFonts w:hint="eastAsia" w:ascii="宋体" w:hAnsi="宋体" w:cs="宋体"/>
                <w:color w:val="000000"/>
                <w:kern w:val="0"/>
                <w:sz w:val="18"/>
                <w:szCs w:val="18"/>
                <w:highlight w:val="none"/>
                <w:lang w:val="en-US" w:eastAsia="zh-CN"/>
              </w:rPr>
              <w:t>万，</w:t>
            </w:r>
            <w:r>
              <w:rPr>
                <w:rFonts w:hint="eastAsia" w:ascii="宋体" w:hAnsi="宋体" w:cs="宋体"/>
                <w:color w:val="000000"/>
                <w:kern w:val="0"/>
                <w:sz w:val="18"/>
                <w:szCs w:val="18"/>
                <w:highlight w:val="none"/>
                <w:lang w:eastAsia="zh-CN"/>
              </w:rPr>
              <w:t>防水等级：</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lang w:eastAsia="zh-CN"/>
              </w:rPr>
              <w:t>IP66。</w:t>
            </w:r>
          </w:p>
          <w:p w14:paraId="33824D1D">
            <w:pPr>
              <w:widowControl/>
              <w:numPr>
                <w:ilvl w:val="0"/>
                <w:numId w:val="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急救头戴直播相机</w:t>
            </w:r>
            <w:r>
              <w:rPr>
                <w:rFonts w:hint="eastAsia" w:ascii="宋体" w:hAnsi="宋体" w:cs="宋体"/>
                <w:color w:val="000000"/>
                <w:kern w:val="0"/>
                <w:sz w:val="18"/>
                <w:szCs w:val="18"/>
                <w:highlight w:val="none"/>
                <w:lang w:eastAsia="zh-CN"/>
              </w:rPr>
              <w:t>：视频通话分辨率</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lang w:eastAsia="zh-CN"/>
              </w:rPr>
              <w:t>1080P30</w:t>
            </w:r>
            <w:r>
              <w:rPr>
                <w:rFonts w:hint="eastAsia" w:ascii="宋体" w:hAnsi="宋体" w:cs="宋体"/>
                <w:color w:val="000000"/>
                <w:kern w:val="0"/>
                <w:sz w:val="18"/>
                <w:szCs w:val="18"/>
                <w:highlight w:val="none"/>
                <w:lang w:val="en-US" w:eastAsia="zh-CN"/>
              </w:rPr>
              <w:t>帧</w:t>
            </w:r>
            <w:r>
              <w:rPr>
                <w:rFonts w:hint="eastAsia" w:ascii="宋体" w:hAnsi="宋体" w:cs="宋体"/>
                <w:color w:val="000000"/>
                <w:kern w:val="0"/>
                <w:sz w:val="18"/>
                <w:szCs w:val="18"/>
                <w:highlight w:val="none"/>
                <w:lang w:eastAsia="zh-CN"/>
              </w:rPr>
              <w:t>，视频格式：MP4，视场角</w:t>
            </w:r>
            <w:r>
              <w:rPr>
                <w:rFonts w:hint="eastAsia" w:ascii="宋体" w:hAnsi="宋体" w:cs="宋体"/>
                <w:color w:val="000000"/>
                <w:kern w:val="0"/>
                <w:sz w:val="18"/>
                <w:szCs w:val="18"/>
                <w:highlight w:val="none"/>
                <w:lang w:val="en-US" w:eastAsia="zh-CN"/>
              </w:rPr>
              <w:t>度</w:t>
            </w:r>
            <w:r>
              <w:rPr>
                <w:rFonts w:hint="eastAsia" w:ascii="宋体" w:hAnsi="宋体" w:cs="宋体"/>
                <w:color w:val="000000"/>
                <w:kern w:val="0"/>
                <w:sz w:val="18"/>
                <w:szCs w:val="18"/>
                <w:highlight w:val="none"/>
                <w:lang w:eastAsia="zh-CN"/>
              </w:rPr>
              <w:t>≥120</w:t>
            </w:r>
            <w:r>
              <w:rPr>
                <w:rFonts w:hint="eastAsia" w:ascii="宋体" w:hAnsi="宋体" w:cs="宋体"/>
                <w:color w:val="000000"/>
                <w:kern w:val="0"/>
                <w:sz w:val="18"/>
                <w:szCs w:val="18"/>
                <w:highlight w:val="none"/>
                <w:lang w:val="en-US" w:eastAsia="zh-CN"/>
              </w:rPr>
              <w:t>度，</w:t>
            </w:r>
            <w:r>
              <w:rPr>
                <w:rFonts w:hint="eastAsia" w:ascii="宋体" w:hAnsi="宋体" w:cs="宋体"/>
                <w:color w:val="000000"/>
                <w:kern w:val="0"/>
                <w:sz w:val="18"/>
                <w:szCs w:val="18"/>
                <w:highlight w:val="none"/>
                <w:lang w:eastAsia="zh-CN"/>
              </w:rPr>
              <w:t>麦克风：内置降噪麦克风。</w:t>
            </w:r>
          </w:p>
          <w:p w14:paraId="0AFD11C2">
            <w:pPr>
              <w:widowControl/>
              <w:numPr>
                <w:ilvl w:val="0"/>
                <w:numId w:val="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车载5G路由器</w:t>
            </w:r>
            <w:r>
              <w:rPr>
                <w:rFonts w:hint="eastAsia" w:ascii="宋体" w:hAnsi="宋体" w:cs="宋体"/>
                <w:color w:val="000000"/>
                <w:kern w:val="0"/>
                <w:sz w:val="18"/>
                <w:szCs w:val="18"/>
                <w:highlight w:val="none"/>
                <w:lang w:eastAsia="zh-CN"/>
              </w:rPr>
              <w:t>：支持频段5G：N78/79/41/1/28， WiFi：2.4GHz</w:t>
            </w:r>
            <w:r>
              <w:rPr>
                <w:rFonts w:hint="eastAsia" w:ascii="宋体" w:hAnsi="宋体" w:cs="宋体"/>
                <w:color w:val="000000"/>
                <w:kern w:val="0"/>
                <w:sz w:val="18"/>
                <w:szCs w:val="18"/>
                <w:highlight w:val="none"/>
                <w:lang w:val="en-US" w:eastAsia="zh-CN"/>
              </w:rPr>
              <w:t>和</w:t>
            </w:r>
            <w:r>
              <w:rPr>
                <w:rFonts w:hint="eastAsia" w:ascii="宋体" w:hAnsi="宋体" w:cs="宋体"/>
                <w:color w:val="000000"/>
                <w:kern w:val="0"/>
                <w:sz w:val="18"/>
                <w:szCs w:val="18"/>
                <w:highlight w:val="none"/>
                <w:lang w:eastAsia="zh-CN"/>
              </w:rPr>
              <w:t>5GHz。</w:t>
            </w:r>
          </w:p>
          <w:p w14:paraId="641BE651">
            <w:pPr>
              <w:widowControl/>
              <w:numPr>
                <w:ilvl w:val="0"/>
                <w:numId w:val="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车载数据采集器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CPU：</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rPr>
              <w:t>I5处理器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主频≥1.6GHZ，内存≥4GB，储存≥60GB，显示接口：1*HDMI,1*VGA。</w:t>
            </w:r>
          </w:p>
          <w:p w14:paraId="5B8AE60A">
            <w:pPr>
              <w:widowControl/>
              <w:numPr>
                <w:ilvl w:val="0"/>
                <w:numId w:val="0"/>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软件</w:t>
            </w:r>
            <w:r>
              <w:rPr>
                <w:rFonts w:hint="eastAsia" w:ascii="宋体" w:hAnsi="宋体" w:cs="宋体"/>
                <w:color w:val="000000"/>
                <w:kern w:val="0"/>
                <w:sz w:val="18"/>
                <w:szCs w:val="18"/>
                <w:highlight w:val="none"/>
              </w:rPr>
              <w:t>具体系统功能需包括：</w:t>
            </w:r>
          </w:p>
          <w:p w14:paraId="72F4F89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1、院前移动工作站：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（1）院前</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运行于移动终端。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（2）支持在院前急救场景下，快速采集患者的院前病历信息，包含患者的基本信息、相关病史、体格检查、专科情况、辅助检查、初步诊断、院前评分、病情判断、急救转归的模块。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（3）支持完整版和简版病历的切换，将常用院前病历录入信息在首页展示。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（4）进行中的急救任务支持通过移动端发起音视频会诊，可与院内的专家进行业务协同和远程指导。</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急救任务的多状态管理，包含任务接收、任务取消、任务拒绝、任务完成操作。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查看历史任务信息。对历史任务可进行补录签名和补录视频和图片的操作。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（7）可通过移动端创建新的急救任务，包含出诊地址、患者信息、联系电话、发病时间和主诉。支持新建任务时通过身份证识别功能，快速识别患者信息。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关键时间节点扫码和手动点击的方式进行采集，并在PC端时间轴同步显示。对时间节点可进行修改、新增、移除操作。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移动工作站支持创建院前常用电子评分，内置评分模板包含：GRACE评分、TIMI评分、HEART评分IT评分、GCS评分、CHA2DS2-VASC评分、Geneva评分、标准吞咽功能评价量表(SSA)、后循环ASPECTS评分、前循环ASPECTS评分、CRAMS评分、Hunt-Hess评分、FAST-ED评分、mTICI分级等。一个评分模板进行多次的评分，多次评分结果可通过趋势图显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（10）移动工作站可创建ISS-AIS评分，把人体分为6个区域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头颈部、面部、胸部胸椎横隔、腹盆腔腰椎、四肢骨盆臀部、体表其他。点击6大区域后</w:t>
            </w:r>
            <w:r>
              <w:rPr>
                <w:rFonts w:hint="eastAsia" w:ascii="宋体" w:hAnsi="宋体" w:cs="宋体"/>
                <w:color w:val="000000"/>
                <w:kern w:val="0"/>
                <w:sz w:val="18"/>
                <w:szCs w:val="18"/>
                <w:highlight w:val="none"/>
                <w:lang w:val="en-US" w:eastAsia="zh-CN"/>
              </w:rPr>
              <w:t>后</w:t>
            </w:r>
            <w:r>
              <w:rPr>
                <w:rFonts w:hint="eastAsia" w:ascii="宋体" w:hAnsi="宋体" w:cs="宋体"/>
                <w:color w:val="000000"/>
                <w:kern w:val="0"/>
                <w:sz w:val="18"/>
                <w:szCs w:val="18"/>
                <w:highlight w:val="none"/>
              </w:rPr>
              <w:t>显示对应区域的细分项目，如头颈部为血管、神经和颈髓、器官、脑组织（含病变周围水肿）、脑水肿（含病变周围水肿）、脑室、意识、骨骼颈椎及附件。点击细分项目可进入该项目的评分阶段，选中的评分项可自动计算该细分项目的AIS最大值。最终ISS评分是身体最严重区域的最高AIS值的平方和。严重创伤病人：ISS≥16分或单部位损伤AIS&gt;3分的病人。可展示多次评分的结果、时间、评分人。多次评分可呈趋势图显示。评分结果可自动代入到病历对应的评分结果字段中。（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（11）可快速切换车辆管理。在车辆列表可通过标识，快速识别最新的待接收任务。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（12）可记录患者的特殊标识，包含三无人员、AIDS、肝炎、发热门诊、孕产妇、儿童、精神疾病、中毒。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系统可实现院前签名管理功能，包含医生、护士、患者或家属的签名。可维护医生、护士签名，签名时根据配置的规则可自动代入签名。支持维护院前知情同意书、院前病历、院前医嘱单的文书模板，签名时可进行文书预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（14）院前病历支持语音识别的快速录入方式。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（15）支持通过移动端拍摄视频和图片，并传输给院前急救指导工作站。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（16）支持新增和删除患者，便于群伤患者的管理。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（17）系统对已记录的移动端院前病历内容，可实现病历的自动保存，避免数据的丢失。</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（18）支持录入急救措施和急救药品，急救药品支持成组录入管理，并自动生成医疗文书。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（19）点击时间轴达到现场时间节点，可自动获取当前地址代入到现场地址病历字段中。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（20）在对方提供接口的情况下，支持对接车辆内的监护仪设备，可将体征波形传输给院内的远程指导工作站。生命体征的最新数据可对接到院前病历。（提供功能截图证明材料）</w:t>
            </w:r>
          </w:p>
          <w:p w14:paraId="1DA65E90">
            <w:pPr>
              <w:widowControl/>
              <w:numPr>
                <w:ilvl w:val="0"/>
                <w:numId w:val="0"/>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w:t>
            </w:r>
            <w:r>
              <w:rPr>
                <w:rFonts w:hint="eastAsia" w:ascii="宋体" w:hAnsi="宋体" w:cs="宋体"/>
                <w:color w:val="000000"/>
                <w:kern w:val="0"/>
                <w:sz w:val="18"/>
                <w:szCs w:val="18"/>
                <w:highlight w:val="none"/>
              </w:rPr>
              <w:t>院前急救任务管理系统：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（1）电脑端支持创建院前急救任务，急救任务信息包含任务类型、接警电话、接警时间、出诊地址、患者信息，可通过急救地图精准点选出诊地址。</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（2）支持将急救任务派发给待命中的急救车辆和随车人员，待命的随车人员可通过移动终端接收和拒绝该任务。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（3）对已创建的急救任务，支持增派急救车辆和随车人员，急救任务信息可完善和补充。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（4）支持在急救地图上查看任务中急救车辆的所在位置，并显示距离目的地的距离，以便于急救车辆的统一管理。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（5）支持在任务管理页面查看基本的统计信息，包含待命急救车</w:t>
            </w:r>
            <w:r>
              <w:rPr>
                <w:rFonts w:hint="eastAsia" w:ascii="宋体" w:hAnsi="宋体" w:cs="宋体"/>
                <w:color w:val="000000"/>
                <w:kern w:val="0"/>
                <w:sz w:val="18"/>
                <w:szCs w:val="18"/>
                <w:highlight w:val="none"/>
                <w:lang w:val="en-US" w:eastAsia="zh-CN"/>
              </w:rPr>
              <w:t>数量</w:t>
            </w:r>
            <w:r>
              <w:rPr>
                <w:rFonts w:hint="eastAsia" w:ascii="宋体" w:hAnsi="宋体" w:cs="宋体"/>
                <w:color w:val="000000"/>
                <w:kern w:val="0"/>
                <w:sz w:val="18"/>
                <w:szCs w:val="18"/>
                <w:highlight w:val="none"/>
              </w:rPr>
              <w:t>、当前任务数量、今日已完成和平均响应时间。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（6）支持在急救地图查看任务中的急救车辆已行驶过的路线。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（7）鼠标点击急救地图的车辆和医院图标时，可以通过气泡框显示急救车辆和医院的信息。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（8）支持列表的配置管理，包含列名称、列字段、列宽、数据类型、启用状态、显示格式。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（9）支持标签的配置管理，包含标签名称、标签组、条件关系、展示效果、权限。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（10）通过任务列表可联动当前任务下的车辆列表，通过车辆列表可联动当前车辆下的患者列表。可以清晰地查看每个任务下有几辆车在执行任务，每辆车有几个急救患者。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（11）支持查看当前列表的汇总数据的统计展示。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（12）在列表处可实现多个便捷式操作，包含删除患者、新增患者、交接任务、查看任务详情、查看患者病历，查看打印预览、任务状态变更。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特殊急救任务管理，包含无车任务、保障任务和群伤任务。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（14）一个页面有多个列表时，可进行收起和展开的操作，便于用户查看更多当前需要查看的列表信息。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（15）任务完成、接收、拒绝、取消时，系统会弹窗进行提示。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（16）对已拒绝的任务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重新指派车辆。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（17）支持车辆、时间节点、人员、联系人、医院的维护管理。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（18）在医院门口突发的急救任务，不需要派遣急救车，通过平车或者担架展开院前急救任务，系统可创建无车任务，支持无车院前任务全流程的急救管理。</w:t>
            </w:r>
          </w:p>
          <w:p w14:paraId="7FDCA921">
            <w:pPr>
              <w:widowControl/>
              <w:numPr>
                <w:ilvl w:val="0"/>
                <w:numId w:val="0"/>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w:t>
            </w:r>
            <w:r>
              <w:rPr>
                <w:rFonts w:hint="eastAsia" w:ascii="宋体" w:hAnsi="宋体" w:cs="宋体"/>
                <w:color w:val="000000"/>
                <w:kern w:val="0"/>
                <w:sz w:val="18"/>
                <w:szCs w:val="18"/>
                <w:highlight w:val="none"/>
              </w:rPr>
              <w:t>院前指导工作站：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（1）支持在院内查看，进行中任务摄像头传回的实时多路影像画面，多路影像支持切换查看。已完成的任务可进行多路急救视频回放操作。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（2）支持在院内查看，进行中任务监护仪回传的监护仪波形数据。以及已完成任务从患者上车到任务结束的体征数据的趋势图。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（3）支持在院内查看，院前上传的患者心电图图片、其他图片和视频。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（4）支持在院内与院前进行音视频的业务协同和远程指导。</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（5）支持查看院前病历，包括基本信息、相关病史、体格检查、专科情况、辅助检查、初步诊断、院前评分、交接情况、急救转归模块。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PC工作站支持创建院前常用电子评分，内置评分模板包含：GRACE评分、TIMI评分、HEART评分IT评分、GCS评分、CHA2DS2-VASC评分、Geneva评分、标准吞咽功能评价量表(SSA)、后循环ASPECTS评分、前循环ASPECTS评分、CRAMS评分、Hunt-Hess评分、FAST-ED评分、mTICI分级等。一个评分模板可进行多次评分，多次评分结果可通过趋势图显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PC工作站可创建ISS-AIS评分，评分把人体分为6个区域，分别为头颈部、面部、胸部胸椎横隔、腹盆腔腰椎、四肢骨盆臀部、体表其他。点击6大区域后可显示对应区域的细分项目，如头颈部为血管、神经和颈髓、器官、脑组织（含病变周围水肿）、脑水肿（含病变周围水肿）、脑室、意识、骨骼颈椎及附件。点击细分项目可进入该项目的评分阶段，选中的评分项可自动计算该细分项目的AIS最大值。最终ISS评分是身体最严重区域的最高AIS值的平方和。严重创伤病人：ISS≥16分或单部位损伤AIS&gt;3分的病人。可展示多次评分的结果、时间、评分人。多次评分可呈趋势图显示。评分结果可自动代入到病历对应的评分结果字段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（8）支撑院内与院前救治流程准确、快速衔接，避免信息重复录入。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（9）支持查看患者院前急救的诊疗时间轴。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10）支持时间轴的配置。可新增、修改时间节点，支持的配置项有：时间节点ID、时间节点排序、时间节点名称、对应车辆任务进度、对应患者病历项目、对应患者病历项目检核时间顺序、是否患者病历默认执行时间、备注。（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（11）配置对应车辆任务进度：如配置出发时间对应的车辆任务进度为赶往现场。观察任务列表中，任务状态为进行中，车辆任务进度为赶往现场。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（12）配置对应患者病历项：输入时间轴的节点后，自动同步到配置的病历项中。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配置对应患者病历项目检核时间顺序：如病历顺序配置出发时间早于到达现场早于离开现场时，将到达现场时间该配置项开启后。输入该时间节点时会进行病历字段的校验。如果前后顺序输入异常，病历字段会展示为异常项并红字提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（14）配置默认病历执行时间：如配置后，操作时间轴节点后，会默认到急救措施和药品应用的执行时间中。通过配置可保证时间轴的准确性、客观性。以及可减少病历与时间轴间的重复录入操作。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（15）支持查看患者的发病时长和任务时长。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（16）支持跟进现场急救地址和医院地址，自动计算急救半径。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（17）院前病历支持在PC端进行修改和补录。病历支持多人并发操作的流程管理，保证数据不丢失。</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（18）支持病历的归档、异常数据校验、提交、保存、护士长审核、打印。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（19）院内监护视频支持通过权限配置进行查看，满足不同场景下的用户需求。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（20）支持打印和批量打印知情同意书、院前病历、院前医嘱单等文书，打印文书模板支持配置。对移动端已签签名可进行隐藏和显示的操作。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（21）支持查看病历打印次数、打印人、打印时间、病历名称信息。</w:t>
            </w:r>
          </w:p>
          <w:p w14:paraId="62518D4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4、院前质控系统：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（1）满足国家对院前急救的质量管理控制的要求，生成可视化的质控指标。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（2）支持根据年、月以及自定义的时间查询质控指标。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（3）支持查看院前质控指标的同比、环比、目标值以及达标情况。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（4）对于异常的院前质控指标，支持通过颜色区分异常状态。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（5）支持根据需求定制化配置</w:t>
            </w:r>
            <w:r>
              <w:rPr>
                <w:rFonts w:hint="eastAsia" w:ascii="宋体" w:hAnsi="宋体" w:cs="宋体"/>
                <w:color w:val="000000"/>
                <w:kern w:val="0"/>
                <w:sz w:val="18"/>
                <w:szCs w:val="18"/>
                <w:highlight w:val="none"/>
                <w:lang w:val="en-US" w:eastAsia="zh-CN"/>
              </w:rPr>
              <w:t>不少于</w:t>
            </w:r>
            <w:r>
              <w:rPr>
                <w:rFonts w:hint="eastAsia" w:ascii="宋体" w:hAnsi="宋体" w:cs="宋体"/>
                <w:color w:val="000000"/>
                <w:kern w:val="0"/>
                <w:sz w:val="18"/>
                <w:szCs w:val="18"/>
                <w:highlight w:val="none"/>
              </w:rPr>
              <w:t>10个质控指标。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（6）院前质控</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以下质控指标：院前医疗急救处置率、现场心肺复苏插管率、现场心肺复苏电除颤率、现场心电检查率、现场静脉通道建立率、车载呼吸机使用率、及时派车率、及时出车率、平均应急反应时间、监护型救护车配置率。</w:t>
            </w:r>
          </w:p>
        </w:tc>
        <w:tc>
          <w:tcPr>
            <w:tcW w:w="708" w:type="dxa"/>
            <w:tcBorders>
              <w:top w:val="nil"/>
              <w:left w:val="nil"/>
              <w:bottom w:val="single" w:color="auto" w:sz="4" w:space="0"/>
              <w:right w:val="single" w:color="auto" w:sz="4" w:space="0"/>
            </w:tcBorders>
            <w:shd w:val="clear" w:color="auto" w:fill="auto"/>
            <w:vAlign w:val="center"/>
          </w:tcPr>
          <w:p w14:paraId="633D132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6177B5E3">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520000</w:t>
            </w:r>
          </w:p>
        </w:tc>
        <w:tc>
          <w:tcPr>
            <w:tcW w:w="834" w:type="dxa"/>
            <w:tcBorders>
              <w:top w:val="nil"/>
              <w:left w:val="nil"/>
              <w:bottom w:val="single" w:color="auto" w:sz="4" w:space="0"/>
              <w:right w:val="single" w:color="auto" w:sz="4" w:space="0"/>
            </w:tcBorders>
            <w:shd w:val="clear" w:color="auto" w:fill="auto"/>
            <w:vAlign w:val="center"/>
          </w:tcPr>
          <w:p w14:paraId="78C47D6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520000</w:t>
            </w:r>
          </w:p>
        </w:tc>
      </w:tr>
      <w:tr w14:paraId="3928F5F4">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015D2E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18</w:t>
            </w:r>
          </w:p>
        </w:tc>
        <w:tc>
          <w:tcPr>
            <w:tcW w:w="597" w:type="dxa"/>
            <w:vMerge w:val="continue"/>
            <w:tcBorders>
              <w:top w:val="nil"/>
              <w:left w:val="single" w:color="auto" w:sz="4" w:space="0"/>
              <w:bottom w:val="single" w:color="auto" w:sz="4" w:space="0"/>
              <w:right w:val="single" w:color="auto" w:sz="4" w:space="0"/>
            </w:tcBorders>
            <w:vAlign w:val="center"/>
          </w:tcPr>
          <w:p w14:paraId="0FB33F12">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37B18E83">
            <w:pPr>
              <w:widowControl/>
              <w:shd w:val="clear"/>
              <w:jc w:val="left"/>
              <w:rPr>
                <w:rFonts w:ascii="宋体" w:hAnsi="宋体" w:cs="宋体"/>
                <w:color w:val="000000"/>
                <w:kern w:val="0"/>
                <w:sz w:val="18"/>
                <w:szCs w:val="18"/>
                <w:highlight w:val="none"/>
              </w:rPr>
            </w:pPr>
          </w:p>
        </w:tc>
        <w:tc>
          <w:tcPr>
            <w:tcW w:w="786" w:type="dxa"/>
            <w:vMerge w:val="restart"/>
            <w:tcBorders>
              <w:top w:val="nil"/>
              <w:left w:val="single" w:color="auto" w:sz="4" w:space="0"/>
              <w:bottom w:val="single" w:color="auto" w:sz="4" w:space="0"/>
              <w:right w:val="single" w:color="auto" w:sz="4" w:space="0"/>
            </w:tcBorders>
            <w:shd w:val="clear" w:color="auto" w:fill="auto"/>
            <w:vAlign w:val="center"/>
          </w:tcPr>
          <w:p w14:paraId="27D2FC1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医共体人财物运营管理平台</w:t>
            </w:r>
          </w:p>
        </w:tc>
        <w:tc>
          <w:tcPr>
            <w:tcW w:w="851" w:type="dxa"/>
            <w:tcBorders>
              <w:top w:val="nil"/>
              <w:left w:val="nil"/>
              <w:bottom w:val="single" w:color="auto" w:sz="4" w:space="0"/>
              <w:right w:val="single" w:color="auto" w:sz="4" w:space="0"/>
            </w:tcBorders>
            <w:shd w:val="clear" w:color="auto" w:fill="auto"/>
            <w:vAlign w:val="center"/>
          </w:tcPr>
          <w:p w14:paraId="741C71A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系统平台</w:t>
            </w:r>
          </w:p>
        </w:tc>
        <w:tc>
          <w:tcPr>
            <w:tcW w:w="8196" w:type="dxa"/>
            <w:tcBorders>
              <w:top w:val="nil"/>
              <w:left w:val="nil"/>
              <w:bottom w:val="single" w:color="auto" w:sz="4" w:space="0"/>
              <w:right w:val="single" w:color="auto" w:sz="4" w:space="0"/>
            </w:tcBorders>
            <w:shd w:val="clear" w:color="auto" w:fill="auto"/>
            <w:vAlign w:val="center"/>
          </w:tcPr>
          <w:p w14:paraId="69E5011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1、组织架构：支持组织机构设置，灵活设定组织关系，并可对组织进行启用、关闭等状态设置。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2、登录设置：支持IP绑定</w:t>
            </w:r>
            <w:r>
              <w:rPr>
                <w:rFonts w:hint="eastAsia" w:ascii="宋体" w:hAnsi="宋体" w:cs="宋体"/>
                <w:color w:val="000000"/>
                <w:kern w:val="0"/>
                <w:sz w:val="18"/>
                <w:szCs w:val="18"/>
                <w:highlight w:val="none"/>
                <w:lang w:val="en-US" w:eastAsia="zh-CN"/>
              </w:rPr>
              <w:t>登录</w:t>
            </w:r>
            <w:r>
              <w:rPr>
                <w:rFonts w:hint="eastAsia" w:ascii="宋体" w:hAnsi="宋体" w:cs="宋体"/>
                <w:color w:val="000000"/>
                <w:kern w:val="0"/>
                <w:sz w:val="18"/>
                <w:szCs w:val="18"/>
                <w:highlight w:val="none"/>
              </w:rPr>
              <w:t>，非指定IP不能</w:t>
            </w:r>
            <w:r>
              <w:rPr>
                <w:rFonts w:hint="eastAsia" w:ascii="宋体" w:hAnsi="宋体" w:cs="宋体"/>
                <w:color w:val="000000"/>
                <w:kern w:val="0"/>
                <w:sz w:val="18"/>
                <w:szCs w:val="18"/>
                <w:highlight w:val="none"/>
                <w:lang w:val="en-US" w:eastAsia="zh-CN"/>
              </w:rPr>
              <w:t>登录</w:t>
            </w:r>
            <w:r>
              <w:rPr>
                <w:rFonts w:hint="eastAsia" w:ascii="宋体" w:hAnsi="宋体" w:cs="宋体"/>
                <w:color w:val="000000"/>
                <w:kern w:val="0"/>
                <w:sz w:val="18"/>
                <w:szCs w:val="18"/>
                <w:highlight w:val="none"/>
              </w:rPr>
              <w:t>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3、系统配置：支持各种类型的系统配置，包含：执行配置、表单配置、上传配置、页签配置、列表配置、流程配置、文件导入配置等。（提供功能截图证明材料）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4、消息管理：支持相关人员对消息进行催办，并显示消息状态、催办次数、催办时间等。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5、基础数据管理：包含公共档案、会计信息、往来单位信息、人员信息、物资基础信息、资产基础信息、结算信息、项目信息等，并可对以上信息进行自定义设置。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6、公告管理：包含：公告标题、公告类型设置、发布状态、发布人、发布时间等。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7、流程设计：可通过在线工作流</w:t>
            </w:r>
            <w:r>
              <w:rPr>
                <w:rFonts w:hint="eastAsia" w:ascii="宋体" w:hAnsi="宋体" w:cs="宋体"/>
                <w:color w:val="000000"/>
                <w:kern w:val="0"/>
                <w:sz w:val="18"/>
                <w:szCs w:val="18"/>
                <w:highlight w:val="none"/>
                <w:lang w:val="en-US" w:eastAsia="zh-CN"/>
              </w:rPr>
              <w:t>程</w:t>
            </w:r>
            <w:r>
              <w:rPr>
                <w:rFonts w:hint="eastAsia" w:ascii="宋体" w:hAnsi="宋体" w:cs="宋体"/>
                <w:color w:val="000000"/>
                <w:kern w:val="0"/>
                <w:sz w:val="18"/>
                <w:szCs w:val="18"/>
                <w:highlight w:val="none"/>
              </w:rPr>
              <w:t>设计器实现医共体、科室的业务流程的重组和灵活设计，实现包括工作流程、审批流程的自定义设计；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8、日志管理：支持系统日志的应用。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9、报表平台：可以实现医共体、科室业务表单的灵活设计，实现包括表单、报表的自定义设计，可自定义高级查询。有极高定制性和扩展性，另可根据用户需求量身定做。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数据分析引擎：数据可视化展示界面数据可钻取，可联动，数据中心接口开放可定制，数据更新间隔可定制，能根据服务器压力随意调整，节省数据库压力的同时兼顾数据稳定获取，另可定时发送邮件，及时获取数据分析结果。支持分布式任务调度。</w:t>
            </w:r>
          </w:p>
        </w:tc>
        <w:tc>
          <w:tcPr>
            <w:tcW w:w="708" w:type="dxa"/>
            <w:tcBorders>
              <w:top w:val="nil"/>
              <w:left w:val="nil"/>
              <w:bottom w:val="single" w:color="auto" w:sz="4" w:space="0"/>
              <w:right w:val="single" w:color="auto" w:sz="4" w:space="0"/>
            </w:tcBorders>
            <w:shd w:val="clear" w:color="auto" w:fill="auto"/>
            <w:vAlign w:val="center"/>
          </w:tcPr>
          <w:p w14:paraId="3CDA75F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0E5035C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834" w:type="dxa"/>
            <w:tcBorders>
              <w:top w:val="nil"/>
              <w:left w:val="nil"/>
              <w:bottom w:val="single" w:color="auto" w:sz="4" w:space="0"/>
              <w:right w:val="single" w:color="auto" w:sz="4" w:space="0"/>
            </w:tcBorders>
            <w:shd w:val="clear" w:color="auto" w:fill="auto"/>
            <w:vAlign w:val="center"/>
          </w:tcPr>
          <w:p w14:paraId="5003543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0F464C5C">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1E523B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19</w:t>
            </w:r>
          </w:p>
        </w:tc>
        <w:tc>
          <w:tcPr>
            <w:tcW w:w="597" w:type="dxa"/>
            <w:vMerge w:val="continue"/>
            <w:tcBorders>
              <w:top w:val="nil"/>
              <w:left w:val="single" w:color="auto" w:sz="4" w:space="0"/>
              <w:bottom w:val="single" w:color="auto" w:sz="4" w:space="0"/>
              <w:right w:val="single" w:color="auto" w:sz="4" w:space="0"/>
            </w:tcBorders>
            <w:vAlign w:val="center"/>
          </w:tcPr>
          <w:p w14:paraId="64DF8DCB">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0F61C547">
            <w:pPr>
              <w:widowControl/>
              <w:shd w:val="clear"/>
              <w:jc w:val="left"/>
              <w:rPr>
                <w:rFonts w:ascii="宋体" w:hAnsi="宋体" w:cs="宋体"/>
                <w:color w:val="000000"/>
                <w:kern w:val="0"/>
                <w:sz w:val="18"/>
                <w:szCs w:val="18"/>
                <w:highlight w:val="none"/>
              </w:rPr>
            </w:pPr>
          </w:p>
        </w:tc>
        <w:tc>
          <w:tcPr>
            <w:tcW w:w="786" w:type="dxa"/>
            <w:vMerge w:val="continue"/>
            <w:tcBorders>
              <w:top w:val="nil"/>
              <w:left w:val="single" w:color="auto" w:sz="4" w:space="0"/>
              <w:bottom w:val="single" w:color="auto" w:sz="4" w:space="0"/>
              <w:right w:val="single" w:color="auto" w:sz="4" w:space="0"/>
            </w:tcBorders>
            <w:vAlign w:val="center"/>
          </w:tcPr>
          <w:p w14:paraId="472C2275">
            <w:pPr>
              <w:widowControl/>
              <w:shd w:val="clear"/>
              <w:jc w:val="left"/>
              <w:rPr>
                <w:rFonts w:ascii="宋体" w:hAnsi="宋体" w:cs="宋体"/>
                <w:color w:val="000000"/>
                <w:kern w:val="0"/>
                <w:sz w:val="18"/>
                <w:szCs w:val="18"/>
                <w:highlight w:val="none"/>
              </w:rPr>
            </w:pPr>
          </w:p>
        </w:tc>
        <w:tc>
          <w:tcPr>
            <w:tcW w:w="851" w:type="dxa"/>
            <w:tcBorders>
              <w:top w:val="nil"/>
              <w:left w:val="single" w:color="auto" w:sz="4" w:space="0"/>
              <w:bottom w:val="single" w:color="auto" w:sz="4" w:space="0"/>
              <w:right w:val="single" w:color="auto" w:sz="4" w:space="0"/>
            </w:tcBorders>
            <w:shd w:val="clear" w:color="auto" w:fill="auto"/>
            <w:vAlign w:val="center"/>
          </w:tcPr>
          <w:p w14:paraId="1F8205D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财务核算系统</w:t>
            </w:r>
          </w:p>
        </w:tc>
        <w:tc>
          <w:tcPr>
            <w:tcW w:w="8196" w:type="dxa"/>
            <w:tcBorders>
              <w:top w:val="nil"/>
              <w:left w:val="nil"/>
              <w:bottom w:val="single" w:color="auto" w:sz="4" w:space="0"/>
              <w:right w:val="single" w:color="auto" w:sz="4" w:space="0"/>
            </w:tcBorders>
            <w:shd w:val="clear" w:color="auto" w:fill="auto"/>
            <w:vAlign w:val="center"/>
          </w:tcPr>
          <w:p w14:paraId="35F3DC6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财务核算系统功能主要包括总账管理、出纳管理、往来管理、报表管理等功能。系统须符合财政部《政府会计制度—行政事业单位会计科目和报表》（财会[2017]25号）文件的制度的科目、核算原则与报表要求。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1、总账管理：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总账管理用来记录医共体发生的各种经济业务在账务上反映的全部内容；反映医共体账务处理的全过程，从账务处理所需初始信息，到凭证录入、审核、记账，以及各种辅助核算账信息的输入和输出，包括部门核算、供应商核算、科研项目核算和往来核算等，产生各种会计账簿输出打印等内容。包括凭证制单、自动凭证、凭证审核、凭证记账、凭证打印、凭证模板、凭证统计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（2）按照政府会计制度的规范要求，支持平行记账。预置标准的财务会计科目和预算会计科目，支持在同一个凭证中处理财务凭证和预算。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（3）支持凭证处理过程中的财务预算差异校验、现金流量校验等。</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差异项智能指定，一键完成所有凭证差异项的自动指定，无需手工指定差异项，并自动生成符合新制度要求的差异项报表。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（4）提供财务会计期末结转和预算会计的期末结转功能，实现自动期末结转；期末结转中的费用摊销和费用预提自动结转：通过设置费用摊销和费用预提凭证模板，自动生成费用摊销凭证和费用预提凭证。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（5）预置现金流量项目，指定现金及现金等价物科目的现金流量项目；支持凭证录入时指定现金流量项目，同时支持现金流量拆分模板设置，系统可按模板规则自动指定。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（6）支持凭证查询时对明细账、总账、原始单据进行联查功能。提供查询账簿功能，并可查询包含未记账凭证的各种账表；支持财务多维度的辅助核算处理。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（7）支持凭证制单：包含凭证页面、凭证保存、凭证打印、凭证删除、出纳签字、凭证审核、冲销、查询、删除、作废、恢复、复制；可自定义多种凭证类型，并可对凭证打印模板进行自定义，支持凭证套打。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（8）提供对凭证及账表跨年度查询功能，同时可自定义账表的格式和可自定义查询条件。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（9）具备经济分类及功能分类的相关功能。凭证节点支持按一定规则分摊成本费用，凭证审核时，能够将填写审核批注；支持按制单人进行凭证整理。（提供功能截图证明材料）</w:t>
            </w:r>
          </w:p>
          <w:p w14:paraId="736A260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2、自动凭证与总账接口：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（1）支持按照医共体的业务，定义财务凭证的入账规则，并根据规则自动生成凭证，实现自动生成的凭证反查业务明细。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（2）对会计在医疗行业的应用有深刻理解，根据业务规则，在相关信息系统的支撑下，能与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收费系统、成本核算系统、业务系统等第三方系统高度集成，完成业务自动生成财务会计凭证和预算凭证。</w:t>
            </w:r>
          </w:p>
          <w:p w14:paraId="0441D9C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3、数据上报：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与自治区财政厅预算一体化系统对接、上传数据。包含数据上报、外部档案、账簿信息、会计科目、凭证类别、核算类型、核算内容、财务票据、接口配置、凭证类别对照、会计科目对照、辅助核算对照、限定科目、上传财政、定时上传设置等功能。</w:t>
            </w:r>
          </w:p>
          <w:p w14:paraId="3611E6C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4、报表管理：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（1）系统能自动出具政府会计制度要求的财务报表，包括资产负债表、收入费用表、净资产变动表、现金流量表等。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（2）能够根据常用的报表取数公式，直接获取账务中的数据。取数公式满足新制度中要求的财务报表和预算会计报表的取数要求，可按医共体要求进行个性化报表的自定义。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（3）能按照财务会计科目体系和预算会计科目体系提供</w:t>
            </w:r>
            <w:r>
              <w:rPr>
                <w:rFonts w:hint="eastAsia" w:ascii="宋体" w:hAnsi="宋体" w:cs="宋体"/>
                <w:color w:val="000000"/>
                <w:kern w:val="0"/>
                <w:sz w:val="18"/>
                <w:szCs w:val="18"/>
                <w:highlight w:val="none"/>
                <w:lang w:val="en-US" w:eastAsia="zh-CN"/>
              </w:rPr>
              <w:t>不低于</w:t>
            </w:r>
            <w:r>
              <w:rPr>
                <w:rFonts w:hint="eastAsia" w:ascii="宋体" w:hAnsi="宋体" w:cs="宋体"/>
                <w:color w:val="000000"/>
                <w:kern w:val="0"/>
                <w:sz w:val="18"/>
                <w:szCs w:val="18"/>
                <w:highlight w:val="none"/>
              </w:rPr>
              <w:t>两套账册报表。</w:t>
            </w:r>
          </w:p>
        </w:tc>
        <w:tc>
          <w:tcPr>
            <w:tcW w:w="708" w:type="dxa"/>
            <w:tcBorders>
              <w:top w:val="nil"/>
              <w:left w:val="nil"/>
              <w:bottom w:val="single" w:color="auto" w:sz="4" w:space="0"/>
              <w:right w:val="single" w:color="auto" w:sz="4" w:space="0"/>
            </w:tcBorders>
            <w:shd w:val="clear" w:color="auto" w:fill="auto"/>
            <w:vAlign w:val="center"/>
          </w:tcPr>
          <w:p w14:paraId="608E07E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3E8A5763">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56000</w:t>
            </w:r>
          </w:p>
        </w:tc>
        <w:tc>
          <w:tcPr>
            <w:tcW w:w="834" w:type="dxa"/>
            <w:tcBorders>
              <w:top w:val="nil"/>
              <w:left w:val="nil"/>
              <w:bottom w:val="single" w:color="auto" w:sz="4" w:space="0"/>
              <w:right w:val="single" w:color="auto" w:sz="4" w:space="0"/>
            </w:tcBorders>
            <w:shd w:val="clear" w:color="auto" w:fill="auto"/>
            <w:vAlign w:val="center"/>
          </w:tcPr>
          <w:p w14:paraId="022A5D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56000</w:t>
            </w:r>
          </w:p>
        </w:tc>
      </w:tr>
      <w:tr w14:paraId="40A899A3">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023CC3E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597" w:type="dxa"/>
            <w:vMerge w:val="continue"/>
            <w:tcBorders>
              <w:top w:val="nil"/>
              <w:left w:val="single" w:color="auto" w:sz="4" w:space="0"/>
              <w:bottom w:val="single" w:color="auto" w:sz="4" w:space="0"/>
              <w:right w:val="single" w:color="auto" w:sz="4" w:space="0"/>
            </w:tcBorders>
            <w:vAlign w:val="center"/>
          </w:tcPr>
          <w:p w14:paraId="55990C19">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43117AFA">
            <w:pPr>
              <w:widowControl/>
              <w:shd w:val="clear"/>
              <w:jc w:val="left"/>
              <w:rPr>
                <w:rFonts w:ascii="宋体" w:hAnsi="宋体" w:cs="宋体"/>
                <w:color w:val="000000"/>
                <w:kern w:val="0"/>
                <w:sz w:val="18"/>
                <w:szCs w:val="18"/>
                <w:highlight w:val="none"/>
              </w:rPr>
            </w:pPr>
          </w:p>
        </w:tc>
        <w:tc>
          <w:tcPr>
            <w:tcW w:w="786" w:type="dxa"/>
            <w:vMerge w:val="continue"/>
            <w:tcBorders>
              <w:top w:val="nil"/>
              <w:left w:val="single" w:color="auto" w:sz="4" w:space="0"/>
              <w:bottom w:val="single" w:color="auto" w:sz="4" w:space="0"/>
              <w:right w:val="single" w:color="auto" w:sz="4" w:space="0"/>
            </w:tcBorders>
            <w:vAlign w:val="center"/>
          </w:tcPr>
          <w:p w14:paraId="4FFA0DFA">
            <w:pPr>
              <w:widowControl/>
              <w:shd w:val="clear"/>
              <w:jc w:val="left"/>
              <w:rPr>
                <w:rFonts w:ascii="宋体" w:hAnsi="宋体" w:cs="宋体"/>
                <w:color w:val="000000"/>
                <w:kern w:val="0"/>
                <w:sz w:val="18"/>
                <w:szCs w:val="18"/>
                <w:highlight w:val="none"/>
              </w:rPr>
            </w:pPr>
          </w:p>
        </w:tc>
        <w:tc>
          <w:tcPr>
            <w:tcW w:w="851" w:type="dxa"/>
            <w:tcBorders>
              <w:top w:val="nil"/>
              <w:left w:val="single" w:color="auto" w:sz="4" w:space="0"/>
              <w:bottom w:val="single" w:color="auto" w:sz="4" w:space="0"/>
              <w:right w:val="single" w:color="auto" w:sz="4" w:space="0"/>
            </w:tcBorders>
            <w:shd w:val="clear" w:color="auto" w:fill="auto"/>
            <w:vAlign w:val="center"/>
          </w:tcPr>
          <w:p w14:paraId="5AE358B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固定资产管理系统</w:t>
            </w:r>
          </w:p>
        </w:tc>
        <w:tc>
          <w:tcPr>
            <w:tcW w:w="8196" w:type="dxa"/>
            <w:tcBorders>
              <w:top w:val="nil"/>
              <w:left w:val="nil"/>
              <w:bottom w:val="single" w:color="auto" w:sz="4" w:space="0"/>
              <w:right w:val="single" w:color="auto" w:sz="4" w:space="0"/>
            </w:tcBorders>
            <w:shd w:val="clear" w:color="auto" w:fill="auto"/>
            <w:vAlign w:val="center"/>
          </w:tcPr>
          <w:p w14:paraId="22C4849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满足《政府会计制度—行政事业单位会计科目和报表》改革相关文件对医共体固定资产折旧方式，折旧年限等新要求。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1、资产卡片：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基于卡片的固定资产管理模块，自动计提折旧；进行固定资产、无形资产管理，完成原始卡片录入、新增资产卡片录入、资产变动、资产评估、资产减值、计提折旧、资产减少、资产拆分、资产合并、资产调拨、资产盘点、账表查询、资产处置情况查询等功能，支持可按不同的关键词进行综合查询并支持表格数据导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（2）可对多种资金来源形成的固定资产，进行单一资金来源或多种资金来源组合的分科室部门、分资产类别管理。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根据多种资金来源比例登记固定资产原值、按比例分别计提固定资产折旧，</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不同资金来源的固定资产核算管理的清晰完整。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（4）支持按照不同资金来源登记资产原值信息，并能够按照资金的来源进行折旧，生成按照新制度要求的会计凭证，提高资产折旧效率。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（5）支持建立固定资产总账、资产二级明细账和资产台账及其资产卡片，实现资产的“三账一卡”管理。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（6）支持以资产卡片为中心的档案管理，能够实现资产卡片的自定义，根据不同资产的管理要求定义资产卡片模板。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（7）支持资产档案管理，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资产的电子档案管理，包括资产图片与各种电子资料。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（8）支持对资产折旧按实际使用科室拆分计算的功能，保证折旧成本的准确，资产折旧、维修等财务信息与财务成本核算系统紧密集成，自动生成财务成本凭证。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（9）支持资产二维码的管理，支持资产编码和资产二维码关键字段的自定义，能够提供资产二维码按需设计、条码打印、扫码功能，根据实际情况进行设置。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（10）支持各级资产管理人员可按权限查询资产明细、使用状态和折旧情况。</w:t>
            </w:r>
          </w:p>
          <w:p w14:paraId="78FEB2A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2、资产变动：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（1）资产变动支持各类变动单据，包含使用科室变动、管理科室变动、原值变动、累计折旧变动、使用状态变动、使用年限变动、资金来源变动等。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（2）支持多种资产增加、内部调整、减少等变动的定义方式，并且这些变动完全与财务处理同步，保证资产的实际与资产的账面处理严格一致，明确资产的状态和责任人。</w:t>
            </w:r>
          </w:p>
          <w:p w14:paraId="709A2B8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3、资产减少：资产的减少、回退、报废、盘亏等业务数据单据录入、审批、生效等。</w:t>
            </w:r>
          </w:p>
          <w:p w14:paraId="236A4F6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4、资产盘点：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（1）定期出具盘点表，进行盘盈资产、差异资产录入。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（2）支持资产条码盘点，能根据盘点结果自动生成盘盈、盘亏单据。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（3）支持资产按使用科室、按管理科室、按使用状态、按原值、按资金来源等多种方式进行盘点。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（4）支持资产条码盘点，支持资产的全程条码应用，包括出入库、调拨等业务场景。</w:t>
            </w:r>
          </w:p>
          <w:p w14:paraId="5821449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5、单位调动：资产单位内部、或跨组织调拨调出，调入单位可协同调入。业务单据录入、审批、生效等。</w:t>
            </w:r>
          </w:p>
          <w:p w14:paraId="3B74503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6、资产处置：资产处置流程单据发起、审批、生效等。</w:t>
            </w:r>
          </w:p>
          <w:p w14:paraId="60DFE15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7、月末处理：月末的资产自动折旧处理、结转处理。</w:t>
            </w:r>
          </w:p>
          <w:p w14:paraId="324E860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8、报表管理：出具各类资产大类报表、明细报表、折旧汇总表、折旧明细表等。</w:t>
            </w:r>
          </w:p>
        </w:tc>
        <w:tc>
          <w:tcPr>
            <w:tcW w:w="708" w:type="dxa"/>
            <w:tcBorders>
              <w:top w:val="nil"/>
              <w:left w:val="nil"/>
              <w:bottom w:val="single" w:color="auto" w:sz="4" w:space="0"/>
              <w:right w:val="single" w:color="auto" w:sz="4" w:space="0"/>
            </w:tcBorders>
            <w:shd w:val="clear" w:color="auto" w:fill="auto"/>
            <w:vAlign w:val="center"/>
          </w:tcPr>
          <w:p w14:paraId="17C7528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04BA6B9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68000</w:t>
            </w:r>
          </w:p>
        </w:tc>
        <w:tc>
          <w:tcPr>
            <w:tcW w:w="834" w:type="dxa"/>
            <w:tcBorders>
              <w:top w:val="nil"/>
              <w:left w:val="nil"/>
              <w:bottom w:val="single" w:color="auto" w:sz="4" w:space="0"/>
              <w:right w:val="single" w:color="auto" w:sz="4" w:space="0"/>
            </w:tcBorders>
            <w:shd w:val="clear" w:color="auto" w:fill="auto"/>
            <w:vAlign w:val="center"/>
          </w:tcPr>
          <w:p w14:paraId="5FAC03A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68000</w:t>
            </w:r>
          </w:p>
        </w:tc>
      </w:tr>
      <w:tr w14:paraId="45DF04DB">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018E86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597" w:type="dxa"/>
            <w:vMerge w:val="continue"/>
            <w:tcBorders>
              <w:top w:val="nil"/>
              <w:left w:val="single" w:color="auto" w:sz="4" w:space="0"/>
              <w:bottom w:val="single" w:color="auto" w:sz="4" w:space="0"/>
              <w:right w:val="single" w:color="auto" w:sz="4" w:space="0"/>
            </w:tcBorders>
            <w:vAlign w:val="center"/>
          </w:tcPr>
          <w:p w14:paraId="53A2E473">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57E0FACA">
            <w:pPr>
              <w:widowControl/>
              <w:shd w:val="clear"/>
              <w:jc w:val="left"/>
              <w:rPr>
                <w:rFonts w:ascii="宋体" w:hAnsi="宋体" w:cs="宋体"/>
                <w:color w:val="000000"/>
                <w:kern w:val="0"/>
                <w:sz w:val="18"/>
                <w:szCs w:val="18"/>
                <w:highlight w:val="none"/>
              </w:rPr>
            </w:pPr>
          </w:p>
        </w:tc>
        <w:tc>
          <w:tcPr>
            <w:tcW w:w="786" w:type="dxa"/>
            <w:vMerge w:val="continue"/>
            <w:tcBorders>
              <w:top w:val="nil"/>
              <w:left w:val="single" w:color="auto" w:sz="4" w:space="0"/>
              <w:bottom w:val="single" w:color="auto" w:sz="4" w:space="0"/>
              <w:right w:val="single" w:color="auto" w:sz="4" w:space="0"/>
            </w:tcBorders>
            <w:vAlign w:val="center"/>
          </w:tcPr>
          <w:p w14:paraId="6CFA25D4">
            <w:pPr>
              <w:widowControl/>
              <w:shd w:val="clear"/>
              <w:jc w:val="left"/>
              <w:rPr>
                <w:rFonts w:ascii="宋体" w:hAnsi="宋体" w:cs="宋体"/>
                <w:color w:val="000000"/>
                <w:kern w:val="0"/>
                <w:sz w:val="18"/>
                <w:szCs w:val="18"/>
                <w:highlight w:val="none"/>
              </w:rPr>
            </w:pPr>
          </w:p>
        </w:tc>
        <w:tc>
          <w:tcPr>
            <w:tcW w:w="851" w:type="dxa"/>
            <w:tcBorders>
              <w:top w:val="nil"/>
              <w:left w:val="single" w:color="auto" w:sz="4" w:space="0"/>
              <w:bottom w:val="single" w:color="auto" w:sz="4" w:space="0"/>
              <w:right w:val="single" w:color="auto" w:sz="4" w:space="0"/>
            </w:tcBorders>
            <w:shd w:val="clear" w:color="auto" w:fill="auto"/>
            <w:vAlign w:val="center"/>
          </w:tcPr>
          <w:p w14:paraId="37A8C7B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物资管理系统</w:t>
            </w:r>
          </w:p>
        </w:tc>
        <w:tc>
          <w:tcPr>
            <w:tcW w:w="8196" w:type="dxa"/>
            <w:tcBorders>
              <w:top w:val="nil"/>
              <w:left w:val="nil"/>
              <w:bottom w:val="single" w:color="auto" w:sz="4" w:space="0"/>
              <w:right w:val="single" w:color="auto" w:sz="4" w:space="0"/>
            </w:tcBorders>
            <w:shd w:val="clear" w:color="auto" w:fill="auto"/>
            <w:vAlign w:val="center"/>
          </w:tcPr>
          <w:p w14:paraId="5854511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将医共体全部的物资全部纳入系统中进行统一管理，能够实现从采购申请-采购合同-采购订单-采购入库-科室申领-物资出库-成本归集-采购结算业务全流程管理。能够从业务的源头进行物资的追溯管理，并且能够与智能耗材柜、手术室机器人的新型的应用模式进行对接，实现物资管理的智能化。</w:t>
            </w:r>
          </w:p>
          <w:p w14:paraId="7CFF017D">
            <w:pPr>
              <w:widowControl/>
              <w:numPr>
                <w:ilvl w:val="0"/>
                <w:numId w:val="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基础设置：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（1）物资档案拥有耗材的基本信息如规格型号，品牌，是否高值，是否收费，是否资产，是否条码管理，是否批次管理等属性，以及全单位唯一的物资编码</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一物一码，支持自定义物资属性。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（2）物资分类支持多维度的分类管理，例如管理维度，价值维度等。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（3）支持不同的物资分类设计不同的管理流程和管理权限。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（4）支持物资档案接口用以对接医保档案，OA审批单，</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收费项目档案。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（5）针对医疗耗材资质提供了资质的类型、编码、名称以及多版本的保存，实现物资资质随时封存，启用和更新。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（6）支持定义物资和收费项目之间的对应关系。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（7）与外系统对接时支持将本系统的部门和外系统的部门建立对应关系。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（8）将部门和仓库建立对应关系，或与外部系统对接时通过部门与部门对照，部门与仓库对照转换为外部系统与HRP仓库关联关系。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（9）支持物料在仓库中的安全库存、最高库存和订货量等库存模型。按照库存计划生成需求申请单或者请购单，进行采购流程。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（10）针对不同性质的物资建立不同的业务流程，实现全程闭环管理。</w:t>
            </w:r>
          </w:p>
          <w:p w14:paraId="07FECAF3">
            <w:pPr>
              <w:widowControl/>
              <w:numPr>
                <w:ilvl w:val="0"/>
                <w:numId w:val="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条码管理：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（1）提供条码打印程序，支持条码标签的内容、大小、条码码制的自定义；物资条码的内容设计支持物资编码、物资批次、高值耗材序列号等。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（2）维护条码规则，按照单据类型设置，可以配置物资的主条码和唯一码的条码规则。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（3）自动生成每一个高值耗材的唯一条码。支持条码逐条打印，或批量打印。</w:t>
            </w:r>
          </w:p>
          <w:p w14:paraId="2F009BB3">
            <w:pPr>
              <w:widowControl/>
              <w:numPr>
                <w:ilvl w:val="0"/>
                <w:numId w:val="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物资管理基础数据：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（1）支持供应商基础档案维护，包括：往来单位分类、往来单位档案、资质证件等；实现资质证件基础信息维护和管理，资质图片上传，资质效期预警等功能。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（2）维护供应商物资的关系，记录供应商与物资的价格信息，是采购管理取价规则的重要信息。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（3）提供物资档案建立耗材的基本信息。如：规格、型号、品牌、是否高值、是否收费、是否条码管理、是否批次管理等属性。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（4）物资套餐设置：提供将不同数量的物料组合成一个套餐，在选择物料时选择套餐可带出物料明细进行便捷操作，可以实现医共体耗材整包申领、整包收费、耗材整包预留。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（5）资质类型设定：提供维护物资资质类型和往来单位资质类型，选择资质类型，系统会预置资质类型。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（6）物资资质：系统需提供维护物资资质明细，如：注册证号、证件名称、生效日期、失效日期、备注等。可与供应商平台的资质管理的资质信息数据同步。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（7）支持多级库房的应用。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（8）支持主计量单位和辅计量单位的应用，支持多计量单位的国家标准预置。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（9）预警管理：支持物资资质有效期提示预警功能；支持物资库存量安全数量预警，耗材有效期预警，供应商资质效期预警，超出预警条件自动将预警信息推送到登录界面或微信端。（提供功能截图证明材料）</w:t>
            </w:r>
          </w:p>
          <w:p w14:paraId="69787288">
            <w:pPr>
              <w:widowControl/>
              <w:numPr>
                <w:ilvl w:val="0"/>
                <w:numId w:val="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准入管理：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（1）支持新供应商准入申请和新物资准入申请管理，对新供应商所有资质信息进行审查，及院内对新增物资准入进行多级部门审核。（提供功能截图证明材料）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（2）提供因停产或代理变更等某些原因，医共体对已上架使用的物资发出的停用需求申请，并支持相关事项的审批。</w:t>
            </w:r>
          </w:p>
          <w:p w14:paraId="2D23D23C">
            <w:pPr>
              <w:widowControl/>
              <w:numPr>
                <w:ilvl w:val="0"/>
                <w:numId w:val="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采购管理：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（1）提供价格审批单功能，可对价格变更进行维护、审批。并对现存的物资价格进行自动追溯调整。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（2）提供采购价目表的功能，可对物资的采购价格进行生效及失效日期管理。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（3）提供物资请购功能，能够在线提出物资请购需求，并由相关负责人进行审批。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（4）提供采购计划功能，帮助采购部门制定计划，审批计划，并根据业务的进展对计划进行调整。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（5）提供采购需求量自动计算功能，能够根据库存量、消耗情况、最大库存、最小库存、安全库存、订购批量、订货周期等因子自动生成采购计划量，实现最优化的采购管理。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（6）提供采购订单功能，对采购计划和采购申请进行执行，采购订单到货情况可以随时追踪。</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（7）提供物资采购入库功能，根据供应商资质、物资注册证有效期、最大库存情况进行自动预警，提高采购物资的质量。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（8）提供采购发票管理功能，能够进行票货同到、货到票未到、票到货未到多种情况的管理，货到票未到情况支持暂估入库，一张发票可以核销多张采购单、一张采购单也可以对应核销多张发票。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（9）可以在系统维护采购价格并设定采购价格的有效期间，后续入库存将以价格维护表上的数据作为出入库价格自动带出。当出现物资价格变动时，需要作价格变动审批单，并由相关领导进行审批。</w:t>
            </w:r>
          </w:p>
          <w:p w14:paraId="55A19EBE">
            <w:pPr>
              <w:widowControl/>
              <w:numPr>
                <w:ilvl w:val="0"/>
                <w:numId w:val="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库存管理：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（1）提供批次管理功能，能够进行批次规则定义，区分不同批次的物资属性，实现精细化物资出库控制。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（2）提供快捷出库功能，可以在入库单上直接点击出库按钮，一键出库提高库存管理效率。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（3）提供采购入库、自制入库、其他入库、盘盈入库等多种入库管理模式，适应医共体实际库存业务情况。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（4）提供领用出库、其他出库、盘亏出库等多种出库管理模式，适应医共体实际库存业务情况。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（5）支持对物资进行分类细化管理，设立科室二级库、引入条形码支持。依靠二级库与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医嘱收费联用自动记账逐步达到收费耗材的实耗实销，完成一个闭环的管理模式。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（6）提供高值耗材代管入库功能，进行代管的高值耗材入库手续办理。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（7）提供仓库对供应商到货的物资进行验收入库。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（8）提供有现存量的物资，或对已入库尚未出库的物资进行退货处理。适用于因质量和有效期等问题，仓库需要将耗材退回供应商的业务处理流程。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（9）提供对已领用出库物料进行退回，记录领用退回物资的相关信息。适用于因质量和有效期等问题，科室需要将耗材退回仓库的业务处理流程。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（10）提供对仓库现有库存量进行物资领用出库，记录领用出库物资的相关信息。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（11）支持物资实际盘点数量的自动导入，自动进行盘点处理，生成盘盈盘亏单，提高物资盘点效率；提供二级库盘点功能，实现二级库的定期盘存，明确管理责权；</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移动盘点设备的接入，能够与移动盘点设备进行数据交换，实现移动盘点、查询。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（12）提供了库存月末关账及反关账功能。</w:t>
            </w:r>
          </w:p>
          <w:p w14:paraId="0B415A9F">
            <w:pPr>
              <w:widowControl/>
              <w:numPr>
                <w:ilvl w:val="0"/>
                <w:numId w:val="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追溯管理：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（1）能够与医嘱系统或者</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收费系统自动对接，高值耗材的收费、使用信息自动传递到系统内，实现高值耗材从入库、流转、到使用收费的全过程跟踪管理。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（2）提供高值耗材追踪表，能够追踪到每一个高值耗材的生产厂家、批次、入库、调拨、领用、使用、收费信息。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（3）提供对寄存业务模式的高值收费材料进行出库；数据来源可通过接口将系统外的数据传到该单据，自动形成收费出库单；也可进行手工录入收费出库信息。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（4）提供对寄存业务模式的高值收费材料进行退回；数据来源可通过接口将系统外的数据传到该单据，自动形成收费退回单；也可进行手工录入收费退回信息。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（5）提供对寄存业务的出库单按实际使用情况，按一定周期对各科室的消耗进行汇总后与供应商结算。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（6）提供对寄存业务模式的低值收费材料进行出库；数据来源可通过接口将系统外的数据传到该单据，自动形成收费出库单；也可进行手工录入收费出库信息。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（7）提供对寄存业务模式的低值收费材料进行退回；数据来源可通过接口将系统外的数据传到该单据，自动形成收费退回单；也可进行手工录入收费退回信息。</w:t>
            </w:r>
          </w:p>
          <w:p w14:paraId="43BC4BD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统计分析：系统所提供的报表包括系统内置的报表及用户自定义报表两类。其中系统内置报表包括：出入库流水表、出入库汇总表、收发存明细及汇总表、现存量报表、条码现存量报表、请购单执行情况表、采购订单执行情况表、消耗汇总查询表、库存转移表、条码跟踪表等。</w:t>
            </w:r>
          </w:p>
        </w:tc>
        <w:tc>
          <w:tcPr>
            <w:tcW w:w="708" w:type="dxa"/>
            <w:tcBorders>
              <w:top w:val="nil"/>
              <w:left w:val="nil"/>
              <w:bottom w:val="single" w:color="auto" w:sz="4" w:space="0"/>
              <w:right w:val="single" w:color="auto" w:sz="4" w:space="0"/>
            </w:tcBorders>
            <w:shd w:val="clear" w:color="auto" w:fill="auto"/>
            <w:vAlign w:val="center"/>
          </w:tcPr>
          <w:p w14:paraId="6E90296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785A166A">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150AC5C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6B417A79">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C719CD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597" w:type="dxa"/>
            <w:vMerge w:val="continue"/>
            <w:tcBorders>
              <w:top w:val="nil"/>
              <w:left w:val="single" w:color="auto" w:sz="4" w:space="0"/>
              <w:bottom w:val="single" w:color="auto" w:sz="4" w:space="0"/>
              <w:right w:val="single" w:color="auto" w:sz="4" w:space="0"/>
            </w:tcBorders>
            <w:vAlign w:val="center"/>
          </w:tcPr>
          <w:p w14:paraId="39287C12">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435E9885">
            <w:pPr>
              <w:widowControl/>
              <w:shd w:val="clear"/>
              <w:jc w:val="left"/>
              <w:rPr>
                <w:rFonts w:ascii="宋体" w:hAnsi="宋体" w:cs="宋体"/>
                <w:color w:val="000000"/>
                <w:kern w:val="0"/>
                <w:sz w:val="18"/>
                <w:szCs w:val="18"/>
                <w:highlight w:val="none"/>
              </w:rPr>
            </w:pPr>
          </w:p>
        </w:tc>
        <w:tc>
          <w:tcPr>
            <w:tcW w:w="786" w:type="dxa"/>
            <w:vMerge w:val="continue"/>
            <w:tcBorders>
              <w:top w:val="nil"/>
              <w:left w:val="single" w:color="auto" w:sz="4" w:space="0"/>
              <w:bottom w:val="single" w:color="auto" w:sz="4" w:space="0"/>
              <w:right w:val="single" w:color="auto" w:sz="4" w:space="0"/>
            </w:tcBorders>
            <w:vAlign w:val="center"/>
          </w:tcPr>
          <w:p w14:paraId="75C094AC">
            <w:pPr>
              <w:widowControl/>
              <w:shd w:val="clear"/>
              <w:jc w:val="left"/>
              <w:rPr>
                <w:rFonts w:ascii="宋体" w:hAnsi="宋体" w:cs="宋体"/>
                <w:color w:val="000000"/>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A16DCD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存货核算系统</w:t>
            </w:r>
          </w:p>
        </w:tc>
        <w:tc>
          <w:tcPr>
            <w:tcW w:w="8196" w:type="dxa"/>
            <w:tcBorders>
              <w:top w:val="nil"/>
              <w:left w:val="nil"/>
              <w:bottom w:val="single" w:color="auto" w:sz="4" w:space="0"/>
              <w:right w:val="single" w:color="auto" w:sz="4" w:space="0"/>
            </w:tcBorders>
            <w:shd w:val="clear" w:color="auto" w:fill="auto"/>
            <w:vAlign w:val="center"/>
          </w:tcPr>
          <w:p w14:paraId="22B7856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1、支持对物资入库成本、出库成本及库存物资进行价值核算。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2、支持存货按库存及库存+仓库的模式进行核算；支持存货计价方式的配置，包括：先进先出、个别计价、全月平均等。（提供功能截图证明材料）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3、支持暂估业务处理。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4、支持不同存货分类，选用不同的计价方式，且可以按批次进行核算。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5、支持库存期初数据的导入及库存期初记账。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6、支持按入库、出库单据自动计算存货出入库价格。</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7、支持月末存货成本的自动计算。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8、支持存货月结、取消结账。财务关账及取消关账等相关操作。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9、支持存货系统自动生成出入库、调拨、盘点等凭证，并传递到总账系统。</w:t>
            </w:r>
          </w:p>
        </w:tc>
        <w:tc>
          <w:tcPr>
            <w:tcW w:w="708" w:type="dxa"/>
            <w:tcBorders>
              <w:top w:val="nil"/>
              <w:left w:val="nil"/>
              <w:bottom w:val="single" w:color="auto" w:sz="4" w:space="0"/>
              <w:right w:val="single" w:color="auto" w:sz="4" w:space="0"/>
            </w:tcBorders>
            <w:shd w:val="clear" w:color="auto" w:fill="auto"/>
            <w:vAlign w:val="center"/>
          </w:tcPr>
          <w:p w14:paraId="1841410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189891C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834" w:type="dxa"/>
            <w:tcBorders>
              <w:top w:val="nil"/>
              <w:left w:val="nil"/>
              <w:bottom w:val="single" w:color="auto" w:sz="4" w:space="0"/>
              <w:right w:val="single" w:color="auto" w:sz="4" w:space="0"/>
            </w:tcBorders>
            <w:shd w:val="clear" w:color="auto" w:fill="auto"/>
            <w:vAlign w:val="center"/>
          </w:tcPr>
          <w:p w14:paraId="2E6A531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1F0C7E19">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9C0A71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23</w:t>
            </w:r>
          </w:p>
        </w:tc>
        <w:tc>
          <w:tcPr>
            <w:tcW w:w="597" w:type="dxa"/>
            <w:vMerge w:val="continue"/>
            <w:tcBorders>
              <w:top w:val="nil"/>
              <w:left w:val="single" w:color="auto" w:sz="4" w:space="0"/>
              <w:bottom w:val="single" w:color="auto" w:sz="4" w:space="0"/>
              <w:right w:val="single" w:color="auto" w:sz="4" w:space="0"/>
            </w:tcBorders>
            <w:vAlign w:val="center"/>
          </w:tcPr>
          <w:p w14:paraId="59BED3F5">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482989DA">
            <w:pPr>
              <w:widowControl/>
              <w:shd w:val="clear"/>
              <w:jc w:val="left"/>
              <w:rPr>
                <w:rFonts w:ascii="宋体" w:hAnsi="宋体" w:cs="宋体"/>
                <w:color w:val="000000"/>
                <w:kern w:val="0"/>
                <w:sz w:val="18"/>
                <w:szCs w:val="18"/>
                <w:highlight w:val="none"/>
              </w:rPr>
            </w:pPr>
          </w:p>
        </w:tc>
        <w:tc>
          <w:tcPr>
            <w:tcW w:w="786" w:type="dxa"/>
            <w:vMerge w:val="continue"/>
            <w:tcBorders>
              <w:top w:val="nil"/>
              <w:left w:val="single" w:color="auto" w:sz="4" w:space="0"/>
              <w:bottom w:val="single" w:color="auto" w:sz="4" w:space="0"/>
              <w:right w:val="single" w:color="auto" w:sz="4" w:space="0"/>
            </w:tcBorders>
            <w:vAlign w:val="center"/>
          </w:tcPr>
          <w:p w14:paraId="428E8AE2">
            <w:pPr>
              <w:widowControl/>
              <w:shd w:val="clear"/>
              <w:jc w:val="left"/>
              <w:rPr>
                <w:rFonts w:ascii="宋体" w:hAnsi="宋体" w:cs="宋体"/>
                <w:color w:val="000000"/>
                <w:kern w:val="0"/>
                <w:sz w:val="18"/>
                <w:szCs w:val="18"/>
                <w:highlight w:val="none"/>
              </w:rPr>
            </w:pPr>
          </w:p>
        </w:tc>
        <w:tc>
          <w:tcPr>
            <w:tcW w:w="851" w:type="dxa"/>
            <w:tcBorders>
              <w:top w:val="nil"/>
              <w:left w:val="single" w:color="auto" w:sz="4" w:space="0"/>
              <w:bottom w:val="single" w:color="auto" w:sz="4" w:space="0"/>
              <w:right w:val="single" w:color="auto" w:sz="4" w:space="0"/>
            </w:tcBorders>
            <w:shd w:val="clear" w:color="auto" w:fill="auto"/>
            <w:vAlign w:val="center"/>
          </w:tcPr>
          <w:p w14:paraId="455B87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人力资源管理系统</w:t>
            </w:r>
          </w:p>
        </w:tc>
        <w:tc>
          <w:tcPr>
            <w:tcW w:w="8196" w:type="dxa"/>
            <w:tcBorders>
              <w:top w:val="nil"/>
              <w:left w:val="nil"/>
              <w:bottom w:val="single" w:color="auto" w:sz="4" w:space="0"/>
              <w:right w:val="single" w:color="auto" w:sz="4" w:space="0"/>
            </w:tcBorders>
            <w:shd w:val="clear" w:color="auto" w:fill="auto"/>
            <w:vAlign w:val="center"/>
          </w:tcPr>
          <w:p w14:paraId="7F604D4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人力资源管理系统应具备并满足组织管理、职位管理、人员管理、人员调配、薪资管理、保险管理、合同管理、报表管理、表格工具、考勤上报管理、科室自助等业务和功能的要求。在满足构建全院完整的信息化管理平台同时，应预留有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、财务等系统实现系统集成对接，满足信息系统互联互通需要。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支持与医共体</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等临床系统实现对接，获取医生手术量，手术等级、病种CMI值等信息，多维度反映人员信息。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能够根据医共体要求灵活设置人员信息项，实现人员的多维度管理。</w:t>
            </w:r>
          </w:p>
          <w:p w14:paraId="368BC56F">
            <w:pPr>
              <w:widowControl/>
              <w:numPr>
                <w:ilvl w:val="0"/>
                <w:numId w:val="7"/>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人员管理：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按照管理权限，应满足卫健委及下属相关单位人员信息的全面管理，同时信息系统能够实现对在职员工、解聘员工、离退员工、调离员工等的人事信息集中管理，可随时跟踪在职人员、解聘人员、离退人员人事信息的变化情况，对员工的各类经历（学习经历、培训经历、工作经历等）以及从进入医共体到离职全生命周期的全面人力资源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（1）可以记录职工从入职到离职的全部信息，如基本信息、学习培训经历、历次职务职称变动、历次工资变动、岗位轮转信息、每月考勤信息、奖惩情况、考核情况等等，并支持附件上传。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（2）管理员或有权限的业务人员可根据需要对人员信息项目进行灵活的增加、修改、删除。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可从不同维度进行职工分类管理，如：按照用工形式分为在编人员、非在编人员、劳务派遣人员、返聘人员等；按照人员状态可分为在岗人员、离退休人员、进修培训人员，待岗人员、内退人员、待聘人员、调出人员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（4）能够对兼职人员进行管理。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（5）职工信息采集与维护中，支持对人员数据进行批量修改、增加、删除，支持表格的导入、导出功能。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（6）具有智能计算功能，如通过身份证自动计算出生日期、年龄、性别信息等。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（7）能自由调整单位或者科室的人员排列顺序。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（8）具有强大的检索、查询功能，能够实现任意符合格式的组合条件查询。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（9）支持历史信息查询，例如查询曾经任职过人事专员的人员等。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提供表格设计工具，既可自动生成预定义的各种报表，也可由用户自定义各类报表，轻松绘制或导入表样，取数条件定义简单，具有自动取数，自动校验，自动排版、打印输出等功能，业务用户可根据需要自行设计各种人事卡片，如职工履历表、干部任免表、各种证明等，并可根据需要导出表格、PDF、Word等多种格式，不需要二次开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（11）支持人员黑名单管理；支持院外人员管理。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能够对职工生日、转正、轮调、职称晋升、薪资晋档、退休、返聘等信息进行自动提醒，并且可以通过邮件、短信等方式提醒相关人员进行及时的处理。预警的内容、条件、时间等能由业务人员根据需要自行定义。预警信息能够直接与相关的业务模板进行关联，对预警出来的人员直接进行业务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（13）支持系统根据员工性别自动设置头像图标样式。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（14）支持在人员管理系统界面直接维护人员的各类信息。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（15）支持人力资源系统与其他业务模块的信息联动。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设置必填和非必填字段，类型配置以及修改方式如立即执行、到时间执行</w:t>
            </w:r>
            <w:r>
              <w:rPr>
                <w:rFonts w:hint="eastAsia" w:ascii="宋体" w:hAnsi="宋体" w:cs="宋体"/>
                <w:color w:val="000000"/>
                <w:kern w:val="0"/>
                <w:sz w:val="18"/>
                <w:szCs w:val="18"/>
                <w:highlight w:val="none"/>
                <w:lang w:val="en-US" w:eastAsia="zh-CN"/>
              </w:rPr>
              <w:t>和</w:t>
            </w:r>
            <w:r>
              <w:rPr>
                <w:rFonts w:hint="eastAsia" w:ascii="宋体" w:hAnsi="宋体" w:cs="宋体"/>
                <w:color w:val="000000"/>
                <w:kern w:val="0"/>
                <w:sz w:val="18"/>
                <w:szCs w:val="18"/>
                <w:highlight w:val="none"/>
              </w:rPr>
              <w:t>返回。</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（17）支持自助信息配置，直批、审批流设置，支持按字段按子集设置。</w:t>
            </w:r>
          </w:p>
          <w:p w14:paraId="2839C7B6">
            <w:pPr>
              <w:widowControl/>
              <w:numPr>
                <w:ilvl w:val="0"/>
                <w:numId w:val="7"/>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人员变动管理：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应满足员工通过招聘入职进入系统之后，所发生的一切调整变动的记录和过程管理，包括员工的岗位调整、部门调整、跨单位调动、职级变化以及不同类型的离职等等的业务处理。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（1）支持内部晋升、降职，辞职、调离、退休、交流、挂职、长期病假、脱产学习培训、待岗、停薪留职等人员异动的规范处理与结果自动归档。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（2）支持人员的调配、兼职、离职业务的申请、审批、执行，并将执行结果反馈到人员档案。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（3）能够由医共体灵活自行设计各种人员调配业务表单，能够基于表单设计调配前后业务规则，自动计算关联项，数据结果自动归档，满足对人员调配业务的规范办理与数据归档。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（4）审批流程可采用自动流转、手工指派等规则进行处理，满足不同的审批工作需要。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（5）工作流程处理，一个人员调配业务办理结束后，可以根据业务的关联关系，自动引发接下来的业务处理。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（6）系统可以通过站内信、邮件、短信等多种形式发起待办通知，提示工作人员及时处理相应流程，并可以对流程的审批进度实时监控。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（7）具有表单的输出、打印等功能，能够配合线下审批或存档应用。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（8）业务办理结束后能够将人员异动信息自动归档到人员信息子集中，无需手工再次录入。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（9）支持拟录用员工的预入职管理，待入职员工在入职前，可自行进入系统填写个人信息，并创建临时用户，以个人身份证号作为临时用户编码，初始化密码为临时用户密码，并支持设置开始日期及生效天数。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（10）支持动态、实时统计临时账号数量等信息。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（11）支持人员离退管理与离退工作移交、退休工作移交，并提供附件上传及流程审批功能。</w:t>
            </w:r>
          </w:p>
          <w:p w14:paraId="12391F4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3、薪资社保管理：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（1）医共体在编人员、非在编职工、返聘人员执行不同的工资管理体系。系统能够满足多种不同的工资结构。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（2）具有明确工资标准的工资项目，可以在系统自动生成。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（3）能对工资项目及其计算公式进行新增、修改、删除等操作。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（4）能够进行工资数据的批量导入、导出，便于引入系统外数据参与工资计算。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（5）对工资项目的运算结果要能够进行手工调整。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（6）可以维护职工银行账户信息，支持职工多账户的管理，可按工资、奖金等维护多套账户信息。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（7）工资发放支持多种形式，满足月薪制及一月多次发放等。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（8）满足医共体保险项目的增减需求，包括基本养老保险、医疗保险、失业保险、工伤保险、生育保险、补充医疗、住房公积金等。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（9）能够记录社保个人缴纳部分和单位缴纳部分的详细数据。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（10）根据工资发放的实际情况，统计工资总额并与缴费基数联动，用于社保基数的年度调整；基数及缴费额和各种补缴等工作能够支持系统自动记录，同时支持手工记录与调整。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（11）能够分部门、分人员类别、分社保项目导出明细表及汇总表，满足财务记账及成本核算的要求。</w:t>
            </w:r>
          </w:p>
        </w:tc>
        <w:tc>
          <w:tcPr>
            <w:tcW w:w="708" w:type="dxa"/>
            <w:tcBorders>
              <w:top w:val="nil"/>
              <w:left w:val="nil"/>
              <w:bottom w:val="single" w:color="auto" w:sz="4" w:space="0"/>
              <w:right w:val="single" w:color="auto" w:sz="4" w:space="0"/>
            </w:tcBorders>
            <w:shd w:val="clear" w:color="auto" w:fill="auto"/>
            <w:vAlign w:val="center"/>
          </w:tcPr>
          <w:p w14:paraId="46B787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70011BC1">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60000</w:t>
            </w:r>
          </w:p>
        </w:tc>
        <w:tc>
          <w:tcPr>
            <w:tcW w:w="834" w:type="dxa"/>
            <w:tcBorders>
              <w:top w:val="nil"/>
              <w:left w:val="nil"/>
              <w:bottom w:val="single" w:color="auto" w:sz="4" w:space="0"/>
              <w:right w:val="single" w:color="auto" w:sz="4" w:space="0"/>
            </w:tcBorders>
            <w:shd w:val="clear" w:color="auto" w:fill="auto"/>
            <w:vAlign w:val="center"/>
          </w:tcPr>
          <w:p w14:paraId="2BAE20E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2CC8CB0B">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0CF48DB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24</w:t>
            </w:r>
          </w:p>
        </w:tc>
        <w:tc>
          <w:tcPr>
            <w:tcW w:w="597" w:type="dxa"/>
            <w:vMerge w:val="continue"/>
            <w:tcBorders>
              <w:top w:val="nil"/>
              <w:left w:val="single" w:color="auto" w:sz="4" w:space="0"/>
              <w:bottom w:val="single" w:color="auto" w:sz="4" w:space="0"/>
              <w:right w:val="single" w:color="auto" w:sz="4" w:space="0"/>
            </w:tcBorders>
            <w:vAlign w:val="center"/>
          </w:tcPr>
          <w:p w14:paraId="45B41B35">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00230926">
            <w:pPr>
              <w:widowControl/>
              <w:shd w:val="clear"/>
              <w:jc w:val="left"/>
              <w:rPr>
                <w:rFonts w:ascii="宋体" w:hAnsi="宋体" w:cs="宋体"/>
                <w:color w:val="000000"/>
                <w:kern w:val="0"/>
                <w:sz w:val="18"/>
                <w:szCs w:val="18"/>
                <w:highlight w:val="none"/>
              </w:rPr>
            </w:pPr>
          </w:p>
        </w:tc>
        <w:tc>
          <w:tcPr>
            <w:tcW w:w="786" w:type="dxa"/>
            <w:vMerge w:val="continue"/>
            <w:tcBorders>
              <w:top w:val="nil"/>
              <w:left w:val="single" w:color="auto" w:sz="4" w:space="0"/>
              <w:bottom w:val="single" w:color="auto" w:sz="4" w:space="0"/>
              <w:right w:val="single" w:color="auto" w:sz="4" w:space="0"/>
            </w:tcBorders>
            <w:vAlign w:val="center"/>
          </w:tcPr>
          <w:p w14:paraId="3AA3CFA8">
            <w:pPr>
              <w:widowControl/>
              <w:shd w:val="clear"/>
              <w:jc w:val="left"/>
              <w:rPr>
                <w:rFonts w:ascii="宋体" w:hAnsi="宋体" w:cs="宋体"/>
                <w:color w:val="000000"/>
                <w:kern w:val="0"/>
                <w:sz w:val="18"/>
                <w:szCs w:val="18"/>
                <w:highlight w:val="none"/>
              </w:rPr>
            </w:pPr>
          </w:p>
        </w:tc>
        <w:tc>
          <w:tcPr>
            <w:tcW w:w="851" w:type="dxa"/>
            <w:tcBorders>
              <w:top w:val="nil"/>
              <w:left w:val="single" w:color="auto" w:sz="4" w:space="0"/>
              <w:bottom w:val="single" w:color="auto" w:sz="4" w:space="0"/>
              <w:right w:val="single" w:color="auto" w:sz="4" w:space="0"/>
            </w:tcBorders>
            <w:shd w:val="clear" w:color="auto" w:fill="auto"/>
            <w:vAlign w:val="center"/>
          </w:tcPr>
          <w:p w14:paraId="7E8B322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薪酬管理系统</w:t>
            </w:r>
          </w:p>
        </w:tc>
        <w:tc>
          <w:tcPr>
            <w:tcW w:w="8196" w:type="dxa"/>
            <w:tcBorders>
              <w:top w:val="nil"/>
              <w:left w:val="nil"/>
              <w:bottom w:val="single" w:color="auto" w:sz="4" w:space="0"/>
              <w:right w:val="single" w:color="auto" w:sz="4" w:space="0"/>
            </w:tcBorders>
            <w:shd w:val="clear" w:color="auto" w:fill="auto"/>
            <w:vAlign w:val="center"/>
          </w:tcPr>
          <w:p w14:paraId="0EAD1D9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将各类人员的工资、奖金、津贴、劳务费统一纳入系统内管理，完成工资、津贴等核算以及各类发放业务的过程管理，其中劳务费包括院内劳务费、院外劳务费等，实现多次发放、统一计税。前端与人员信息、考勤数据等联动，后端与总账、成本等系统联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1、基础设置：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（1）实现薪资核算期间的定义。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（2）实现设定薪资类别名称、选核算币种、进行扣税设置及选定税率表。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（3）实现定义所得税项目名称、扣零设置定义、是否参与月末制单、是否复审、是否参与预算、薪资审核方式、薪资变动取值方式等。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（4）薪资发放单元：即薪资发放时费用归属发放的单位，每个单元都对应一个平台的科室。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（5）薪资发放项目：用于确定某个薪资类别下所要采用的薪资项，并提供针对薪资项目的数据来源、是否扣税、结转设置、预警条件设置的定义功能。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（6）税率表：用来计算员工个人所得税的税率表；可定义是按年计税还是按月计税；支持费用类型默认以及多选，默认则在转单环节自动带出，多选内容为转单环节候选项。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（7）专项扣除：六项专项扣除，每个月导入医共体最新全部人员数据，使用身份证号+工号作为唯一标志。用于计税时专项扣除数。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薪资档案：从属于薪资类别的，每个薪资类别都有自己的薪资档案，如果要给某个员工发放工资，则必须将该员工加入到某个薪资类别的薪资档案中，薪资档案中存放的内容包括：员工编制类别（卫编、教编、非编、派遣）、员工薪资的发放状态、税率、代发银行及账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（9）薪资标准类别：</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在薪资标准类别下建立级别与档别，也可将薪资标准类别与人员属性相关联，自动匹配员工的人事属性值而给出应调整的薪资级</w:t>
            </w:r>
            <w:r>
              <w:rPr>
                <w:rFonts w:hint="eastAsia" w:ascii="宋体" w:hAnsi="宋体" w:cs="宋体"/>
                <w:color w:val="000000"/>
                <w:kern w:val="0"/>
                <w:sz w:val="18"/>
                <w:szCs w:val="18"/>
                <w:highlight w:val="none"/>
                <w:lang w:val="en-US" w:eastAsia="zh-CN"/>
              </w:rPr>
              <w:t>别</w:t>
            </w:r>
            <w:r>
              <w:rPr>
                <w:rFonts w:hint="eastAsia" w:ascii="宋体" w:hAnsi="宋体" w:cs="宋体"/>
                <w:color w:val="000000"/>
                <w:kern w:val="0"/>
                <w:sz w:val="18"/>
                <w:szCs w:val="18"/>
                <w:highlight w:val="none"/>
              </w:rPr>
              <w:t>及金额。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（10）薪资标准表：定义薪资标准类别中各个薪资级别、档别对应的金额或系数，支持薪资标准表的多版本记录。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（11）定调资管理：对员工的定调资信息进行查看、维护；支持直接进行薪资普调业务的处理；支持期初导入功能。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（12）退休人员管理：对到法定年限退休人员设置提醒机制，及时停发退休人员工资薪酬。</w:t>
            </w:r>
          </w:p>
          <w:p w14:paraId="5AB524E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2、智能发放计税：</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（1）工资计算：完成薪资项目数据的录入、薪资的计算、发放、审核等操作。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（2）工资计税：工资审核后将应税额传输到计税系统进行和其他发放类别的统一计税。</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（3）一次分配：用于院到科室的一次绩效分配。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（4）科室余额：查看科室项目分类下的余额，数据来源于一次分配和二次分配，用于控制科室发放。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（5）税务系统税额：能与税务系统做接口，直接上传工资薪金算税，不用再后期进行税额比对。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（6）在完成本期发放后进行结账处理（根据成本进行自动归集，自动生成凭证），结账同时生成下个月该类别的薪资发放数据。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（7）在发放人员劳务报酬时，识别填报的人员身份证号码与人名是否相符，直接计算出应扣税金额。</w:t>
            </w:r>
          </w:p>
          <w:p w14:paraId="75AA8BE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3、查询管理：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（1）可按月按人、科室、类别等查询个人各项收入的明细情况。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（2）查询奖金发放明细，用于与银行对账使用的。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（3）实现查询每人全年一次性收入。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（4）实现以科室的维度统计发放情况。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（5）可以查询所有人员的劳务报酬情况，用于上报税务局。</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（6）工资汇总表：工资按发放项目及科室分类进行汇总。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（7）公积金汇总表：查询公积金缴纳及汇总情况。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（8）工资科室汇总表：以科室及薪资项目的维度，灵活汇总工资发放情况。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（9）个税差异表：按月或按年查询HRP系统与税务局系统的个税差额。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（10）五险一金汇总表：查询五险及职业年金的缴纳及汇总情况。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（11）工会会费汇总表：工会会费汇总情况及科室分类、人员类别等维度查询与汇总。</w:t>
            </w:r>
          </w:p>
        </w:tc>
        <w:tc>
          <w:tcPr>
            <w:tcW w:w="708" w:type="dxa"/>
            <w:tcBorders>
              <w:top w:val="nil"/>
              <w:left w:val="nil"/>
              <w:bottom w:val="single" w:color="auto" w:sz="4" w:space="0"/>
              <w:right w:val="single" w:color="auto" w:sz="4" w:space="0"/>
            </w:tcBorders>
            <w:shd w:val="clear" w:color="auto" w:fill="auto"/>
            <w:vAlign w:val="center"/>
          </w:tcPr>
          <w:p w14:paraId="4468B89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485754E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c>
          <w:tcPr>
            <w:tcW w:w="834" w:type="dxa"/>
            <w:tcBorders>
              <w:top w:val="nil"/>
              <w:left w:val="nil"/>
              <w:bottom w:val="single" w:color="auto" w:sz="4" w:space="0"/>
              <w:right w:val="single" w:color="auto" w:sz="4" w:space="0"/>
            </w:tcBorders>
            <w:shd w:val="clear" w:color="auto" w:fill="auto"/>
            <w:vAlign w:val="center"/>
          </w:tcPr>
          <w:p w14:paraId="5335E2C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56BF9B05">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DC55E4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25</w:t>
            </w:r>
          </w:p>
        </w:tc>
        <w:tc>
          <w:tcPr>
            <w:tcW w:w="597" w:type="dxa"/>
            <w:vMerge w:val="continue"/>
            <w:tcBorders>
              <w:top w:val="nil"/>
              <w:left w:val="single" w:color="auto" w:sz="4" w:space="0"/>
              <w:bottom w:val="single" w:color="auto" w:sz="4" w:space="0"/>
              <w:right w:val="single" w:color="auto" w:sz="4" w:space="0"/>
            </w:tcBorders>
            <w:vAlign w:val="center"/>
          </w:tcPr>
          <w:p w14:paraId="04728089">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6037C819">
            <w:pPr>
              <w:widowControl/>
              <w:shd w:val="clear"/>
              <w:jc w:val="left"/>
              <w:rPr>
                <w:rFonts w:ascii="宋体" w:hAnsi="宋体" w:cs="宋体"/>
                <w:color w:val="000000"/>
                <w:kern w:val="0"/>
                <w:sz w:val="18"/>
                <w:szCs w:val="18"/>
                <w:highlight w:val="none"/>
              </w:rPr>
            </w:pPr>
          </w:p>
        </w:tc>
        <w:tc>
          <w:tcPr>
            <w:tcW w:w="786" w:type="dxa"/>
            <w:vMerge w:val="continue"/>
            <w:tcBorders>
              <w:top w:val="nil"/>
              <w:left w:val="single" w:color="auto" w:sz="4" w:space="0"/>
              <w:bottom w:val="single" w:color="auto" w:sz="4" w:space="0"/>
              <w:right w:val="single" w:color="auto" w:sz="4" w:space="0"/>
            </w:tcBorders>
            <w:vAlign w:val="center"/>
          </w:tcPr>
          <w:p w14:paraId="4979E266">
            <w:pPr>
              <w:widowControl/>
              <w:shd w:val="clear"/>
              <w:jc w:val="left"/>
              <w:rPr>
                <w:rFonts w:ascii="宋体" w:hAnsi="宋体" w:cs="宋体"/>
                <w:color w:val="000000"/>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3951F2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移动HRP</w:t>
            </w:r>
          </w:p>
        </w:tc>
        <w:tc>
          <w:tcPr>
            <w:tcW w:w="8196" w:type="dxa"/>
            <w:tcBorders>
              <w:top w:val="nil"/>
              <w:left w:val="nil"/>
              <w:bottom w:val="single" w:color="auto" w:sz="4" w:space="0"/>
              <w:right w:val="single" w:color="auto" w:sz="4" w:space="0"/>
            </w:tcBorders>
            <w:shd w:val="clear" w:color="auto" w:fill="auto"/>
            <w:vAlign w:val="center"/>
          </w:tcPr>
          <w:p w14:paraId="6729905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1、通过移动服务端查看本人权限范围内职工信息，支持各类自助打印，包括在职证明等。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2、通过移动服务</w:t>
            </w:r>
            <w:r>
              <w:rPr>
                <w:rFonts w:hint="eastAsia" w:ascii="宋体" w:hAnsi="宋体" w:cs="宋体"/>
                <w:color w:val="000000"/>
                <w:kern w:val="0"/>
                <w:sz w:val="18"/>
                <w:szCs w:val="18"/>
                <w:highlight w:val="none"/>
                <w:lang w:val="en-US" w:eastAsia="zh-CN"/>
              </w:rPr>
              <w:t>端</w:t>
            </w:r>
            <w:r>
              <w:rPr>
                <w:rFonts w:hint="eastAsia" w:ascii="宋体" w:hAnsi="宋体" w:cs="宋体"/>
                <w:color w:val="000000"/>
                <w:kern w:val="0"/>
                <w:sz w:val="18"/>
                <w:szCs w:val="18"/>
                <w:highlight w:val="none"/>
              </w:rPr>
              <w:t>完成各项业务审批，查询审批进度。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3、提供职工薪资福利查询以及个税附加申报信息修改和调整。</w:t>
            </w:r>
          </w:p>
        </w:tc>
        <w:tc>
          <w:tcPr>
            <w:tcW w:w="708" w:type="dxa"/>
            <w:tcBorders>
              <w:top w:val="nil"/>
              <w:left w:val="nil"/>
              <w:bottom w:val="single" w:color="auto" w:sz="4" w:space="0"/>
              <w:right w:val="single" w:color="auto" w:sz="4" w:space="0"/>
            </w:tcBorders>
            <w:shd w:val="clear" w:color="auto" w:fill="auto"/>
            <w:vAlign w:val="center"/>
          </w:tcPr>
          <w:p w14:paraId="583E5E1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277772F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24000</w:t>
            </w:r>
          </w:p>
        </w:tc>
        <w:tc>
          <w:tcPr>
            <w:tcW w:w="834" w:type="dxa"/>
            <w:tcBorders>
              <w:top w:val="nil"/>
              <w:left w:val="nil"/>
              <w:bottom w:val="single" w:color="auto" w:sz="4" w:space="0"/>
              <w:right w:val="single" w:color="auto" w:sz="4" w:space="0"/>
            </w:tcBorders>
            <w:shd w:val="clear" w:color="auto" w:fill="auto"/>
            <w:vAlign w:val="center"/>
          </w:tcPr>
          <w:p w14:paraId="7525CCC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24000</w:t>
            </w:r>
          </w:p>
        </w:tc>
      </w:tr>
      <w:tr w14:paraId="4701C3DF">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C13E34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26</w:t>
            </w:r>
          </w:p>
        </w:tc>
        <w:tc>
          <w:tcPr>
            <w:tcW w:w="597" w:type="dxa"/>
            <w:vMerge w:val="continue"/>
            <w:tcBorders>
              <w:top w:val="nil"/>
              <w:left w:val="single" w:color="auto" w:sz="4" w:space="0"/>
              <w:bottom w:val="single" w:color="auto" w:sz="4" w:space="0"/>
              <w:right w:val="single" w:color="auto" w:sz="4" w:space="0"/>
            </w:tcBorders>
            <w:vAlign w:val="center"/>
          </w:tcPr>
          <w:p w14:paraId="5FCCC058">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1F0F849A">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5669CC4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集中审方系统</w:t>
            </w:r>
          </w:p>
        </w:tc>
        <w:tc>
          <w:tcPr>
            <w:tcW w:w="9047" w:type="dxa"/>
            <w:gridSpan w:val="2"/>
            <w:tcBorders>
              <w:top w:val="nil"/>
              <w:left w:val="nil"/>
              <w:bottom w:val="single" w:color="auto" w:sz="4" w:space="0"/>
              <w:right w:val="single" w:color="auto" w:sz="4" w:space="0"/>
            </w:tcBorders>
            <w:shd w:val="clear" w:color="auto" w:fill="auto"/>
            <w:vAlign w:val="center"/>
          </w:tcPr>
          <w:p w14:paraId="55BB54B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1、处方数据管理：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（1）提供接口对接上传功能，支持与各基层医疗机构的</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系统无缝连接，</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处方数据能够安全、稳定地传输，实现数据加密传输机制，保障处方数据在传输过程中的安全性，提供详细的接口文档和技术支持，帮助医疗机构顺利完成接口对接。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（2）提供人工录入功能，开发用户友好的处方信息录入界面，简化操作流程，使不具备接口对接条件的医疗机构也能方便地录入处方数据，提供必要的字段验证和提示，</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录入数据的准确性和完整性。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（3）提供接收并处理来自医疗机构的审方结果的功能，</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这些信息可以被正确归档或用于后续处理，支持多种格式的结果反馈。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2、审方决策支持：与国家级医学或药物研究机构合作，构建全面且权威的药物知识图谱，定期更新知识图谱内容，</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其准确性、时效性及权威性。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智能审方：基于药物知识图谱，开发智能化审核算法，自动检测处方中可能存在的用药冲突或其他不适宜情况，根据预设规则和逻辑，系统自动完成处方的初步审核，并生成审核报告，对于复杂的案例或系统不确定的情况，提供人工复核入口，允许药剂师或其他授权人员进行最终确认或修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4、数据收集与分析：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（1）提供反馈收集机制，鼓励用户提交对于智能审方结果的意见和建议，为持续优化审方算法和服务质量提供依据，分析用户反馈，识别常见问题和改进点，推动系统迭代升级。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（2）构建统一的数据仓库，集中存储来自不同来源的处方审核和药品管理数据。</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数据的一致性和可访问性，便于后续的分析和利用。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开发一系列数据分析工具：涵盖合格率分析、规范性分析、用药合理性及安全性分析、经济性分析、不合格处方类型统计以及合格率变化趋势分析等功能，提供可视化报表和图表，直观展示分析结果，辅助管理者做出更明智的决策。</w:t>
            </w:r>
          </w:p>
        </w:tc>
        <w:tc>
          <w:tcPr>
            <w:tcW w:w="708" w:type="dxa"/>
            <w:tcBorders>
              <w:top w:val="nil"/>
              <w:left w:val="nil"/>
              <w:bottom w:val="single" w:color="auto" w:sz="4" w:space="0"/>
              <w:right w:val="single" w:color="auto" w:sz="4" w:space="0"/>
            </w:tcBorders>
            <w:shd w:val="clear" w:color="auto" w:fill="auto"/>
            <w:vAlign w:val="center"/>
          </w:tcPr>
          <w:p w14:paraId="51B9EAC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7C2730B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210000</w:t>
            </w:r>
          </w:p>
        </w:tc>
        <w:tc>
          <w:tcPr>
            <w:tcW w:w="834" w:type="dxa"/>
            <w:tcBorders>
              <w:top w:val="nil"/>
              <w:left w:val="nil"/>
              <w:bottom w:val="single" w:color="auto" w:sz="4" w:space="0"/>
              <w:right w:val="single" w:color="auto" w:sz="4" w:space="0"/>
            </w:tcBorders>
            <w:shd w:val="clear" w:color="auto" w:fill="auto"/>
            <w:vAlign w:val="center"/>
          </w:tcPr>
          <w:p w14:paraId="5058202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210000</w:t>
            </w:r>
          </w:p>
        </w:tc>
      </w:tr>
      <w:tr w14:paraId="51A4F9A1">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5907449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27</w:t>
            </w:r>
          </w:p>
        </w:tc>
        <w:tc>
          <w:tcPr>
            <w:tcW w:w="597" w:type="dxa"/>
            <w:vMerge w:val="continue"/>
            <w:tcBorders>
              <w:top w:val="nil"/>
              <w:left w:val="single" w:color="auto" w:sz="4" w:space="0"/>
              <w:bottom w:val="single" w:color="auto" w:sz="4" w:space="0"/>
              <w:right w:val="single" w:color="auto" w:sz="4" w:space="0"/>
            </w:tcBorders>
            <w:vAlign w:val="center"/>
          </w:tcPr>
          <w:p w14:paraId="0ACFD2A1">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14A172F5">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682D331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慢病管理系统</w:t>
            </w:r>
          </w:p>
        </w:tc>
        <w:tc>
          <w:tcPr>
            <w:tcW w:w="9047" w:type="dxa"/>
            <w:gridSpan w:val="2"/>
            <w:tcBorders>
              <w:top w:val="nil"/>
              <w:left w:val="nil"/>
              <w:bottom w:val="single" w:color="auto" w:sz="4" w:space="0"/>
              <w:right w:val="single" w:color="auto" w:sz="4" w:space="0"/>
            </w:tcBorders>
            <w:shd w:val="clear" w:color="auto" w:fill="auto"/>
            <w:vAlign w:val="center"/>
          </w:tcPr>
          <w:p w14:paraId="4B934DD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维护各个慢(特)病的用药范围，患者有多个慢(特)病的情况，用药范围取决于本次就诊时医生选择的病种。医生不选择任何病种的情况下，患者的各个病种对应的药品都可以使用。具体系统功能需包括：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1、慢特病维护：慢特病字典信息维护，主要维护病种编码、名称、病种限额等信息。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人员病种维护：维护定点的慢(特)病患者对应的病种信息；可以维护患者的月度限额以及各个病种的限额，限额优先级高于病种维护界面。如果患者的慢特病信息可以通过读取医保卡获得，不需要手工维护，只需要在读卡的时候同步更新即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3、慢特病用药范围维护：维护各个慢(特)病的用药范围，患者有多个慢(特)病的情况，用药范围取决于当次就诊时医生选择的病种。医生不选择任何病种的情况下，患者的各个病种对应的药品都可以使用。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4、慢特病认定：提供给医生的慢病认定、申请功能。患者就诊前没有慢特病的待遇，可以由医生发起慢特病的认定和申请功能。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5、慢特病审批：医生认定患者为慢(特)病患者的情况下，医保办审批通过并在当地医保中心备案后，患者就可以定点到当前医疗机构，进行后续的治疗。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定点患者信息维护：通常情况下，慢特病患者都是定点到特定的医疗机构进行治疗的，此功能用来维护到本医疗机构的慢特病患者信息。如果患者的慢特病信息可以通过读卡获取，只需要在读卡的时候同步患者信息即可。用来导入或者维护系统上线前已经定点到本医疗机构的患者信息。</w:t>
            </w:r>
          </w:p>
        </w:tc>
        <w:tc>
          <w:tcPr>
            <w:tcW w:w="708" w:type="dxa"/>
            <w:tcBorders>
              <w:top w:val="nil"/>
              <w:left w:val="nil"/>
              <w:bottom w:val="single" w:color="auto" w:sz="4" w:space="0"/>
              <w:right w:val="single" w:color="auto" w:sz="4" w:space="0"/>
            </w:tcBorders>
            <w:shd w:val="clear" w:color="auto" w:fill="auto"/>
            <w:vAlign w:val="center"/>
          </w:tcPr>
          <w:p w14:paraId="0D9C1F2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0C7571B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273C33E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09D217FD">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0F351D8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28</w:t>
            </w:r>
          </w:p>
        </w:tc>
        <w:tc>
          <w:tcPr>
            <w:tcW w:w="597" w:type="dxa"/>
            <w:vMerge w:val="continue"/>
            <w:tcBorders>
              <w:top w:val="nil"/>
              <w:left w:val="single" w:color="auto" w:sz="4" w:space="0"/>
              <w:bottom w:val="single" w:color="auto" w:sz="4" w:space="0"/>
              <w:right w:val="single" w:color="auto" w:sz="4" w:space="0"/>
            </w:tcBorders>
            <w:vAlign w:val="center"/>
          </w:tcPr>
          <w:p w14:paraId="7D175581">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73154F8C">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6E1F4CD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健康随访系统</w:t>
            </w:r>
          </w:p>
        </w:tc>
        <w:tc>
          <w:tcPr>
            <w:tcW w:w="9047" w:type="dxa"/>
            <w:gridSpan w:val="2"/>
            <w:tcBorders>
              <w:top w:val="nil"/>
              <w:left w:val="nil"/>
              <w:bottom w:val="single" w:color="auto" w:sz="4" w:space="0"/>
              <w:right w:val="single" w:color="auto" w:sz="4" w:space="0"/>
            </w:tcBorders>
            <w:shd w:val="clear" w:color="auto" w:fill="auto"/>
            <w:vAlign w:val="center"/>
          </w:tcPr>
          <w:p w14:paraId="56020C3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应用于医共体端对曾在各医院就诊的病人以通讯或其他的方式，进行定期了解患者病情变化和指导患者康复。具体系统功能需包括：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1、定制随访计划：操作员根据条件筛选出需要的病人样本，指定随访人、随访时间和随访问卷，对所选病人批量定制随访计划。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（1）筛选病人样本：病人类型支持门诊、急诊、在院、出院、体检等</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（2）查询条件支持就诊号、住院号、姓名、性别、院区、开始日期、结束日期、科室、出院诊断、年龄范围、住院天数等。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2、定制随访计划：支持随访问卷的多选、删除；支持根据ICD诊断和病人科室自动定制随访计划；支持离线随访，可导出某段时间内的随访计划，随访完成后可将随访结果导入系统。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3、随访记录：操作员选中某一条随访计划，点击拨号，根据展现的随访内容和病人电话沟通，记录问卷内容并保存。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（1）电话随访：支持自动拨号及录音。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（2）问卷录入：自动展示患者随访计划的问卷内容，操作员勾选保存即可。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4、随访工作量和分析：可根据随访问卷记录情况，统计随访人员的工作量和患者满意度分析等。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（1）随访工作量统计：可按随访日期段、随访人、随访问卷、联系情况、病人类型查询这段时间操作员的工作量及随访率，制作工作量报表。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（2）患者满意度分析：可按随访时间段、病人科室、随访问卷具体内容（如满意程度、病人意见及建议等）查询满意度，制作满意度分析报表。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5、患者病历浏览：可调阅查看患者的临床病历数据，整合随访与临床数据信息等。</w:t>
            </w:r>
          </w:p>
        </w:tc>
        <w:tc>
          <w:tcPr>
            <w:tcW w:w="708" w:type="dxa"/>
            <w:tcBorders>
              <w:top w:val="nil"/>
              <w:left w:val="nil"/>
              <w:bottom w:val="single" w:color="auto" w:sz="4" w:space="0"/>
              <w:right w:val="single" w:color="auto" w:sz="4" w:space="0"/>
            </w:tcBorders>
            <w:shd w:val="clear" w:color="auto" w:fill="auto"/>
            <w:vAlign w:val="center"/>
          </w:tcPr>
          <w:p w14:paraId="3FDD640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59DF689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834" w:type="dxa"/>
            <w:tcBorders>
              <w:top w:val="nil"/>
              <w:left w:val="nil"/>
              <w:bottom w:val="single" w:color="auto" w:sz="4" w:space="0"/>
              <w:right w:val="single" w:color="auto" w:sz="4" w:space="0"/>
            </w:tcBorders>
            <w:shd w:val="clear" w:color="auto" w:fill="auto"/>
            <w:vAlign w:val="center"/>
          </w:tcPr>
          <w:p w14:paraId="456E0A3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6E4D6149">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0FB5894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29</w:t>
            </w:r>
          </w:p>
        </w:tc>
        <w:tc>
          <w:tcPr>
            <w:tcW w:w="597" w:type="dxa"/>
            <w:vMerge w:val="continue"/>
            <w:tcBorders>
              <w:top w:val="nil"/>
              <w:left w:val="single" w:color="auto" w:sz="4" w:space="0"/>
              <w:bottom w:val="single" w:color="auto" w:sz="4" w:space="0"/>
              <w:right w:val="single" w:color="auto" w:sz="4" w:space="0"/>
            </w:tcBorders>
            <w:vAlign w:val="center"/>
          </w:tcPr>
          <w:p w14:paraId="7FFC23D8">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6D35A7A1">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27A8F24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药品配供系统</w:t>
            </w:r>
          </w:p>
        </w:tc>
        <w:tc>
          <w:tcPr>
            <w:tcW w:w="9047" w:type="dxa"/>
            <w:gridSpan w:val="2"/>
            <w:tcBorders>
              <w:top w:val="nil"/>
              <w:left w:val="nil"/>
              <w:bottom w:val="single" w:color="auto" w:sz="4" w:space="0"/>
              <w:right w:val="single" w:color="auto" w:sz="4" w:space="0"/>
            </w:tcBorders>
            <w:shd w:val="clear" w:color="auto" w:fill="auto"/>
            <w:vAlign w:val="center"/>
          </w:tcPr>
          <w:p w14:paraId="7E5F128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药品管理配送系统实现对药品基础信息、药品价格、药品出入库、药品报损、药品盘点、库存，配送情况进行管理，以最小资金占用保证临床的药品供应。具体系统功能需包括：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1、药品信息维护：维护药品的基础字典信息，用于临床开药品医嘱、护士执行医嘱、药房发药、药品医嘱收费、医保报销等药品基础数据维护。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2、调价：因政策原因或者采购价格变化等原因对药品进行价格的调整管理，可以由审核人审核调价信息，可以按约定生效日期自动生效。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3、入库：以批次管理为模式，对药品的入库（可以实现扫码入库）管理，入库时记录入库采购的供应企业、发票信息、药品品种、数量、批号有效期等信息，入库时生成系统的药品批次和库存。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4、出库：根据药房或者临床科室的请领单信息，进行药品的出库管理，出库是按照药品批次进行减库存。也可以由药库手工建出库单，审核人员审核出库后完成药库的出库，接收科室验货后进行转移入库审核。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5、报损：因药品过期、破损等原因需要进行统一报损，由药库人员按照药品品种、报损数量、报损批次进行报损管理，报损后减药品库存。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6、盘点：在月底或者季度末、年末，药库进行药品的盘点，比对药品的系统账面数和实物数量，按实物数量调整药品的库存到账面，生成盘点的盈亏损益报表。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7、多库房管理：</w:t>
            </w:r>
            <w:r>
              <w:rPr>
                <w:rFonts w:hint="eastAsia" w:ascii="宋体" w:hAnsi="宋体" w:cs="宋体"/>
                <w:color w:val="000000"/>
                <w:kern w:val="0"/>
                <w:sz w:val="18"/>
                <w:szCs w:val="18"/>
                <w:highlight w:val="none"/>
                <w:lang w:val="en-US" w:eastAsia="zh-CN"/>
              </w:rPr>
              <w:t>支</w:t>
            </w:r>
            <w:r>
              <w:rPr>
                <w:rFonts w:hint="eastAsia" w:ascii="宋体" w:hAnsi="宋体" w:cs="宋体"/>
                <w:color w:val="000000"/>
                <w:kern w:val="0"/>
                <w:sz w:val="18"/>
                <w:szCs w:val="18"/>
                <w:highlight w:val="none"/>
              </w:rPr>
              <w:t>持设置多个药品库房，以及自定义药品在库房之间的流向，可自定义药库、药房等各级包装单位及其换算关系。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8、</w:t>
            </w:r>
            <w:r>
              <w:rPr>
                <w:rFonts w:hint="eastAsia" w:ascii="宋体" w:hAnsi="宋体" w:cs="宋体"/>
                <w:color w:val="000000"/>
                <w:kern w:val="0"/>
                <w:sz w:val="18"/>
                <w:szCs w:val="18"/>
                <w:highlight w:val="none"/>
              </w:rPr>
              <w:t>有效期管理：提供药品的有效期管理、可统计过期药品或即将过期药品明细，并有库存量提示功能。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9</w:t>
            </w:r>
            <w:r>
              <w:rPr>
                <w:rFonts w:hint="eastAsia" w:ascii="宋体" w:hAnsi="宋体" w:cs="宋体"/>
                <w:color w:val="000000"/>
                <w:kern w:val="0"/>
                <w:sz w:val="18"/>
                <w:szCs w:val="18"/>
                <w:highlight w:val="none"/>
              </w:rPr>
              <w:t>、呆滞管理：对长时间不用的药品定义为呆滞药品，统计出呆滞药品后可以进行相应的退货处理。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10</w:t>
            </w:r>
            <w:r>
              <w:rPr>
                <w:rFonts w:hint="eastAsia" w:ascii="宋体" w:hAnsi="宋体" w:cs="宋体"/>
                <w:color w:val="000000"/>
                <w:kern w:val="0"/>
                <w:sz w:val="18"/>
                <w:szCs w:val="18"/>
                <w:highlight w:val="none"/>
              </w:rPr>
              <w:t>、动销管理：可以查询出一段时间内在用的品种，并可查询出相应的用量，进而判断药品库存的活性，是否需要备货采购等。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1</w:t>
            </w:r>
            <w:r>
              <w:rPr>
                <w:rFonts w:hint="eastAsia" w:ascii="宋体" w:hAnsi="宋体" w:cs="宋体"/>
                <w:color w:val="000000"/>
                <w:kern w:val="0"/>
                <w:sz w:val="18"/>
                <w:szCs w:val="18"/>
                <w:highlight w:val="none"/>
              </w:rPr>
              <w:t>、入库统计：按日期段、按供应商、按药品各种分类、按药品品种等汇总药品的采购入库和退药等情况，可用于财务报表的统计、医院领导需要查看的报表等等。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2</w:t>
            </w:r>
            <w:r>
              <w:rPr>
                <w:rFonts w:hint="eastAsia" w:ascii="宋体" w:hAnsi="宋体" w:cs="宋体"/>
                <w:color w:val="000000"/>
                <w:kern w:val="0"/>
                <w:sz w:val="18"/>
                <w:szCs w:val="18"/>
                <w:highlight w:val="none"/>
              </w:rPr>
              <w:t>、出库统计：按日期段、按接收科室、按药品各种分类、按药品品种等汇总药品的出库情况，用</w:t>
            </w:r>
            <w:r>
              <w:rPr>
                <w:rFonts w:hint="eastAsia" w:ascii="宋体" w:hAnsi="宋体" w:cs="宋体"/>
                <w:color w:val="000000"/>
                <w:kern w:val="0"/>
                <w:sz w:val="18"/>
                <w:szCs w:val="18"/>
                <w:highlight w:val="none"/>
                <w:lang w:val="en-US" w:eastAsia="zh-CN"/>
              </w:rPr>
              <w:t>以</w:t>
            </w:r>
            <w:r>
              <w:rPr>
                <w:rFonts w:hint="eastAsia" w:ascii="宋体" w:hAnsi="宋体" w:cs="宋体"/>
                <w:color w:val="000000"/>
                <w:kern w:val="0"/>
                <w:sz w:val="18"/>
                <w:szCs w:val="18"/>
                <w:highlight w:val="none"/>
              </w:rPr>
              <w:t>查看常用的报表、财务上报的报表等。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3</w:t>
            </w:r>
            <w:r>
              <w:rPr>
                <w:rFonts w:hint="eastAsia" w:ascii="宋体" w:hAnsi="宋体" w:cs="宋体"/>
                <w:color w:val="000000"/>
                <w:kern w:val="0"/>
                <w:sz w:val="18"/>
                <w:szCs w:val="18"/>
                <w:highlight w:val="none"/>
              </w:rPr>
              <w:t>、月报管理：按财务要求生成每个月的月报，月报生成时间可以根据实际业务需要随时生成，对有问题的月报也可以</w:t>
            </w:r>
            <w:r>
              <w:rPr>
                <w:rFonts w:hint="eastAsia" w:ascii="宋体" w:hAnsi="宋体" w:cs="宋体"/>
                <w:color w:val="000000"/>
                <w:kern w:val="0"/>
                <w:sz w:val="18"/>
                <w:szCs w:val="18"/>
                <w:highlight w:val="none"/>
                <w:lang w:val="en-US" w:eastAsia="zh-CN"/>
              </w:rPr>
              <w:t>修改</w:t>
            </w:r>
            <w:r>
              <w:rPr>
                <w:rFonts w:hint="eastAsia" w:ascii="宋体" w:hAnsi="宋体" w:cs="宋体"/>
                <w:color w:val="000000"/>
                <w:kern w:val="0"/>
                <w:sz w:val="18"/>
                <w:szCs w:val="18"/>
                <w:highlight w:val="none"/>
              </w:rPr>
              <w:t>重新生成。</w:t>
            </w:r>
            <w:r>
              <w:rPr>
                <w:rFonts w:hint="eastAsia" w:ascii="宋体" w:hAnsi="宋体" w:cs="宋体"/>
                <w:color w:val="000000"/>
                <w:kern w:val="0"/>
                <w:sz w:val="18"/>
                <w:szCs w:val="18"/>
                <w:highlight w:val="none"/>
                <w:lang w:val="en-US" w:eastAsia="zh-CN"/>
              </w:rPr>
              <w:t>月</w:t>
            </w:r>
            <w:r>
              <w:rPr>
                <w:rFonts w:hint="eastAsia" w:ascii="宋体" w:hAnsi="宋体" w:cs="宋体"/>
                <w:color w:val="000000"/>
                <w:kern w:val="0"/>
                <w:sz w:val="18"/>
                <w:szCs w:val="18"/>
                <w:highlight w:val="none"/>
              </w:rPr>
              <w:t>报生成后，可以查询一段时间内的</w:t>
            </w:r>
            <w:r>
              <w:rPr>
                <w:rFonts w:hint="eastAsia" w:ascii="宋体" w:hAnsi="宋体" w:cs="宋体"/>
                <w:color w:val="000000"/>
                <w:kern w:val="0"/>
                <w:sz w:val="18"/>
                <w:szCs w:val="18"/>
                <w:highlight w:val="none"/>
                <w:lang w:val="en-US" w:eastAsia="zh-CN"/>
              </w:rPr>
              <w:t>月</w:t>
            </w:r>
            <w:r>
              <w:rPr>
                <w:rFonts w:hint="eastAsia" w:ascii="宋体" w:hAnsi="宋体" w:cs="宋体"/>
                <w:color w:val="000000"/>
                <w:kern w:val="0"/>
                <w:sz w:val="18"/>
                <w:szCs w:val="18"/>
                <w:highlight w:val="none"/>
              </w:rPr>
              <w:t>报情况，按照财务要求的月报表格式输出打印报表。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4</w:t>
            </w:r>
            <w:r>
              <w:rPr>
                <w:rFonts w:hint="eastAsia" w:ascii="宋体" w:hAnsi="宋体" w:cs="宋体"/>
                <w:color w:val="000000"/>
                <w:kern w:val="0"/>
                <w:sz w:val="18"/>
                <w:szCs w:val="18"/>
                <w:highlight w:val="none"/>
              </w:rPr>
              <w:t>、药品配送：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（1）普通药品配送：药库管理药师会根据各单位需要的药品数量，通过内部的物流系统将药品送达到各单位。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（2）冷链药品配送：一些特殊的药品，如生物制剂或需要冷藏保存的药品需要在配送过程中保持恒温。冷链药品配送方案通过专门设计的冷藏设备和温度监控系统，</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药品在配送过程中保持适宜的温度。</w:t>
            </w:r>
          </w:p>
        </w:tc>
        <w:tc>
          <w:tcPr>
            <w:tcW w:w="708" w:type="dxa"/>
            <w:tcBorders>
              <w:top w:val="nil"/>
              <w:left w:val="nil"/>
              <w:bottom w:val="single" w:color="auto" w:sz="4" w:space="0"/>
              <w:right w:val="single" w:color="auto" w:sz="4" w:space="0"/>
            </w:tcBorders>
            <w:shd w:val="clear" w:color="auto" w:fill="auto"/>
            <w:vAlign w:val="center"/>
          </w:tcPr>
          <w:p w14:paraId="0B3D19C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165E12FF">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834" w:type="dxa"/>
            <w:tcBorders>
              <w:top w:val="nil"/>
              <w:left w:val="nil"/>
              <w:bottom w:val="single" w:color="auto" w:sz="4" w:space="0"/>
              <w:right w:val="single" w:color="auto" w:sz="4" w:space="0"/>
            </w:tcBorders>
            <w:shd w:val="clear" w:color="auto" w:fill="auto"/>
            <w:vAlign w:val="center"/>
          </w:tcPr>
          <w:p w14:paraId="46F3CD0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535B9FF1">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1968DA1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30</w:t>
            </w:r>
          </w:p>
        </w:tc>
        <w:tc>
          <w:tcPr>
            <w:tcW w:w="597" w:type="dxa"/>
            <w:vMerge w:val="continue"/>
            <w:tcBorders>
              <w:top w:val="nil"/>
              <w:left w:val="single" w:color="auto" w:sz="4" w:space="0"/>
              <w:bottom w:val="single" w:color="auto" w:sz="4" w:space="0"/>
              <w:right w:val="single" w:color="auto" w:sz="4" w:space="0"/>
            </w:tcBorders>
            <w:vAlign w:val="center"/>
          </w:tcPr>
          <w:p w14:paraId="2CBB90DB">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5AFB7DDF">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7BD7503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医保管理接口</w:t>
            </w:r>
          </w:p>
        </w:tc>
        <w:tc>
          <w:tcPr>
            <w:tcW w:w="9047" w:type="dxa"/>
            <w:gridSpan w:val="2"/>
            <w:tcBorders>
              <w:top w:val="nil"/>
              <w:left w:val="nil"/>
              <w:bottom w:val="single" w:color="auto" w:sz="4" w:space="0"/>
              <w:right w:val="single" w:color="auto" w:sz="4" w:space="0"/>
            </w:tcBorders>
            <w:shd w:val="clear" w:color="auto" w:fill="auto"/>
            <w:vAlign w:val="center"/>
          </w:tcPr>
          <w:p w14:paraId="7BFF0CF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1、医保对照：医保诊疗项目信息对照。医保药品项目信息对照。医保费用类别对照等医保中心项目同医院本地项目的对照管理。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2、医保对账：结合当地医保特点，本地和医保中心账目进行核对。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3、待遇计算：根据当地医保情况，采用动态库调用，数据交换，本地计算等方式将待遇计算无缝的嵌入到各个收退费等医保相关模块中。</w:t>
            </w:r>
          </w:p>
        </w:tc>
        <w:tc>
          <w:tcPr>
            <w:tcW w:w="708" w:type="dxa"/>
            <w:tcBorders>
              <w:top w:val="nil"/>
              <w:left w:val="nil"/>
              <w:bottom w:val="single" w:color="auto" w:sz="4" w:space="0"/>
              <w:right w:val="single" w:color="auto" w:sz="4" w:space="0"/>
            </w:tcBorders>
            <w:shd w:val="clear" w:color="auto" w:fill="auto"/>
            <w:vAlign w:val="center"/>
          </w:tcPr>
          <w:p w14:paraId="20187A3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6C26055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7F7FDF8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196FFBC6">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2316C81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597" w:type="dxa"/>
            <w:vMerge w:val="continue"/>
            <w:tcBorders>
              <w:top w:val="nil"/>
              <w:left w:val="single" w:color="auto" w:sz="4" w:space="0"/>
              <w:bottom w:val="single" w:color="auto" w:sz="4" w:space="0"/>
              <w:right w:val="single" w:color="auto" w:sz="4" w:space="0"/>
            </w:tcBorders>
            <w:vAlign w:val="center"/>
          </w:tcPr>
          <w:p w14:paraId="7342851E">
            <w:pPr>
              <w:widowControl/>
              <w:shd w:val="clear"/>
              <w:jc w:val="left"/>
              <w:rPr>
                <w:rFonts w:ascii="宋体" w:hAnsi="宋体" w:cs="宋体"/>
                <w:color w:val="000000"/>
                <w:kern w:val="0"/>
                <w:sz w:val="18"/>
                <w:szCs w:val="18"/>
                <w:highlight w:val="none"/>
              </w:rPr>
            </w:pPr>
          </w:p>
        </w:tc>
        <w:tc>
          <w:tcPr>
            <w:tcW w:w="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4537A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医共体业务监管</w:t>
            </w:r>
          </w:p>
        </w:tc>
        <w:tc>
          <w:tcPr>
            <w:tcW w:w="786" w:type="dxa"/>
            <w:tcBorders>
              <w:top w:val="single" w:color="auto" w:sz="4" w:space="0"/>
              <w:left w:val="nil"/>
              <w:bottom w:val="single" w:color="auto" w:sz="4" w:space="0"/>
              <w:right w:val="single" w:color="auto" w:sz="4" w:space="0"/>
            </w:tcBorders>
            <w:shd w:val="clear" w:color="auto" w:fill="auto"/>
            <w:vAlign w:val="center"/>
          </w:tcPr>
          <w:p w14:paraId="1AFAE2A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业务监管系统</w:t>
            </w:r>
          </w:p>
        </w:tc>
        <w:tc>
          <w:tcPr>
            <w:tcW w:w="9047" w:type="dxa"/>
            <w:gridSpan w:val="2"/>
            <w:tcBorders>
              <w:top w:val="nil"/>
              <w:left w:val="nil"/>
              <w:bottom w:val="single" w:color="auto" w:sz="4" w:space="0"/>
              <w:right w:val="single" w:color="auto" w:sz="4" w:space="0"/>
            </w:tcBorders>
            <w:shd w:val="clear" w:color="auto" w:fill="auto"/>
            <w:vAlign w:val="center"/>
          </w:tcPr>
          <w:p w14:paraId="66FA657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要求对医共体各机构主要业务数据进行分析，监管整个医共体及单个机构的医疗资源、药品耗材、医疗服务、公共卫生、分级诊疗等主要业务的运行情况。具体系统功能需包括：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医共体全景图：对医共体的基本信息、主要业务运营情况做全面的展示，包括县域医共体的辐射范围、服务人口以及参与机构、门诊服务量、住院服务量、远程诊断、住院疾病、编制人数、医师数、护士数、医护比、编制床位数、设备总数、10-</w:t>
            </w:r>
            <w:r>
              <w:rPr>
                <w:rFonts w:hint="eastAsia" w:ascii="宋体" w:hAnsi="宋体" w:cs="宋体"/>
                <w:color w:val="000000"/>
                <w:kern w:val="0"/>
                <w:sz w:val="18"/>
                <w:szCs w:val="18"/>
                <w:highlight w:val="none"/>
                <w:lang w:val="en-US" w:eastAsia="zh-CN"/>
              </w:rPr>
              <w:t>50（不含本数）</w:t>
            </w:r>
            <w:r>
              <w:rPr>
                <w:rFonts w:hint="eastAsia" w:ascii="宋体" w:hAnsi="宋体" w:cs="宋体"/>
                <w:color w:val="000000"/>
                <w:kern w:val="0"/>
                <w:sz w:val="18"/>
                <w:szCs w:val="18"/>
                <w:highlight w:val="none"/>
              </w:rPr>
              <w:t>万</w:t>
            </w:r>
            <w:r>
              <w:rPr>
                <w:rFonts w:hint="eastAsia" w:ascii="宋体" w:hAnsi="宋体" w:cs="宋体"/>
                <w:color w:val="000000"/>
                <w:kern w:val="0"/>
                <w:sz w:val="18"/>
                <w:szCs w:val="18"/>
                <w:highlight w:val="none"/>
                <w:lang w:val="en-US" w:eastAsia="zh-CN"/>
              </w:rPr>
              <w:t>元</w:t>
            </w:r>
            <w:r>
              <w:rPr>
                <w:rFonts w:hint="eastAsia" w:ascii="宋体" w:hAnsi="宋体" w:cs="宋体"/>
                <w:color w:val="000000"/>
                <w:kern w:val="0"/>
                <w:sz w:val="18"/>
                <w:szCs w:val="18"/>
                <w:highlight w:val="none"/>
              </w:rPr>
              <w:t>设备数、50-100</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不含本数</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万</w:t>
            </w:r>
            <w:r>
              <w:rPr>
                <w:rFonts w:hint="eastAsia" w:ascii="宋体" w:hAnsi="宋体" w:cs="宋体"/>
                <w:color w:val="000000"/>
                <w:kern w:val="0"/>
                <w:sz w:val="18"/>
                <w:szCs w:val="18"/>
                <w:highlight w:val="none"/>
                <w:lang w:val="en-US" w:eastAsia="zh-CN"/>
              </w:rPr>
              <w:t>元</w:t>
            </w:r>
            <w:r>
              <w:rPr>
                <w:rFonts w:hint="eastAsia" w:ascii="宋体" w:hAnsi="宋体" w:cs="宋体"/>
                <w:color w:val="000000"/>
                <w:kern w:val="0"/>
                <w:sz w:val="18"/>
                <w:szCs w:val="18"/>
                <w:highlight w:val="none"/>
              </w:rPr>
              <w:t>设备数、100万</w:t>
            </w:r>
            <w:r>
              <w:rPr>
                <w:rFonts w:hint="eastAsia" w:ascii="宋体" w:hAnsi="宋体" w:cs="宋体"/>
                <w:color w:val="000000"/>
                <w:kern w:val="0"/>
                <w:sz w:val="18"/>
                <w:szCs w:val="18"/>
                <w:highlight w:val="none"/>
                <w:lang w:val="en-US" w:eastAsia="zh-CN"/>
              </w:rPr>
              <w:t>元以上</w:t>
            </w:r>
            <w:r>
              <w:rPr>
                <w:rFonts w:hint="eastAsia" w:ascii="宋体" w:hAnsi="宋体" w:cs="宋体"/>
                <w:color w:val="000000"/>
                <w:kern w:val="0"/>
                <w:sz w:val="18"/>
                <w:szCs w:val="18"/>
                <w:highlight w:val="none"/>
              </w:rPr>
              <w:t>设备数、检查人次、检验人次、双向转诊、医保收入、家庭医生签约情况、健康档案等指标。按年度对县域医共体进行统计分析，支持相关指标展示每月的数据。（提供功能截图证明材料）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惠政大屏：集中展示和政府有关医疗卫生政策相关联的指标，从政府的视角展示县域医共体建成运营后医改相关工作情况，包括的基本药物使用率、抗菌药物使用率、每百人门急诊入院人次、平均住院日、住院费用实际报销比例、家庭医师服务能力、基层就诊率、公立医院就诊率、县域门诊次均费用、参保人员年住院率。按年度对县域医共体进行统计分析，支持相关指标展示每月的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惠医大屏：集中医共体建设后对于医疗机构的影响，展示的指标开展新项目数、帮助开展新技术数、去上级医院进修人次、公立医院下派人次、基层首诊人次、基层首诊率、基层门急诊人次、基层出院人次、医疗总收入、门诊总收入、住院总收入、每职工门急诊人次、每职工平均医疗收入、每职工平均住院日、病床使用率、平均住院日、医疗收入增长率、卫生人员平均薪酬、牵头医院门急诊人次、牵头医院平均住院日等指标。按年度对县域医共体进行统计分析，支持相关指标展示每月的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惠民大屏：以人民群众的视角，展示医共体建设后的分级诊疗成效、双向转诊成效、患者减负成效，包括基层就诊率、基层首诊率、远程会诊人次、远程诊断人次、县级医院下转人次、基层机构上转人次、次均节省挂号费、次均节省医药费、次均门诊费用、次均住院费用。按年度对县域医共体进行统计分析，支持相关指标展示每月的数据。</w:t>
            </w:r>
          </w:p>
        </w:tc>
        <w:tc>
          <w:tcPr>
            <w:tcW w:w="708" w:type="dxa"/>
            <w:tcBorders>
              <w:top w:val="nil"/>
              <w:left w:val="nil"/>
              <w:bottom w:val="single" w:color="auto" w:sz="4" w:space="0"/>
              <w:right w:val="single" w:color="auto" w:sz="4" w:space="0"/>
            </w:tcBorders>
            <w:shd w:val="clear" w:color="auto" w:fill="auto"/>
            <w:vAlign w:val="center"/>
          </w:tcPr>
          <w:p w14:paraId="70E1465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531E0D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3EFDD1B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0F7DFACC">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E3B1B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597" w:type="dxa"/>
            <w:vMerge w:val="continue"/>
            <w:tcBorders>
              <w:top w:val="nil"/>
              <w:left w:val="single" w:color="auto" w:sz="4" w:space="0"/>
              <w:bottom w:val="single" w:color="auto" w:sz="4" w:space="0"/>
              <w:right w:val="single" w:color="auto" w:sz="4" w:space="0"/>
            </w:tcBorders>
            <w:vAlign w:val="center"/>
          </w:tcPr>
          <w:p w14:paraId="1E52D456">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0200B550">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34D077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医疗资源监管</w:t>
            </w:r>
          </w:p>
        </w:tc>
        <w:tc>
          <w:tcPr>
            <w:tcW w:w="9047" w:type="dxa"/>
            <w:gridSpan w:val="2"/>
            <w:tcBorders>
              <w:top w:val="nil"/>
              <w:left w:val="nil"/>
              <w:bottom w:val="single" w:color="auto" w:sz="4" w:space="0"/>
              <w:right w:val="single" w:color="auto" w:sz="4" w:space="0"/>
            </w:tcBorders>
            <w:shd w:val="clear" w:color="auto" w:fill="auto"/>
            <w:vAlign w:val="center"/>
          </w:tcPr>
          <w:p w14:paraId="0D41673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对医共体医疗资源分布及使用情况等信息进行监管，包含：编制人数、在岗职工数、执业医师、执业助理医师、注册护士、编制床位数、实有床位数、万元以上设备数、万元以上设备总价值。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卫生人力：对医共体整体、机构的卫生人力资源的综合统计及分析，包含：卫生人力基本信息、编制人数、在岗职工数、执业医师、执业助理医师、注册护士、卫生技术人员、管理人员、乡村医生等。对各机构填报上来的数据按照时间、机构等多维度进行统计分析展示，支持相关指标展示每月的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卫生设施：对医共体整体、机构的床位资源的统计及分析。包含编制床位数、实有床位数、观察床位数、年内开设家庭病床总数等。对各机构填报上来的数据按照时间、机构等多维度进行统计分析展示，支持相关指标展示每月的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3、卫生设备：对医共体整体、机构的设备资源的统计及分析，包括万元以上设备数、10-</w:t>
            </w:r>
            <w:r>
              <w:rPr>
                <w:rFonts w:hint="eastAsia" w:ascii="宋体" w:hAnsi="宋体" w:cs="宋体"/>
                <w:color w:val="000000"/>
                <w:kern w:val="0"/>
                <w:sz w:val="18"/>
                <w:szCs w:val="18"/>
                <w:highlight w:val="none"/>
                <w:lang w:val="en-US" w:eastAsia="zh-CN"/>
              </w:rPr>
              <w:t>50（不含本数）</w:t>
            </w:r>
            <w:r>
              <w:rPr>
                <w:rFonts w:hint="eastAsia" w:ascii="宋体" w:hAnsi="宋体" w:cs="宋体"/>
                <w:color w:val="000000"/>
                <w:kern w:val="0"/>
                <w:sz w:val="18"/>
                <w:szCs w:val="18"/>
                <w:highlight w:val="none"/>
              </w:rPr>
              <w:t>万元设备数、50-</w:t>
            </w:r>
            <w:r>
              <w:rPr>
                <w:rFonts w:hint="eastAsia" w:ascii="宋体" w:hAnsi="宋体" w:cs="宋体"/>
                <w:color w:val="000000"/>
                <w:kern w:val="0"/>
                <w:sz w:val="18"/>
                <w:szCs w:val="18"/>
                <w:highlight w:val="none"/>
                <w:lang w:val="en-US" w:eastAsia="zh-CN"/>
              </w:rPr>
              <w:t>100（不含本数）</w:t>
            </w:r>
            <w:r>
              <w:rPr>
                <w:rFonts w:hint="eastAsia" w:ascii="宋体" w:hAnsi="宋体" w:cs="宋体"/>
                <w:color w:val="000000"/>
                <w:kern w:val="0"/>
                <w:sz w:val="18"/>
                <w:szCs w:val="18"/>
                <w:highlight w:val="none"/>
              </w:rPr>
              <w:t>万元设备数、100万元以上设备数、万元以上设备总价值。对各机构填报上来的数据按照时间、机构等多维度进行统计分析展示，支持相关指标展示每月的数据。</w:t>
            </w:r>
          </w:p>
        </w:tc>
        <w:tc>
          <w:tcPr>
            <w:tcW w:w="708" w:type="dxa"/>
            <w:tcBorders>
              <w:top w:val="nil"/>
              <w:left w:val="nil"/>
              <w:bottom w:val="single" w:color="auto" w:sz="4" w:space="0"/>
              <w:right w:val="single" w:color="auto" w:sz="4" w:space="0"/>
            </w:tcBorders>
            <w:shd w:val="clear" w:color="auto" w:fill="auto"/>
            <w:vAlign w:val="center"/>
          </w:tcPr>
          <w:p w14:paraId="3F2B9EE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75DCB3F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3A951C4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1023A59F">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B1A5DB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597" w:type="dxa"/>
            <w:vMerge w:val="continue"/>
            <w:tcBorders>
              <w:top w:val="nil"/>
              <w:left w:val="single" w:color="auto" w:sz="4" w:space="0"/>
              <w:bottom w:val="single" w:color="auto" w:sz="4" w:space="0"/>
              <w:right w:val="single" w:color="auto" w:sz="4" w:space="0"/>
            </w:tcBorders>
            <w:vAlign w:val="center"/>
          </w:tcPr>
          <w:p w14:paraId="614FF957">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6E5C5946">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3385A31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药品耗材监管</w:t>
            </w:r>
          </w:p>
        </w:tc>
        <w:tc>
          <w:tcPr>
            <w:tcW w:w="9047" w:type="dxa"/>
            <w:gridSpan w:val="2"/>
            <w:tcBorders>
              <w:top w:val="nil"/>
              <w:left w:val="nil"/>
              <w:bottom w:val="single" w:color="auto" w:sz="4" w:space="0"/>
              <w:right w:val="single" w:color="auto" w:sz="4" w:space="0"/>
            </w:tcBorders>
            <w:shd w:val="clear" w:color="auto" w:fill="auto"/>
            <w:vAlign w:val="center"/>
          </w:tcPr>
          <w:p w14:paraId="197F982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对医共体内的处方、药品、耗材统计分析，向医共体管理人员提供医共体药品、耗材等物资的使用情况，包括总处方数、西药处方数、中成药处方数、中草药处方数、公立医院基本药物使用率、公立医院基本药物目录内品种数、卫生耗材收入、百元医疗收入耗材费用。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处方监管：对医共体各机构上报的处方数据进行统计分析，包括：总处方数、西药处方数、中成药处方数、中草药处方数。对各机构上报的数据按照时间、机构等多维度进行统计分析展示，支持相关指标展示每月的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2、药品使用监管：主要是对基本药物和抗菌药物使用进行监管，医共体成员的规范用药，重点对公立医院进行监管，包括：公立医院基本药物使用率、公立医院基本药物目录内品种数。对各机构上</w:t>
            </w:r>
            <w:r>
              <w:rPr>
                <w:rFonts w:hint="eastAsia" w:ascii="宋体" w:hAnsi="宋体" w:cs="宋体"/>
                <w:color w:val="000000"/>
                <w:kern w:val="0"/>
                <w:sz w:val="18"/>
                <w:szCs w:val="18"/>
                <w:highlight w:val="none"/>
                <w:lang w:val="en-US" w:eastAsia="zh-CN"/>
              </w:rPr>
              <w:t>报</w:t>
            </w:r>
            <w:r>
              <w:rPr>
                <w:rFonts w:hint="eastAsia" w:ascii="宋体" w:hAnsi="宋体" w:cs="宋体"/>
                <w:color w:val="000000"/>
                <w:kern w:val="0"/>
                <w:sz w:val="18"/>
                <w:szCs w:val="18"/>
                <w:highlight w:val="none"/>
              </w:rPr>
              <w:t>的数据按照时间、机构等多维度进行统计分析展示。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3药占比监管：主要对医共体成员机构药占比进行监管，包括：卫药占比、门诊药占比、住院药占比、抗菌药物占比、门诊抗菌药物占比、住院抗菌药物占比。对各机构上</w:t>
            </w:r>
            <w:r>
              <w:rPr>
                <w:rFonts w:hint="eastAsia" w:ascii="宋体" w:hAnsi="宋体" w:cs="宋体"/>
                <w:color w:val="000000"/>
                <w:kern w:val="0"/>
                <w:sz w:val="18"/>
                <w:szCs w:val="18"/>
                <w:highlight w:val="none"/>
                <w:lang w:val="en-US" w:eastAsia="zh-CN"/>
              </w:rPr>
              <w:t>报</w:t>
            </w:r>
            <w:r>
              <w:rPr>
                <w:rFonts w:hint="eastAsia" w:ascii="宋体" w:hAnsi="宋体" w:cs="宋体"/>
                <w:color w:val="000000"/>
                <w:kern w:val="0"/>
                <w:sz w:val="18"/>
                <w:szCs w:val="18"/>
                <w:highlight w:val="none"/>
              </w:rPr>
              <w:t>的数据按照时间、机构等多维度进行统计分析展示。</w:t>
            </w:r>
          </w:p>
        </w:tc>
        <w:tc>
          <w:tcPr>
            <w:tcW w:w="708" w:type="dxa"/>
            <w:tcBorders>
              <w:top w:val="nil"/>
              <w:left w:val="nil"/>
              <w:bottom w:val="single" w:color="auto" w:sz="4" w:space="0"/>
              <w:right w:val="single" w:color="auto" w:sz="4" w:space="0"/>
            </w:tcBorders>
            <w:shd w:val="clear" w:color="auto" w:fill="auto"/>
            <w:vAlign w:val="center"/>
          </w:tcPr>
          <w:p w14:paraId="47F2D9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05B60A9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7F9C3A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0FF6256C">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599AE60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597" w:type="dxa"/>
            <w:vMerge w:val="continue"/>
            <w:tcBorders>
              <w:top w:val="nil"/>
              <w:left w:val="single" w:color="auto" w:sz="4" w:space="0"/>
              <w:bottom w:val="single" w:color="auto" w:sz="4" w:space="0"/>
              <w:right w:val="single" w:color="auto" w:sz="4" w:space="0"/>
            </w:tcBorders>
            <w:vAlign w:val="center"/>
          </w:tcPr>
          <w:p w14:paraId="4579140A">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4A870B34">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250C33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医疗服务监管</w:t>
            </w:r>
          </w:p>
        </w:tc>
        <w:tc>
          <w:tcPr>
            <w:tcW w:w="9047" w:type="dxa"/>
            <w:gridSpan w:val="2"/>
            <w:tcBorders>
              <w:top w:val="nil"/>
              <w:left w:val="nil"/>
              <w:bottom w:val="single" w:color="auto" w:sz="4" w:space="0"/>
              <w:right w:val="single" w:color="auto" w:sz="4" w:space="0"/>
            </w:tcBorders>
            <w:shd w:val="clear" w:color="auto" w:fill="auto"/>
            <w:vAlign w:val="center"/>
          </w:tcPr>
          <w:p w14:paraId="2673DA4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对医共体内各成员的医疗业务数据进行统计分析，监管医疗服务情况，包括门急诊人次、入院人次、出院人次、住院手术例数、住院疾病、病床使用率、平均住院日、出院者占用总床日数、实际占用的总床日数、实际开放的总床日数、门诊病人次均医药费用、门诊病人次均药费、住院病人次均医药费用、住院病人次均药费、住院病人日均医药费用。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医疗服务能力监管：主要对医共体各成员的就诊、住院相关的数据，客观反映各成员的服务能力，包括：门急诊人次、入院人次、出院人次、住院手术例数、住院疾病分析等。对各机构填报上来的数据按照时间、机构等多维度进行统计分析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医疗服务效率监管：主要对医共体各成员的服务效率相关的数据进行统计分析，以展示各机构医疗服务效率，包括：病床使用率、平均住院日、出院者占用总床日数、实际占用的总床日数、实际开放的总床日数等。对各机构填报上来的数据按照时间、机构等多维度进行统计分析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医疗费用监管：主要对医共体各成员患者费用相关的数据进行统计分析，以便管理机构或人员了解情况、监督，防止乱收费。包括：门诊病人次均医药费用、门诊病人次均药费、住院病人次均医药费用、住院病人次均药费、住院病人日均医药费用。对各机构填报上来的数据按照时间、机构等多维度进行统计分析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4、疾病监管：主要对医共体各成员机构患者的疾病相关数据进行分析，以便监管疾病情况，包括：门诊疾病排行、住院疾病排行、某疾病患者总数、某疾病男女比例等。</w:t>
            </w:r>
          </w:p>
        </w:tc>
        <w:tc>
          <w:tcPr>
            <w:tcW w:w="708" w:type="dxa"/>
            <w:tcBorders>
              <w:top w:val="nil"/>
              <w:left w:val="nil"/>
              <w:bottom w:val="single" w:color="auto" w:sz="4" w:space="0"/>
              <w:right w:val="single" w:color="auto" w:sz="4" w:space="0"/>
            </w:tcBorders>
            <w:shd w:val="clear" w:color="auto" w:fill="auto"/>
            <w:vAlign w:val="center"/>
          </w:tcPr>
          <w:p w14:paraId="10249CD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50F27EA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00B831D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00C2B2C4">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44BF3B5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597" w:type="dxa"/>
            <w:vMerge w:val="continue"/>
            <w:tcBorders>
              <w:top w:val="nil"/>
              <w:left w:val="single" w:color="auto" w:sz="4" w:space="0"/>
              <w:bottom w:val="single" w:color="auto" w:sz="4" w:space="0"/>
              <w:right w:val="single" w:color="auto" w:sz="4" w:space="0"/>
            </w:tcBorders>
            <w:vAlign w:val="center"/>
          </w:tcPr>
          <w:p w14:paraId="1FEE6F48">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75C9B729">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0413D00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公共卫生监管</w:t>
            </w:r>
          </w:p>
        </w:tc>
        <w:tc>
          <w:tcPr>
            <w:tcW w:w="9047" w:type="dxa"/>
            <w:gridSpan w:val="2"/>
            <w:tcBorders>
              <w:top w:val="nil"/>
              <w:left w:val="nil"/>
              <w:bottom w:val="single" w:color="auto" w:sz="4" w:space="0"/>
              <w:right w:val="single" w:color="auto" w:sz="4" w:space="0"/>
            </w:tcBorders>
            <w:shd w:val="clear" w:color="auto" w:fill="auto"/>
            <w:vAlign w:val="center"/>
          </w:tcPr>
          <w:p w14:paraId="170F89E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对医共体成员中开展公</w:t>
            </w:r>
            <w:r>
              <w:rPr>
                <w:rFonts w:hint="eastAsia" w:ascii="宋体" w:hAnsi="宋体" w:cs="宋体"/>
                <w:color w:val="000000"/>
                <w:kern w:val="0"/>
                <w:sz w:val="18"/>
                <w:szCs w:val="18"/>
                <w:highlight w:val="none"/>
                <w:lang w:val="en-US" w:eastAsia="zh-CN"/>
              </w:rPr>
              <w:t>共</w:t>
            </w:r>
            <w:r>
              <w:rPr>
                <w:rFonts w:hint="eastAsia" w:ascii="宋体" w:hAnsi="宋体" w:cs="宋体"/>
                <w:color w:val="000000"/>
                <w:kern w:val="0"/>
                <w:sz w:val="18"/>
                <w:szCs w:val="18"/>
                <w:highlight w:val="none"/>
              </w:rPr>
              <w:t>卫生服务机构的相关数据统计分析，以便管理机构或人员对基层医疗机构向全体居民提供公共卫生的能力情况的掌握，为管理机构或人员制定公立医院下沉资源以及与基层医疗卫生机构分工协作的相关制度提供数据参考。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1、健康档案管理监管：主要对医共体各成员健康档案的数据进行统计分析，包括：辖区内常住居民数、建档人数、健康档案建档率、建立电子健康档案人数、电子健康档案建档率。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2、健康教育管理监管：主要对医共体各成员健康档案的数据进行统计分析，包括：办健康教育讲座场次、健康教育咨询场次。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3、儿童健康管理监管：主要对医共体各成员儿童健康相关的数据进行统计分析，包括：按要求接受访视新生儿人数、辖区内活产数、新生儿访视、接受随访0～6岁儿童数、辖区内0～6岁儿童数、儿童健康管理率。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4、孕产妇管理监管：主要对医共体各成员孕产妇相关的数据进行统计分析，包括孕13周内建册并产检产妇数、早孕建册率</w:t>
            </w:r>
            <w:r>
              <w:rPr>
                <w:rFonts w:hint="eastAsia" w:ascii="宋体" w:hAnsi="宋体" w:cs="宋体"/>
                <w:color w:val="000000"/>
                <w:kern w:val="0"/>
                <w:sz w:val="18"/>
                <w:szCs w:val="18"/>
                <w:highlight w:val="none"/>
                <w:lang w:val="en-US" w:eastAsia="zh-CN"/>
              </w:rPr>
              <w:t>等</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老年人健康管理监管：主要对医共体各成员老年人健康相关的数据进行统计分析，包括：辖区65岁以上常住居民数、老年人接受健康管理人数、老年人健康管理率、建立健康档案老年人数、老年人健康检查人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高血压患者管理监管：主要对医共体各成员高血压患者相关的数据进行统计分析，包括：已管理的高血压患者人数、规范管理高血压患者人数、高血压患者规范管理率、最近一次随访血压达标人数、管理人群血压控制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w:t>
            </w:r>
            <w:r>
              <w:rPr>
                <w:rFonts w:hint="eastAsia" w:ascii="宋体" w:hAnsi="宋体" w:cs="宋体"/>
                <w:color w:val="000000"/>
                <w:kern w:val="0"/>
                <w:sz w:val="18"/>
                <w:szCs w:val="18"/>
                <w:highlight w:val="none"/>
                <w:lang w:val="en-US" w:eastAsia="zh-CN"/>
              </w:rPr>
              <w:t>2</w:t>
            </w:r>
            <w:r>
              <w:rPr>
                <w:rFonts w:hint="eastAsia" w:ascii="宋体" w:hAnsi="宋体" w:cs="宋体"/>
                <w:color w:val="000000"/>
                <w:kern w:val="0"/>
                <w:sz w:val="18"/>
                <w:szCs w:val="18"/>
                <w:highlight w:val="none"/>
              </w:rPr>
              <w:t>型糖尿病患者管理监管：主要对医共体各成员糖尿病患者的数据进行统计分析，包括：已管理的2型糖尿病患者人数、规范管理2型糖尿病患者人数、2型糖尿病患者规范管理率、最近一次随访血糖达标人数、管理人群血糖控制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8、严重精神障碍管理监管：主要对医共体各成员严重精神障碍相关的数据进行统计分析，包括：确诊严重精神障碍患者人数、规范管理严重精神障碍患者人数、严重精神障碍患者规范管理率。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中医健康管理监管：主要对医共体中医健康相关的数据进行统计分析，包括：接受中医健康管理老年人数、老年人中医药健康管理率、应管理的0至36个月儿童数、中医药健康管理0至36月儿童数、0至36月儿童中医药健康管理服务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家庭医生签约监管：主要对医共体各成员家庭医生签约相关的数据进行统计分析，包括：家庭医生签约人数、家庭医生签约率、老年人签约人数、孕产妇签约人数、儿童签约人数、高血压患者签约人数、糖尿病患者签约人数、结核病患者签约人数、严重精神患者签约人数。对各机构填报上来的数据按照年、机构等多维度进行统计分析展示。</w:t>
            </w:r>
          </w:p>
        </w:tc>
        <w:tc>
          <w:tcPr>
            <w:tcW w:w="708" w:type="dxa"/>
            <w:tcBorders>
              <w:top w:val="nil"/>
              <w:left w:val="nil"/>
              <w:bottom w:val="single" w:color="auto" w:sz="4" w:space="0"/>
              <w:right w:val="single" w:color="auto" w:sz="4" w:space="0"/>
            </w:tcBorders>
            <w:shd w:val="clear" w:color="auto" w:fill="auto"/>
            <w:vAlign w:val="center"/>
          </w:tcPr>
          <w:p w14:paraId="21C5DB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706938C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28AE949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5D1E8184">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63886FC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36</w:t>
            </w:r>
          </w:p>
        </w:tc>
        <w:tc>
          <w:tcPr>
            <w:tcW w:w="597" w:type="dxa"/>
            <w:vMerge w:val="continue"/>
            <w:tcBorders>
              <w:top w:val="nil"/>
              <w:left w:val="single" w:color="auto" w:sz="4" w:space="0"/>
              <w:bottom w:val="single" w:color="auto" w:sz="4" w:space="0"/>
              <w:right w:val="single" w:color="auto" w:sz="4" w:space="0"/>
            </w:tcBorders>
            <w:vAlign w:val="center"/>
          </w:tcPr>
          <w:p w14:paraId="2FB212DF">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6E1B5AB0">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72275D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分级诊疗监管</w:t>
            </w:r>
          </w:p>
        </w:tc>
        <w:tc>
          <w:tcPr>
            <w:tcW w:w="9047" w:type="dxa"/>
            <w:gridSpan w:val="2"/>
            <w:tcBorders>
              <w:top w:val="nil"/>
              <w:left w:val="nil"/>
              <w:bottom w:val="single" w:color="auto" w:sz="4" w:space="0"/>
              <w:right w:val="single" w:color="auto" w:sz="4" w:space="0"/>
            </w:tcBorders>
            <w:shd w:val="clear" w:color="auto" w:fill="auto"/>
            <w:vAlign w:val="center"/>
          </w:tcPr>
          <w:p w14:paraId="7A28AC3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监管医共体内各成员机构分级诊疗业务开展情况，包括向基层机构转住院人数、公立医院机构下转率、向上级医院转诊人次数、向上级医院转住院人数、基层医疗机构上转率、远程会诊申请次数、远程会诊次数、远程门诊人次、远程诊断次数、远程影像诊断次数。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双向转诊监管：主要对医共体双向转诊的数据进行统计分析，包括：向基层机构转住院人数、公立医院机构下转率、向上级医院转诊人次数、向上级医院转住院人数、基层医疗机构上转率。对各机构填报上来的数据按照时间、机构等多维度进行统计分析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远程诊疗监管：主要对医共体开展的远程诊疗数据进行统计分析，包括：远程会诊申请次数、远程会诊次数、远程门诊人次、远程诊断次数、远程影像诊断次数。对各机构填报上来的数据按照时间、机构等多维度进行统计分析展示。</w:t>
            </w:r>
          </w:p>
        </w:tc>
        <w:tc>
          <w:tcPr>
            <w:tcW w:w="708" w:type="dxa"/>
            <w:tcBorders>
              <w:top w:val="nil"/>
              <w:left w:val="nil"/>
              <w:bottom w:val="single" w:color="auto" w:sz="4" w:space="0"/>
              <w:right w:val="single" w:color="auto" w:sz="4" w:space="0"/>
            </w:tcBorders>
            <w:shd w:val="clear" w:color="auto" w:fill="auto"/>
            <w:vAlign w:val="center"/>
          </w:tcPr>
          <w:p w14:paraId="7DA4851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00CA1F0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13F4128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382EBF41">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005090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37</w:t>
            </w:r>
          </w:p>
        </w:tc>
        <w:tc>
          <w:tcPr>
            <w:tcW w:w="597" w:type="dxa"/>
            <w:vMerge w:val="continue"/>
            <w:tcBorders>
              <w:top w:val="nil"/>
              <w:left w:val="single" w:color="auto" w:sz="4" w:space="0"/>
              <w:bottom w:val="single" w:color="auto" w:sz="4" w:space="0"/>
              <w:right w:val="single" w:color="auto" w:sz="4" w:space="0"/>
            </w:tcBorders>
            <w:vAlign w:val="center"/>
          </w:tcPr>
          <w:p w14:paraId="23D24872">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7CC75BDD">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51B9F0D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医共体运行评价</w:t>
            </w:r>
          </w:p>
        </w:tc>
        <w:tc>
          <w:tcPr>
            <w:tcW w:w="9047" w:type="dxa"/>
            <w:gridSpan w:val="2"/>
            <w:tcBorders>
              <w:top w:val="nil"/>
              <w:left w:val="nil"/>
              <w:bottom w:val="single" w:color="auto" w:sz="4" w:space="0"/>
              <w:right w:val="single" w:color="auto" w:sz="4" w:space="0"/>
            </w:tcBorders>
            <w:shd w:val="clear" w:color="auto" w:fill="auto"/>
            <w:vAlign w:val="center"/>
          </w:tcPr>
          <w:p w14:paraId="6D462AC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建设监管完全采纳《紧密型县域医疗卫生共同体建设监测指标体系（试行）》上的指标，以县域整体为单位，监测方式采取定性和定量相结合的方式进行。通过定性指标评价所建设的医共体紧密程度；通过定量指标监测县域医共体建设实际成效。监测指标体系由有序就医格局基本形成、县域医疗卫生服务能力提升、医疗卫生资源有效利用、医保基金使用效能提升4个方面26条指标构成。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有序就医格局基本形成：主要是根据上报数据进行分析监管医共体有序就医格局基本形成情况，包括：县域内住院人次占比、县域就诊率、县域内基层医疗卫生机构门急诊占比、县域内基层医疗卫生机构中医药门急诊占比、牵头医院下转患者数量占比、慢病患者基层医疗卫生机构管理率、基层医疗卫生机构人均收入与牵头医院人均收入的比值。对上报上来的数据按年进行统计分析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县域医疗卫生服务能力提升：主要是根据上报数据进行分析监管医共体县域医疗卫生服务能力提升情况，包括：牵头医院是否达到县级综合医院或中医医院综合能力推荐标准、牵头医院出院患者三四级手术比例、区域内万人口全科医生数、牵头医院帮助基层开展新技术、新项目的数量、“优质服务基层行”活动达到基本标准和推荐标准的机构数量、国家基本公共卫生服务项目实施情况。对上报上来的数据按年进行统计分析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医疗卫生资源有效利用：主要是根据上报数据进行分析监管医共体医疗卫生资源有效利用，包括：牵头医院医疗服务收入占医疗收入的比例、基层医疗卫生机构医疗服务收入占医疗收入的比例、基层医疗卫生机构医师日均担负诊疗人次、基层医疗卫生机构床位使用率、牵头医院人员经费占业务支出比例、基层医疗卫生机构财政补助收入占总收入的比例。对上报上来的数据按年进行统计分析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医保基金使用效能提升：主要是根据上报数据进行分析监管医共体医保基金使用效能提升，包括：医保基金县域内支出率（不含药店）、县域内基层医疗卫生机构医保基金占比、医保考核结果、县域门诊次均费用、参保人员住院次均费用、住院费用实际报销比、参保人员年住院率。对上报上来的数据按年进行统计分析展示。</w:t>
            </w:r>
          </w:p>
        </w:tc>
        <w:tc>
          <w:tcPr>
            <w:tcW w:w="708" w:type="dxa"/>
            <w:tcBorders>
              <w:top w:val="nil"/>
              <w:left w:val="nil"/>
              <w:bottom w:val="single" w:color="auto" w:sz="4" w:space="0"/>
              <w:right w:val="single" w:color="auto" w:sz="4" w:space="0"/>
            </w:tcBorders>
            <w:shd w:val="clear" w:color="auto" w:fill="auto"/>
            <w:vAlign w:val="center"/>
          </w:tcPr>
          <w:p w14:paraId="70EE63B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0A34BBF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73CFE0E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2D1881EE">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7B6AD1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38</w:t>
            </w:r>
          </w:p>
        </w:tc>
        <w:tc>
          <w:tcPr>
            <w:tcW w:w="597" w:type="dxa"/>
            <w:vMerge w:val="continue"/>
            <w:tcBorders>
              <w:top w:val="nil"/>
              <w:left w:val="single" w:color="auto" w:sz="4" w:space="0"/>
              <w:bottom w:val="single" w:color="auto" w:sz="4" w:space="0"/>
              <w:right w:val="single" w:color="auto" w:sz="4" w:space="0"/>
            </w:tcBorders>
            <w:vAlign w:val="center"/>
          </w:tcPr>
          <w:p w14:paraId="4170F498">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5BBF2F97">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45554BC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数据填报</w:t>
            </w:r>
          </w:p>
        </w:tc>
        <w:tc>
          <w:tcPr>
            <w:tcW w:w="9047" w:type="dxa"/>
            <w:gridSpan w:val="2"/>
            <w:tcBorders>
              <w:top w:val="nil"/>
              <w:left w:val="nil"/>
              <w:bottom w:val="single" w:color="auto" w:sz="4" w:space="0"/>
              <w:right w:val="single" w:color="auto" w:sz="4" w:space="0"/>
            </w:tcBorders>
            <w:shd w:val="clear" w:color="auto" w:fill="auto"/>
            <w:vAlign w:val="center"/>
          </w:tcPr>
          <w:p w14:paraId="13A65FC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为医共体各成员机构上报监管数据提供的功能模块，系统通过读取数据库基础表，并解析数据库表结构，根据用户配置自动生成单表的数据填报界面，通过手动录入或表格文件导入的方式，将数据上报至医共体业务监管系统。</w:t>
            </w:r>
          </w:p>
        </w:tc>
        <w:tc>
          <w:tcPr>
            <w:tcW w:w="708" w:type="dxa"/>
            <w:tcBorders>
              <w:top w:val="nil"/>
              <w:left w:val="nil"/>
              <w:bottom w:val="single" w:color="auto" w:sz="4" w:space="0"/>
              <w:right w:val="single" w:color="auto" w:sz="4" w:space="0"/>
            </w:tcBorders>
            <w:shd w:val="clear" w:color="auto" w:fill="auto"/>
            <w:vAlign w:val="center"/>
          </w:tcPr>
          <w:p w14:paraId="0D8B274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4BC80FF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834" w:type="dxa"/>
            <w:tcBorders>
              <w:top w:val="nil"/>
              <w:left w:val="nil"/>
              <w:bottom w:val="single" w:color="auto" w:sz="4" w:space="0"/>
              <w:right w:val="single" w:color="auto" w:sz="4" w:space="0"/>
            </w:tcBorders>
            <w:shd w:val="clear" w:color="auto" w:fill="auto"/>
            <w:vAlign w:val="center"/>
          </w:tcPr>
          <w:p w14:paraId="1CD9E69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75E8A447">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2775F6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39</w:t>
            </w:r>
          </w:p>
        </w:tc>
        <w:tc>
          <w:tcPr>
            <w:tcW w:w="597" w:type="dxa"/>
            <w:vMerge w:val="continue"/>
            <w:tcBorders>
              <w:top w:val="nil"/>
              <w:left w:val="single" w:color="auto" w:sz="4" w:space="0"/>
              <w:bottom w:val="single" w:color="auto" w:sz="4" w:space="0"/>
              <w:right w:val="single" w:color="auto" w:sz="4" w:space="0"/>
            </w:tcBorders>
            <w:vAlign w:val="center"/>
          </w:tcPr>
          <w:p w14:paraId="132CCF08">
            <w:pPr>
              <w:widowControl/>
              <w:shd w:val="clear"/>
              <w:jc w:val="left"/>
              <w:rPr>
                <w:rFonts w:ascii="宋体" w:hAnsi="宋体" w:cs="宋体"/>
                <w:color w:val="000000"/>
                <w:kern w:val="0"/>
                <w:sz w:val="18"/>
                <w:szCs w:val="18"/>
                <w:highlight w:val="none"/>
              </w:rPr>
            </w:pPr>
          </w:p>
        </w:tc>
        <w:tc>
          <w:tcPr>
            <w:tcW w:w="6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5B0D3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健康信息惠民应用建设</w:t>
            </w:r>
          </w:p>
        </w:tc>
        <w:tc>
          <w:tcPr>
            <w:tcW w:w="786" w:type="dxa"/>
            <w:tcBorders>
              <w:top w:val="single" w:color="auto" w:sz="4" w:space="0"/>
              <w:left w:val="nil"/>
              <w:bottom w:val="single" w:color="auto" w:sz="4" w:space="0"/>
              <w:right w:val="single" w:color="auto" w:sz="4" w:space="0"/>
            </w:tcBorders>
            <w:shd w:val="clear" w:color="auto" w:fill="auto"/>
            <w:vAlign w:val="center"/>
          </w:tcPr>
          <w:p w14:paraId="2545D78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互联网开放平台</w:t>
            </w:r>
          </w:p>
        </w:tc>
        <w:tc>
          <w:tcPr>
            <w:tcW w:w="9047" w:type="dxa"/>
            <w:gridSpan w:val="2"/>
            <w:tcBorders>
              <w:top w:val="nil"/>
              <w:left w:val="nil"/>
              <w:bottom w:val="single" w:color="auto" w:sz="4" w:space="0"/>
              <w:right w:val="single" w:color="auto" w:sz="4" w:space="0"/>
            </w:tcBorders>
            <w:shd w:val="clear" w:color="auto" w:fill="auto"/>
            <w:vAlign w:val="center"/>
          </w:tcPr>
          <w:p w14:paraId="2EDEBCB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互联网开放平台主要负责移动端和服务的接口管理工作。具体系统功能需包括：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1、API管理：接口统一集中管理。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（1）生命周期管理：生命周期管理包括，API创建、测试、发布、下线、升级、维护等。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（2）管理工具：能提供灵活的接口组织方式，冗余检测，实时备份，导入导出。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（3）安全保障：能通过数据加密，调用令牌凭证，身份认证等技术手段，接口认证授权、接口安全管理、接口隐私保护、对接口的调用进行严格的控制和把关，拒绝非法调用。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4</w:t>
            </w:r>
            <w:r>
              <w:rPr>
                <w:rFonts w:hint="eastAsia" w:ascii="宋体" w:hAnsi="宋体" w:cs="宋体"/>
                <w:color w:val="000000"/>
                <w:kern w:val="0"/>
                <w:sz w:val="18"/>
                <w:szCs w:val="18"/>
                <w:highlight w:val="none"/>
              </w:rPr>
              <w:t>）接口独立性：当应用接口变化时，平台可以通过配置管理保证接口的独立性，外部应用无需任何改变。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）缓存策略：能提供多种缓存策略：数据库缓存，文件缓存，Redis缓存。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6</w:t>
            </w:r>
            <w:r>
              <w:rPr>
                <w:rFonts w:hint="eastAsia" w:ascii="宋体" w:hAnsi="宋体" w:cs="宋体"/>
                <w:color w:val="000000"/>
                <w:kern w:val="0"/>
                <w:sz w:val="18"/>
                <w:szCs w:val="18"/>
                <w:highlight w:val="none"/>
              </w:rPr>
              <w:t>）分布式管理：分布式群集，提高应用性能，支撑业务的高并发要求，保证应用稳定性。并通过消息队列保证数据多点一致性。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val="en-US" w:eastAsia="zh-CN"/>
              </w:rPr>
              <w:t>7</w:t>
            </w:r>
            <w:r>
              <w:rPr>
                <w:rFonts w:hint="eastAsia" w:ascii="宋体" w:hAnsi="宋体" w:cs="宋体"/>
                <w:color w:val="000000"/>
                <w:kern w:val="0"/>
                <w:sz w:val="18"/>
                <w:szCs w:val="18"/>
                <w:highlight w:val="none"/>
              </w:rPr>
              <w:t>）流量控制：平台有灵活控制流量，可以设置按分钟、小时、天的调用量控制，根据接口、分类、应用、授权等任意组合进行全方位的流量管理。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视频通信：支持最大同时16条流混流，支持混入5种输入源类型(音视频、纯音频、纯视频、水印、画布)，支持混流合成全新流，支持裁剪，水印功能，支持模板配置，支持混流录制，支持自动混流，支持实时混流种类与位置切换，混流启动与取消无缝平滑过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视频录制：支持视频录制功能，可录制多种规格的视频。流名称多级别录制，可以在推流域名、流名称级别配置是否需要录制。按指定时间段录制，可以通过调用API控制录制的开始与结束时间，能在指定的时间内进行录制。视频拼接：使用此功能后，设置好推流中断自动拼接时间（最长可设置5分钟，即最长支持将中断5分钟的推流拼接成一个文件），在最后一次正常推流结束后，能自动拼接断流时间内的内容并生成HLS录制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4、实时监控：硬件监控，磁盘监控，内存监控，CPU负载监控，缓冲区监控，磁盘阵列监控。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（1）应用监控：对LVS，Nginx，MySQL，PHP，REDIS，RABBITMQ等应用程序进行监控。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（2）流量监控：对服务器流进行的监控，包括数据的流出、数据的流入的速度、总流量等。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5、统计分析：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（1）综合统计：对平台整体进行统计，包括：应用数量，接口数量，用户数量，设备数量等。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（2）访问量统计：接口访问量实时统计，接口调用成功率，接口覆盖率等。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（3）接口统计：接口的日，周，月的调用量，接口的平均访问时间，接口的最大耗时等。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（4）后台统计：服务调用量，消费者数量，服务器数量，用户量等。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（5）数据分析：包括就诊人数，小程序、APP、WEB端使用量，就诊人数年龄分布，性别分布等。</w:t>
            </w:r>
          </w:p>
        </w:tc>
        <w:tc>
          <w:tcPr>
            <w:tcW w:w="708" w:type="dxa"/>
            <w:tcBorders>
              <w:top w:val="nil"/>
              <w:left w:val="nil"/>
              <w:bottom w:val="single" w:color="auto" w:sz="4" w:space="0"/>
              <w:right w:val="single" w:color="auto" w:sz="4" w:space="0"/>
            </w:tcBorders>
            <w:shd w:val="clear" w:color="auto" w:fill="auto"/>
            <w:vAlign w:val="center"/>
          </w:tcPr>
          <w:p w14:paraId="70AC324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3F49401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120000</w:t>
            </w:r>
          </w:p>
        </w:tc>
        <w:tc>
          <w:tcPr>
            <w:tcW w:w="834" w:type="dxa"/>
            <w:tcBorders>
              <w:top w:val="nil"/>
              <w:left w:val="nil"/>
              <w:bottom w:val="single" w:color="auto" w:sz="4" w:space="0"/>
              <w:right w:val="single" w:color="auto" w:sz="4" w:space="0"/>
            </w:tcBorders>
            <w:shd w:val="clear" w:color="auto" w:fill="auto"/>
            <w:vAlign w:val="center"/>
          </w:tcPr>
          <w:p w14:paraId="1FB5D55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120000</w:t>
            </w:r>
          </w:p>
        </w:tc>
      </w:tr>
      <w:tr w14:paraId="574F54A5">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2B9618C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40</w:t>
            </w:r>
          </w:p>
        </w:tc>
        <w:tc>
          <w:tcPr>
            <w:tcW w:w="597" w:type="dxa"/>
            <w:vMerge w:val="continue"/>
            <w:tcBorders>
              <w:top w:val="nil"/>
              <w:left w:val="single" w:color="auto" w:sz="4" w:space="0"/>
              <w:bottom w:val="single" w:color="auto" w:sz="4" w:space="0"/>
              <w:right w:val="single" w:color="auto" w:sz="4" w:space="0"/>
            </w:tcBorders>
            <w:vAlign w:val="center"/>
          </w:tcPr>
          <w:p w14:paraId="7C7B9EDD">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3C090736">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1F090B5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统一支付平台</w:t>
            </w:r>
          </w:p>
        </w:tc>
        <w:tc>
          <w:tcPr>
            <w:tcW w:w="9047" w:type="dxa"/>
            <w:gridSpan w:val="2"/>
            <w:tcBorders>
              <w:top w:val="nil"/>
              <w:left w:val="nil"/>
              <w:bottom w:val="single" w:color="auto" w:sz="4" w:space="0"/>
              <w:right w:val="single" w:color="auto" w:sz="4" w:space="0"/>
            </w:tcBorders>
            <w:shd w:val="clear" w:color="auto" w:fill="auto"/>
            <w:vAlign w:val="center"/>
          </w:tcPr>
          <w:p w14:paraId="62DB1F0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统一支付平台承载医共体各级机构、各种渠道的支付业务，各诊疗项目可以设置不同的执行地，按执行地收费标准收费。在基层开具上级医院执行项目产生的收费和费用归属问题，可以通过医共体账户统一收费再内部划转到成员机构账户，或通过移动统一支付解决，票据可以以医共体的名义统一打印票据或通过电子发票解决。具体系统功能需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1、支付网关：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（1）支付支持：</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微信、支付宝钱包以及扫码、快捷支付、支付宝专用扫码支付、网上银行等，用户提供统一的网上支付和清算功能。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（2）订单列表：查询订单号码、交易日期、订单内容、交易金额、手续费、交易结果、清算状态等。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（3）交易记录：通过登记号查询交易记录，让维护人员更快捷查账。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（4）退款处理：通过支付网关进行退款处理。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（5）三方对账：用户支付订单、核心业务系统（如</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）订单和支付平台网关交易记录三方对账。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（6）坏账监管：针对一些单边账、坏账进行预警、监控，一致性校验，系统自动对账。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2、财务对账：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（1）多渠道对账：支付平台支持包括微信、支付宝移动支付平台在内的多个渠道的账务对账功能。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（2）自动对账：后台收单行绑定医院开户行即可，不再需要单独与各银行人工逐一对账，在正常情况下系统会自动完成账务核对工作；不同院区，不同商户和支付方式剥离自动对账。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（3）差异</w:t>
            </w:r>
            <w:r>
              <w:rPr>
                <w:rFonts w:hint="eastAsia" w:ascii="宋体" w:hAnsi="宋体" w:cs="宋体"/>
                <w:color w:val="000000"/>
                <w:kern w:val="0"/>
                <w:sz w:val="18"/>
                <w:szCs w:val="18"/>
                <w:highlight w:val="none"/>
                <w:lang w:val="en-US" w:eastAsia="zh-CN"/>
              </w:rPr>
              <w:t>账</w:t>
            </w:r>
            <w:r>
              <w:rPr>
                <w:rFonts w:hint="eastAsia" w:ascii="宋体" w:hAnsi="宋体" w:cs="宋体"/>
                <w:color w:val="000000"/>
                <w:kern w:val="0"/>
                <w:sz w:val="18"/>
                <w:szCs w:val="18"/>
                <w:highlight w:val="none"/>
              </w:rPr>
              <w:t>单：差异</w:t>
            </w:r>
            <w:r>
              <w:rPr>
                <w:rFonts w:hint="eastAsia" w:ascii="宋体" w:hAnsi="宋体" w:cs="宋体"/>
                <w:color w:val="000000"/>
                <w:kern w:val="0"/>
                <w:sz w:val="18"/>
                <w:szCs w:val="18"/>
                <w:highlight w:val="none"/>
                <w:lang w:val="en-US" w:eastAsia="zh-CN"/>
              </w:rPr>
              <w:t>账单</w:t>
            </w:r>
            <w:r>
              <w:rPr>
                <w:rFonts w:hint="eastAsia" w:ascii="宋体" w:hAnsi="宋体" w:cs="宋体"/>
                <w:color w:val="000000"/>
                <w:kern w:val="0"/>
                <w:sz w:val="18"/>
                <w:szCs w:val="18"/>
                <w:highlight w:val="none"/>
              </w:rPr>
              <w:t>明细统计。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（4）交易分析：自动生成日报汇总和明细。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3、支付安全管理：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对订单支付交易关键数据和痕迹的保留。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4、权限设置：根据用户分组管理设置不同菜单权限。</w:t>
            </w:r>
          </w:p>
        </w:tc>
        <w:tc>
          <w:tcPr>
            <w:tcW w:w="708" w:type="dxa"/>
            <w:tcBorders>
              <w:top w:val="nil"/>
              <w:left w:val="nil"/>
              <w:bottom w:val="single" w:color="auto" w:sz="4" w:space="0"/>
              <w:right w:val="single" w:color="auto" w:sz="4" w:space="0"/>
            </w:tcBorders>
            <w:shd w:val="clear" w:color="auto" w:fill="auto"/>
            <w:vAlign w:val="center"/>
          </w:tcPr>
          <w:p w14:paraId="54AFA62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0B46D29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120000</w:t>
            </w:r>
          </w:p>
        </w:tc>
        <w:tc>
          <w:tcPr>
            <w:tcW w:w="834" w:type="dxa"/>
            <w:tcBorders>
              <w:top w:val="nil"/>
              <w:left w:val="nil"/>
              <w:bottom w:val="single" w:color="auto" w:sz="4" w:space="0"/>
              <w:right w:val="single" w:color="auto" w:sz="4" w:space="0"/>
            </w:tcBorders>
            <w:shd w:val="clear" w:color="auto" w:fill="auto"/>
            <w:vAlign w:val="center"/>
          </w:tcPr>
          <w:p w14:paraId="0C79791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120000</w:t>
            </w:r>
          </w:p>
        </w:tc>
      </w:tr>
      <w:tr w14:paraId="5181F7D4">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729777D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41</w:t>
            </w:r>
          </w:p>
        </w:tc>
        <w:tc>
          <w:tcPr>
            <w:tcW w:w="597" w:type="dxa"/>
            <w:vMerge w:val="continue"/>
            <w:tcBorders>
              <w:top w:val="nil"/>
              <w:left w:val="single" w:color="auto" w:sz="4" w:space="0"/>
              <w:bottom w:val="single" w:color="auto" w:sz="4" w:space="0"/>
              <w:right w:val="single" w:color="auto" w:sz="4" w:space="0"/>
            </w:tcBorders>
            <w:vAlign w:val="center"/>
          </w:tcPr>
          <w:p w14:paraId="292937AB">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11CD5F7C">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5A50C2B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即时通信平台</w:t>
            </w:r>
          </w:p>
        </w:tc>
        <w:tc>
          <w:tcPr>
            <w:tcW w:w="9047" w:type="dxa"/>
            <w:gridSpan w:val="2"/>
            <w:tcBorders>
              <w:top w:val="nil"/>
              <w:left w:val="nil"/>
              <w:bottom w:val="single" w:color="auto" w:sz="4" w:space="0"/>
              <w:right w:val="single" w:color="auto" w:sz="4" w:space="0"/>
            </w:tcBorders>
            <w:shd w:val="clear" w:color="auto" w:fill="auto"/>
            <w:vAlign w:val="center"/>
          </w:tcPr>
          <w:p w14:paraId="736EBE7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即时通信</w:t>
            </w:r>
            <w:r>
              <w:rPr>
                <w:rFonts w:hint="eastAsia" w:ascii="宋体" w:hAnsi="宋体" w:cs="宋体"/>
                <w:color w:val="000000"/>
                <w:kern w:val="0"/>
                <w:sz w:val="18"/>
                <w:szCs w:val="18"/>
                <w:highlight w:val="none"/>
                <w:lang w:val="en-US" w:eastAsia="zh-CN"/>
              </w:rPr>
              <w:t>平台</w:t>
            </w:r>
            <w:r>
              <w:rPr>
                <w:rFonts w:hint="eastAsia" w:ascii="宋体" w:hAnsi="宋体" w:cs="宋体"/>
                <w:color w:val="000000"/>
                <w:kern w:val="0"/>
                <w:sz w:val="18"/>
                <w:szCs w:val="18"/>
                <w:highlight w:val="none"/>
              </w:rPr>
              <w:t>包括：客户端组件、客户端基础库、主流平台以及服务端</w:t>
            </w:r>
            <w:r>
              <w:rPr>
                <w:rFonts w:hint="eastAsia" w:ascii="宋体" w:hAnsi="宋体" w:cs="宋体"/>
                <w:color w:val="000000"/>
                <w:kern w:val="0"/>
                <w:sz w:val="18"/>
                <w:szCs w:val="18"/>
                <w:highlight w:val="none"/>
                <w:lang w:val="en-US" w:eastAsia="zh-CN"/>
              </w:rPr>
              <w:t>接口</w:t>
            </w:r>
            <w:r>
              <w:rPr>
                <w:rFonts w:hint="eastAsia" w:ascii="宋体" w:hAnsi="宋体" w:cs="宋体"/>
                <w:color w:val="000000"/>
                <w:kern w:val="0"/>
                <w:sz w:val="18"/>
                <w:szCs w:val="18"/>
                <w:highlight w:val="none"/>
              </w:rPr>
              <w:t>等</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应用当前的系统业务需求主要为互联网医院线上问诊图文咨询，医生和患者基于即时通信平台可进行实时的聊天互动，通过发送文本、图片和模板消息等实现线上轻问诊等诊疗行为。</w:t>
            </w:r>
          </w:p>
        </w:tc>
        <w:tc>
          <w:tcPr>
            <w:tcW w:w="708" w:type="dxa"/>
            <w:tcBorders>
              <w:top w:val="nil"/>
              <w:left w:val="nil"/>
              <w:bottom w:val="single" w:color="auto" w:sz="4" w:space="0"/>
              <w:right w:val="single" w:color="auto" w:sz="4" w:space="0"/>
            </w:tcBorders>
            <w:shd w:val="clear" w:color="auto" w:fill="auto"/>
            <w:vAlign w:val="center"/>
          </w:tcPr>
          <w:p w14:paraId="3314D11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0500F0B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120000</w:t>
            </w:r>
          </w:p>
        </w:tc>
        <w:tc>
          <w:tcPr>
            <w:tcW w:w="834" w:type="dxa"/>
            <w:tcBorders>
              <w:top w:val="nil"/>
              <w:left w:val="nil"/>
              <w:bottom w:val="single" w:color="auto" w:sz="4" w:space="0"/>
              <w:right w:val="single" w:color="auto" w:sz="4" w:space="0"/>
            </w:tcBorders>
            <w:shd w:val="clear" w:color="auto" w:fill="auto"/>
            <w:vAlign w:val="center"/>
          </w:tcPr>
          <w:p w14:paraId="729AF20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120000</w:t>
            </w:r>
          </w:p>
        </w:tc>
      </w:tr>
      <w:tr w14:paraId="1DFC42E0">
        <w:tblPrEx>
          <w:tblCellMar>
            <w:top w:w="0" w:type="dxa"/>
            <w:left w:w="108" w:type="dxa"/>
            <w:bottom w:w="0" w:type="dxa"/>
            <w:right w:w="108" w:type="dxa"/>
          </w:tblCellMar>
        </w:tblPrEx>
        <w:trPr>
          <w:trHeight w:val="57" w:hRule="atLeast"/>
        </w:trPr>
        <w:tc>
          <w:tcPr>
            <w:tcW w:w="576" w:type="dxa"/>
            <w:tcBorders>
              <w:top w:val="nil"/>
              <w:left w:val="single" w:color="auto" w:sz="4" w:space="0"/>
              <w:bottom w:val="single" w:color="auto" w:sz="4" w:space="0"/>
              <w:right w:val="single" w:color="auto" w:sz="4" w:space="0"/>
            </w:tcBorders>
            <w:shd w:val="clear" w:color="auto" w:fill="auto"/>
            <w:vAlign w:val="center"/>
          </w:tcPr>
          <w:p w14:paraId="3E3715E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42</w:t>
            </w:r>
          </w:p>
        </w:tc>
        <w:tc>
          <w:tcPr>
            <w:tcW w:w="597" w:type="dxa"/>
            <w:vMerge w:val="continue"/>
            <w:tcBorders>
              <w:top w:val="nil"/>
              <w:left w:val="single" w:color="auto" w:sz="4" w:space="0"/>
              <w:bottom w:val="single" w:color="auto" w:sz="4" w:space="0"/>
              <w:right w:val="single" w:color="auto" w:sz="4" w:space="0"/>
            </w:tcBorders>
            <w:vAlign w:val="center"/>
          </w:tcPr>
          <w:p w14:paraId="5C2F98A8">
            <w:pPr>
              <w:widowControl/>
              <w:shd w:val="clear"/>
              <w:jc w:val="left"/>
              <w:rPr>
                <w:rFonts w:ascii="宋体" w:hAnsi="宋体" w:cs="宋体"/>
                <w:color w:val="000000"/>
                <w:kern w:val="0"/>
                <w:sz w:val="18"/>
                <w:szCs w:val="18"/>
                <w:highlight w:val="none"/>
              </w:rPr>
            </w:pPr>
          </w:p>
        </w:tc>
        <w:tc>
          <w:tcPr>
            <w:tcW w:w="631" w:type="dxa"/>
            <w:vMerge w:val="continue"/>
            <w:tcBorders>
              <w:top w:val="single" w:color="auto" w:sz="4" w:space="0"/>
              <w:left w:val="single" w:color="auto" w:sz="4" w:space="0"/>
              <w:bottom w:val="single" w:color="auto" w:sz="4" w:space="0"/>
              <w:right w:val="single" w:color="auto" w:sz="4" w:space="0"/>
            </w:tcBorders>
            <w:vAlign w:val="center"/>
          </w:tcPr>
          <w:p w14:paraId="28781AA2">
            <w:pPr>
              <w:widowControl/>
              <w:shd w:val="clear"/>
              <w:jc w:val="left"/>
              <w:rPr>
                <w:rFonts w:ascii="宋体" w:hAnsi="宋体" w:cs="宋体"/>
                <w:color w:val="000000"/>
                <w:kern w:val="0"/>
                <w:sz w:val="18"/>
                <w:szCs w:val="18"/>
                <w:highlight w:val="none"/>
              </w:rPr>
            </w:pPr>
          </w:p>
        </w:tc>
        <w:tc>
          <w:tcPr>
            <w:tcW w:w="786" w:type="dxa"/>
            <w:tcBorders>
              <w:top w:val="single" w:color="auto" w:sz="4" w:space="0"/>
              <w:left w:val="nil"/>
              <w:bottom w:val="single" w:color="auto" w:sz="4" w:space="0"/>
              <w:right w:val="single" w:color="auto" w:sz="4" w:space="0"/>
            </w:tcBorders>
            <w:shd w:val="clear" w:color="auto" w:fill="auto"/>
            <w:vAlign w:val="center"/>
          </w:tcPr>
          <w:p w14:paraId="03E9282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微信公众号</w:t>
            </w:r>
          </w:p>
        </w:tc>
        <w:tc>
          <w:tcPr>
            <w:tcW w:w="9047" w:type="dxa"/>
            <w:gridSpan w:val="2"/>
            <w:tcBorders>
              <w:top w:val="nil"/>
              <w:left w:val="nil"/>
              <w:bottom w:val="single" w:color="auto" w:sz="4" w:space="0"/>
              <w:right w:val="single" w:color="auto" w:sz="4" w:space="0"/>
            </w:tcBorders>
            <w:shd w:val="clear" w:color="auto" w:fill="auto"/>
            <w:vAlign w:val="center"/>
          </w:tcPr>
          <w:p w14:paraId="1BB4CD1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1、预约挂号：平台提供预约挂号服务，居民可以提前预约家庭医生，合理安排就诊时间。预约方式支持Web网上预约、手机APP预约、微信公众号预约等。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服务查询：居民可对本人及家庭成员（家庭成员通过诊疗卡和身份证等信息）的挂号记录，转诊记录，预约服务记录，以及检查、检验、体检等结果性信息、医生近期开立的处方/医嘱、费用等医疗服务信息进行查询。通过医院信息，了解医院、科室、医生等相关介绍，提升用户就诊效率。查询方式支持Web网页查询、手机APP、微信公众号等多种形式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3、在线缴费：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（1）挂号费支付：提供患者预约挂号费移动在线支付功能，为患者省去排队等候时间。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（2）待缴费查询支付：提供患者所有待支付的订单（包括挂号费、检查费、医药费、住院费）列表，用于用户线上支付订单。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消息通知：待缴费提醒通知，当有待缴费订单时，系统将自动向用户发送待缴费提醒。缴费成功通知，缴费成功后，系统将向用户发送缴费成功的通知，并向用户发送缴费信息和导诊信息；缴费退费成功，退费成功后，系统向用户发送退费成功的通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（4）预充值缴费：患者可在线进行门诊押金预缴</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符合医保最新住院预交金测算的制度规定</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4、就诊记录查询：提供患者就诊记录查询功能，便于患者查询到自身关于就诊记录的详细信息。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5、检验检查报告查询：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（1）报告单查询：提供查询患者历史报告单的信息列表；报告单信息含报告单号、检查名称、检查日期、患者信息等。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（2）报告单明细查询：提供查询报告单的详细内容。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（3）报告出具提醒：提供微信公众服务号报告出具提醒功能。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6、信息推送：提供智能信息推送与候诊、用药信息提醒功能，方便患者及时收到相关信息。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7、处方、诊断、电子病历查看：医共体微信公众号提供患者处方、诊断、电子病历查看功能。</w:t>
            </w:r>
          </w:p>
        </w:tc>
        <w:tc>
          <w:tcPr>
            <w:tcW w:w="708" w:type="dxa"/>
            <w:tcBorders>
              <w:top w:val="nil"/>
              <w:left w:val="nil"/>
              <w:bottom w:val="single" w:color="auto" w:sz="4" w:space="0"/>
              <w:right w:val="single" w:color="auto" w:sz="4" w:space="0"/>
            </w:tcBorders>
            <w:shd w:val="clear" w:color="auto" w:fill="auto"/>
            <w:vAlign w:val="center"/>
          </w:tcPr>
          <w:p w14:paraId="6C13DA6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项</w:t>
            </w:r>
          </w:p>
        </w:tc>
        <w:tc>
          <w:tcPr>
            <w:tcW w:w="806" w:type="dxa"/>
            <w:tcBorders>
              <w:top w:val="nil"/>
              <w:left w:val="nil"/>
              <w:bottom w:val="single" w:color="auto" w:sz="4" w:space="0"/>
              <w:right w:val="single" w:color="auto" w:sz="4" w:space="0"/>
            </w:tcBorders>
            <w:shd w:val="clear" w:color="auto" w:fill="auto"/>
            <w:vAlign w:val="center"/>
          </w:tcPr>
          <w:p w14:paraId="0ACAF61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120000</w:t>
            </w:r>
          </w:p>
        </w:tc>
        <w:tc>
          <w:tcPr>
            <w:tcW w:w="834" w:type="dxa"/>
            <w:tcBorders>
              <w:top w:val="nil"/>
              <w:left w:val="nil"/>
              <w:bottom w:val="single" w:color="auto" w:sz="4" w:space="0"/>
              <w:right w:val="single" w:color="auto" w:sz="4" w:space="0"/>
            </w:tcBorders>
            <w:shd w:val="clear" w:color="auto" w:fill="auto"/>
            <w:vAlign w:val="center"/>
          </w:tcPr>
          <w:p w14:paraId="6C11C51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120000</w:t>
            </w:r>
          </w:p>
        </w:tc>
      </w:tr>
      <w:tr w14:paraId="3BAB7A50">
        <w:tblPrEx>
          <w:tblCellMar>
            <w:top w:w="0" w:type="dxa"/>
            <w:left w:w="108" w:type="dxa"/>
            <w:bottom w:w="0" w:type="dxa"/>
            <w:right w:w="108" w:type="dxa"/>
          </w:tblCellMar>
        </w:tblPrEx>
        <w:trPr>
          <w:trHeight w:val="57"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14:paraId="1CB19551">
            <w:pPr>
              <w:widowControl/>
              <w:shd w:val="clear"/>
              <w:jc w:val="center"/>
              <w:rPr>
                <w:rFonts w:ascii="宋体" w:hAnsi="宋体" w:cs="宋体"/>
                <w:color w:val="000000"/>
                <w:kern w:val="0"/>
                <w:sz w:val="18"/>
                <w:szCs w:val="18"/>
                <w:highlight w:val="none"/>
              </w:rPr>
            </w:pPr>
            <w:bookmarkStart w:id="2" w:name="_Toc16982"/>
            <w:r>
              <w:rPr>
                <w:rFonts w:hint="eastAsia" w:ascii="宋体" w:hAnsi="宋体" w:cs="宋体"/>
                <w:color w:val="000000"/>
                <w:kern w:val="0"/>
                <w:sz w:val="18"/>
                <w:szCs w:val="18"/>
                <w:highlight w:val="none"/>
              </w:rPr>
              <w:t>43</w:t>
            </w:r>
          </w:p>
        </w:tc>
        <w:tc>
          <w:tcPr>
            <w:tcW w:w="12575" w:type="dxa"/>
            <w:gridSpan w:val="7"/>
            <w:tcBorders>
              <w:top w:val="single" w:color="auto" w:sz="4" w:space="0"/>
              <w:left w:val="single" w:color="auto" w:sz="4" w:space="0"/>
              <w:bottom w:val="single" w:color="auto" w:sz="4" w:space="0"/>
              <w:right w:val="single" w:color="auto" w:sz="4" w:space="0"/>
            </w:tcBorders>
            <w:vAlign w:val="center"/>
          </w:tcPr>
          <w:p w14:paraId="205CFF0B">
            <w:pPr>
              <w:widowControl/>
              <w:shd w:val="clear"/>
              <w:jc w:val="center"/>
              <w:rPr>
                <w:rFonts w:ascii="宋体" w:hAnsi="宋体" w:cs="宋体"/>
                <w:kern w:val="0"/>
                <w:sz w:val="18"/>
                <w:szCs w:val="18"/>
                <w:highlight w:val="none"/>
              </w:rPr>
            </w:pPr>
            <w:r>
              <w:rPr>
                <w:rFonts w:hint="eastAsia" w:ascii="宋体" w:hAnsi="宋体" w:cs="宋体"/>
                <w:kern w:val="0"/>
                <w:sz w:val="18"/>
                <w:szCs w:val="18"/>
                <w:highlight w:val="none"/>
              </w:rPr>
              <w:t>合计</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1E56025F">
            <w:pPr>
              <w:widowControl/>
              <w:shd w:val="clea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3497000</w:t>
            </w:r>
          </w:p>
        </w:tc>
      </w:tr>
    </w:tbl>
    <w:p w14:paraId="57E46D74">
      <w:pPr>
        <w:shd w:val="clear"/>
        <w:rPr>
          <w:highlight w:val="none"/>
        </w:rPr>
      </w:pPr>
      <w:r>
        <w:rPr>
          <w:rFonts w:hint="eastAsia"/>
          <w:highlight w:val="none"/>
        </w:rPr>
        <w:br w:type="page"/>
      </w:r>
    </w:p>
    <w:p w14:paraId="6674E3E3">
      <w:pPr>
        <w:pStyle w:val="5"/>
        <w:numPr>
          <w:ilvl w:val="2"/>
          <w:numId w:val="0"/>
        </w:numPr>
        <w:shd w:val="clear"/>
        <w:rPr>
          <w:highlight w:val="none"/>
        </w:rPr>
      </w:pPr>
      <w:r>
        <w:rPr>
          <w:rFonts w:hint="eastAsia"/>
          <w:highlight w:val="none"/>
        </w:rPr>
        <w:t>2、喀喇沁旗医共体配套设备</w:t>
      </w:r>
      <w:bookmarkEnd w:id="2"/>
    </w:p>
    <w:tbl>
      <w:tblPr>
        <w:tblStyle w:val="48"/>
        <w:tblW w:w="4924"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9"/>
        <w:gridCol w:w="927"/>
        <w:gridCol w:w="3"/>
        <w:gridCol w:w="1033"/>
        <w:gridCol w:w="9094"/>
        <w:gridCol w:w="681"/>
        <w:gridCol w:w="821"/>
        <w:gridCol w:w="852"/>
      </w:tblGrid>
      <w:tr w14:paraId="17DF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blHeader/>
        </w:trPr>
        <w:tc>
          <w:tcPr>
            <w:tcW w:w="197" w:type="pct"/>
            <w:shd w:val="clear" w:color="auto" w:fill="auto"/>
            <w:vAlign w:val="center"/>
          </w:tcPr>
          <w:p w14:paraId="4530E2A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332" w:type="pct"/>
            <w:vAlign w:val="center"/>
          </w:tcPr>
          <w:p w14:paraId="5FF11DA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设备分类</w:t>
            </w:r>
          </w:p>
        </w:tc>
        <w:tc>
          <w:tcPr>
            <w:tcW w:w="371" w:type="pct"/>
            <w:gridSpan w:val="2"/>
            <w:shd w:val="clear" w:color="auto" w:fill="auto"/>
            <w:vAlign w:val="center"/>
          </w:tcPr>
          <w:p w14:paraId="09D337D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设备名称</w:t>
            </w:r>
          </w:p>
        </w:tc>
        <w:tc>
          <w:tcPr>
            <w:tcW w:w="3257" w:type="pct"/>
            <w:shd w:val="clear" w:color="auto" w:fill="auto"/>
            <w:vAlign w:val="center"/>
          </w:tcPr>
          <w:p w14:paraId="3B77D5D9">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技术要求（参数具体要求）</w:t>
            </w:r>
          </w:p>
        </w:tc>
        <w:tc>
          <w:tcPr>
            <w:tcW w:w="244" w:type="pct"/>
            <w:shd w:val="clear" w:color="auto" w:fill="auto"/>
            <w:vAlign w:val="center"/>
          </w:tcPr>
          <w:p w14:paraId="6C11A3F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292" w:type="pct"/>
            <w:shd w:val="clear" w:color="auto" w:fill="auto"/>
            <w:vAlign w:val="center"/>
          </w:tcPr>
          <w:p w14:paraId="0A06AF5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单价（元）</w:t>
            </w:r>
          </w:p>
        </w:tc>
        <w:tc>
          <w:tcPr>
            <w:tcW w:w="305" w:type="pct"/>
            <w:shd w:val="clear" w:color="auto" w:fill="auto"/>
            <w:vAlign w:val="center"/>
          </w:tcPr>
          <w:p w14:paraId="231B02D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6B8E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5D80A5B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332" w:type="pct"/>
            <w:vMerge w:val="restart"/>
            <w:vAlign w:val="center"/>
          </w:tcPr>
          <w:p w14:paraId="68DF47F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医共体配套设备部分</w:t>
            </w:r>
          </w:p>
          <w:p w14:paraId="5109D4C9">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18718DF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内</w:t>
            </w:r>
            <w:bookmarkStart w:id="3" w:name="OLE_LINK12"/>
            <w:bookmarkStart w:id="4" w:name="OLE_LINK11"/>
            <w:r>
              <w:rPr>
                <w:rFonts w:hint="eastAsia" w:ascii="宋体" w:hAnsi="宋体" w:cs="宋体"/>
                <w:color w:val="000000"/>
                <w:kern w:val="0"/>
                <w:sz w:val="18"/>
                <w:szCs w:val="18"/>
                <w:highlight w:val="none"/>
              </w:rPr>
              <w:t>网</w:t>
            </w:r>
            <w:bookmarkEnd w:id="3"/>
            <w:bookmarkEnd w:id="4"/>
            <w:r>
              <w:rPr>
                <w:rFonts w:hint="eastAsia" w:ascii="宋体" w:hAnsi="宋体" w:cs="宋体"/>
                <w:color w:val="000000"/>
                <w:kern w:val="0"/>
                <w:sz w:val="18"/>
                <w:szCs w:val="18"/>
                <w:highlight w:val="none"/>
              </w:rPr>
              <w:t>核心交换机</w:t>
            </w:r>
          </w:p>
        </w:tc>
        <w:tc>
          <w:tcPr>
            <w:tcW w:w="3257" w:type="pct"/>
            <w:shd w:val="clear" w:color="auto" w:fill="auto"/>
            <w:vAlign w:val="center"/>
          </w:tcPr>
          <w:p w14:paraId="3DE8758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1、硬件架构：主控引擎≥2，业务板槽位数≥3，电源槽位数≥3。</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2、硬件要求：1000BASE-T接口≥48，SFP千兆光口≥24，SFP+万兆光口≥24，冗余电源。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3、性能要求：交换容量≥38Tbps，包转发率≥7200Mpps</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背板带宽≥1.2Tbps。</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4、支持ICMPv6、支持ICMPv6重定向、支持DHCPv6、支持ACLv6、支持OSPFv3</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支持RIPng、支持BGP4+、支持IS-ISv6、支持手工隧道、支持ISATAP、支持6to4隧道、支持IPv6和IPv4双栈、支持SAVI功能。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VXLAN二层交换、支持VXLAN三层交换、支持VXLAN路由交换、支持VXLAN网、支持BGPEVPN特性、支持IS-IS+ENDP的VXLAN分布式控制平面、支持OpenFlow+Netconf的VXLAN集中式控制平面、支持分布式Anycast网关，支持VxLANFabric的自动化部署。</w:t>
            </w:r>
          </w:p>
        </w:tc>
        <w:tc>
          <w:tcPr>
            <w:tcW w:w="244" w:type="pct"/>
            <w:shd w:val="clear" w:color="auto" w:fill="auto"/>
            <w:vAlign w:val="center"/>
          </w:tcPr>
          <w:p w14:paraId="2A1CAB53">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4544B73F">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36000</w:t>
            </w:r>
          </w:p>
        </w:tc>
        <w:tc>
          <w:tcPr>
            <w:tcW w:w="305" w:type="pct"/>
            <w:shd w:val="clear" w:color="auto" w:fill="auto"/>
            <w:vAlign w:val="center"/>
          </w:tcPr>
          <w:p w14:paraId="61C3622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76B5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582ACF7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332" w:type="pct"/>
            <w:vMerge w:val="continue"/>
            <w:vAlign w:val="center"/>
          </w:tcPr>
          <w:p w14:paraId="3B6984F4">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0F02B4D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内网路由器</w:t>
            </w:r>
          </w:p>
        </w:tc>
        <w:tc>
          <w:tcPr>
            <w:tcW w:w="3257" w:type="pct"/>
            <w:shd w:val="clear" w:color="auto" w:fill="auto"/>
            <w:vAlign w:val="center"/>
          </w:tcPr>
          <w:p w14:paraId="03D5AB4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1、硬件要求：1000BASE-T接口≥16，SFP+万兆光口≥6，冗余电源。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2、性能要求：包转发率≥60Mpps</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交换容量≥260G</w:t>
            </w:r>
            <w:r>
              <w:rPr>
                <w:rFonts w:hint="eastAsia" w:ascii="宋体" w:hAnsi="宋体" w:cs="宋体"/>
                <w:color w:val="000000"/>
                <w:kern w:val="0"/>
                <w:sz w:val="18"/>
                <w:szCs w:val="18"/>
                <w:highlight w:val="none"/>
                <w:lang w:val="en-US" w:eastAsia="zh-CN"/>
              </w:rPr>
              <w:t>bps</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3、支持IPv6ND、IPv6PMTU、IPv6FIB、IPv6ACL、NAT-PT、IPv6隧道、6PE、DS-LITE。</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4、IPv6隧道技术：手工隧道、自动隧道、GRE隧道、6to4、ISATAP。</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5、动态路由协议：RIPng、OSPFv3IS-ISv6、BGP4+。</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6、支持Netconf、Telemetry。</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7、支持VxLAN、EVPN二层虚拟以太网链路。</w:t>
            </w:r>
          </w:p>
        </w:tc>
        <w:tc>
          <w:tcPr>
            <w:tcW w:w="244" w:type="pct"/>
            <w:shd w:val="clear" w:color="auto" w:fill="auto"/>
            <w:vAlign w:val="center"/>
          </w:tcPr>
          <w:p w14:paraId="1046E1B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592E4F4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16500</w:t>
            </w:r>
          </w:p>
        </w:tc>
        <w:tc>
          <w:tcPr>
            <w:tcW w:w="305" w:type="pct"/>
            <w:shd w:val="clear" w:color="auto" w:fill="auto"/>
            <w:vAlign w:val="center"/>
          </w:tcPr>
          <w:p w14:paraId="4B76566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16500</w:t>
            </w:r>
          </w:p>
        </w:tc>
      </w:tr>
      <w:tr w14:paraId="35D7E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2" w:hRule="atLeast"/>
        </w:trPr>
        <w:tc>
          <w:tcPr>
            <w:tcW w:w="197" w:type="pct"/>
            <w:shd w:val="clear" w:color="auto" w:fill="auto"/>
            <w:vAlign w:val="center"/>
          </w:tcPr>
          <w:p w14:paraId="7929D86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332" w:type="pct"/>
            <w:vMerge w:val="continue"/>
            <w:vAlign w:val="center"/>
          </w:tcPr>
          <w:p w14:paraId="7AD9C82D">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3B0883B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外网核心交换机</w:t>
            </w:r>
          </w:p>
        </w:tc>
        <w:tc>
          <w:tcPr>
            <w:tcW w:w="3257" w:type="pct"/>
            <w:shd w:val="clear" w:color="auto" w:fill="auto"/>
            <w:vAlign w:val="center"/>
          </w:tcPr>
          <w:p w14:paraId="04B8A8D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1、硬件要求：1000BASE-T接口≥24，SFP+万兆光口≥24，40GE光口≥2，冗余电源。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2、性能要求：交换容量≥2.5T</w:t>
            </w:r>
            <w:r>
              <w:rPr>
                <w:rFonts w:hint="eastAsia" w:ascii="宋体" w:hAnsi="宋体" w:cs="宋体"/>
                <w:color w:val="000000"/>
                <w:kern w:val="0"/>
                <w:sz w:val="18"/>
                <w:szCs w:val="18"/>
                <w:highlight w:val="none"/>
                <w:lang w:val="en-US" w:eastAsia="zh-CN"/>
              </w:rPr>
              <w:t>bps</w:t>
            </w:r>
            <w:r>
              <w:rPr>
                <w:rFonts w:hint="eastAsia" w:ascii="宋体" w:hAnsi="宋体" w:cs="宋体"/>
                <w:color w:val="000000"/>
                <w:kern w:val="0"/>
                <w:sz w:val="18"/>
                <w:szCs w:val="18"/>
                <w:highlight w:val="none"/>
              </w:rPr>
              <w:t>，包转发率≥1050M</w:t>
            </w:r>
            <w:r>
              <w:rPr>
                <w:rFonts w:hint="eastAsia" w:ascii="宋体" w:hAnsi="宋体" w:cs="宋体"/>
                <w:color w:val="000000"/>
                <w:kern w:val="0"/>
                <w:sz w:val="18"/>
                <w:szCs w:val="18"/>
                <w:highlight w:val="none"/>
                <w:lang w:val="en-US" w:eastAsia="zh-CN"/>
              </w:rPr>
              <w:t>pps</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3、实现ERPS功能，能够快速阻断环路，链路收敛时间≤50ms。</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4、实现CPU保护功能，能限制非法报文对CPU的攻击，保护交换机在各种环境下稳定工作。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5、支持远程镜像、支持流镜像、支持端口镜像。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6、支持Pingv6、Telnetv6、FTPv6、TFTPv6、DNSv6、ICMPv6。</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7、支持IPv4向IPv6的过渡技术，包括：IPv6手工隧道、6to4隧道、ISATAP隧道、GRE隧道。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8、支持混合认证方案，在接入用户的二层端口上同时开启Web认证、MAC地址认证和802、1X认证功能，使得选用其中任意一种方式进行认证的终端均可通过该端口接入网络。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9、内置智能管理功能，网络设备的集中管理，实现对网络的统一运维及管理支持通过图形化界面设备配置及命令一键下发和版本智能升级。</w:t>
            </w:r>
          </w:p>
        </w:tc>
        <w:tc>
          <w:tcPr>
            <w:tcW w:w="244" w:type="pct"/>
            <w:shd w:val="clear" w:color="auto" w:fill="auto"/>
            <w:vAlign w:val="center"/>
          </w:tcPr>
          <w:p w14:paraId="22FE130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1005C6E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22000</w:t>
            </w:r>
          </w:p>
        </w:tc>
        <w:tc>
          <w:tcPr>
            <w:tcW w:w="305" w:type="pct"/>
            <w:shd w:val="clear" w:color="auto" w:fill="auto"/>
            <w:vAlign w:val="center"/>
          </w:tcPr>
          <w:p w14:paraId="78225FE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22000</w:t>
            </w:r>
          </w:p>
        </w:tc>
      </w:tr>
      <w:tr w14:paraId="4D8C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6313322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332" w:type="pct"/>
            <w:vMerge w:val="continue"/>
            <w:vAlign w:val="center"/>
          </w:tcPr>
          <w:p w14:paraId="1A4E8BA3">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17B8FBC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内网超融合平台</w:t>
            </w:r>
          </w:p>
        </w:tc>
        <w:tc>
          <w:tcPr>
            <w:tcW w:w="3257" w:type="pct"/>
            <w:shd w:val="clear" w:color="auto" w:fill="auto"/>
            <w:vAlign w:val="center"/>
          </w:tcPr>
          <w:p w14:paraId="44B3D7C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1、超融合平台硬件要求：</w:t>
            </w:r>
            <w:r>
              <w:rPr>
                <w:rFonts w:hint="eastAsia" w:ascii="宋体" w:hAnsi="宋体" w:cs="宋体"/>
                <w:color w:val="000000"/>
                <w:kern w:val="0"/>
                <w:sz w:val="18"/>
                <w:szCs w:val="18"/>
                <w:highlight w:val="none"/>
              </w:rPr>
              <w:br w:type="textWrapping"/>
            </w:r>
            <w:r>
              <w:rPr>
                <w:rFonts w:hint="eastAsia" w:ascii="宋体" w:hAnsi="宋体" w:cs="宋体"/>
                <w:color w:val="auto"/>
                <w:kern w:val="0"/>
                <w:sz w:val="18"/>
                <w:szCs w:val="18"/>
                <w:highlight w:val="none"/>
              </w:rPr>
              <w:t>（1）本次配置7台</w:t>
            </w:r>
            <w:r>
              <w:rPr>
                <w:rFonts w:hint="eastAsia" w:ascii="宋体" w:hAnsi="宋体" w:cs="宋体"/>
                <w:color w:val="auto"/>
                <w:kern w:val="0"/>
                <w:sz w:val="18"/>
                <w:szCs w:val="18"/>
                <w:highlight w:val="none"/>
                <w:lang w:eastAsia="zh-CN"/>
              </w:rPr>
              <w:t>平台硬件</w:t>
            </w:r>
            <w:r>
              <w:rPr>
                <w:rFonts w:hint="eastAsia" w:ascii="宋体" w:hAnsi="宋体" w:cs="宋体"/>
                <w:color w:val="auto"/>
                <w:kern w:val="0"/>
                <w:sz w:val="18"/>
                <w:szCs w:val="18"/>
                <w:highlight w:val="none"/>
              </w:rPr>
              <w:t>，单台</w:t>
            </w:r>
            <w:r>
              <w:rPr>
                <w:rFonts w:hint="eastAsia" w:ascii="宋体" w:hAnsi="宋体" w:cs="宋体"/>
                <w:color w:val="auto"/>
                <w:kern w:val="0"/>
                <w:sz w:val="18"/>
                <w:szCs w:val="18"/>
                <w:highlight w:val="none"/>
                <w:lang w:eastAsia="zh-CN"/>
              </w:rPr>
              <w:t>平台硬件</w:t>
            </w:r>
            <w:r>
              <w:rPr>
                <w:rFonts w:hint="eastAsia" w:ascii="宋体" w:hAnsi="宋体" w:cs="宋体"/>
                <w:color w:val="auto"/>
                <w:kern w:val="0"/>
                <w:sz w:val="18"/>
                <w:szCs w:val="18"/>
                <w:highlight w:val="none"/>
              </w:rPr>
              <w:t>配置需满足下列要求：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（2）处理器：≥2颗物理CPU，主频≥2.8Ghz，核心数≥32。</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（3）内  存：≥512GB DDR4内存。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（4）系统盘：≥2块480GB SSD固态硬盘。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（5）缓存盘：≥2块3.84TB SSD固态硬盘。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（6）数据盘：≥4块16TB SATA机械硬盘。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（7）接  口：≥4个1000BASE-T接口，≥4个SFP+万兆光口。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（8）电  源：冗余电源。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2、超融合平台软件要求：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（1）本次配置14套超融合软件，软件需满足下列要求：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（2）节点退役：支持</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节点退役功能，退役主机的数据自动迁移至其它正常</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节点。</w:t>
            </w:r>
            <w:r>
              <w:rPr>
                <w:rFonts w:hint="eastAsia" w:ascii="宋体" w:hAnsi="宋体" w:cs="宋体"/>
                <w:color w:val="000000"/>
                <w:kern w:val="0"/>
                <w:sz w:val="18"/>
                <w:szCs w:val="18"/>
                <w:highlight w:val="none"/>
              </w:rPr>
              <w:br w:type="textWrapping"/>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（3）自主可控：</w:t>
            </w:r>
            <w:r>
              <w:rPr>
                <w:rFonts w:hint="eastAsia" w:ascii="宋体" w:hAnsi="宋体" w:cs="宋体"/>
                <w:color w:val="auto"/>
                <w:kern w:val="0"/>
                <w:sz w:val="18"/>
                <w:szCs w:val="18"/>
                <w:highlight w:val="none"/>
                <w:lang w:val="en-US" w:eastAsia="zh-CN"/>
              </w:rPr>
              <w:t>超融合平台软件</w:t>
            </w:r>
            <w:r>
              <w:rPr>
                <w:rFonts w:hint="eastAsia" w:ascii="宋体" w:hAnsi="宋体" w:cs="宋体"/>
                <w:color w:val="auto"/>
                <w:kern w:val="0"/>
                <w:sz w:val="18"/>
                <w:szCs w:val="18"/>
                <w:highlight w:val="none"/>
              </w:rPr>
              <w:t>应为国产品牌，</w:t>
            </w:r>
            <w:r>
              <w:rPr>
                <w:rFonts w:hint="eastAsia" w:ascii="宋体" w:hAnsi="宋体" w:cs="宋体"/>
                <w:color w:val="auto"/>
                <w:kern w:val="0"/>
                <w:sz w:val="18"/>
                <w:szCs w:val="18"/>
                <w:highlight w:val="none"/>
                <w:lang w:val="en-US" w:eastAsia="zh-CN"/>
              </w:rPr>
              <w:t>软件</w:t>
            </w:r>
            <w:r>
              <w:rPr>
                <w:rFonts w:hint="eastAsia" w:ascii="宋体" w:hAnsi="宋体" w:cs="宋体"/>
                <w:color w:val="auto"/>
                <w:kern w:val="0"/>
                <w:sz w:val="18"/>
                <w:szCs w:val="18"/>
                <w:highlight w:val="none"/>
                <w:lang w:eastAsia="zh-CN"/>
              </w:rPr>
              <w:t>完全自主研发，非</w:t>
            </w:r>
            <w:r>
              <w:rPr>
                <w:rFonts w:hint="eastAsia" w:ascii="宋体" w:hAnsi="宋体" w:cs="宋体"/>
                <w:color w:val="auto"/>
                <w:kern w:val="0"/>
                <w:sz w:val="18"/>
                <w:szCs w:val="18"/>
                <w:highlight w:val="none"/>
                <w:lang w:val="en-US" w:eastAsia="zh-CN"/>
              </w:rPr>
              <w:t>代工</w:t>
            </w:r>
            <w:r>
              <w:rPr>
                <w:rFonts w:hint="eastAsia" w:ascii="宋体" w:hAnsi="宋体" w:cs="宋体"/>
                <w:color w:val="auto"/>
                <w:kern w:val="0"/>
                <w:sz w:val="18"/>
                <w:szCs w:val="18"/>
                <w:highlight w:val="none"/>
                <w:lang w:eastAsia="zh-CN"/>
              </w:rPr>
              <w:t>或贴牌其他厂商产品，</w:t>
            </w:r>
            <w:r>
              <w:rPr>
                <w:rFonts w:hint="eastAsia" w:ascii="宋体" w:hAnsi="宋体" w:cs="宋体"/>
                <w:color w:val="auto"/>
                <w:kern w:val="0"/>
                <w:sz w:val="18"/>
                <w:szCs w:val="18"/>
                <w:highlight w:val="none"/>
                <w:lang w:val="en-US" w:eastAsia="zh-CN"/>
              </w:rPr>
              <w:t>支持</w:t>
            </w:r>
            <w:r>
              <w:rPr>
                <w:rFonts w:hint="eastAsia" w:ascii="宋体" w:hAnsi="宋体" w:cs="宋体"/>
                <w:color w:val="auto"/>
                <w:kern w:val="0"/>
                <w:sz w:val="18"/>
                <w:szCs w:val="18"/>
                <w:highlight w:val="none"/>
              </w:rPr>
              <w:t>对集群资源、</w:t>
            </w:r>
            <w:r>
              <w:rPr>
                <w:rFonts w:hint="eastAsia" w:ascii="宋体" w:hAnsi="宋体" w:cs="宋体"/>
                <w:color w:val="auto"/>
                <w:kern w:val="0"/>
                <w:sz w:val="18"/>
                <w:szCs w:val="18"/>
                <w:highlight w:val="none"/>
                <w:lang w:eastAsia="zh-CN"/>
              </w:rPr>
              <w:t>平台硬件</w:t>
            </w:r>
            <w:r>
              <w:rPr>
                <w:rFonts w:hint="eastAsia" w:ascii="宋体" w:hAnsi="宋体" w:cs="宋体"/>
                <w:color w:val="auto"/>
                <w:kern w:val="0"/>
                <w:sz w:val="18"/>
                <w:szCs w:val="18"/>
                <w:highlight w:val="none"/>
              </w:rPr>
              <w:t>、云</w:t>
            </w:r>
            <w:r>
              <w:rPr>
                <w:rFonts w:hint="eastAsia" w:ascii="宋体" w:hAnsi="宋体" w:cs="宋体"/>
                <w:color w:val="auto"/>
                <w:kern w:val="0"/>
                <w:sz w:val="18"/>
                <w:szCs w:val="18"/>
                <w:highlight w:val="none"/>
                <w:lang w:eastAsia="zh-CN"/>
              </w:rPr>
              <w:t>平台</w:t>
            </w:r>
            <w:r>
              <w:rPr>
                <w:rFonts w:hint="eastAsia" w:ascii="宋体" w:hAnsi="宋体" w:cs="宋体"/>
                <w:color w:val="auto"/>
                <w:kern w:val="0"/>
                <w:sz w:val="18"/>
                <w:szCs w:val="18"/>
                <w:highlight w:val="none"/>
              </w:rPr>
              <w:t>的性能</w:t>
            </w:r>
            <w:r>
              <w:rPr>
                <w:rFonts w:hint="eastAsia" w:ascii="宋体" w:hAnsi="宋体" w:cs="宋体"/>
                <w:color w:val="auto"/>
                <w:kern w:val="0"/>
                <w:sz w:val="18"/>
                <w:szCs w:val="18"/>
                <w:highlight w:val="none"/>
                <w:lang w:val="en-US" w:eastAsia="zh-CN"/>
              </w:rPr>
              <w:t>进行</w:t>
            </w:r>
            <w:r>
              <w:rPr>
                <w:rFonts w:hint="eastAsia" w:ascii="宋体" w:hAnsi="宋体" w:cs="宋体"/>
                <w:color w:val="auto"/>
                <w:kern w:val="0"/>
                <w:sz w:val="18"/>
                <w:szCs w:val="18"/>
                <w:highlight w:val="none"/>
              </w:rPr>
              <w:t>监控。</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提供自主原创证明材料</w:t>
            </w:r>
            <w:r>
              <w:rPr>
                <w:rFonts w:hint="eastAsia" w:ascii="宋体" w:hAnsi="宋体" w:cs="宋体"/>
                <w:color w:val="auto"/>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（4）系统架构：采用去中心化的分布式架构，登录到任何一个节点的管理VM可以对整个集群进行管理。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（5）快速部署：支持基于Web界面方式快速初始化集群，通过向导式操作即可完成集群部署工作，实现平台快速交付。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（6）节点维护：支持</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节点维护模式，维护过程中不会触发数据重构机制，保证集群存储性能最佳。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租户隔离：支持原生多租户功能，租户之间实现计算、存储、网络及安全资源隔离，每个租户可拥有管理员和普通用户。管理员可以对租户配额资源进行修改，资源包括CPU核数、内存配额、存储配额等，并且支持实时扩展。</w:t>
            </w:r>
            <w:r>
              <w:rPr>
                <w:rFonts w:hint="eastAsia" w:ascii="宋体" w:hAnsi="宋体" w:cs="宋体"/>
                <w:color w:val="000000"/>
                <w:kern w:val="0"/>
                <w:sz w:val="18"/>
                <w:szCs w:val="18"/>
                <w:highlight w:val="none"/>
              </w:rPr>
              <w:br w:type="textWrapping"/>
            </w:r>
            <w:r>
              <w:rPr>
                <w:rFonts w:hint="eastAsia" w:ascii="宋体" w:hAnsi="宋体" w:cs="宋体"/>
                <w:kern w:val="0"/>
                <w:sz w:val="18"/>
                <w:szCs w:val="18"/>
                <w:highlight w:val="none"/>
              </w:rPr>
              <w:t>（8）动态扩展：支持基于Web界面快速扩容计算和存储节点，通过扫描主机或者手动添加的方式增加主机，扩大集群功能，可基于界面自定义物理主机角色，角色包括计算角色、数据角色、接入角色、共享角色。</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可以安装独立的操作系统，支持Windows操作系统，包括WindowsXP、Windows7、WindowsServer2003</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2008R2、2012R2、2016及以上版本</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操作系统，支持Linux操作系统，包括CentOS、Ubuntu、RedHat、SUSE等多个发行版本，支持国产操作系统，包括红旗linux、中标麒麟、银河麒麟、统信UOS、中标普华、中科方德、一铭、万里红、新支点等。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（10）批量修改：支持批量修改云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的配置参数，包括：CPU基准类型、CPU自动扩展、内存自动扩展、HA、是否双活、是否绑定主资源池、是否开启数据本地化、是否开启异常监测、是否启用内存安全等。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（11）基准配置：支持CPU基准配置，实现同一集群内的异构CPU配置，集群中云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可以在不同配置CPU的</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上实现在线的迁移，同时支持资源池的CPU基准统一配置，提供更高的兼容性。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（12）副本设置：支持云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级别副本设置，可以针对不同场景给不同云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设置不同数量副本，提升灵活性。并可以支持动态在线增加和删除副本。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（13）资源监控：支持主流Linux/Windows以及国产操作系统云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的内部负载实时监控，包括操作系统版本、CPU使用率、内存使用情况、网络流量、系统磁盘数量、磁盘分区、磁盘使用率、系统进程及系统连接数量。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（14）统一存储：支持提供统一存储服务，包括块存储，文件存储和对象存储，一个集群即可同时提供虚拟化、分布式块、对象、文件存储服务。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（15）磁盘退役：支持磁盘退役功能，被设置为退役的硬盘，数据自动迁移到集群其它</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节点磁盘中；支持磁盘维护功能，被设置为维护的硬盘，新数据会自动使用其他磁盘，原数据不受影响。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（16）数据可见：支持快照数据在线可见，可随时查看和读取快照数据，当VM内文件发生误操作、误删、中毒、系统配置文件更改时，可以通过该功能对比查看快照时刻VM内的文件，而无需执行VM快照回滚或者恢复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（17）数据纠删：支持纠删码数据分布技术而非采用其他分布式存储产品提供此功能。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（18）网络拓扑：支持本地网络和VPC网络，支持通过鼠标拖拽网元及连线的方式构建可视化网络，实现网络环境的快速化构建。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（19）虚拟网络：支持配置Geneve、vlan、vxlan、local等主流虚拟化网络，满足大二层网络需求。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（20）流量监控：支持分布式流量镜像功能，实现跨宿主机的虚拟机之间进行流量镜像的功能。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（21）网络隔离：支持存储网络隔离，可以设置独立的私有网络，保持与其他物理网络隔离。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（22）网络微分：支持网络微分段URL黑白名单功能，实现针对HTTP和HTTPS进行管理限制，实现安全访问控制。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（23）网络防护：可基于IPv4、IPv6、端口号、协议、优先级、TCPflag、ICMPType等设置访问规则，支持1-4层的安全防护。</w:t>
            </w:r>
          </w:p>
        </w:tc>
        <w:tc>
          <w:tcPr>
            <w:tcW w:w="244" w:type="pct"/>
            <w:shd w:val="clear" w:color="auto" w:fill="auto"/>
            <w:vAlign w:val="center"/>
          </w:tcPr>
          <w:p w14:paraId="28B68E1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3548CF2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875000</w:t>
            </w:r>
          </w:p>
        </w:tc>
        <w:tc>
          <w:tcPr>
            <w:tcW w:w="305" w:type="pct"/>
            <w:shd w:val="clear" w:color="auto" w:fill="auto"/>
            <w:vAlign w:val="center"/>
          </w:tcPr>
          <w:p w14:paraId="019828C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875000</w:t>
            </w:r>
          </w:p>
        </w:tc>
      </w:tr>
      <w:tr w14:paraId="169F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61ED75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332" w:type="pct"/>
            <w:vMerge w:val="continue"/>
            <w:vAlign w:val="center"/>
          </w:tcPr>
          <w:p w14:paraId="169B0CAC">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1B202B3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外网超融合平台</w:t>
            </w:r>
          </w:p>
        </w:tc>
        <w:tc>
          <w:tcPr>
            <w:tcW w:w="3257" w:type="pct"/>
            <w:shd w:val="clear" w:color="auto" w:fill="auto"/>
            <w:vAlign w:val="center"/>
          </w:tcPr>
          <w:p w14:paraId="6716DF3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1、超融合平台硬件要求：</w:t>
            </w:r>
            <w:r>
              <w:rPr>
                <w:rFonts w:hint="eastAsia" w:ascii="宋体" w:hAnsi="宋体" w:cs="宋体"/>
                <w:color w:val="000000"/>
                <w:kern w:val="0"/>
                <w:sz w:val="18"/>
                <w:szCs w:val="18"/>
                <w:highlight w:val="none"/>
              </w:rPr>
              <w:br w:type="textWrapping"/>
            </w:r>
            <w:r>
              <w:rPr>
                <w:rFonts w:hint="eastAsia" w:ascii="宋体" w:hAnsi="宋体" w:cs="宋体"/>
                <w:color w:val="auto"/>
                <w:kern w:val="0"/>
                <w:sz w:val="18"/>
                <w:szCs w:val="18"/>
                <w:highlight w:val="none"/>
              </w:rPr>
              <w:t>（1）本次配置3台</w:t>
            </w:r>
            <w:r>
              <w:rPr>
                <w:rFonts w:hint="eastAsia" w:ascii="宋体" w:hAnsi="宋体" w:cs="宋体"/>
                <w:color w:val="auto"/>
                <w:kern w:val="0"/>
                <w:sz w:val="18"/>
                <w:szCs w:val="18"/>
                <w:highlight w:val="none"/>
                <w:lang w:eastAsia="zh-CN"/>
              </w:rPr>
              <w:t>平台硬件</w:t>
            </w:r>
            <w:r>
              <w:rPr>
                <w:rFonts w:hint="eastAsia" w:ascii="宋体" w:hAnsi="宋体" w:cs="宋体"/>
                <w:color w:val="auto"/>
                <w:kern w:val="0"/>
                <w:sz w:val="18"/>
                <w:szCs w:val="18"/>
                <w:highlight w:val="none"/>
              </w:rPr>
              <w:t>，单台</w:t>
            </w:r>
            <w:r>
              <w:rPr>
                <w:rFonts w:hint="eastAsia" w:ascii="宋体" w:hAnsi="宋体" w:cs="宋体"/>
                <w:color w:val="auto"/>
                <w:kern w:val="0"/>
                <w:sz w:val="18"/>
                <w:szCs w:val="18"/>
                <w:highlight w:val="none"/>
                <w:lang w:eastAsia="zh-CN"/>
              </w:rPr>
              <w:t>平台硬件</w:t>
            </w:r>
            <w:r>
              <w:rPr>
                <w:rFonts w:hint="eastAsia" w:ascii="宋体" w:hAnsi="宋体" w:cs="宋体"/>
                <w:color w:val="auto"/>
                <w:kern w:val="0"/>
                <w:sz w:val="18"/>
                <w:szCs w:val="18"/>
                <w:highlight w:val="none"/>
              </w:rPr>
              <w:t>配置需满足下列要求：</w:t>
            </w:r>
            <w:r>
              <w:rPr>
                <w:rFonts w:hint="eastAsia" w:ascii="宋体" w:hAnsi="宋体" w:cs="宋体"/>
                <w:color w:val="FF0000"/>
                <w:kern w:val="0"/>
                <w:sz w:val="18"/>
                <w:szCs w:val="18"/>
                <w:highlight w:val="none"/>
              </w:rPr>
              <w:br w:type="textWrapping"/>
            </w:r>
            <w:r>
              <w:rPr>
                <w:rFonts w:hint="eastAsia" w:ascii="宋体" w:hAnsi="宋体" w:cs="宋体"/>
                <w:color w:val="000000"/>
                <w:kern w:val="0"/>
                <w:sz w:val="18"/>
                <w:szCs w:val="18"/>
                <w:highlight w:val="none"/>
              </w:rPr>
              <w:t>（2）处理器：≥2颗物理CPU，主频≥2.4Ghz，核心数≥16。</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（3）内  存：≥256GB DDR4内存。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（4）系统盘：≥2块480GB SSD固态硬盘。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（5）缓存盘：≥2块1920GB SSD固态硬盘。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（6）数据盘：≥6块8TB SATA机械硬盘。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（7）接  口：≥4个1000BASE-T接口，≥2个SFP+万兆光口。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（8）电  源：冗余电源。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2、超融合平台软件要求：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（1）本次配置6套超融合软件，软件需满足下列要求：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（2）节点退役：支持</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节点退役功能，退役主机的数据自动迁移至其它正常服务器节点。</w:t>
            </w:r>
            <w:r>
              <w:rPr>
                <w:rFonts w:hint="eastAsia" w:ascii="宋体" w:hAnsi="宋体" w:cs="宋体"/>
                <w:color w:val="000000"/>
                <w:kern w:val="0"/>
                <w:sz w:val="18"/>
                <w:szCs w:val="18"/>
                <w:highlight w:val="none"/>
              </w:rPr>
              <w:br w:type="textWrapping"/>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rPr>
              <w:t>（3）自主可控：</w:t>
            </w:r>
            <w:r>
              <w:rPr>
                <w:rFonts w:hint="eastAsia" w:ascii="宋体" w:hAnsi="宋体" w:cs="宋体"/>
                <w:color w:val="auto"/>
                <w:kern w:val="0"/>
                <w:sz w:val="18"/>
                <w:szCs w:val="18"/>
                <w:highlight w:val="none"/>
                <w:lang w:val="en-US" w:eastAsia="zh-CN"/>
              </w:rPr>
              <w:t>超融合平台软件</w:t>
            </w:r>
            <w:r>
              <w:rPr>
                <w:rFonts w:hint="eastAsia" w:ascii="宋体" w:hAnsi="宋体" w:cs="宋体"/>
                <w:color w:val="auto"/>
                <w:kern w:val="0"/>
                <w:sz w:val="18"/>
                <w:szCs w:val="18"/>
                <w:highlight w:val="none"/>
              </w:rPr>
              <w:t>应为国产品牌，</w:t>
            </w:r>
            <w:r>
              <w:rPr>
                <w:rFonts w:hint="eastAsia" w:ascii="宋体" w:hAnsi="宋体" w:cs="宋体"/>
                <w:color w:val="auto"/>
                <w:kern w:val="0"/>
                <w:sz w:val="18"/>
                <w:szCs w:val="18"/>
                <w:highlight w:val="none"/>
                <w:lang w:val="en-US" w:eastAsia="zh-CN"/>
              </w:rPr>
              <w:t>软件</w:t>
            </w:r>
            <w:r>
              <w:rPr>
                <w:rFonts w:hint="eastAsia" w:ascii="宋体" w:hAnsi="宋体" w:cs="宋体"/>
                <w:color w:val="auto"/>
                <w:kern w:val="0"/>
                <w:sz w:val="18"/>
                <w:szCs w:val="18"/>
                <w:highlight w:val="none"/>
                <w:lang w:eastAsia="zh-CN"/>
              </w:rPr>
              <w:t>完全自主研发，非</w:t>
            </w:r>
            <w:r>
              <w:rPr>
                <w:rFonts w:hint="eastAsia" w:ascii="宋体" w:hAnsi="宋体" w:cs="宋体"/>
                <w:color w:val="auto"/>
                <w:kern w:val="0"/>
                <w:sz w:val="18"/>
                <w:szCs w:val="18"/>
                <w:highlight w:val="none"/>
                <w:lang w:val="en-US" w:eastAsia="zh-CN"/>
              </w:rPr>
              <w:t>代工</w:t>
            </w:r>
            <w:r>
              <w:rPr>
                <w:rFonts w:hint="eastAsia" w:ascii="宋体" w:hAnsi="宋体" w:cs="宋体"/>
                <w:color w:val="auto"/>
                <w:kern w:val="0"/>
                <w:sz w:val="18"/>
                <w:szCs w:val="18"/>
                <w:highlight w:val="none"/>
                <w:lang w:eastAsia="zh-CN"/>
              </w:rPr>
              <w:t>或贴牌其他厂商产品，</w:t>
            </w:r>
            <w:r>
              <w:rPr>
                <w:rFonts w:hint="eastAsia" w:ascii="宋体" w:hAnsi="宋体" w:cs="宋体"/>
                <w:color w:val="auto"/>
                <w:kern w:val="0"/>
                <w:sz w:val="18"/>
                <w:szCs w:val="18"/>
                <w:highlight w:val="none"/>
                <w:lang w:val="en-US" w:eastAsia="zh-CN"/>
              </w:rPr>
              <w:t>支持</w:t>
            </w:r>
            <w:r>
              <w:rPr>
                <w:rFonts w:hint="eastAsia" w:ascii="宋体" w:hAnsi="宋体" w:cs="宋体"/>
                <w:color w:val="auto"/>
                <w:kern w:val="0"/>
                <w:sz w:val="18"/>
                <w:szCs w:val="18"/>
                <w:highlight w:val="none"/>
              </w:rPr>
              <w:t>对集群资源、</w:t>
            </w:r>
            <w:r>
              <w:rPr>
                <w:rFonts w:hint="eastAsia" w:ascii="宋体" w:hAnsi="宋体" w:cs="宋体"/>
                <w:color w:val="auto"/>
                <w:kern w:val="0"/>
                <w:sz w:val="18"/>
                <w:szCs w:val="18"/>
                <w:highlight w:val="none"/>
                <w:lang w:eastAsia="zh-CN"/>
              </w:rPr>
              <w:t>平台硬件</w:t>
            </w:r>
            <w:r>
              <w:rPr>
                <w:rFonts w:hint="eastAsia" w:ascii="宋体" w:hAnsi="宋体" w:cs="宋体"/>
                <w:color w:val="auto"/>
                <w:kern w:val="0"/>
                <w:sz w:val="18"/>
                <w:szCs w:val="18"/>
                <w:highlight w:val="none"/>
              </w:rPr>
              <w:t>、云</w:t>
            </w:r>
            <w:r>
              <w:rPr>
                <w:rFonts w:hint="eastAsia" w:ascii="宋体" w:hAnsi="宋体" w:cs="宋体"/>
                <w:color w:val="auto"/>
                <w:kern w:val="0"/>
                <w:sz w:val="18"/>
                <w:szCs w:val="18"/>
                <w:highlight w:val="none"/>
                <w:lang w:eastAsia="zh-CN"/>
              </w:rPr>
              <w:t>平台</w:t>
            </w:r>
            <w:r>
              <w:rPr>
                <w:rFonts w:hint="eastAsia" w:ascii="宋体" w:hAnsi="宋体" w:cs="宋体"/>
                <w:color w:val="auto"/>
                <w:kern w:val="0"/>
                <w:sz w:val="18"/>
                <w:szCs w:val="18"/>
                <w:highlight w:val="none"/>
              </w:rPr>
              <w:t>的性能</w:t>
            </w:r>
            <w:r>
              <w:rPr>
                <w:rFonts w:hint="eastAsia" w:ascii="宋体" w:hAnsi="宋体" w:cs="宋体"/>
                <w:color w:val="auto"/>
                <w:kern w:val="0"/>
                <w:sz w:val="18"/>
                <w:szCs w:val="18"/>
                <w:highlight w:val="none"/>
                <w:lang w:val="en-US" w:eastAsia="zh-CN"/>
              </w:rPr>
              <w:t>进行</w:t>
            </w:r>
            <w:r>
              <w:rPr>
                <w:rFonts w:hint="eastAsia" w:ascii="宋体" w:hAnsi="宋体" w:cs="宋体"/>
                <w:color w:val="auto"/>
                <w:kern w:val="0"/>
                <w:sz w:val="18"/>
                <w:szCs w:val="18"/>
                <w:highlight w:val="none"/>
              </w:rPr>
              <w:t>监控。</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提供自主原创证明材料</w:t>
            </w:r>
            <w:r>
              <w:rPr>
                <w:rFonts w:hint="eastAsia" w:ascii="宋体" w:hAnsi="宋体" w:cs="宋体"/>
                <w:color w:val="auto"/>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（4）系统架构：采用去中心化的分布式架构，登录到任何一个节点的管理VM可以对整个集群进行管理。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（5）快速部署：支持基于Web界面方式快速初始化集群，通过向导式操作即可完成集群部署工作，实现平台快速交付。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（6）节点维护：支持</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节点维护模式，维护过程中不会触发数据重构机制，保证集群存储性能最佳。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租户隔离：支持原生多租户功能，租户之间实现计算、存储、网络及安全资源隔离，每个租户可拥有管理员和普通用户。管理员可以对租户配额资源进行修改，资源包括CPU核数、内存配额、存储配额等，并且支持实时扩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（8）动态扩展：支持基于Web界面快速扩容计算和存储节点，通过扫描主机或者手动添加的方式增加主机，扩大集群功能，可基于界面自定义物理主机角色，角色包括计算角色、数据角色、接入角色、共享角色。</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可以安装独立的操作系统，支持Windows操作系统，包括WindowsXP、Windows7、WindowsServer2003</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2008R2、2012R2、2016及以上版本</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操作系统，支持Linux操作系统，包括CentOS、Ubuntu、RedHat、SUSE等多个发行版本，支持国产操作系统，包括红旗linux、中标麒麟、银河麒麟、统信UOS、中标普华、中科方德、一铭、万里红、新支点等。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（10）批量修改：支持批量修改云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的配置参数，包括：CPU基准类型、CPU自动扩展、内存自动扩展、HA、是否双活、是否绑定主资源池、是否开启数据本地化、是否开启异常监测、是否启用内存安全等。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（11）基准配置：支持CPU基准配置，实现同一集群内的异构CPU配置，集群中云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可以在不同配置CPU的</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上实现在线的迁移，同时支持资源池的CPU基准统一配置，提供更高的兼容性。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（12）副本设置：支持云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级别副本设置，可以针对不同场景给不同云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设置不同数量副本，提升灵活性。并可以支持动态在线增加和删除副本。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（13）资源监控：支持主流Linux/Windows以及国产操作系统云</w:t>
            </w:r>
            <w:r>
              <w:rPr>
                <w:rFonts w:hint="eastAsia" w:ascii="宋体" w:hAnsi="宋体" w:cs="宋体"/>
                <w:color w:val="auto"/>
                <w:kern w:val="0"/>
                <w:sz w:val="18"/>
                <w:szCs w:val="18"/>
                <w:highlight w:val="none"/>
                <w:lang w:eastAsia="zh-CN"/>
              </w:rPr>
              <w:t>平台</w:t>
            </w:r>
            <w:r>
              <w:rPr>
                <w:rFonts w:hint="eastAsia" w:ascii="宋体" w:hAnsi="宋体" w:cs="宋体"/>
                <w:color w:val="000000"/>
                <w:kern w:val="0"/>
                <w:sz w:val="18"/>
                <w:szCs w:val="18"/>
                <w:highlight w:val="none"/>
              </w:rPr>
              <w:t>的内部负载实时监控，包括操作系统版本、CPU使用率、内存使用情况、网络流量、系统磁盘数量、磁盘分区、磁盘使用率、系统进程及系统连接数量。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（14）统一存储：支持提供统一存储服务，包括块存储，文件存储和对象存储，一个集群即可同时提供虚拟化、分布式块、对象、文件存储服务。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（15）磁盘退役：支持磁盘退役功能，被设置为退役的硬盘，数据自动迁移到集群其它</w:t>
            </w:r>
            <w:r>
              <w:rPr>
                <w:rFonts w:hint="eastAsia" w:ascii="宋体" w:hAnsi="宋体" w:cs="宋体"/>
                <w:color w:val="auto"/>
                <w:kern w:val="0"/>
                <w:sz w:val="18"/>
                <w:szCs w:val="18"/>
                <w:highlight w:val="none"/>
                <w:lang w:eastAsia="zh-CN"/>
              </w:rPr>
              <w:t>平台硬件</w:t>
            </w:r>
            <w:r>
              <w:rPr>
                <w:rFonts w:hint="eastAsia" w:ascii="宋体" w:hAnsi="宋体" w:cs="宋体"/>
                <w:color w:val="000000"/>
                <w:kern w:val="0"/>
                <w:sz w:val="18"/>
                <w:szCs w:val="18"/>
                <w:highlight w:val="none"/>
              </w:rPr>
              <w:t>节点磁盘中；支持磁盘维护功能，被设置为维护的硬盘，新数据会自动使用其他磁盘，原数据不受影响。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数据可见：支持快照数据在线可见，可随时查看和读取快照数据，当VM内文件发生误操作、误删、中毒、系统配置文件更改时，可以通过该功能对比查看快照时刻VM内的文件，而无需执行VM快照回滚或者恢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（17）数据纠删：支持纠删码数据分布技术而非采用其他分布式存储产品提供此功能。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（18）网络拓扑：支持本地网络和VPC网络，支持通过鼠标拖拽网元及连线的方式构建可视化网络，实现网络环境的快速化构建。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（19）虚拟网络：支持配置Geneve、vlan、vxlan、local等主流虚拟化网络，满足大二层网络需求。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（20）流量监控：支持分布式流量镜像功能，实现跨宿主机的虚拟机之间进行流量镜像的功能。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（21）网络隔离：支持存储网络隔离，可以设置独立的私有网络，保持与其他物理网络隔离。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（22）网络微分：支持网络微分段URL黑白名单功能，实现针对HTTP和HTTPS进行管理限制，实现安全访问控制。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（23）网络防护：可基于IPv4、IPv6、端口号、协议、优先级、TCPflag、ICMPType等设置访问规则，支持1-4层的安全防护。</w:t>
            </w:r>
          </w:p>
        </w:tc>
        <w:tc>
          <w:tcPr>
            <w:tcW w:w="244" w:type="pct"/>
            <w:shd w:val="clear" w:color="auto" w:fill="auto"/>
            <w:vAlign w:val="center"/>
          </w:tcPr>
          <w:p w14:paraId="5F4C7CF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1AD32A2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255000</w:t>
            </w:r>
          </w:p>
        </w:tc>
        <w:tc>
          <w:tcPr>
            <w:tcW w:w="305" w:type="pct"/>
            <w:shd w:val="clear" w:color="auto" w:fill="auto"/>
            <w:vAlign w:val="center"/>
          </w:tcPr>
          <w:p w14:paraId="690C20F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255000</w:t>
            </w:r>
          </w:p>
        </w:tc>
      </w:tr>
      <w:tr w14:paraId="6F32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4E089A0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332" w:type="pct"/>
            <w:vMerge w:val="continue"/>
            <w:vAlign w:val="center"/>
          </w:tcPr>
          <w:p w14:paraId="52D7902D">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03FDBF4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超融合交换机</w:t>
            </w:r>
          </w:p>
        </w:tc>
        <w:tc>
          <w:tcPr>
            <w:tcW w:w="3257" w:type="pct"/>
            <w:shd w:val="clear" w:color="auto" w:fill="auto"/>
            <w:vAlign w:val="center"/>
          </w:tcPr>
          <w:p w14:paraId="798786C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1、接口属性：万兆光口≥24。</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2、性能要求：</w:t>
            </w:r>
            <w:r>
              <w:rPr>
                <w:rFonts w:hint="eastAsia" w:ascii="宋体" w:hAnsi="宋体" w:cs="宋体"/>
                <w:color w:val="000000"/>
                <w:kern w:val="0"/>
                <w:sz w:val="18"/>
                <w:szCs w:val="18"/>
                <w:highlight w:val="none"/>
                <w:lang w:val="en-US" w:eastAsia="zh-CN"/>
              </w:rPr>
              <w:t>交换容量</w:t>
            </w:r>
            <w:r>
              <w:rPr>
                <w:rFonts w:hint="eastAsia" w:ascii="宋体" w:hAnsi="宋体" w:cs="宋体"/>
                <w:color w:val="000000"/>
                <w:kern w:val="0"/>
                <w:sz w:val="18"/>
                <w:szCs w:val="18"/>
                <w:highlight w:val="none"/>
              </w:rPr>
              <w:t>≥2.56T</w:t>
            </w:r>
            <w:r>
              <w:rPr>
                <w:rFonts w:hint="eastAsia" w:ascii="宋体" w:hAnsi="宋体" w:cs="宋体"/>
                <w:color w:val="000000"/>
                <w:kern w:val="0"/>
                <w:sz w:val="18"/>
                <w:szCs w:val="18"/>
                <w:highlight w:val="none"/>
                <w:lang w:val="en-US" w:eastAsia="zh-CN"/>
              </w:rPr>
              <w:t>bps</w:t>
            </w:r>
            <w:r>
              <w:rPr>
                <w:rFonts w:hint="eastAsia" w:ascii="宋体" w:hAnsi="宋体" w:cs="宋体"/>
                <w:color w:val="000000"/>
                <w:kern w:val="0"/>
                <w:sz w:val="18"/>
                <w:szCs w:val="18"/>
                <w:highlight w:val="none"/>
              </w:rPr>
              <w:t>，包转发率≥360M</w:t>
            </w:r>
            <w:r>
              <w:rPr>
                <w:rFonts w:hint="eastAsia" w:ascii="宋体" w:hAnsi="宋体" w:cs="宋体"/>
                <w:color w:val="000000"/>
                <w:kern w:val="0"/>
                <w:sz w:val="18"/>
                <w:szCs w:val="18"/>
                <w:highlight w:val="none"/>
                <w:lang w:val="en-US" w:eastAsia="zh-CN"/>
              </w:rPr>
              <w:t>pps</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3、功能要求：支持ICMPv6、支持ICMPv6重定向、支持DHCPv6、支持ACLv6、支持OSPFv3支持RIPng、支持BGP4+、支持IS-ISv6、支持手工隧道、支持ISATAP、支持6to4隧道、支持IPv6和IPv4双栈、支持SAVI功能。</w:t>
            </w:r>
          </w:p>
        </w:tc>
        <w:tc>
          <w:tcPr>
            <w:tcW w:w="244" w:type="pct"/>
            <w:shd w:val="clear" w:color="auto" w:fill="auto"/>
            <w:vAlign w:val="center"/>
          </w:tcPr>
          <w:p w14:paraId="473DA3B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2F7CBC6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5880</w:t>
            </w:r>
          </w:p>
        </w:tc>
        <w:tc>
          <w:tcPr>
            <w:tcW w:w="305" w:type="pct"/>
            <w:shd w:val="clear" w:color="auto" w:fill="auto"/>
            <w:vAlign w:val="center"/>
          </w:tcPr>
          <w:p w14:paraId="498B19C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35280</w:t>
            </w:r>
          </w:p>
        </w:tc>
      </w:tr>
      <w:tr w14:paraId="4293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69D4539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w:t>
            </w:r>
          </w:p>
        </w:tc>
        <w:tc>
          <w:tcPr>
            <w:tcW w:w="332" w:type="pct"/>
            <w:vMerge w:val="continue"/>
            <w:vAlign w:val="center"/>
          </w:tcPr>
          <w:p w14:paraId="5DD544EB">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5B54BC3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超融合光模块</w:t>
            </w:r>
          </w:p>
        </w:tc>
        <w:tc>
          <w:tcPr>
            <w:tcW w:w="3257" w:type="pct"/>
            <w:shd w:val="clear" w:color="auto" w:fill="auto"/>
            <w:vAlign w:val="center"/>
          </w:tcPr>
          <w:p w14:paraId="7F874E2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超融合万兆光模块，与超融合平台配合使用。</w:t>
            </w:r>
          </w:p>
        </w:tc>
        <w:tc>
          <w:tcPr>
            <w:tcW w:w="244" w:type="pct"/>
            <w:shd w:val="clear" w:color="auto" w:fill="auto"/>
            <w:vAlign w:val="center"/>
          </w:tcPr>
          <w:p w14:paraId="2D605E1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90</w:t>
            </w:r>
            <w:r>
              <w:rPr>
                <w:rFonts w:hint="eastAsia" w:ascii="宋体" w:hAnsi="宋体" w:cs="宋体"/>
                <w:color w:val="000000"/>
                <w:kern w:val="0"/>
                <w:sz w:val="18"/>
                <w:szCs w:val="18"/>
                <w:highlight w:val="none"/>
                <w:lang w:val="en-US" w:eastAsia="zh-CN"/>
              </w:rPr>
              <w:t>个</w:t>
            </w:r>
          </w:p>
        </w:tc>
        <w:tc>
          <w:tcPr>
            <w:tcW w:w="292" w:type="pct"/>
            <w:shd w:val="clear" w:color="auto" w:fill="auto"/>
            <w:vAlign w:val="center"/>
          </w:tcPr>
          <w:p w14:paraId="2DA3374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240</w:t>
            </w:r>
          </w:p>
        </w:tc>
        <w:tc>
          <w:tcPr>
            <w:tcW w:w="305" w:type="pct"/>
            <w:shd w:val="clear" w:color="auto" w:fill="auto"/>
            <w:vAlign w:val="center"/>
          </w:tcPr>
          <w:p w14:paraId="69E2F7F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21600</w:t>
            </w:r>
          </w:p>
        </w:tc>
      </w:tr>
      <w:tr w14:paraId="2E41A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61C0E92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332" w:type="pct"/>
            <w:vMerge w:val="continue"/>
            <w:vAlign w:val="center"/>
          </w:tcPr>
          <w:p w14:paraId="043F5A6F">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5A4E59C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内网防火墙</w:t>
            </w:r>
          </w:p>
        </w:tc>
        <w:tc>
          <w:tcPr>
            <w:tcW w:w="3257" w:type="pct"/>
            <w:shd w:val="clear" w:color="auto" w:fill="auto"/>
            <w:vAlign w:val="center"/>
          </w:tcPr>
          <w:p w14:paraId="539D753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1、系统架构：采用自主知识产权的安全操作系统，采用多核多平台并行处理。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2、硬件要求：1000BASE-T接口≥16，SFP千兆光口≥10，SFP+万兆光口≥4，</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≥2，冗余电源。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★3、性能要求：吞吐量≥35Gbps，并发连接数≥1200万。含5年IDP攻击规则特征库升级授权，5年病毒库升级授权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所有授权时间自验收合格之日起计算</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4、工作模式：支持路由、交换、虚拟线、Listening、混合工作模式。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5、路由模式：支持静态路由、策略路由及动态路由。如RIP、OSPF、BGP、QinQ、PIM-SM、PIM-DM。</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6、链路聚合：为提高链路可靠性，设备需支持手工链路聚合及LACP链路聚合，提供不少于8种的负载分担算法，灵活实现对聚合组内业务流量的负载分担。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7</w:t>
            </w:r>
            <w:r>
              <w:rPr>
                <w:rFonts w:hint="eastAsia" w:ascii="宋体" w:hAnsi="宋体" w:cs="宋体"/>
                <w:color w:val="000000"/>
                <w:kern w:val="0"/>
                <w:sz w:val="18"/>
                <w:szCs w:val="18"/>
                <w:highlight w:val="none"/>
              </w:rPr>
              <w:t>、访问控制：可以通过一条策略实现五元组、源MAC、源地区、目的地区、域名、应用、服务、时间、长连接、并发会话、IPS、AV、邮件安全、数据过滤、文件过滤、防代理、APT等功能配置。</w:t>
            </w:r>
            <w:r>
              <w:rPr>
                <w:rFonts w:hint="eastAsia" w:ascii="宋体" w:hAnsi="宋体" w:cs="宋体"/>
                <w:color w:val="000000"/>
                <w:kern w:val="0"/>
                <w:sz w:val="18"/>
                <w:szCs w:val="18"/>
                <w:highlight w:val="none"/>
              </w:rPr>
              <w:br w:type="textWrapping"/>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8</w:t>
            </w:r>
            <w:r>
              <w:rPr>
                <w:rFonts w:hint="eastAsia" w:ascii="宋体" w:hAnsi="宋体" w:cs="宋体"/>
                <w:color w:val="auto"/>
                <w:kern w:val="0"/>
                <w:sz w:val="18"/>
                <w:szCs w:val="18"/>
                <w:highlight w:val="none"/>
              </w:rPr>
              <w:t>、策略分析：提供智能策略分析功能，支持策略命中分析、策略冗余分析、策略冲突检查，并且可在WEB界面显示检测结果：冗余策略</w:t>
            </w:r>
            <w:r>
              <w:rPr>
                <w:rFonts w:hint="eastAsia" w:ascii="宋体" w:hAnsi="宋体" w:cs="宋体"/>
                <w:color w:val="auto"/>
                <w:kern w:val="0"/>
                <w:sz w:val="18"/>
                <w:szCs w:val="18"/>
                <w:highlight w:val="none"/>
                <w:lang w:val="en-US" w:eastAsia="zh-CN"/>
              </w:rPr>
              <w:t>和</w:t>
            </w:r>
            <w:r>
              <w:rPr>
                <w:rFonts w:hint="eastAsia" w:ascii="宋体" w:hAnsi="宋体" w:cs="宋体"/>
                <w:color w:val="auto"/>
                <w:kern w:val="0"/>
                <w:sz w:val="18"/>
                <w:szCs w:val="18"/>
                <w:highlight w:val="none"/>
              </w:rPr>
              <w:t>冲突策略</w:t>
            </w:r>
            <w:r>
              <w:rPr>
                <w:rFonts w:hint="eastAsia" w:ascii="宋体" w:hAnsi="宋体" w:cs="宋体"/>
                <w:color w:val="auto"/>
                <w:kern w:val="0"/>
                <w:sz w:val="18"/>
                <w:szCs w:val="18"/>
                <w:highlight w:val="none"/>
                <w:lang w:val="en-US" w:eastAsia="zh-CN"/>
              </w:rPr>
              <w:t>可用不同颜色区分</w:t>
            </w:r>
            <w:r>
              <w:rPr>
                <w:rFonts w:hint="eastAsia" w:ascii="宋体" w:hAnsi="宋体" w:cs="宋体"/>
                <w:color w:val="auto"/>
                <w:kern w:val="0"/>
                <w:sz w:val="18"/>
                <w:szCs w:val="18"/>
                <w:highlight w:val="none"/>
              </w:rPr>
              <w:t>。</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国家认可的</w:t>
            </w:r>
            <w:r>
              <w:rPr>
                <w:rFonts w:hint="eastAsia" w:ascii="宋体" w:hAnsi="宋体" w:cs="宋体"/>
                <w:color w:val="auto"/>
                <w:kern w:val="0"/>
                <w:sz w:val="18"/>
                <w:szCs w:val="18"/>
                <w:highlight w:val="none"/>
                <w:lang w:eastAsia="zh-CN"/>
              </w:rPr>
              <w:t>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9</w:t>
            </w:r>
            <w:r>
              <w:rPr>
                <w:rFonts w:hint="eastAsia" w:ascii="宋体" w:hAnsi="宋体" w:cs="宋体"/>
                <w:color w:val="000000"/>
                <w:kern w:val="0"/>
                <w:sz w:val="18"/>
                <w:szCs w:val="18"/>
                <w:highlight w:val="none"/>
              </w:rPr>
              <w:t>、入侵防御：支持独立的入侵防护规则特征库，特征总数≥5000条，规则库支持根据攻击类型、风险等级、流行程度、操作系统等进行分类，防护动作包括告警、阻断、记录攻击报文。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0</w:t>
            </w:r>
            <w:r>
              <w:rPr>
                <w:rFonts w:hint="eastAsia" w:ascii="宋体" w:hAnsi="宋体" w:cs="宋体"/>
                <w:color w:val="000000"/>
                <w:kern w:val="0"/>
                <w:sz w:val="18"/>
                <w:szCs w:val="18"/>
                <w:highlight w:val="none"/>
              </w:rPr>
              <w:t>、病毒过滤：支持对HTTP/SMTP/POP3/FTP/IMAP/IM等协议进行病毒防御，可对5级以上的压缩文件进行解压查杀。</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1</w:t>
            </w:r>
            <w:r>
              <w:rPr>
                <w:rFonts w:hint="eastAsia" w:ascii="宋体" w:hAnsi="宋体" w:cs="宋体"/>
                <w:color w:val="000000"/>
                <w:kern w:val="0"/>
                <w:sz w:val="18"/>
                <w:szCs w:val="18"/>
                <w:highlight w:val="none"/>
              </w:rPr>
              <w:t>、资产管理：支持基于NTP协议的检测清洗，包括NTPREQUESTFLOOD、NTPREPLYFLOOD等攻击检测，支持基于NTP请求限速、NTP响应限速、源认证、会话认证的防御策略。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2</w:t>
            </w:r>
            <w:r>
              <w:rPr>
                <w:rFonts w:hint="eastAsia" w:ascii="宋体" w:hAnsi="宋体" w:cs="宋体"/>
                <w:color w:val="000000"/>
                <w:kern w:val="0"/>
                <w:sz w:val="18"/>
                <w:szCs w:val="18"/>
                <w:highlight w:val="none"/>
              </w:rPr>
              <w:t>、资源监控：在WEB界面提供资源监控开关，可对cpu占用率、内存占用率、磁盘占用率设置阈值。</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3</w:t>
            </w:r>
            <w:r>
              <w:rPr>
                <w:rFonts w:hint="eastAsia" w:ascii="宋体" w:hAnsi="宋体" w:cs="宋体"/>
                <w:color w:val="000000"/>
                <w:kern w:val="0"/>
                <w:sz w:val="18"/>
                <w:szCs w:val="18"/>
                <w:highlight w:val="none"/>
              </w:rPr>
              <w:t>、KPI系统：支持本地CA和第三方CA，支持作为CA认证中心为其他人签发证书，也可采用第三方CA为其他人签发证书；支持标准CRL列表，支持CRL手工更新，同时支持CRL自动下载，通过HTTP或者LDAP方式定时自动下载更新CRL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4</w:t>
            </w:r>
            <w:r>
              <w:rPr>
                <w:rFonts w:hint="eastAsia" w:ascii="宋体" w:hAnsi="宋体" w:cs="宋体"/>
                <w:color w:val="000000"/>
                <w:kern w:val="0"/>
                <w:sz w:val="18"/>
                <w:szCs w:val="18"/>
                <w:highlight w:val="none"/>
              </w:rPr>
              <w:t>、日志存储：支持日志本地存储，可对不同类型日志设置存储空间；同时支持外发至SYSLOG服务器，可将多条日志合并成一条日志传送到日志服务器中，可选择对日志传输是否加密，设定8位的加密密钥。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、双栈模式：支持IPv4/IPv6双栈工作模式，支持IPv6安全控制策略设置，能针对IPv6的目的/源地址、目的/源服务端口、区域、服务、时间、扩展头属性等条件进行安全访问规则的设置。</w:t>
            </w:r>
          </w:p>
        </w:tc>
        <w:tc>
          <w:tcPr>
            <w:tcW w:w="244" w:type="pct"/>
            <w:shd w:val="clear" w:color="auto" w:fill="auto"/>
            <w:vAlign w:val="center"/>
          </w:tcPr>
          <w:p w14:paraId="52261A7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6405675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137000</w:t>
            </w:r>
          </w:p>
        </w:tc>
        <w:tc>
          <w:tcPr>
            <w:tcW w:w="305" w:type="pct"/>
            <w:shd w:val="clear" w:color="auto" w:fill="auto"/>
            <w:vAlign w:val="center"/>
          </w:tcPr>
          <w:p w14:paraId="1D51FCF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137000</w:t>
            </w:r>
          </w:p>
        </w:tc>
      </w:tr>
      <w:tr w14:paraId="30E6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27B20A7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w:t>
            </w:r>
          </w:p>
        </w:tc>
        <w:tc>
          <w:tcPr>
            <w:tcW w:w="332" w:type="pct"/>
            <w:vMerge w:val="continue"/>
            <w:vAlign w:val="center"/>
          </w:tcPr>
          <w:p w14:paraId="2C43D7C3">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4A3CA68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外网防火墙</w:t>
            </w:r>
          </w:p>
        </w:tc>
        <w:tc>
          <w:tcPr>
            <w:tcW w:w="3257" w:type="pct"/>
            <w:shd w:val="clear" w:color="auto" w:fill="auto"/>
            <w:vAlign w:val="center"/>
          </w:tcPr>
          <w:p w14:paraId="5D99719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1、系统架构：采用自主知识产权的安全操作系统，采用多核多平台并行处理。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2、硬件要求：1000BASE-T接口≥16，SFP千兆光口≥4，SFP+万兆光口≥4，</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≥1，冗余电源。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★3、性能要求：吞吐量≥10Gbps，并发数≥220万。含5年攻击检测规则库升级授权、5年病毒特征库升级授权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所有授权时间自验收合格之日起计算</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4、接入模式：支持路由、透明以及混合接入模式，满足复杂应用环境的接入需求。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5、路由模式：支持静态路由、OSPF\BGP\RIP\RIPNG动态路由、SD-WAN路由、MPLS路由。（提供功能截图证明材料）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6、ADSL拨号：至少支持8路ADSL拨号接入，可对各ADSL链路之间通过WCMP与ECMP方式进行路由均衡；支持ISP路由，至少内置8个不同运营商的地址库，并可进行升级。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7、访问控制：支持多元组的访问控制规则，至少支持基于源MAC、源端口、目的端口、时间、域名、URL等多个元素进行访问控制。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8、MAC绑定：具有IP/MAC绑定功能，保证IP地址唯一性；支持手动绑定和自动探测两种方式进行IP/MAC绑定。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9、地址转换：支持NAT64,支持静态转换和前缀转换方式；支持NAT66地址转换，支持源地址转换。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带宽管理：支持基于链路和多层通道嵌套的流量控制功能，提供至少四层通道嵌套，支持基于接口/区域的上下行带宽管理，可基于应用/应用组、角色、地址、服务\服务组和时间等带宽策略，支持带宽策略优先级和针对IP、应用设置白名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11、恶意代码：支持恶意代码防护功能，可针对HTTP、SMTP、POP3FTP协议进行动态阻断；恶意代码特征库总数大于200万，包含蠕虫病毒、后门木马等。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12、应用识别：内置</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rPr>
              <w:t>1000万的智能特征库，提供</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rPr>
              <w:t>8</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种精细分类，如钓鱼网站、成人网站、娱乐视频、新闻报道、门户网站等；支持挂马网站过滤，且内置挂马网站特征库，支持自动升级。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13、僵木蠕防御：支持独立的僵木蠕检测防御引擎，支持预定义僵木蠕规则库，特征总数在1000条以上，可对僵尸、木马、蠕虫、勒索软件进行防护。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14、入侵防御：支持规则库数量大于5000条，符合CVE标准规范，每条规则都注有中文名称，点击规则编号可显示出对应的详细规则描述，CVEID、风险等级、应用类型、漏洞描述、解决办法等。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15、加密流量：支持SSL代理和TCP代理，可对HTTPS加密流量进行安全检测，同时通过URL过滤、关键字过滤等安全引擎的防护，有效阻止恶意网络攻击。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16、SD-WAN：支持完善的SD-WAN链路健康检查功能，可基于HTTP、ICMP、HTTPS、DNS等协议探测链路的连通性、时延、抖动以及丢包率等，同时支持自定义探测周期、链路不可用的失败次数、恢复链路可用的成功次数等。</w:t>
            </w:r>
          </w:p>
        </w:tc>
        <w:tc>
          <w:tcPr>
            <w:tcW w:w="244" w:type="pct"/>
            <w:shd w:val="clear" w:color="auto" w:fill="auto"/>
            <w:vAlign w:val="center"/>
          </w:tcPr>
          <w:p w14:paraId="3AE8E31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0E17880A">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40000</w:t>
            </w:r>
          </w:p>
        </w:tc>
        <w:tc>
          <w:tcPr>
            <w:tcW w:w="305" w:type="pct"/>
            <w:shd w:val="clear" w:color="auto" w:fill="auto"/>
            <w:vAlign w:val="center"/>
          </w:tcPr>
          <w:p w14:paraId="1A86A17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2B39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404806C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332" w:type="pct"/>
            <w:vMerge w:val="continue"/>
            <w:vAlign w:val="center"/>
          </w:tcPr>
          <w:p w14:paraId="5D8E13EA">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7F1F7D9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全网威胁监测与处置系统</w:t>
            </w:r>
          </w:p>
        </w:tc>
        <w:tc>
          <w:tcPr>
            <w:tcW w:w="3257" w:type="pct"/>
            <w:shd w:val="clear" w:color="auto" w:fill="auto"/>
            <w:vAlign w:val="center"/>
          </w:tcPr>
          <w:p w14:paraId="6FC5F0E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1、系统架构：支持浏览器/服务器模式管理模式，支持日志外发；无需安装独立的控制台软件。支持通过设备页面实现命令行方式配置管理。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2、硬件要求：1000BASE-T接口≥8，SFP千兆光口≥4，</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≥2，存储容量≥4T，内存≥32G，冗余电源。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★3、性能要求：威胁检测能力≥2Gbps，并发数≥50万。5年攻击检测规则库升级授权、5年应用识别库升级授权、5年僵尸主机规则库升级授权、5年威胁情报库升级授权、5年URL分类库升级授权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所有授权时间自验收合格之日起计算</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4、系统监控：支持对设备CPU占用率、内存占用率、磁盘占用率、CPU温度、系统温度、并发连接数、新建连接数、接口速率百分比、冗余电源、风扇状态、规则库等过期信息进行监控。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5、攻击检测：扫描探测、暴力</w:t>
            </w:r>
            <w:r>
              <w:rPr>
                <w:rFonts w:hint="eastAsia" w:ascii="宋体" w:hAnsi="宋体" w:cs="宋体"/>
                <w:color w:val="000000"/>
                <w:kern w:val="0"/>
                <w:sz w:val="18"/>
                <w:szCs w:val="18"/>
                <w:highlight w:val="none"/>
                <w:lang w:val="en-US" w:eastAsia="zh-CN"/>
              </w:rPr>
              <w:t>破解</w:t>
            </w:r>
            <w:r>
              <w:rPr>
                <w:rFonts w:hint="eastAsia" w:ascii="宋体" w:hAnsi="宋体" w:cs="宋体"/>
                <w:color w:val="000000"/>
                <w:kern w:val="0"/>
                <w:sz w:val="18"/>
                <w:szCs w:val="18"/>
                <w:highlight w:val="none"/>
              </w:rPr>
              <w:t>、拒绝服务攻击、后门控制、溢出攻击、代码执行、非授权访问、注入攻击、URL跳转、跨站攻击、WebShell、浏览器劫持、文件漏洞攻击、工控漏洞攻击、车联网漏洞攻击、物联网漏洞攻击、其他类攻击等在内的超过16大类1万种以上网络攻击事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6、规则升级：支持规则库升级无缝加载技术，整个升级过程检测引擎工作不间断。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7、攻击统计：支持DDoS攻击事件分析，按照时间范围综合分析DDoS攻击类型分布、被攻击IPTop10、被攻击IP排名、被攻击IP流量排名等信息。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8、日志合并：支持日志合并，包括源IP、目的IP、源端口、目的端口、协议、规则ID多组合交叉合并外发。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检测包括：口令检测：支持弱口令检测，包括：邮件（SMTP、IMAP、POP3）、文件（FTP）、远程连接（TELNET、RDP）、数据库（LDAP、SQLServer、DB2、REDIS、POSTGRESQL）、WEB应用（HTTP）等超过10种协议类型，能够按照弱口令字典、口令强度、密码长度等方式进行弱口令检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10、外联监测：支持服务器非法外联检测，对服务器外联行为自学习、外联白名单设置。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11、深度检测：支持对攻击逃逸报文进行深度智能检测，包括：IP分片、RPC分片分段</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TCP分段、SMB分片分段、HTTP-Header折叠、HTTP-BodyUTF-7编码、HTTP-Post数据编码、HTTP-Body压缩、邮件体编码、HTTP-Javascript编码、URL斜线分隔符、URI相对目录欺骗等类型。（提供功能截图证明材料）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web防护：支持WEB攻击检测，包含SQL注入攻击、跨站攻击、URL跳转攻击、WEB远程代码执行攻击、WEB缓冲区溢出攻击、WEB漏洞攻击、WEBSHELL上传攻击、WEB越权攻击、WEB扫描攻击、目录遍历攻击、WEB口令暴力破解攻击等多种WEB攻击类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13、APT检测：支持通过智慧引擎检测未知威胁，通过僵尸主机检测已知APT攻击行为和已知APT组织。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14、僵尸检测：支持能够检测包括：僵尸网络、木马控制、蠕虫、挖矿、勒索、移动端木马控制、APT等多类型的僵尸主机行为。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15、加密检测：支持恶意加密流量检测，采用恶意TLS流量智慧引擎、异常握手、非法证书和内网流量检测恶意加密流量。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16、告警记录：支持针对不同类别告警信息进行配置，包括：安全（攻击检测、僵尸主机、WEB防护、异常流量、DDoS检测、黑名单）、管理、系统、硬件、容错、测试等，并可进行告警测试。</w:t>
            </w:r>
          </w:p>
        </w:tc>
        <w:tc>
          <w:tcPr>
            <w:tcW w:w="244" w:type="pct"/>
            <w:shd w:val="clear" w:color="auto" w:fill="auto"/>
            <w:vAlign w:val="center"/>
          </w:tcPr>
          <w:p w14:paraId="0E07CF8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00BD7F6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65800</w:t>
            </w:r>
          </w:p>
        </w:tc>
        <w:tc>
          <w:tcPr>
            <w:tcW w:w="305" w:type="pct"/>
            <w:shd w:val="clear" w:color="auto" w:fill="auto"/>
            <w:vAlign w:val="center"/>
          </w:tcPr>
          <w:p w14:paraId="7F222F3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65800</w:t>
            </w:r>
          </w:p>
        </w:tc>
      </w:tr>
      <w:tr w14:paraId="7394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19D70AE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332" w:type="pct"/>
            <w:vMerge w:val="continue"/>
            <w:vAlign w:val="center"/>
          </w:tcPr>
          <w:p w14:paraId="6A06F0A0">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3EDE976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日志收集与分析系统</w:t>
            </w:r>
          </w:p>
        </w:tc>
        <w:tc>
          <w:tcPr>
            <w:tcW w:w="3257" w:type="pct"/>
            <w:shd w:val="clear" w:color="auto" w:fill="auto"/>
            <w:vAlign w:val="center"/>
          </w:tcPr>
          <w:p w14:paraId="5760292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1、硬件要求：1000BASE-T接口≥6，SFP千兆光口≥4，</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≥2，存储容量≥4T，系统盘≥120G SSD固态硬盘，内存≥16G，冗余电源。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2、性能要求：日志源授权≥50。</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3、数据采集：具备全面的日志采集能力，支持安全设备、网络设备、数据库、windows/linux主机日志、web服务器日志、中间件平台等日志。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4、快速查看：支持主动、被动结合的日志采集方式，采集方式包括Syslog、SNMPTrap、Netflow、JDBC、WMI、FTP、SFTP、SCP、文件等方式进行数据采集；支持通过Agent采集日志数据。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5、采集存储：支持基于拓扑图的日志源相关数据信息快速查看；支持通过拓扑下钻查看对应日志源的日志、报表、告警数据。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6、日志查询：支持展示日志查询情况，包括查询条件命中数、日志总量、查询耗时等信息。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7、日志检索：支持根据告警级别、告警规则类型、规则名称、时间范围、事件名称、设备IP、源IP、目的IP等方式快速检索安全事件告警，检索结果支持表格等格式导出。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8、账号口令：系统具有防恶意暴力破解账号与口令功能，口令错误次数可设置，超过错误次数锁定，锁定时间可设置。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9、日志展示：基于时间轴展示数据分布，能够通过时间轴进行查询分析，智能报表创建，每添加一个日志源，系统自动分析日志源类型进行相应报表创建，无需人工干预，报表和资产一一对应。</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10、查询统计：支持查询结果快速统计，可自定义统计主题规则，支持将多个主题添加为一个统计任务，以分、时、周、月、年定时执行自动统计，将统计结果报表发送到指定邮箱。</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11、报表分析：支持自定义统计日志数据形成报表，支持统计分析报表以PDF、word、execl、html等方式导出；支持实时报表、计划报表。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12、日志设置：支持对重点日志源的关注设置，并可通过关注列表快速查看重点日志源的状态、当日日志量、采集日志总量、最近接收时间、业务组等基础信息。（提供功能截图证明材料）</w:t>
            </w:r>
          </w:p>
        </w:tc>
        <w:tc>
          <w:tcPr>
            <w:tcW w:w="244" w:type="pct"/>
            <w:shd w:val="clear" w:color="auto" w:fill="auto"/>
            <w:vAlign w:val="center"/>
          </w:tcPr>
          <w:p w14:paraId="4E42DF1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4786A997">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305" w:type="pct"/>
            <w:shd w:val="clear" w:color="auto" w:fill="auto"/>
            <w:vAlign w:val="center"/>
          </w:tcPr>
          <w:p w14:paraId="4C12942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7A257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70EA07C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332" w:type="pct"/>
            <w:vMerge w:val="continue"/>
            <w:vAlign w:val="center"/>
          </w:tcPr>
          <w:p w14:paraId="69E3E68F">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352BD5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运维安全审计</w:t>
            </w:r>
          </w:p>
        </w:tc>
        <w:tc>
          <w:tcPr>
            <w:tcW w:w="3257" w:type="pct"/>
            <w:shd w:val="clear" w:color="auto" w:fill="auto"/>
            <w:vAlign w:val="center"/>
          </w:tcPr>
          <w:p w14:paraId="4EC18AB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1、系统架构：采用专用硬件架构与安全操作系统，采用模块化设计，可以通过扩展卡来增减业务接口，而非软件运维安全审计系统，硬件设备可以机架安装。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2、硬件要求：1000BASE-T接口≥8，SFP千兆光口≥4，</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≥2，存储空间≥4T，系统盘≥32G，内存≥16G，冗余电源。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3、性能要求：授权总数可配置≥300个，本次包含≥100个授权许可，图形并发≥300，字符并发≥400。</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4、部署方式：采用物理旁路部署，不改变现有网络结构，支持双机部署。</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5、协议管理：可以通过RDP、SSH、VNC、telnet、FTP、SFTP、HTTP、HTTPS等多种协议纪念性设备管理和访问，支持中文简体、英文。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6、首页管理：支持首页动态展现资源总量、活动用户、实时会话、待审批工单、当日运维记录、资产运行状态、今日运维总数、今日运维时长TOP10、今日告警总数、今日运维指令TOP10等信息。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7、应用编排：支持各种自定义客户端工具，支持通过动作流配置提供广泛的应用接入支持，在不作二次开发的情况下，可灵活扩展且实现</w:t>
            </w:r>
            <w:r>
              <w:rPr>
                <w:rFonts w:hint="eastAsia" w:ascii="宋体" w:hAnsi="宋体" w:cs="宋体"/>
                <w:color w:val="000000"/>
                <w:kern w:val="0"/>
                <w:sz w:val="18"/>
                <w:szCs w:val="18"/>
                <w:highlight w:val="none"/>
                <w:lang w:val="en-US" w:eastAsia="zh-CN"/>
              </w:rPr>
              <w:t>账</w:t>
            </w:r>
            <w:r>
              <w:rPr>
                <w:rFonts w:hint="eastAsia" w:ascii="宋体" w:hAnsi="宋体" w:cs="宋体"/>
                <w:color w:val="000000"/>
                <w:kern w:val="0"/>
                <w:sz w:val="18"/>
                <w:szCs w:val="18"/>
                <w:highlight w:val="none"/>
              </w:rPr>
              <w:t>号口令的代填。</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8、快捷菜单：支持快捷菜单，自行设置快捷菜单项，快速定位至此功能，查找经常使用的功能。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9</w:t>
            </w:r>
            <w:r>
              <w:rPr>
                <w:rFonts w:hint="eastAsia" w:ascii="宋体" w:hAnsi="宋体" w:cs="宋体"/>
                <w:color w:val="000000"/>
                <w:kern w:val="0"/>
                <w:sz w:val="18"/>
                <w:szCs w:val="18"/>
                <w:highlight w:val="none"/>
              </w:rPr>
              <w:t>、三权分立：采用三权分立管理，系统预置系统管理员，安全保密管理员、安全审计员；提供授权关系查看功能，图形化直观展示用户、用户组、资产、资产组、协议、账号的授权关系。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0</w:t>
            </w:r>
            <w:r>
              <w:rPr>
                <w:rFonts w:hint="eastAsia" w:ascii="宋体" w:hAnsi="宋体" w:cs="宋体"/>
                <w:color w:val="000000"/>
                <w:kern w:val="0"/>
                <w:sz w:val="18"/>
                <w:szCs w:val="18"/>
                <w:highlight w:val="none"/>
              </w:rPr>
              <w:t>、服务认证：支持本地认证和第三方认证服务器接入认证，如AD、LDAP、Radius服务器。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1</w:t>
            </w:r>
            <w:r>
              <w:rPr>
                <w:rFonts w:hint="eastAsia" w:ascii="宋体" w:hAnsi="宋体" w:cs="宋体"/>
                <w:color w:val="000000"/>
                <w:kern w:val="0"/>
                <w:sz w:val="18"/>
                <w:szCs w:val="18"/>
                <w:highlight w:val="none"/>
              </w:rPr>
              <w:t>、资产发现：支持通过IP网段扫描，快速发现指定IP地址范围内的资产，并自动识别IP和端口，方便管理员快速添加资产。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2</w:t>
            </w:r>
            <w:r>
              <w:rPr>
                <w:rFonts w:hint="eastAsia" w:ascii="宋体" w:hAnsi="宋体" w:cs="宋体"/>
                <w:color w:val="000000"/>
                <w:kern w:val="0"/>
                <w:sz w:val="18"/>
                <w:szCs w:val="18"/>
                <w:highlight w:val="none"/>
              </w:rPr>
              <w:t>、自动改密：支持自动对Linux、Windows、安全设备、数据库等资产进行账号改密，改密支持手动和定期自动改密；支持选择账号、账号组、资产、资产组对象进行改密配置。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3</w:t>
            </w:r>
            <w:r>
              <w:rPr>
                <w:rFonts w:hint="eastAsia" w:ascii="宋体" w:hAnsi="宋体" w:cs="宋体"/>
                <w:color w:val="000000"/>
                <w:kern w:val="0"/>
                <w:sz w:val="18"/>
                <w:szCs w:val="18"/>
                <w:highlight w:val="none"/>
              </w:rPr>
              <w:t>、等价账号：可配置等价账号</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rPr>
              <w:t>等价账号主要用于账号改密，通过将同名账号配置为等价账号，可实现改密任务改密等价账号密码时，会将等价账号中所有不同协议同名账号的密码一并修改。</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4</w:t>
            </w:r>
            <w:r>
              <w:rPr>
                <w:rFonts w:hint="eastAsia" w:ascii="宋体" w:hAnsi="宋体" w:cs="宋体"/>
                <w:color w:val="000000"/>
                <w:kern w:val="0"/>
                <w:sz w:val="18"/>
                <w:szCs w:val="18"/>
                <w:highlight w:val="none"/>
              </w:rPr>
              <w:t>、运维审批：申请人可根据工作需求临时申请设备运维工单，按照要求填写使用时间、申请原因、备注信息等，管理员审批通过后方可运维，过期失效。</w:t>
            </w:r>
          </w:p>
        </w:tc>
        <w:tc>
          <w:tcPr>
            <w:tcW w:w="244" w:type="pct"/>
            <w:shd w:val="clear" w:color="auto" w:fill="auto"/>
            <w:vAlign w:val="center"/>
          </w:tcPr>
          <w:p w14:paraId="74B2129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7FFF6B3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36000</w:t>
            </w:r>
          </w:p>
        </w:tc>
        <w:tc>
          <w:tcPr>
            <w:tcW w:w="305" w:type="pct"/>
            <w:shd w:val="clear" w:color="auto" w:fill="auto"/>
            <w:vAlign w:val="center"/>
          </w:tcPr>
          <w:p w14:paraId="763F3E9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2EAC7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0262256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13</w:t>
            </w:r>
          </w:p>
        </w:tc>
        <w:tc>
          <w:tcPr>
            <w:tcW w:w="332" w:type="pct"/>
            <w:vMerge w:val="continue"/>
            <w:vAlign w:val="center"/>
          </w:tcPr>
          <w:p w14:paraId="01C0DDAD">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7D1EFD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数据库审计</w:t>
            </w:r>
          </w:p>
        </w:tc>
        <w:tc>
          <w:tcPr>
            <w:tcW w:w="3257" w:type="pct"/>
            <w:shd w:val="clear" w:color="auto" w:fill="auto"/>
            <w:vAlign w:val="center"/>
          </w:tcPr>
          <w:p w14:paraId="4F14AE6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1、硬件要求：1000BASE-T接口≥8，SFP千兆光口≥4，</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≥2，存储空间≥1T，内存≥32G，冗余电源。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★2、性能要求：审计处理能力≥2Gbps，SQL处理能力≥15000条/秒。含5年僵尸主机规则库升级库授权，5年攻击检测规则库升级库授权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所有授权时间自验收合格之日起计算</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数据库类型：支持国内外多种主流数据库协议，包括国产化/非国产化的关系型数据库、非关系型数据库等，支持Cache、Hive、Hana、clickhouse、Tibero、Solr、MongoDB、HBase、ElasticSearch、Redis等国际主流数据库系统，支持工控协议Modbus的解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自定义规则：支持自定义控制规则，可定义控制规则告警级别、执行时间等；控制规则支持定义源目IP、源目端口、源目MAC、数据库名、数据库客户端、数据库用户名、SQL语句、返回码、SQL错误信息、数据库表名、返回结果集、影响字段、SQL模板等字段，结合与或非等逻辑运算进行规则设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5、默认规则：包括用户登录、低中高风险操作、数据库DML、DCL、DDL等操作语句等规则定义，方便用户引用和制定控制规则。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6、攻击检测：集成攻击检测规则库，规则条数不少于10000条，支持对扫描探测、暴力破解、后门控制、溢出攻击、注入攻击等攻击行为检测告警。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7、支持查看会话回放，支持倍速回放，至少包括2倍速、4倍速等不少于五级播放速度调节，完整还原数据库操作情况。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8、日志外发：支持Syslog、Snmptrap、Kafka、邮箱、短信、企业微信等方式外发日志。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9、数据查询：提供默认查询模板，可一键引用快速查询审计日志信息；支持自定义默认模板，可根据数据库列集自定义查询模板，常用查询模板化，快速定位风险点。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10、双栈模式：支持IPv4/IPv6网络环境下的数据库审计，可识别IPv4/IPv6相关主体与客体资源。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11、数据库管理：支持展示加入管理数据库的数据库名</w:t>
            </w:r>
            <w:r>
              <w:rPr>
                <w:rFonts w:hint="eastAsia" w:ascii="宋体" w:hAnsi="宋体" w:cs="宋体"/>
                <w:color w:val="000000"/>
                <w:kern w:val="0"/>
                <w:sz w:val="18"/>
                <w:szCs w:val="18"/>
                <w:highlight w:val="none"/>
                <w:lang w:val="en-US" w:eastAsia="zh-CN"/>
              </w:rPr>
              <w:t>称</w:t>
            </w:r>
            <w:r>
              <w:rPr>
                <w:rFonts w:hint="eastAsia" w:ascii="宋体" w:hAnsi="宋体" w:cs="宋体"/>
                <w:color w:val="000000"/>
                <w:kern w:val="0"/>
                <w:sz w:val="18"/>
                <w:szCs w:val="18"/>
                <w:highlight w:val="none"/>
              </w:rPr>
              <w:t>、数据库类型、数据库IP端口、发现日期、今日会话数、今日事件数等。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12、SQL分析：以饼图展示正常SQL与慢SQL分布占比情况、TOP10慢SQL的详细分析：数据库用户名、源ip、SQL语句、SQL操作类型、SQL语句响应时间等要素。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13、基线学习：可开启基线学习模式，自定义学习时长，掌握学习进度和基线详情，学习结束后可自动切换到防护状态，对学习的安全基线以外的行为智能识别自动告警。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14、流量监听：支持对loopback接口流量监听；可实时监控目标服务器CPU、内存占用率，并可配置探针启停阈值，支持按阈值自动启停，不影响业务使用。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15、报表管理：支持等保、萨班斯法案报表模板以及自定义报表，可以按日、周、月等周期自动生成报表。（提供功能截图证明材料）</w:t>
            </w:r>
          </w:p>
        </w:tc>
        <w:tc>
          <w:tcPr>
            <w:tcW w:w="244" w:type="pct"/>
            <w:shd w:val="clear" w:color="auto" w:fill="auto"/>
            <w:vAlign w:val="center"/>
          </w:tcPr>
          <w:p w14:paraId="5C8F2FA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36288E1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35000</w:t>
            </w:r>
          </w:p>
        </w:tc>
        <w:tc>
          <w:tcPr>
            <w:tcW w:w="305" w:type="pct"/>
            <w:shd w:val="clear" w:color="auto" w:fill="auto"/>
            <w:vAlign w:val="center"/>
          </w:tcPr>
          <w:p w14:paraId="574E514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35000</w:t>
            </w:r>
          </w:p>
        </w:tc>
      </w:tr>
      <w:tr w14:paraId="0C32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3761362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14</w:t>
            </w:r>
          </w:p>
        </w:tc>
        <w:tc>
          <w:tcPr>
            <w:tcW w:w="332" w:type="pct"/>
            <w:vMerge w:val="continue"/>
            <w:vAlign w:val="center"/>
          </w:tcPr>
          <w:p w14:paraId="651E9ACC">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6339C0C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安全隔离与信息交换系统</w:t>
            </w:r>
          </w:p>
        </w:tc>
        <w:tc>
          <w:tcPr>
            <w:tcW w:w="3257" w:type="pct"/>
            <w:shd w:val="clear" w:color="auto" w:fill="auto"/>
            <w:vAlign w:val="center"/>
          </w:tcPr>
          <w:p w14:paraId="46F926C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1、硬件架构：硬件架构由内端机、外端机、专有隔离硬件三部分组成，专用传输隔离部件完全自主开发且外部无法编程控制。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2、系统架构：采用内端机、外端机、专有隔离硬件系统结构，内外端机为TCP/IP网络协议的终点，阻断TCP/IP协议的直接贯通。内外端机之间采用专用硬件和专用协议进行连接，不可编程。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3、硬件要求：内端机：1000BASE-T接口≥6，SFP千兆光口≥2，</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外</w:t>
            </w:r>
            <w:r>
              <w:rPr>
                <w:rFonts w:hint="eastAsia" w:ascii="宋体" w:hAnsi="宋体" w:cs="宋体"/>
                <w:color w:val="000000"/>
                <w:kern w:val="0"/>
                <w:sz w:val="18"/>
                <w:szCs w:val="18"/>
                <w:highlight w:val="none"/>
              </w:rPr>
              <w:t>端机：1000BASE-T接口≥6，SFP千兆光口≥2，</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≥1，内外端机双侧液晶屏，各1TB硬盘，冗余电源。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4、性能要求：网络吞吐量≥1Gbps，并发≥20万。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5、策略控制：支持访问控制策略克隆和根据条件进行搜索查询；支持策略的单独启停控制；支持命中策略规则的报文数量统计。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6、深度过滤：支持http协议的深度过滤，可基于文件类型、文件大小、文件内容、cookie进行过滤，具备文件类型防伪装功能。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7、SSL卸载：支持对HTTPS协议进行SSL卸载、加密，实现对https加密流量的安全检查，支持SSLv3TLSv1、TLSv1</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rPr>
              <w:t>1、TLSv1</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rPr>
              <w:t>2、TLSv1</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rPr>
              <w:t>3等加密协议。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8、FTP控制：支持FTP协议内部命令及数据层内容过滤，支持允许、阻断、告警处理方式。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9、消息队列：支持ActiveMQ消息中间件的MQTT和OpenWire协议的识别和通信功能。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10、组播功能：支持多任务的组播代理功能，支持任意信源、指定信源、过滤信源三种安全处理模式。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11、透明通道：支持透明通道模式，由内端机和外端机的一对接口形成透明通道，实现透明模式下数据固定通道摆渡。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12、数据库安全：内置数据库安全模块，支持内容过滤引擎，能够对数据库用户名、命令、关键字等内容进行管控，支持允许、阻断、告警</w:t>
            </w:r>
            <w:r>
              <w:rPr>
                <w:rFonts w:hint="eastAsia" w:ascii="宋体" w:hAnsi="宋体" w:cs="宋体"/>
                <w:color w:val="000000"/>
                <w:kern w:val="0"/>
                <w:sz w:val="18"/>
                <w:szCs w:val="18"/>
                <w:highlight w:val="none"/>
                <w:lang w:val="en-US" w:eastAsia="zh-CN"/>
              </w:rPr>
              <w:t>等</w:t>
            </w:r>
            <w:r>
              <w:rPr>
                <w:rFonts w:hint="eastAsia" w:ascii="宋体" w:hAnsi="宋体" w:cs="宋体"/>
                <w:color w:val="000000"/>
                <w:kern w:val="0"/>
                <w:sz w:val="18"/>
                <w:szCs w:val="18"/>
                <w:highlight w:val="none"/>
              </w:rPr>
              <w:t>处理方式。（提供功能截图证明材料）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13、文件同步：支持文件同步重名策略处理，可选忽略、覆盖、自定义重命名、时间重命名四种处理方式。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14、VOIP功能：提供音视频通话访问功能，支持SIP、H323RTSP、RTMP、GB28181等音视频协议，实现音视频浏览、实时传输等操作。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15、格式检查：提供多种音视频格式检查，如MPEG-4、H.264、G.711、G.722、G.723G.729等。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16、数据库同步：支持自动读取数据库表名和字段名，无需手动录入表名和字段名，降低配置复杂度。支持多主键、无主键、自增主键的数据同步。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17、双栈模式：支持IPV4/IPV6双栈基础路由配置和邻居学习。</w:t>
            </w:r>
          </w:p>
        </w:tc>
        <w:tc>
          <w:tcPr>
            <w:tcW w:w="244" w:type="pct"/>
            <w:shd w:val="clear" w:color="auto" w:fill="auto"/>
            <w:vAlign w:val="center"/>
          </w:tcPr>
          <w:p w14:paraId="58C481B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7A6F7C6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39000</w:t>
            </w:r>
          </w:p>
        </w:tc>
        <w:tc>
          <w:tcPr>
            <w:tcW w:w="305" w:type="pct"/>
            <w:shd w:val="clear" w:color="auto" w:fill="auto"/>
            <w:vAlign w:val="center"/>
          </w:tcPr>
          <w:p w14:paraId="63074A1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39000</w:t>
            </w:r>
          </w:p>
        </w:tc>
      </w:tr>
      <w:tr w14:paraId="41F9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0689482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332" w:type="pct"/>
            <w:vMerge w:val="continue"/>
            <w:vAlign w:val="center"/>
          </w:tcPr>
          <w:p w14:paraId="0E3D20F3">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18CACFA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终端威胁防御系统</w:t>
            </w:r>
          </w:p>
        </w:tc>
        <w:tc>
          <w:tcPr>
            <w:tcW w:w="3257" w:type="pct"/>
            <w:shd w:val="clear" w:color="auto" w:fill="auto"/>
            <w:vAlign w:val="center"/>
          </w:tcPr>
          <w:p w14:paraId="0EED2D3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1、系统架构：</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中/英文界面，系统部署采用客户端/服务器架构，管理采用浏览器/服务器模式架构，管理员只需通过浏览器登录控制中心，即可对系统进行管理,支持虚拟机、主流虚拟化终端环境。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★2、配置数量：含软件管理中心1套，包含500点电脑终端授权、50点服务器授权，5年升级授权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所有授权时间自验收合格之日起计算</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3、Windows兼容：客户端至少支持WindowsXP/7/8/10等32位/64位终端操作系统，支持Windowsserver2003/2008/2012/2016/2019等32位/64位服务器操作系统。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4、其他系统兼容：linuxRedHatLinux、UbuntuLinux、SuSELinux、CentOS、Debian等服务器操作系统。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5、级联部署：支持级联部署及管理，可实时查看下级终端威胁及在线情况，上级可对下级灵活分配授权，同时可实现分级管理中心能够通过上级管理中心升级病毒库和客户端版本。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安全防护：支持定制安全防护策略：包括病毒防御（病毒查杀、文件实时监控、恶意行为监控、U盘保护、下载保护、邮件监控）；系统防御（浏览器保护、软件安装拦截、系统加固）；网络防御（黑客入侵拦截、IP协议控制、恶意网站拦截、IP黑名单）；文档安全（文档检测、文档跟踪、USB存储）；系统监控（设备监控、进程监控、软件监控、服务监控、账号监控、外联监控）；其他设置（心跳配置、管理员配置、升级配置、白名单、补丁配置、弹窗配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7、部门管理：支持部门架构的导入，包含部门规则、部门与IP规则、LDAP规则导入，并可根据IP规则一键整理。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8、远程控制：支持远程控制，通过管理中心实现对客户端的远程运维。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9、浏览器保护：支持对浏览器主页进行锁定保护，对篡改浏览器设置的恶意行为进行有效防御。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10、WEB访问：支持管理中心访问控制，包含WEB访问控制定制超时时间、登录重试次数等。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11、系统加固：支持系统加固，从系统文件保护、病毒免疫、进程保护、注册表保护、危险动作拦截、执行防护等多个维度对系统进行防护。</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12、勒索诱捕：设置诱饵文件并实时监控，当勒索病毒对该文件进行加密操作时进行拦截。</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13、安装拦截：支持对软件安装进行拦截，在安装软件时会弹窗提示。</w:t>
            </w:r>
          </w:p>
        </w:tc>
        <w:tc>
          <w:tcPr>
            <w:tcW w:w="244" w:type="pct"/>
            <w:shd w:val="clear" w:color="auto" w:fill="auto"/>
            <w:vAlign w:val="center"/>
          </w:tcPr>
          <w:p w14:paraId="20C5CF0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12130E4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92000</w:t>
            </w:r>
          </w:p>
        </w:tc>
        <w:tc>
          <w:tcPr>
            <w:tcW w:w="305" w:type="pct"/>
            <w:shd w:val="clear" w:color="auto" w:fill="auto"/>
            <w:vAlign w:val="center"/>
          </w:tcPr>
          <w:p w14:paraId="69F4DB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92000</w:t>
            </w:r>
          </w:p>
        </w:tc>
      </w:tr>
      <w:tr w14:paraId="68048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438ACC9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p>
        </w:tc>
        <w:tc>
          <w:tcPr>
            <w:tcW w:w="332" w:type="pct"/>
            <w:vMerge w:val="continue"/>
            <w:vAlign w:val="center"/>
          </w:tcPr>
          <w:p w14:paraId="42EFD080">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47089E0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脆弱性扫描与管理系统</w:t>
            </w:r>
          </w:p>
        </w:tc>
        <w:tc>
          <w:tcPr>
            <w:tcW w:w="3257" w:type="pct"/>
            <w:shd w:val="clear" w:color="auto" w:fill="auto"/>
            <w:vAlign w:val="center"/>
          </w:tcPr>
          <w:p w14:paraId="6A42DB58">
            <w:pPr>
              <w:widowControl/>
              <w:numPr>
                <w:ilvl w:val="0"/>
                <w:numId w:val="8"/>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硬件要求：1000BASE-T接口≥8，SFP千兆光口≥4，</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≥2，内存≥16G，存储空间≥4TB。冗余电源。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★2、性能要求：支持IP扫描授权数无限制，IP并发扫描≥80个。含5年漏洞扫描规则库升级库授权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所有授权时间自验收合格之日起计算</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3、部署方式：支持分布式扫描部署能力，支持用户进行多级部署方式，分布式部署中支持下级管理中心自动连接上级管理中心，上下级单位消息发布、接收以及支持连接状态、下级引擎状态的查看。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4、漏洞数量：支持漏洞数量大于220000种，web漏洞数量大于5000种，数据库大于3000种，CVE漏洞数大于60000。</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5、双栈协议：支持IPv4/IPv6双协议栈地址场景漏洞扫描。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6、扫描种类：支持扫描主流操作系统、web服务器、数据库、网络主机、移动设备、应用及软件的安全漏洞。</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7、配置核查：支持Elasticsearch、ZooKeeper、Spark、HDFS、Kafka、HBase、Hive、Sqoop、Yarn-MR、Impala等大数据组件的配置核查。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8、漏洞管理：支持漏洞生命周期管理，包括未修复、确定、忽略、修复、已验证五种状态。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9、自动登录：支持认证自动登录，提供用户名密码登录、自定义表单登录、cookie登录、登录录制等功能。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10、口令猜测：支持DB2、FTP、IMAP、MSSQL、MYSQL、Oracle、POP3POSTGRES、RDP、Redis、RTSP、SMB、SMTP、SNMP、SSH、TELNET、TOMAT等的弱口令探测。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11、主机报表：展示主机风险、漏洞信息，及主机详细的端口信息、端口Banner信息、安装软件信息、操作系统类型。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12、日志报表：支持主机报表，展示主机风险、漏洞信息，及主机详细的端口信息、端口Banner信息、安装软件信息、操作系统类型。</w:t>
            </w:r>
          </w:p>
          <w:p w14:paraId="4FAF430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13、</w:t>
            </w:r>
            <w:r>
              <w:rPr>
                <w:rFonts w:hint="eastAsia" w:ascii="宋体" w:hAnsi="宋体" w:cs="宋体"/>
                <w:color w:val="000000"/>
                <w:kern w:val="0"/>
                <w:sz w:val="18"/>
                <w:szCs w:val="18"/>
                <w:highlight w:val="none"/>
                <w:shd w:val="clear" w:color="auto"/>
                <w:lang w:eastAsia="zh-CN"/>
              </w:rPr>
              <w:t>支持</w:t>
            </w:r>
            <w:r>
              <w:rPr>
                <w:rFonts w:hint="eastAsia" w:ascii="宋体" w:hAnsi="宋体" w:cs="宋体"/>
                <w:color w:val="000000"/>
                <w:kern w:val="0"/>
                <w:sz w:val="18"/>
                <w:szCs w:val="18"/>
                <w:highlight w:val="none"/>
                <w:shd w:val="clear" w:color="auto"/>
              </w:rPr>
              <w:t xml:space="preserve"> AI 助手功能，可通过对话、问答的形式，响应用户需求,支持文字对话方式下发漏扫扫描任务，支持文字对话方式查看任务进度，支持导出已完成的任务报告。</w:t>
            </w:r>
            <w:r>
              <w:rPr>
                <w:rFonts w:hint="eastAsia" w:ascii="宋体" w:hAnsi="宋体" w:cs="宋体"/>
                <w:color w:val="000000"/>
                <w:kern w:val="0"/>
                <w:sz w:val="18"/>
                <w:szCs w:val="18"/>
                <w:highlight w:val="none"/>
              </w:rPr>
              <w:t>（提供功能截图证明材料）</w:t>
            </w:r>
          </w:p>
        </w:tc>
        <w:tc>
          <w:tcPr>
            <w:tcW w:w="244" w:type="pct"/>
            <w:shd w:val="clear" w:color="auto" w:fill="auto"/>
            <w:vAlign w:val="center"/>
          </w:tcPr>
          <w:p w14:paraId="3827F17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2EFD126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35000</w:t>
            </w:r>
          </w:p>
        </w:tc>
        <w:tc>
          <w:tcPr>
            <w:tcW w:w="305" w:type="pct"/>
            <w:shd w:val="clear" w:color="auto" w:fill="auto"/>
            <w:vAlign w:val="center"/>
          </w:tcPr>
          <w:p w14:paraId="2C38E60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35000</w:t>
            </w:r>
          </w:p>
        </w:tc>
      </w:tr>
      <w:tr w14:paraId="32EC1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160DE0F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17</w:t>
            </w:r>
          </w:p>
        </w:tc>
        <w:tc>
          <w:tcPr>
            <w:tcW w:w="332" w:type="pct"/>
            <w:vMerge w:val="continue"/>
            <w:vAlign w:val="center"/>
          </w:tcPr>
          <w:p w14:paraId="1FC9E328">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0EC4BD0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数据安全管理系统</w:t>
            </w:r>
          </w:p>
        </w:tc>
        <w:tc>
          <w:tcPr>
            <w:tcW w:w="3257" w:type="pct"/>
            <w:shd w:val="clear" w:color="auto" w:fill="auto"/>
            <w:vAlign w:val="center"/>
          </w:tcPr>
          <w:p w14:paraId="1EB959E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1、硬件架构：设备的系统基于备份系统专用的嵌入式系统，非商业版的Windows或Linux内核，存储系统及软件出厂预装在独立的存储介质中，不占用RAID硬盘组的存储空间。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2、硬件要求：处理器≥12核CPU，内存≥64G，系统盘≥2块480G SSD固态硬盘，1000BASE-T接口≥4，SFP+万兆光口≥2，冗余电源。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3、性能要求：包含6块4T SATA硬盘，配置CDM合成备份功能模块，配置Windows/linux版本文件代理模块无数量限制，配置Windows/linux版本操作系统代理模块无数量限制，Windows/linux版本数据库代理模块无数量限制，配置VMware、CAS、FusionSphere虚拟化备份代理模块无数量限制，具备重复数据删除功能，远程复制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4、数据库兼容：支持Oracle、Oracle-rac、SQLserver、MySQL、Sybase、PostgreSQL、MongoDB、SAPHANA数据库的备份与恢复。恒辉、人大金仓、武汉达梦、南大通用、神州通用、瀚高等国内外数据库的定时备份。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5、多通道备份：针对Oracle、OracleRAC、OracleHA的备份，支持多节点、多通道并发备份方式，最大发挥高速网络（万兆）和存储性能，最大通道数量大于250个。</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6、CDM快照技术：支持CDM快照技术，CDM快照技术在一体机内实现，不接受外挂存储设备的方式实现快照功能。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7、数据副本：支持将备份快照转换为数据副本，并提供使用，且该副本独立于备份数据，对副本的修改不影响原有备份数据。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8、LAN-free备份：</w:t>
            </w:r>
            <w:r>
              <w:rPr>
                <w:rFonts w:hint="eastAsia" w:ascii="宋体" w:hAnsi="宋体" w:cs="宋体"/>
                <w:color w:val="000000"/>
                <w:kern w:val="0"/>
                <w:sz w:val="18"/>
                <w:szCs w:val="18"/>
                <w:highlight w:val="none"/>
                <w:lang w:val="en-US" w:eastAsia="zh-CN"/>
              </w:rPr>
              <w:t>支</w:t>
            </w:r>
            <w:r>
              <w:rPr>
                <w:rFonts w:hint="eastAsia" w:ascii="宋体" w:hAnsi="宋体" w:cs="宋体"/>
                <w:color w:val="000000"/>
                <w:kern w:val="0"/>
                <w:sz w:val="18"/>
                <w:szCs w:val="18"/>
                <w:highlight w:val="none"/>
              </w:rPr>
              <w:t>持以虚拟磁带库（VTL）或者物理磁带库作为LAN-Free的备份目标，不接受采用基于磁盘预先划分固定分区方式实现。支持同一存储空间（虚拟/物理磁带介质）被Windows、Linux和Unix主机共享使用。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9、Vmware备份：支持Vmware的vCenter、ESXi环境的备份及恢复，支持VMware多种级别的备份，包括：数据中心、ESXi/Cluster、vApp（文件夹）虚拟机、虚拟磁盘等方式。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10、虚拟机挂载恢复：支持虚拟机的挂载恢复功能，在原有虚拟机故障后，无需数据恢复过程，可将任意备份快照点挂载启动。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11、文件过滤：支持文件过滤，可实现针对目录的排除与包含，文件的排除与文件包含，可针对文件扩展名实现文件过滤提高备份效率，节省备份空间。（提供功能截图证明材料）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12、备份策略：支持数据库的增量备份、差异备份、完全备份、永久增量备份等多种备份方式，永久备份无需单独授权。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13、文件并发：支持文件并发备份，并可在线设置并发数，同时支持断点续备功能。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14、文件属性备份：支持文件属性备份，保留原有的文件属性。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15、自定义备份：支持自定义脚本方式备份恢复应用，完全备份脚本、增量备份脚本、差异备份脚本按需添加脚本文件或脚本内容即可。</w:t>
            </w:r>
          </w:p>
        </w:tc>
        <w:tc>
          <w:tcPr>
            <w:tcW w:w="244" w:type="pct"/>
            <w:shd w:val="clear" w:color="auto" w:fill="auto"/>
            <w:vAlign w:val="center"/>
          </w:tcPr>
          <w:p w14:paraId="654E2BC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14A27CA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75000</w:t>
            </w:r>
          </w:p>
        </w:tc>
        <w:tc>
          <w:tcPr>
            <w:tcW w:w="305" w:type="pct"/>
            <w:shd w:val="clear" w:color="auto" w:fill="auto"/>
            <w:vAlign w:val="center"/>
          </w:tcPr>
          <w:p w14:paraId="0C682AD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75000</w:t>
            </w:r>
          </w:p>
        </w:tc>
      </w:tr>
      <w:tr w14:paraId="670E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0F10FCA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18</w:t>
            </w:r>
          </w:p>
        </w:tc>
        <w:tc>
          <w:tcPr>
            <w:tcW w:w="332" w:type="pct"/>
            <w:vMerge w:val="continue"/>
            <w:vAlign w:val="center"/>
          </w:tcPr>
          <w:p w14:paraId="094A8C89">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2A2F3C2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负载均衡</w:t>
            </w:r>
          </w:p>
        </w:tc>
        <w:tc>
          <w:tcPr>
            <w:tcW w:w="3257" w:type="pct"/>
            <w:shd w:val="clear" w:color="auto" w:fill="auto"/>
            <w:vAlign w:val="center"/>
          </w:tcPr>
          <w:p w14:paraId="297BD82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1、硬件架构：机架式独立硬件平台，多核系统架构，非任何插卡扩展形态的负载均衡设备。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2、硬件要求：1000BASE-T接口≥8，SFP千兆光口≥2，SFP+万兆光口≥2，</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≥2，内存≥16G，存储空间≥4T，冗余电源。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3、性能要求：吞吐量≥20Gbps，并发数≥1000万。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4、部署方式：同时支持链路负载均衡、服务器负载均衡和全局负载均衡的功能,无需额外购买相应授权。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5、双栈接入：支持IPV6/IPV4双栈，支持NAT66、NAT64、NAT46、DNS64可对过渡型网络进行负载均衡。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链路负载：支持入向链路负载均衡算法包括：轮询算法、比率算法、拓扑算法、备用地址算法、丢包算法、最小连接数算法、最小延时算法、最小新建连接算法、跳数算法、包速率算法、实时带宽算法、可用带宽算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链路负载：支持出向链路负载均衡算法包括：轮询算法、加权轮询算法、带宽比率算法、首个有效算法、随机算法、加权随机算法、丢包算法、最小连接数算法、加权最小连接数算法、最小流量算法、加权最小流量算法、观察者算法、包速率算法、实时带宽算法、最小新建连接数算法、静态就近算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8、链路检查：支持ICMP、ARP、DNS、TCP、HTTP、HTTPS等链路检查，可自定义逻辑组合条件判断链路健康状态，当某一条链路故障时，将访问流量自动切换到其它链路，保障网络访问不中断。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9、DNSserver：DNSserver支持A记录,AAAA记录，CNAME记录，MX记录、NS记录、TXT记录、CAA记录、SRV记录。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10、地址库：地址库包含国内ISP地址库、全国地址库和全球地址库，支持地址库手动导入，支持地址库查询。（提供功能截图证明材料）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11、智能DNS：支持智能DNS功能，单域名对应多个运营商地址，自动识别互联网用户访问请求返回用户对应的运营商链路，引导用户从最优路径的线路访问业务系统。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12、服务器检查：支持主动健康检查和被动健康检查相结合的方式。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13、SSL卸载：内置SSL卸载模块，减轻服务器负担。支持服务器CA证书导入，提供证书单向和双向认证，双向认证支持透传客户端证书给后台服务器。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14、DDoS防护：支持四到七层抗DDoS攻击功能。支持IP、ICMP、TCP、UDP、DNS、HTTP、HTTPS、NTP、SIP。</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15、安全防护：支持网络防火墙功能，支持基于源地址、源区域、源端口、目的地址、目的区域、服务、时间进行访问控制。</w:t>
            </w:r>
          </w:p>
        </w:tc>
        <w:tc>
          <w:tcPr>
            <w:tcW w:w="244" w:type="pct"/>
            <w:shd w:val="clear" w:color="auto" w:fill="auto"/>
            <w:vAlign w:val="center"/>
          </w:tcPr>
          <w:p w14:paraId="6B3EB0E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6EAB7DA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39000</w:t>
            </w:r>
          </w:p>
        </w:tc>
        <w:tc>
          <w:tcPr>
            <w:tcW w:w="305" w:type="pct"/>
            <w:shd w:val="clear" w:color="auto" w:fill="auto"/>
            <w:vAlign w:val="center"/>
          </w:tcPr>
          <w:p w14:paraId="36FB154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39000</w:t>
            </w:r>
          </w:p>
        </w:tc>
      </w:tr>
      <w:tr w14:paraId="0703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7D822DE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19</w:t>
            </w:r>
          </w:p>
        </w:tc>
        <w:tc>
          <w:tcPr>
            <w:tcW w:w="332" w:type="pct"/>
            <w:vMerge w:val="continue"/>
            <w:vAlign w:val="center"/>
          </w:tcPr>
          <w:p w14:paraId="2619992C">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0C20844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VPN接入系统</w:t>
            </w:r>
          </w:p>
        </w:tc>
        <w:tc>
          <w:tcPr>
            <w:tcW w:w="3257" w:type="pct"/>
            <w:shd w:val="clear" w:color="auto" w:fill="auto"/>
            <w:vAlign w:val="center"/>
          </w:tcPr>
          <w:p w14:paraId="42DF0D0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1、硬件架构：须为专业性VPN硬件设备，而非下一代防火墙\UTM类设备集成的VPN模块。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2、硬件要求：1000BASE-T接口≥8，SFP千兆光口≥4，可插拔的扩展槽≥1个，冗余电源。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3、性能要求：IPSEC吞吐率≥3Gbps，IPSEC VPN隧道数≥10000，SSL吞吐率≥2Gbps，SSL并发用户数≥6000，最大管理用户数≥20000，本次含500个SSL VPN的客户端并发许可。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4、用户管理：支持静态用户名口令、数字证书、短信、硬件特征码绑定、图形码认证方式；支持国密USBKey的自适配功能，无需适配工作即可完成国密证书的认证。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5、安全认证：支持使用RADIUS、TACACS、LDAP安全认证方式；支持对接企业微信实现企业微信扫码认证。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6、客户端支持：支持Windows、iOS、Android、Linux、Mac客户端接入方式。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7、可信接入：支持可信接入功能，能够对接入主机的信息进行检查，包括域名、杀毒软件、必须安装的程序、必须运行的服务等。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8、CA证书：支持内置CA，可以对证书进行生成、签发、废弃操作。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9、个性化：支持PC端、移动端客户端登录界面样式自定义设置，可设置客户端登录页背景、Logo、页脚、标题等。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10、虚拟门户：支持虚拟门户功能，支持虚拟门户中使用用户名口令、数字证书、人脸识别认证方式，支持虚拟门户双因子认证。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11、报警方式：支持邮件、声音、SNMP、控制台等报警方式；支持系统诊断管理。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12、网络诊断：支持PING、TRACEROUTE、TCP、HTTP、DNS网络诊断。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13、加密算法：支持国际、国密</w:t>
            </w:r>
            <w:r>
              <w:rPr>
                <w:rFonts w:hint="eastAsia" w:ascii="宋体" w:hAnsi="宋体" w:cs="宋体"/>
                <w:color w:val="auto"/>
                <w:kern w:val="0"/>
                <w:sz w:val="18"/>
                <w:szCs w:val="18"/>
                <w:highlight w:val="none"/>
              </w:rPr>
              <w:t>1.0、国密1.1</w:t>
            </w:r>
            <w:r>
              <w:rPr>
                <w:rFonts w:hint="eastAsia" w:ascii="宋体" w:hAnsi="宋体" w:cs="宋体"/>
                <w:color w:val="000000"/>
                <w:kern w:val="0"/>
                <w:sz w:val="18"/>
                <w:szCs w:val="18"/>
                <w:highlight w:val="none"/>
              </w:rPr>
              <w:t>协议；支持SM2、RSA非对称算法；支持SM4、AES128、AES192、AES256等对称算法；支持SM3SHA256、SHA384、SHA512等摘要算法；支持IKEv1、IKEv2、野蛮协商模式。（提供功能截图证明材料）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14、访问权限：支持使用IPsecVPN客户端接入，支持IPsecVPN客户端接入后配置访问权限。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15、集群管理：支持集群管理，在SSLVPN负载均衡模式下VPN不需要借助其他负载产品可以完成负载分发工作</w:t>
            </w:r>
          </w:p>
        </w:tc>
        <w:tc>
          <w:tcPr>
            <w:tcW w:w="244" w:type="pct"/>
            <w:shd w:val="clear" w:color="auto" w:fill="auto"/>
            <w:vAlign w:val="center"/>
          </w:tcPr>
          <w:p w14:paraId="0335371F">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2" w:type="pct"/>
            <w:shd w:val="clear" w:color="auto" w:fill="auto"/>
            <w:vAlign w:val="center"/>
          </w:tcPr>
          <w:p w14:paraId="1C38CD17">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305" w:type="pct"/>
            <w:shd w:val="clear" w:color="auto" w:fill="auto"/>
            <w:vAlign w:val="center"/>
          </w:tcPr>
          <w:p w14:paraId="590CD83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5083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72913E8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332" w:type="pct"/>
            <w:vMerge w:val="continue"/>
            <w:vAlign w:val="center"/>
          </w:tcPr>
          <w:p w14:paraId="04B66EE0">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438A633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定制化正版化软件</w:t>
            </w:r>
          </w:p>
        </w:tc>
        <w:tc>
          <w:tcPr>
            <w:tcW w:w="3257" w:type="pct"/>
            <w:shd w:val="clear" w:color="auto" w:fill="auto"/>
            <w:vAlign w:val="center"/>
          </w:tcPr>
          <w:p w14:paraId="059CEA5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本项目超融合平台虚拟机所需正版软件，随系统和虚拟化系统需要匹配相应数量的正版软件，满足本项目要求。</w:t>
            </w:r>
          </w:p>
        </w:tc>
        <w:tc>
          <w:tcPr>
            <w:tcW w:w="244" w:type="pct"/>
            <w:shd w:val="clear" w:color="auto" w:fill="auto"/>
            <w:vAlign w:val="center"/>
          </w:tcPr>
          <w:p w14:paraId="53597BB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24D6188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305" w:type="pct"/>
            <w:shd w:val="clear" w:color="auto" w:fill="auto"/>
            <w:vAlign w:val="center"/>
          </w:tcPr>
          <w:p w14:paraId="2294A63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2FFF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2260BC5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332" w:type="pct"/>
            <w:vMerge w:val="continue"/>
            <w:vAlign w:val="center"/>
          </w:tcPr>
          <w:p w14:paraId="62BB47C4">
            <w:pPr>
              <w:widowControl/>
              <w:shd w:val="clear"/>
              <w:jc w:val="center"/>
              <w:rPr>
                <w:rFonts w:ascii="宋体" w:hAnsi="宋体" w:cs="宋体"/>
                <w:color w:val="000000"/>
                <w:kern w:val="0"/>
                <w:sz w:val="18"/>
                <w:szCs w:val="18"/>
                <w:highlight w:val="none"/>
              </w:rPr>
            </w:pPr>
          </w:p>
        </w:tc>
        <w:tc>
          <w:tcPr>
            <w:tcW w:w="371" w:type="pct"/>
            <w:gridSpan w:val="2"/>
            <w:shd w:val="clear" w:color="auto" w:fill="auto"/>
            <w:vAlign w:val="center"/>
          </w:tcPr>
          <w:p w14:paraId="3EA8298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等保测评服务</w:t>
            </w:r>
          </w:p>
        </w:tc>
        <w:tc>
          <w:tcPr>
            <w:tcW w:w="3257" w:type="pct"/>
            <w:shd w:val="clear" w:color="auto" w:fill="auto"/>
            <w:vAlign w:val="center"/>
          </w:tcPr>
          <w:p w14:paraId="4636F1BD">
            <w:pPr>
              <w:widowControl/>
              <w:numPr>
                <w:ilvl w:val="0"/>
                <w:numId w:val="9"/>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依据《信息安全技术网络安全等级保护基本要求》（GB/T22239-2019）、《信息安全技术网络安全等级保护测评要求》（GB/T28448-2019）和《信息安全技术网络安全等级保护测评过程指南》（GB/T28449-2018）等国家关于信息系统安全等级保护的相关标准和规范要求，对医共体信息系统安全建设进行符合性测评，对安全状态做出判断，验证是否符合等级保护要求，发现存在的安全隐患，提出安全防护相关合理化建议，出具网络安全等级保护测评报告，全面达到国家网络安全等级保护相关要求。本次测评等级为三级，测评数量一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包括但不限于从安全物理环境、安全通信网络、安全区域边界、安全计算环境、安全管理中心、安全管理制度、安全管理机构、安全管理人员、安全建设管理、安全运维管理等层面进行测评。整体测评应主要测评分析信息系统的整体安全性，内容上应包括安全控制间、层面间和区域间相互作用的安全测评以及系统结构的安全测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安全物理环境：针对物理机房提出的安全控制要求。主要对象为物理环境、物理设备和物理设施等。涉及的安全控制点包括物理位置的选择、物理访问控制、防盗窃和防破坏、防雷击、防火、防水和防潮、防静电、温湿度控制、电力供应和电磁防护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（2）安全通信网络：针对通信网络提出的安全控制要求。主要对象为广域网、城域网和局域网。涉及的安全控制点包括网络架构、通信传输和可信验证等。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（3）安全区域边界：针对网络边界提出的安全控制要求。主要对象为系统边界和区域边界等。涉及的安全控制点包括边界防护、访问控制、入侵防范、恶意代码防范、安全审计和可信验证等。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安全计算环境：针对边界内部提出的安全控制要求。主要对象为边界内部的所有对象，包括网络设备、安全设备、服务器设备、终端设备、应用系统、数据对象和其他设备等。涉及的安全控制点包括身份鉴别、访问控制、安全审计、入侵防范、恶意代码防范、可信验证、数据完整性、数据保密性、数据备份与恢复、剩余信息保护和个人信息保护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（5）安全管理中心：针对整个系统提出的安全管理方面的技术控制要求。通过技术手段实现集中管理。涉及的安全控制点包括系统管理、审计管理、安全管理和集中管控。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（6）安全管理制度：针对整个管理制度体系提出的安全控制要求。涉及的安全控制点包括安全策略、管理制度、制定和发布以及评审和修订等。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（7）安全管理机构：针对整个管理组织架构提出的安全控制要求。涉及的安全控制点包括岗位设置、人员配备、授权和审批、沟通和合作以及审核和检查等。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（8）安全管理人员：针对人员管理模式提出的安全控制要求。涉及的安全控制点包括人员录用、人员离岗、安全意识教育和培训以及外部人员访问管理等。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安全建设管理：针对安全建设过程提出的安全控制要求。涉及的安全控制点包括定级和备案、安全方案设计、安全产品采购和使用、软件自行开发、工程实施、测试验收、系统交付、等级测评和服务供应商管理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安全运维管理：针对安全运维过程提出的安全控制要求。涉及的安全控制点包括环境管理、资产管理、介质管理、设备维护管理、漏洞和风险管理、网络和系统安全管理、恶意代码防范管理、配置管理、密码管理、变更管理、备份与恢复管理、安全事件处置、应急预案管理和外包运维管理等。</w:t>
            </w:r>
          </w:p>
        </w:tc>
        <w:tc>
          <w:tcPr>
            <w:tcW w:w="244" w:type="pct"/>
            <w:shd w:val="clear" w:color="auto" w:fill="auto"/>
            <w:vAlign w:val="center"/>
          </w:tcPr>
          <w:p w14:paraId="7EB48C3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92" w:type="pct"/>
            <w:shd w:val="clear" w:color="auto" w:fill="auto"/>
            <w:vAlign w:val="center"/>
          </w:tcPr>
          <w:p w14:paraId="3771B65F">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40000</w:t>
            </w:r>
          </w:p>
        </w:tc>
        <w:tc>
          <w:tcPr>
            <w:tcW w:w="305" w:type="pct"/>
            <w:shd w:val="clear" w:color="auto" w:fill="auto"/>
            <w:vAlign w:val="center"/>
          </w:tcPr>
          <w:p w14:paraId="4A0D811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40000</w:t>
            </w:r>
          </w:p>
        </w:tc>
      </w:tr>
      <w:tr w14:paraId="0C39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50B7C09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22</w:t>
            </w:r>
          </w:p>
        </w:tc>
        <w:tc>
          <w:tcPr>
            <w:tcW w:w="333" w:type="pct"/>
            <w:gridSpan w:val="2"/>
            <w:vMerge w:val="restart"/>
            <w:vAlign w:val="center"/>
          </w:tcPr>
          <w:p w14:paraId="5A2FD57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监管展示及视频会议设备部分</w:t>
            </w:r>
          </w:p>
        </w:tc>
        <w:tc>
          <w:tcPr>
            <w:tcW w:w="369" w:type="pct"/>
            <w:shd w:val="clear" w:color="auto" w:fill="auto"/>
            <w:vAlign w:val="center"/>
          </w:tcPr>
          <w:p w14:paraId="295F8EF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监管展示会议设备</w:t>
            </w:r>
          </w:p>
        </w:tc>
        <w:tc>
          <w:tcPr>
            <w:tcW w:w="3257" w:type="pct"/>
            <w:shd w:val="clear" w:color="auto" w:fill="auto"/>
            <w:vAlign w:val="center"/>
          </w:tcPr>
          <w:p w14:paraId="4E841B8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硬件配置要求：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1、超薄窄边框设计，整机屏占比≥85%，整机屏幕采用≥98英寸UHD超高清液晶屏，显示比例16：9，屏幕分辨率≥3840*2160，色彩度≥10bit,可视角度≥178°，全高清4K系统</w:t>
            </w:r>
            <w:r>
              <w:rPr>
                <w:rFonts w:hint="eastAsia" w:ascii="宋体" w:hAnsi="宋体" w:cs="宋体"/>
                <w:color w:val="000000"/>
                <w:kern w:val="0"/>
                <w:sz w:val="18"/>
                <w:szCs w:val="18"/>
                <w:highlight w:val="none"/>
                <w:lang w:val="en-US" w:eastAsia="zh-CN"/>
              </w:rPr>
              <w:t>图像</w:t>
            </w:r>
            <w:r>
              <w:rPr>
                <w:rFonts w:hint="eastAsia" w:ascii="宋体" w:hAnsi="宋体" w:cs="宋体"/>
                <w:color w:val="000000"/>
                <w:kern w:val="0"/>
                <w:sz w:val="18"/>
                <w:szCs w:val="18"/>
                <w:highlight w:val="none"/>
              </w:rPr>
              <w:t>显示，含无线传屏器和移动支架。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2、整机采用高精度红外触控技术，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不少于20点触摸，多点书写，书写精度≤2mm，且触摸屏具备防强光干扰功能，能在照度≥100KLUX环境下正常工作。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3、要求整机内置不低于安卓10.0版本的操作系统，且CPU不低于4*A73+4*A53配置，内存≥4G，存储空间≥16G，同时支持会议系统模块，拓展Windows相关应用。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4、整机内置≥4800W像素高清摄像头，摄像头支持设置分辨率，如3840*2160、1920*1080等，并且摄像头需具备声源定位功能。</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5、整机内置≥8阵列麦克风，支持不低于8米有效拾音距离。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6、整机I/O接口要求：≥2路HDMIIN，≥2路USB3.0，≥</w:t>
            </w:r>
            <w:r>
              <w:rPr>
                <w:rFonts w:hint="eastAsia" w:ascii="宋体" w:hAnsi="宋体" w:cs="宋体"/>
                <w:color w:val="000000"/>
                <w:kern w:val="0"/>
                <w:sz w:val="18"/>
                <w:szCs w:val="18"/>
                <w:highlight w:val="none"/>
                <w:lang w:val="en-US" w:eastAsia="zh-CN"/>
              </w:rPr>
              <w:t>1</w:t>
            </w:r>
            <w:r>
              <w:rPr>
                <w:rFonts w:hint="eastAsia" w:ascii="宋体" w:hAnsi="宋体" w:cs="宋体"/>
                <w:color w:val="000000"/>
                <w:kern w:val="0"/>
                <w:sz w:val="18"/>
                <w:szCs w:val="18"/>
                <w:highlight w:val="none"/>
              </w:rPr>
              <w:t>路TOUCH，≥1路AUDIOOUT，≥1路RS232，≥1路SPDIF，≥1路TFCARD，≥1路RJ45。</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7、采用2.1声道，扬声器功率为2*16W（中高音）+16W（低音）。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8、整机内置接收模块，除无线传屏器外不需要连接任何附加设备，可实现外部电脑音视频信号实时传输到触摸一体机上（无论整机处于任何通道），并可支持触摸回传。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软件功能要求：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电脑可通过软件或者连接无线传屏器硬件将画面共享至整机，且支持在整机端反过来操纵电脑，为避免传屏过程中，被其他人传屏顶替掉，造成使用中断，支持开启勿扰模式，此时将不允许其他人再进行传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2、手机扫描整机传屏二维码即可快速连接整机热点，无需单独在手机上输入WIFI账号密码，且手机投屏软件除了可以将手机画面共享至整机外，还支持操控大屏，满足小屏控大屏近端操控需求。</w:t>
            </w:r>
          </w:p>
          <w:p w14:paraId="332926F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3、无线传屏软硬件均支持windows系统/MAC系统扩展屏显示，无线传屏视频数据加密，加密方式：AES，128位，保障数据传输安全。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4、整机支持在不关机情况下熄屏，达到节能效果，支持五指长按快速进入熄屏状态，并且在此状态下同样需通过五指长按才能唤醒屏幕。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5、手机和电脑支持混合投屏展示，最多支持四画面同屏展示，可对每个电脑投屏内容进行独立反向操作。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6、传屏之后，在屏幕上部中间部分显示工具栏，可以进行基本的操作（具体包括触摸回传控制，勿扰模式，暂停投屏等）。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7、智能白板支持智能识别手绘图形，可支持插入智能表格，表格大小可根据书写内容自动扩充，可通过画直线的方式添加行列。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8、白板内支持多人书写模式，打开后即可锁定白板并支持最少10人同时书写。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9、可以通过白板将本地的word</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ppt等常用文件打开，并支持预览、翻页、全屏、批注、截屏等操作。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10、支持集控管理平台软件对接，实现集控相关功能，如：批量设备管理、远程操控、个性化设置、软件管理、报表管理、账号管理功能。</w:t>
            </w:r>
          </w:p>
        </w:tc>
        <w:tc>
          <w:tcPr>
            <w:tcW w:w="244" w:type="pct"/>
            <w:shd w:val="clear" w:color="auto" w:fill="auto"/>
            <w:vAlign w:val="center"/>
          </w:tcPr>
          <w:p w14:paraId="51ABD2F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0128A25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38000</w:t>
            </w:r>
          </w:p>
        </w:tc>
        <w:tc>
          <w:tcPr>
            <w:tcW w:w="305" w:type="pct"/>
            <w:shd w:val="clear" w:color="auto" w:fill="auto"/>
            <w:vAlign w:val="center"/>
          </w:tcPr>
          <w:p w14:paraId="39ECA41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38000</w:t>
            </w:r>
          </w:p>
        </w:tc>
      </w:tr>
      <w:tr w14:paraId="29BA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7A270AC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23</w:t>
            </w:r>
          </w:p>
        </w:tc>
        <w:tc>
          <w:tcPr>
            <w:tcW w:w="333" w:type="pct"/>
            <w:gridSpan w:val="2"/>
            <w:vMerge w:val="continue"/>
            <w:vAlign w:val="center"/>
          </w:tcPr>
          <w:p w14:paraId="12B2FAC1">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19279D3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会议设备配套模块</w:t>
            </w:r>
          </w:p>
        </w:tc>
        <w:tc>
          <w:tcPr>
            <w:tcW w:w="3257" w:type="pct"/>
            <w:shd w:val="clear" w:color="auto" w:fill="auto"/>
            <w:vAlign w:val="center"/>
          </w:tcPr>
          <w:p w14:paraId="2DF07D8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1、CPU≥i5 12代，主频≥2.0GHz。</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2、核显不低于Intel®HDGraphics。</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3、硬件接口不低于USB3.0*4，HDMI输出*1，耳机输出*1，麦克风输入*1。</w:t>
            </w:r>
          </w:p>
        </w:tc>
        <w:tc>
          <w:tcPr>
            <w:tcW w:w="244" w:type="pct"/>
            <w:shd w:val="clear" w:color="auto" w:fill="auto"/>
            <w:vAlign w:val="center"/>
          </w:tcPr>
          <w:p w14:paraId="14D299F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125C5BC3">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2800</w:t>
            </w:r>
          </w:p>
        </w:tc>
        <w:tc>
          <w:tcPr>
            <w:tcW w:w="305" w:type="pct"/>
            <w:shd w:val="clear" w:color="auto" w:fill="auto"/>
            <w:vAlign w:val="center"/>
          </w:tcPr>
          <w:p w14:paraId="38FD1FD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2800</w:t>
            </w:r>
          </w:p>
        </w:tc>
      </w:tr>
      <w:tr w14:paraId="7A9C0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54F7F7B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w:t>
            </w:r>
          </w:p>
        </w:tc>
        <w:tc>
          <w:tcPr>
            <w:tcW w:w="333" w:type="pct"/>
            <w:gridSpan w:val="2"/>
            <w:vMerge w:val="continue"/>
            <w:vAlign w:val="center"/>
          </w:tcPr>
          <w:p w14:paraId="0534619E">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179033D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专业线性音柱</w:t>
            </w:r>
          </w:p>
        </w:tc>
        <w:tc>
          <w:tcPr>
            <w:tcW w:w="3257" w:type="pct"/>
            <w:shd w:val="clear" w:color="auto" w:fill="auto"/>
            <w:vAlign w:val="center"/>
          </w:tcPr>
          <w:p w14:paraId="50DDDEA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1、系统：音柱全频音箱。</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2、高音单元：不低于1×25mm音圈钕磁压缩单元。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3、低音单元：4×4.25"（25mm音圈）驱动单元。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4、频率响应：100Hz-20KHz（±3dB）。</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5、功率：≥200W（RMS）800W（PEAK）。</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6、标称阻抗：≥8Ω。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7、灵敏度：≥93dB/1W/1M。</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8、最大声压：≥122dB（at1M)。</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9、覆盖角度：水平≥80°、垂直≥80°。</w:t>
            </w:r>
          </w:p>
        </w:tc>
        <w:tc>
          <w:tcPr>
            <w:tcW w:w="244" w:type="pct"/>
            <w:shd w:val="clear" w:color="auto" w:fill="auto"/>
            <w:vAlign w:val="center"/>
          </w:tcPr>
          <w:p w14:paraId="4530F3A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5CC0143A">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2500</w:t>
            </w:r>
          </w:p>
        </w:tc>
        <w:tc>
          <w:tcPr>
            <w:tcW w:w="305" w:type="pct"/>
            <w:shd w:val="clear" w:color="auto" w:fill="auto"/>
            <w:vAlign w:val="center"/>
          </w:tcPr>
          <w:p w14:paraId="5F94D8B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10000</w:t>
            </w:r>
          </w:p>
        </w:tc>
      </w:tr>
      <w:tr w14:paraId="67C4F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7E4B757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25</w:t>
            </w:r>
          </w:p>
        </w:tc>
        <w:tc>
          <w:tcPr>
            <w:tcW w:w="333" w:type="pct"/>
            <w:gridSpan w:val="2"/>
            <w:vMerge w:val="continue"/>
            <w:vAlign w:val="center"/>
          </w:tcPr>
          <w:p w14:paraId="5ADE6EE7">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3C83DA8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数字功放</w:t>
            </w:r>
          </w:p>
        </w:tc>
        <w:tc>
          <w:tcPr>
            <w:tcW w:w="3257" w:type="pct"/>
            <w:shd w:val="clear" w:color="auto" w:fill="auto"/>
            <w:vAlign w:val="center"/>
          </w:tcPr>
          <w:p w14:paraId="48D45C8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1、采用数字功率放大模块，四通道一体化设计。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2、具备高亮度显示屏，可显示通道音量等信息。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3、采用大容量开关电源，具备单独冷却系统及良好散热装置。</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4、系统具备自动限幅输出.短路过载.高温.开机延时等保护功能。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5、配备延时启动系统功能，保护音箱不受冲击而损坏。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6、散热风扇采用先进的无级变速电路控制。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7、风扇转速随散热器温度变化而变化，有效地降低风扇噪音。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8、具备不低于4×250W/8Ω，4×500W/4Ω，桥接2×600W/8Ω多种阻抗功率。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9、输入具备单通道，立体声模式选择。</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10、具备独立音量控制及LCD显示屏信号电平指示显示。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11、内置滤波功能，可滤除数字声及其它设备的高频干扰。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12、采用双XLR输入连接，SPEAKON与凤凰端子两种输出连接。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13、具有压限、短路、过流、直流输出等全面性的保护设施。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14、频率响应为20Hz-20KHz。</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15、输入阻抗为10KΩ（不平衡），20KΩ（平衡）。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16、阻尼系数≥300@8Ω。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17、总谐波失真≤0.01%。</w:t>
            </w:r>
          </w:p>
        </w:tc>
        <w:tc>
          <w:tcPr>
            <w:tcW w:w="244" w:type="pct"/>
            <w:shd w:val="clear" w:color="auto" w:fill="auto"/>
            <w:vAlign w:val="center"/>
          </w:tcPr>
          <w:p w14:paraId="7A2FF31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57CEFAC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3600</w:t>
            </w:r>
          </w:p>
        </w:tc>
        <w:tc>
          <w:tcPr>
            <w:tcW w:w="305" w:type="pct"/>
            <w:shd w:val="clear" w:color="auto" w:fill="auto"/>
            <w:vAlign w:val="center"/>
          </w:tcPr>
          <w:p w14:paraId="466F5FE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3600</w:t>
            </w:r>
          </w:p>
        </w:tc>
      </w:tr>
      <w:tr w14:paraId="2C1C8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68AE882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26</w:t>
            </w:r>
          </w:p>
        </w:tc>
        <w:tc>
          <w:tcPr>
            <w:tcW w:w="333" w:type="pct"/>
            <w:gridSpan w:val="2"/>
            <w:vMerge w:val="continue"/>
            <w:vAlign w:val="center"/>
          </w:tcPr>
          <w:p w14:paraId="608045FF">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70CAFD9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数字音频媒体矩阵</w:t>
            </w:r>
          </w:p>
        </w:tc>
        <w:tc>
          <w:tcPr>
            <w:tcW w:w="3257" w:type="pct"/>
            <w:shd w:val="clear" w:color="auto" w:fill="auto"/>
            <w:vAlign w:val="center"/>
          </w:tcPr>
          <w:p w14:paraId="12288CA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1、采用DSP高速浮点运算引擎处理芯片。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2、提供半开放式架构及开放式用户界面，实现多台设备集成管理。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3、具备显示屏，≥24位数模转换，≥96KHz采样频率。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4、具备≥16路可切换式平衡话筒/线路电平输入，采用凤凰接口。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5、每路MIC输入支持48V幻象供电。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6、具备≥16路平衡线路电平输出，采用凤凰接口。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7、具备≥16路独立自适应反馈抑制，每个通道具有≥16个点的自适应反馈抑制（AFC）功能。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8、输入通道具备≥12段PEQ，提供五种滤波器类型选择。</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9、输入通道具有自适应回声消除(AEC)、噪声抑制(ANS)功能。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10输入通道具有增益共享自动混音(AMC)、门限自动混音（GateMixer）、自动增益(AGC)、闪避器(Ducker)、噪声增益补偿器(ANC)等功能。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11、输出通道具备≥12段PEQ、≥31段GEQ、分频器、延时器、限幅器。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12、内置信号发生器，具备正弦波信号、粉红噪声、白噪声。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13、支持≥16组场景预设功能，每组预设场景独立工作，可通过控制面板、TCP/IP、RS-232、RS-485协议调用。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14、支持通道拷贝.输入/输出通道LINK和分组功能。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15、具备A/D动态范围&gt;113dB，D/A动态范围&gt;115dB。</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16、频率响应为20Hz～20kHz(±0.2dB)。</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17、总谐波失真(THD+N)&lt;0.003%@1kHz，+4dBu。</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18、全功能矩阵混音（延时矩阵），输入混音电平可调节。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19、内置自动识别USB接口声卡，支持本地录播和远程会议多种场合使用。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20、具备摄像跟踪控制功能，通过预设位可实现自动摄像联动功能。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21、兼容Windows/Android/Ios全操作平台控制界面，可无线WiFi控制。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22、具备≥8组GPIO通用目的输入/输出数字信号控制端口，可用作独立ADC使用。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23、支持设备在线检测，所有设备在线显示，可同时在线管理多台设备。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24、具备≥1个TCP/IP通讯端口、2个Dante接口、1个RS-232通讯端口、1个RS-485通讯端口，开放第三方控制协议。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25、具备RS232/485中控控制功能，通过本机填写代码即可控制第三方设备。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26、支持UDP与RS-232/485双重中控控制，UDP端口可自由设定，控制软件可查看控制代码。</w:t>
            </w:r>
          </w:p>
        </w:tc>
        <w:tc>
          <w:tcPr>
            <w:tcW w:w="244" w:type="pct"/>
            <w:shd w:val="clear" w:color="auto" w:fill="auto"/>
            <w:vAlign w:val="center"/>
          </w:tcPr>
          <w:p w14:paraId="66AFE84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061177F7">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8800</w:t>
            </w:r>
          </w:p>
        </w:tc>
        <w:tc>
          <w:tcPr>
            <w:tcW w:w="305" w:type="pct"/>
            <w:shd w:val="clear" w:color="auto" w:fill="auto"/>
            <w:vAlign w:val="center"/>
          </w:tcPr>
          <w:p w14:paraId="11F72D5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8800</w:t>
            </w:r>
          </w:p>
        </w:tc>
      </w:tr>
      <w:tr w14:paraId="4465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63A31D4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27</w:t>
            </w:r>
          </w:p>
        </w:tc>
        <w:tc>
          <w:tcPr>
            <w:tcW w:w="333" w:type="pct"/>
            <w:gridSpan w:val="2"/>
            <w:vMerge w:val="continue"/>
            <w:vAlign w:val="center"/>
          </w:tcPr>
          <w:p w14:paraId="31A2664F">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4319D4F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反馈抑制器</w:t>
            </w:r>
          </w:p>
        </w:tc>
        <w:tc>
          <w:tcPr>
            <w:tcW w:w="3257" w:type="pct"/>
            <w:shd w:val="clear" w:color="auto" w:fill="auto"/>
            <w:vAlign w:val="center"/>
          </w:tcPr>
          <w:p w14:paraId="203B5E9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1、不低于1.8寸彩屏显示当前设备工作状态和系统输出电平。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2、不低于六路MIC平衡（非平衡）信号输入和不低于两路平衡信号输出，每一路平衡输入带独立增益调节和48V幻象供电。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3、前面板一键设置设备反馈.旁通工作模式。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4、第六路话筒可以单独设置反馈.旁通工作模式。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5、不低于两组莲花（RCA）辅助输入和不低于两组莲花（RCA)辅助输出，兼容连接更多设备。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6、频率响应：20Hz-20KHz。</w:t>
            </w:r>
          </w:p>
        </w:tc>
        <w:tc>
          <w:tcPr>
            <w:tcW w:w="244" w:type="pct"/>
            <w:shd w:val="clear" w:color="auto" w:fill="auto"/>
            <w:vAlign w:val="center"/>
          </w:tcPr>
          <w:p w14:paraId="3D68744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6995EEE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3200</w:t>
            </w:r>
          </w:p>
        </w:tc>
        <w:tc>
          <w:tcPr>
            <w:tcW w:w="305" w:type="pct"/>
            <w:shd w:val="clear" w:color="auto" w:fill="auto"/>
            <w:vAlign w:val="center"/>
          </w:tcPr>
          <w:p w14:paraId="3A6CA7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3200</w:t>
            </w:r>
          </w:p>
        </w:tc>
      </w:tr>
      <w:tr w14:paraId="5FFD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3BD11D9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28</w:t>
            </w:r>
          </w:p>
        </w:tc>
        <w:tc>
          <w:tcPr>
            <w:tcW w:w="333" w:type="pct"/>
            <w:gridSpan w:val="2"/>
            <w:vMerge w:val="continue"/>
            <w:vAlign w:val="center"/>
          </w:tcPr>
          <w:p w14:paraId="1DF22DBE">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7C0C62A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电源时序器</w:t>
            </w:r>
          </w:p>
        </w:tc>
        <w:tc>
          <w:tcPr>
            <w:tcW w:w="3257" w:type="pct"/>
            <w:shd w:val="clear" w:color="auto" w:fill="auto"/>
            <w:vAlign w:val="center"/>
          </w:tcPr>
          <w:p w14:paraId="26AA971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1、具备不低于8路独立大功率受控电源输出，单路最大功率为≥2500W。</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2、不低于2.0寸彩色显示屏，支持实时显示当前电压、日期时间、通道开关状态。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3、具备定时开关功能，内置时钟芯片，可根据日期时间设定无需人为操作。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4、支持不低于8路通道输出，每路延时开启和关闭时间可自由设置（0-999S）。</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5、具备不低于10组设备开关场景数据保存与调用。</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6、特设欠压、超压检测及报警功能。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7、支持多台设备级联控制，支持外部中央控制设备控制。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8、可实现远程集中控制，每台设备自带设备编码ID检测和设置。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9、支持面板LOCK锁定功能。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10、具有手动、中控或电脑软件同时控制功能，通过面板一键开关时序关启通道，实现时序功能。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11、采用多功能电源插座，兼容国际、美标、欧标等多种规格二芯电源插头，无需另加转换插头。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12、协议和接口的开放性,提供1路RS-232控制接口与所有可编程控制主机兼容或电脑软件控制。</w:t>
            </w:r>
          </w:p>
        </w:tc>
        <w:tc>
          <w:tcPr>
            <w:tcW w:w="244" w:type="pct"/>
            <w:shd w:val="clear" w:color="auto" w:fill="auto"/>
            <w:vAlign w:val="center"/>
          </w:tcPr>
          <w:p w14:paraId="6C0523E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2E63EDE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1200</w:t>
            </w:r>
          </w:p>
        </w:tc>
        <w:tc>
          <w:tcPr>
            <w:tcW w:w="305" w:type="pct"/>
            <w:shd w:val="clear" w:color="auto" w:fill="auto"/>
            <w:vAlign w:val="center"/>
          </w:tcPr>
          <w:p w14:paraId="6CBC07B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2400</w:t>
            </w:r>
          </w:p>
        </w:tc>
      </w:tr>
      <w:tr w14:paraId="772E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227630B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29</w:t>
            </w:r>
          </w:p>
        </w:tc>
        <w:tc>
          <w:tcPr>
            <w:tcW w:w="333" w:type="pct"/>
            <w:gridSpan w:val="2"/>
            <w:vMerge w:val="continue"/>
            <w:vAlign w:val="center"/>
          </w:tcPr>
          <w:p w14:paraId="1658B2C1">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6DF1A19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手持话筒</w:t>
            </w:r>
          </w:p>
        </w:tc>
        <w:tc>
          <w:tcPr>
            <w:tcW w:w="3257" w:type="pct"/>
            <w:shd w:val="clear" w:color="auto" w:fill="auto"/>
            <w:vAlign w:val="center"/>
          </w:tcPr>
          <w:p w14:paraId="45206F0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1、采用UHF双通道多频道设计，运用高精度锁相环频率合成PLL技术。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2、具备470-510MHz、540-590MHz、640-690MHz、740-790MHz、807-857MHz五个通道模块频率范围选择。</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3、采用27-50MHz的频率带宽，以250KHz频道间隔，提供800个频道选择。</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4、主机具备不低于</w:t>
            </w:r>
            <w:r>
              <w:rPr>
                <w:rFonts w:hint="eastAsia" w:ascii="宋体" w:hAnsi="宋体" w:cs="宋体"/>
                <w:color w:val="auto"/>
                <w:kern w:val="0"/>
                <w:sz w:val="18"/>
                <w:szCs w:val="18"/>
                <w:highlight w:val="none"/>
              </w:rPr>
              <w:t>2*1.8</w:t>
            </w:r>
            <w:r>
              <w:rPr>
                <w:rFonts w:hint="eastAsia" w:ascii="宋体" w:hAnsi="宋体" w:cs="宋体"/>
                <w:color w:val="auto"/>
                <w:kern w:val="0"/>
                <w:sz w:val="18"/>
                <w:szCs w:val="18"/>
                <w:highlight w:val="none"/>
                <w:lang w:val="en-US" w:eastAsia="zh-CN"/>
              </w:rPr>
              <w:t>寸</w:t>
            </w:r>
            <w:r>
              <w:rPr>
                <w:rFonts w:hint="eastAsia" w:ascii="宋体" w:hAnsi="宋体" w:cs="宋体"/>
                <w:color w:val="auto"/>
                <w:kern w:val="0"/>
                <w:sz w:val="18"/>
                <w:szCs w:val="18"/>
                <w:highlight w:val="none"/>
              </w:rPr>
              <w:t>高亮度显示屏，可动态显示系统信号强度、音量、通道、频点数值、扫频等信息。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5、手持话筒具备≥1</w:t>
            </w:r>
            <w:r>
              <w:rPr>
                <w:rFonts w:hint="eastAsia" w:ascii="宋体" w:hAnsi="宋体" w:cs="宋体"/>
                <w:color w:val="auto"/>
                <w:kern w:val="0"/>
                <w:sz w:val="18"/>
                <w:szCs w:val="18"/>
                <w:highlight w:val="none"/>
                <w:lang w:val="en-US" w:eastAsia="zh-CN"/>
              </w:rPr>
              <w:t>寸</w:t>
            </w:r>
            <w:r>
              <w:rPr>
                <w:rFonts w:hint="eastAsia" w:ascii="宋体" w:hAnsi="宋体" w:cs="宋体"/>
                <w:color w:val="auto"/>
                <w:kern w:val="0"/>
                <w:sz w:val="18"/>
                <w:szCs w:val="18"/>
                <w:highlight w:val="none"/>
              </w:rPr>
              <w:t>高</w:t>
            </w:r>
            <w:r>
              <w:rPr>
                <w:rFonts w:hint="eastAsia" w:ascii="宋体" w:hAnsi="宋体" w:cs="宋体"/>
                <w:color w:val="000000"/>
                <w:kern w:val="0"/>
                <w:sz w:val="18"/>
                <w:szCs w:val="18"/>
                <w:highlight w:val="none"/>
              </w:rPr>
              <w:t>亮度显示屏，可动态显示单元电量、音量、通道等信息。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6、具备≥2个通道自动扫频功能，可自动过滤环境中易干扰的频率，选择最优环境下不受干扰的频率。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7、具备频道锁定功能，在锁定状态下可避免非正常操作改变当前各种已设定的参数。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8、每个通道具备独立接收灵敏度调节，调节范围为0-40，可根据实际需求调节每个话筒的灵敏度。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9、具备≥2路独立卡侬输出及一路6.35mm混合输出，可调节混合输出幅度，支持会议全程音频独立录音保存。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10、具备≥2路独立音量调节旋钮及一组红外对频窗口。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11、采用≥2组独立天线进行音频与数据传输。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12、具备≥2组功能控制键，可独立调节每个显示模块参数。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13、具备高低两种发射功率选择，可根据使用距离、数量多少来选择发射功率。</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14、具备双重供电方式，可采用2节AA电池或镍氢充电电池，或充电器直接供电使用。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15、采用低功耗设计，镍氢充电电池可连续使用≥10小时以上。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16、无线鹅颈话筒、头戴话筒、领夹话筒、手持话筒可混合搭配使用。</w:t>
            </w:r>
          </w:p>
        </w:tc>
        <w:tc>
          <w:tcPr>
            <w:tcW w:w="244" w:type="pct"/>
            <w:shd w:val="clear" w:color="auto" w:fill="auto"/>
            <w:vAlign w:val="center"/>
          </w:tcPr>
          <w:p w14:paraId="467069C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612DF0B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1380</w:t>
            </w:r>
          </w:p>
        </w:tc>
        <w:tc>
          <w:tcPr>
            <w:tcW w:w="305" w:type="pct"/>
            <w:shd w:val="clear" w:color="auto" w:fill="auto"/>
            <w:vAlign w:val="center"/>
          </w:tcPr>
          <w:p w14:paraId="408510B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2760</w:t>
            </w:r>
          </w:p>
        </w:tc>
      </w:tr>
      <w:tr w14:paraId="3DC58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0B1FE5A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w:t>
            </w:r>
          </w:p>
        </w:tc>
        <w:tc>
          <w:tcPr>
            <w:tcW w:w="333" w:type="pct"/>
            <w:gridSpan w:val="2"/>
            <w:vMerge w:val="continue"/>
            <w:vAlign w:val="center"/>
          </w:tcPr>
          <w:p w14:paraId="013212AA">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474AC65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智能天线分配器</w:t>
            </w:r>
          </w:p>
        </w:tc>
        <w:tc>
          <w:tcPr>
            <w:tcW w:w="3257" w:type="pct"/>
            <w:shd w:val="clear" w:color="auto" w:fill="auto"/>
            <w:vAlign w:val="center"/>
          </w:tcPr>
          <w:p w14:paraId="50DD0AE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1、系统采用≥620-960MHz频段，可连接≥四套无线话筒主机互不干扰。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2、放大信号接收距离≥100米。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3、具备≥4路外置设备供电接口，可为四套无线话筒主机供电。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4、具备≥2路级联接口。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5、可连接智能吸顶全向型天线或扇形指向天线。</w:t>
            </w:r>
          </w:p>
        </w:tc>
        <w:tc>
          <w:tcPr>
            <w:tcW w:w="244" w:type="pct"/>
            <w:shd w:val="clear" w:color="auto" w:fill="auto"/>
            <w:vAlign w:val="center"/>
          </w:tcPr>
          <w:p w14:paraId="6502B65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3992951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1900</w:t>
            </w:r>
          </w:p>
        </w:tc>
        <w:tc>
          <w:tcPr>
            <w:tcW w:w="305" w:type="pct"/>
            <w:shd w:val="clear" w:color="auto" w:fill="auto"/>
            <w:vAlign w:val="center"/>
          </w:tcPr>
          <w:p w14:paraId="12F451C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1900</w:t>
            </w:r>
          </w:p>
        </w:tc>
      </w:tr>
      <w:tr w14:paraId="2700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00FA0C3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31</w:t>
            </w:r>
          </w:p>
        </w:tc>
        <w:tc>
          <w:tcPr>
            <w:tcW w:w="333" w:type="pct"/>
            <w:gridSpan w:val="2"/>
            <w:vMerge w:val="continue"/>
            <w:vAlign w:val="center"/>
          </w:tcPr>
          <w:p w14:paraId="776ECB4B">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1CFD18F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智能吸顶全向天线</w:t>
            </w:r>
          </w:p>
        </w:tc>
        <w:tc>
          <w:tcPr>
            <w:tcW w:w="3257" w:type="pct"/>
            <w:shd w:val="clear" w:color="auto" w:fill="auto"/>
            <w:vAlign w:val="center"/>
          </w:tcPr>
          <w:p w14:paraId="03F3F06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1、采用圆极化双天线。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2、采用≥540-960MHz频率范围。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3、全方向增益≥8dB。</w:t>
            </w:r>
          </w:p>
        </w:tc>
        <w:tc>
          <w:tcPr>
            <w:tcW w:w="244" w:type="pct"/>
            <w:shd w:val="clear" w:color="auto" w:fill="auto"/>
            <w:vAlign w:val="center"/>
          </w:tcPr>
          <w:p w14:paraId="6B11DF5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64E637D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600</w:t>
            </w:r>
          </w:p>
        </w:tc>
        <w:tc>
          <w:tcPr>
            <w:tcW w:w="305" w:type="pct"/>
            <w:shd w:val="clear" w:color="auto" w:fill="auto"/>
            <w:vAlign w:val="center"/>
          </w:tcPr>
          <w:p w14:paraId="5F996107">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1200</w:t>
            </w:r>
          </w:p>
        </w:tc>
      </w:tr>
      <w:tr w14:paraId="1C3C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0E81C43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32</w:t>
            </w:r>
          </w:p>
        </w:tc>
        <w:tc>
          <w:tcPr>
            <w:tcW w:w="333" w:type="pct"/>
            <w:gridSpan w:val="2"/>
            <w:vMerge w:val="continue"/>
            <w:vAlign w:val="center"/>
          </w:tcPr>
          <w:p w14:paraId="327E6D13">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31157E3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无线会议主机</w:t>
            </w:r>
          </w:p>
        </w:tc>
        <w:tc>
          <w:tcPr>
            <w:tcW w:w="3257" w:type="pct"/>
            <w:shd w:val="clear" w:color="auto" w:fill="auto"/>
            <w:vAlign w:val="center"/>
          </w:tcPr>
          <w:p w14:paraId="3E4741D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1、采用UHF四通道多频道设计，高精度锁相环频率合成PLL技术。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2、装备不低于</w:t>
            </w:r>
            <w:r>
              <w:rPr>
                <w:rFonts w:hint="eastAsia" w:ascii="宋体" w:hAnsi="宋体" w:cs="宋体"/>
                <w:color w:val="auto"/>
                <w:kern w:val="0"/>
                <w:sz w:val="18"/>
                <w:szCs w:val="18"/>
                <w:highlight w:val="none"/>
              </w:rPr>
              <w:t>4.5</w:t>
            </w:r>
            <w:r>
              <w:rPr>
                <w:rFonts w:hint="eastAsia" w:ascii="宋体" w:hAnsi="宋体" w:cs="宋体"/>
                <w:color w:val="auto"/>
                <w:kern w:val="0"/>
                <w:sz w:val="18"/>
                <w:szCs w:val="18"/>
                <w:highlight w:val="none"/>
                <w:lang w:val="en-US" w:eastAsia="zh-CN"/>
              </w:rPr>
              <w:t>寸</w:t>
            </w:r>
            <w:r>
              <w:rPr>
                <w:rFonts w:hint="eastAsia" w:ascii="宋体" w:hAnsi="宋体" w:cs="宋体"/>
                <w:color w:val="000000"/>
                <w:kern w:val="0"/>
                <w:sz w:val="18"/>
                <w:szCs w:val="18"/>
                <w:highlight w:val="none"/>
              </w:rPr>
              <w:t>高亮度显示屏，可动态显示系统信号、通道、发言模式、发言人数、通信频道。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3、采用铝合金面板内嵌莫氏硬度6级触控玻璃面板。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4、采用610-690MHz之间频段，具备≥20组频道，每频道有≥60个通信通道可选，支持≥20套系统同时使用。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5、系统采用数字DSP控制电路与模拟音频电路技术相结合，对声音进行活动检测、噪声抑制等处理。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6、采用八组真分集音频信号和一组控制信号，可分别调节、设置无线会议主机与会议单元的通信频道。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7、具备自动扫频功能主机雷达扫描周边环境无线电波自动选择一个没有干扰的频率使用。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8、具备自动检测主机和会议单元的距离，调节发射功率。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9、采用前向误差校正与重传机制，具备超强抗干扰能力，能有效隔离手机、无线电波、蓝牙、WiFi等信号干扰，来电时绝不产生噪音。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10、单台主机最大支持≥999台无线会议单元在线，支持连接主席单元，主席单元具备优先权。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11、支持先进先出、数量限制模式，可同时开启4台单元，发言人数可设置为1/2/3/4台。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12、系统可自定义会议单元ID编号，有效避免ID地址冲突，</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系统ID地址的唯一性。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13、内置摄像跟踪主机板卡，可脱离PC电脑专业软件进行摄像跟踪设置、保存及调用功能。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14、支持连接≥4台摄像机，采用RS-485与RS-232双控制接口，可外接视频矩阵功能，实现多跟踪画面自动切换。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15、支持VISCA、PELCO-D、PELCO-P常规控制协议。连接高清视频解码盒后可与高清矩阵实现视频画面冻结功能，让摄像机在转动时冻结画面，不会出现摄像机旋转过程的图像。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16、支持48KHz音频采样频率，频率响应为20Hz-20KHz，具备≥30级音量调节功能。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17、具备平衡卡侬及非平衡6.35mm混合音频输出，可对系统输出信号人性化调节。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18、内置≥7段EQ调节，可从超低音至高泛音的均衡调节功能。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19、具备2个RS-232控制接口，可连接PC终端与第三方控制设备。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20、支持中文简体与英文显示菜单切换选择，可根据需求定制菜单语言。</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21、发射与接收有效距离≥60米。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22、采用DC12V电源适配器供电方式。</w:t>
            </w:r>
          </w:p>
        </w:tc>
        <w:tc>
          <w:tcPr>
            <w:tcW w:w="244" w:type="pct"/>
            <w:shd w:val="clear" w:color="auto" w:fill="auto"/>
            <w:vAlign w:val="center"/>
          </w:tcPr>
          <w:p w14:paraId="25BA9E5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21E59A2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5400</w:t>
            </w:r>
          </w:p>
        </w:tc>
        <w:tc>
          <w:tcPr>
            <w:tcW w:w="305" w:type="pct"/>
            <w:shd w:val="clear" w:color="auto" w:fill="auto"/>
            <w:vAlign w:val="center"/>
          </w:tcPr>
          <w:p w14:paraId="4973EF7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5400</w:t>
            </w:r>
          </w:p>
        </w:tc>
      </w:tr>
      <w:tr w14:paraId="2E07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2D1ECA5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33</w:t>
            </w:r>
          </w:p>
        </w:tc>
        <w:tc>
          <w:tcPr>
            <w:tcW w:w="333" w:type="pct"/>
            <w:gridSpan w:val="2"/>
            <w:vMerge w:val="continue"/>
            <w:vAlign w:val="center"/>
          </w:tcPr>
          <w:p w14:paraId="74A4A58A">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1E4A4C8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无线数据收发器</w:t>
            </w:r>
          </w:p>
        </w:tc>
        <w:tc>
          <w:tcPr>
            <w:tcW w:w="3257" w:type="pct"/>
            <w:shd w:val="clear" w:color="auto" w:fill="auto"/>
            <w:vAlign w:val="center"/>
          </w:tcPr>
          <w:p w14:paraId="531D72C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1、采用2.4-2.5G频段14Dbi定向高增益平面天线，输入阻抗为50Ω。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2、内置2.4G超低功耗无线模块，具备64K数字音频采样速率，16bit样本量级化。</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3、采用2.4G全数字跳频（DSSS）调制通讯技术，使用非授权限制ISM频段。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4、采用128位AESRijndael和48位PIN码加密保护，防止窃听和非授权访问。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5、内置无线音频传输协议。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6、内置数字电路，可大幅度的把2.4G无线信号进行放大。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7、360度全方位通讯，自适应跳频，前向误差校正与重传机制。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8、可自动拦截未经无线会议主机授权允许的无线会议设备。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9、与主机直接连接，无需外接电源，具有接收和发射功能。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10、辐射范围达60米以上，可吸顶式、壁挂式、桌面式多种安装方式。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11、无需外接电源，直接与无线会议主机与无线收发器对接即可使用。</w:t>
            </w:r>
          </w:p>
        </w:tc>
        <w:tc>
          <w:tcPr>
            <w:tcW w:w="244" w:type="pct"/>
            <w:shd w:val="clear" w:color="auto" w:fill="auto"/>
            <w:vAlign w:val="center"/>
          </w:tcPr>
          <w:p w14:paraId="7AF1183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07C4285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1630</w:t>
            </w:r>
          </w:p>
        </w:tc>
        <w:tc>
          <w:tcPr>
            <w:tcW w:w="305" w:type="pct"/>
            <w:shd w:val="clear" w:color="auto" w:fill="auto"/>
            <w:vAlign w:val="center"/>
          </w:tcPr>
          <w:p w14:paraId="11C226E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1630</w:t>
            </w:r>
          </w:p>
        </w:tc>
      </w:tr>
      <w:tr w14:paraId="0630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281F6B0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34</w:t>
            </w:r>
          </w:p>
        </w:tc>
        <w:tc>
          <w:tcPr>
            <w:tcW w:w="333" w:type="pct"/>
            <w:gridSpan w:val="2"/>
            <w:vMerge w:val="continue"/>
            <w:vAlign w:val="center"/>
          </w:tcPr>
          <w:p w14:paraId="2FABD296">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18E7DB9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无线双振膜主席单元</w:t>
            </w:r>
          </w:p>
        </w:tc>
        <w:tc>
          <w:tcPr>
            <w:tcW w:w="3257" w:type="pct"/>
            <w:shd w:val="clear" w:color="auto" w:fill="auto"/>
            <w:vAlign w:val="center"/>
          </w:tcPr>
          <w:p w14:paraId="1E069781">
            <w:pPr>
              <w:pStyle w:val="18"/>
              <w:shd w:val="clear"/>
              <w:rPr>
                <w:rFonts w:hint="default" w:eastAsiaTheme="minorEastAsia"/>
                <w:highlight w:val="none"/>
                <w:lang w:val="en-US" w:eastAsia="zh-CN"/>
              </w:rPr>
            </w:pPr>
            <w:r>
              <w:rPr>
                <w:rFonts w:hint="eastAsia" w:ascii="宋体" w:hAnsi="宋体" w:cs="宋体"/>
                <w:color w:val="000000"/>
                <w:kern w:val="0"/>
                <w:sz w:val="18"/>
                <w:szCs w:val="18"/>
                <w:highlight w:val="none"/>
              </w:rPr>
              <w:t>1、采用UHF四通道设计，高精度锁相环频率合成PLL技术。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2、具备选配无线充电功能。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3、无线充电过充中具备温度、过压、磁场、短路、过充、过流等自动保护功能。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4、内嵌莫氏硬度不低于6级触控玻璃面板，无机械按键、开关过程中不产生按键声。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5、装备不低于2</w:t>
            </w:r>
            <w:r>
              <w:rPr>
                <w:rFonts w:hint="eastAsia" w:ascii="宋体" w:hAnsi="宋体" w:cs="宋体"/>
                <w:color w:val="000000"/>
                <w:kern w:val="0"/>
                <w:sz w:val="18"/>
                <w:szCs w:val="18"/>
                <w:highlight w:val="none"/>
                <w:lang w:val="en-US" w:eastAsia="zh-CN"/>
              </w:rPr>
              <w:t>.0寸</w:t>
            </w:r>
            <w:r>
              <w:rPr>
                <w:rFonts w:hint="eastAsia" w:ascii="宋体" w:hAnsi="宋体" w:cs="宋体"/>
                <w:color w:val="000000"/>
                <w:kern w:val="0"/>
                <w:sz w:val="18"/>
                <w:szCs w:val="18"/>
                <w:highlight w:val="none"/>
              </w:rPr>
              <w:t>高亮度显示屏，可显示系统信号、通道、ID地址、电池电量、通信频道及发言时间。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6、采用610-690MHz之间频段，具备≥20组频道，每频道有≥60个通信通道可选，支持≥20套系统同时使用。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7、系统采用数字DSP控制电路与模拟音频电路技术相结合，对声音进行活动检测、噪声抑制等处理。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8、采用锌铝合金话筒杆，内置2×14毫米高保真镀金电容式拾音头，支持双拾音头横向阵列技术。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9、独特腔体与一体成型拾音钢网设计，可精准控制拾音角度、避免声学反馈与啸叫。</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10、咪杆采用高密度声干涉孔，精准计算孔径与间距，结合干涉校正技术精准控制拾音细节，提高人声频响范围拾音灵敏度。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11、高灵敏度设计，内置自动增益功能，理想环境有效拾音距离可达60-100cm。</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12、高保真无损音频传输技术，48KHz音频采样频率，拾音灵敏、语音清晰，频率响应可达30Hz-20KHz。</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13、采用前向误差校正与重传机制，具备超强抗干扰能力，能有效隔离手机、无线电波、蓝牙、WiFi等信号干扰，来电时绝不产生噪音。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14、单台主机最大支持≥999台无线会议单元在线，支持连接主席单元，主席单元具备优先权。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15、支持先进先出、数量限制模式，可同时开启4台单元，发言人数可设置为1/2/3/4台。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16、系统可同时接入≥4台主席单元，主席单元具有优先权功能，也可关闭其它正在发言的代表单元。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17、系统可自定义会议单元ID编号，有效避免ID地址冲突，</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系统ID地址的唯一性。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18、配合高清摄像机，可进行发言者自动跟踪及画面自动切换，支持画面冻结与多摄像机跟踪同一会议单元。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19、内置≥3000mA/H大容量锂电池，具备双重充电装置功能，支持USB充电与充电箱充电。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20、低功耗设计，具备电量动态显示和低电提醒功能，支持≥10小时连续使用。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21、发射与接收有效距离≥60米。</w:t>
            </w:r>
          </w:p>
          <w:p w14:paraId="3EE61A9D">
            <w:pPr>
              <w:widowControl/>
              <w:shd w:val="clear"/>
              <w:tabs>
                <w:tab w:val="left" w:pos="2940"/>
              </w:tabs>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2</w:t>
            </w:r>
            <w:r>
              <w:rPr>
                <w:rFonts w:hint="eastAsia" w:ascii="宋体" w:hAnsi="宋体" w:cs="宋体"/>
                <w:color w:val="000000"/>
                <w:kern w:val="0"/>
                <w:sz w:val="18"/>
                <w:szCs w:val="18"/>
                <w:highlight w:val="none"/>
              </w:rPr>
              <w:t>、具备1个TYPE-C接口，可用于充电或免拆设备升级程序及维护。</w:t>
            </w:r>
          </w:p>
        </w:tc>
        <w:tc>
          <w:tcPr>
            <w:tcW w:w="244" w:type="pct"/>
            <w:shd w:val="clear" w:color="auto" w:fill="auto"/>
            <w:vAlign w:val="center"/>
          </w:tcPr>
          <w:p w14:paraId="78FF680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0234A1B7">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3100</w:t>
            </w:r>
          </w:p>
        </w:tc>
        <w:tc>
          <w:tcPr>
            <w:tcW w:w="305" w:type="pct"/>
            <w:shd w:val="clear" w:color="auto" w:fill="auto"/>
            <w:vAlign w:val="center"/>
          </w:tcPr>
          <w:p w14:paraId="6A07133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3100</w:t>
            </w:r>
          </w:p>
        </w:tc>
      </w:tr>
      <w:tr w14:paraId="2342A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4D438421">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35</w:t>
            </w:r>
          </w:p>
        </w:tc>
        <w:tc>
          <w:tcPr>
            <w:tcW w:w="333" w:type="pct"/>
            <w:gridSpan w:val="2"/>
            <w:vMerge w:val="continue"/>
            <w:vAlign w:val="center"/>
          </w:tcPr>
          <w:p w14:paraId="3C0E40E1">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56A7D67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无线双振膜代表单元</w:t>
            </w:r>
          </w:p>
        </w:tc>
        <w:tc>
          <w:tcPr>
            <w:tcW w:w="3257" w:type="pct"/>
            <w:shd w:val="clear" w:color="auto" w:fill="auto"/>
            <w:vAlign w:val="center"/>
          </w:tcPr>
          <w:p w14:paraId="4BBE32F9">
            <w:pPr>
              <w:pStyle w:val="18"/>
              <w:shd w:val="clear"/>
              <w:rPr>
                <w:rFonts w:hint="default" w:eastAsiaTheme="minorEastAsia"/>
                <w:highlight w:val="none"/>
                <w:lang w:val="en-US" w:eastAsia="zh-CN"/>
              </w:rPr>
            </w:pPr>
            <w:r>
              <w:rPr>
                <w:rFonts w:hint="eastAsia" w:ascii="宋体" w:hAnsi="宋体" w:cs="宋体"/>
                <w:color w:val="000000"/>
                <w:kern w:val="0"/>
                <w:sz w:val="18"/>
                <w:szCs w:val="18"/>
                <w:highlight w:val="none"/>
              </w:rPr>
              <w:t>硬件配置要求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1、采用UHF四通道设计，高精度锁相环频率合成PLL技术。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2、具备选配无线充电功能。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3、无线充电过充中具备温度、过压、磁场、短路、过充、过流等自动保护功能。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4、内嵌莫氏硬度6级触控玻璃面板，无机械按键、开关过程中不产生按键声。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5、装备</w:t>
            </w:r>
            <w:r>
              <w:rPr>
                <w:rFonts w:hint="eastAsia" w:ascii="宋体" w:hAnsi="宋体" w:cs="宋体"/>
                <w:color w:val="000000"/>
                <w:kern w:val="0"/>
                <w:sz w:val="18"/>
                <w:szCs w:val="18"/>
                <w:highlight w:val="none"/>
                <w:lang w:val="en-US" w:eastAsia="zh-CN"/>
              </w:rPr>
              <w:t>不低于</w:t>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.0寸</w:t>
            </w:r>
            <w:r>
              <w:rPr>
                <w:rFonts w:hint="eastAsia" w:ascii="宋体" w:hAnsi="宋体" w:cs="宋体"/>
                <w:color w:val="000000"/>
                <w:kern w:val="0"/>
                <w:sz w:val="18"/>
                <w:szCs w:val="18"/>
                <w:highlight w:val="none"/>
              </w:rPr>
              <w:t>高亮度显示屏，可显示系统信号、通道、ID地址、电池电量、通信频道及发言时间。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6、采用610-690MHz之间频段，具备20组频道，每频道有60个通信通道可选，支持20套系统同时使用。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7、系统采用数字DSP控制电路与模拟音频电路技术相结合，对声音进行活动检测、噪声抑制等处理。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8、采用锌铝合金话筒杆，内置2×14毫米高保真镀金电容式拾音头，支持双拾音头横向阵列技术。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9、独特腔体与一体成型拾音钢网设计，可精准控制拾音角度、避免声学反馈与啸叫。</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10、咪杆采用高密度声干涉孔，精准计算孔径与间距，结合干涉校正技术精准控制拾音细节，有效提高人声频响范围拾音灵敏度。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11、高灵敏度设计，内置自动增益功能，理想环境有效拾音距离可达60-100cm。</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12、高保真无损音频传输技术，48KHz音频采样频率，拾音灵敏、语音清晰，频率响应可达30Hz-20KHz。</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13、采用前向误差校正与重传机制，具备超强抗干扰能力，能有效隔离手机、无线电波、蓝牙、WiFi等信号干扰，来电时绝不产生噪音。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14、单台主机最大支持≥999台无线会议单元在线，支持连接主席单元，主席单元具备优先权。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15、支持先进先出、数量限制模式，可同时开启4台单元，发言人数可设置为1/2/3/4台。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16、系统可同时接入≥4台主席单元，主席单元具有优先权功能。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17、系统可自定义会议单元ID编号，有效避免ID地址冲突，</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系统ID地址的唯一性。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18、配合高清摄像机，可进行发言者自动跟踪及画面自动切换，支持画面冻结与多摄像机跟踪同一会议单元。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19、内置≥3000mA/H大容量锂电池，具备双重充电装置功能，支持USB充电与充电箱充电。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20、低功耗设计，具备电量动态显示和低电提醒功能，支持≥10小时连续使用。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21、发射与接收有效距离≥60米。</w:t>
            </w:r>
          </w:p>
          <w:p w14:paraId="18B8954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2</w:t>
            </w:r>
            <w:r>
              <w:rPr>
                <w:rFonts w:hint="eastAsia" w:ascii="宋体" w:hAnsi="宋体" w:cs="宋体"/>
                <w:color w:val="000000"/>
                <w:kern w:val="0"/>
                <w:sz w:val="18"/>
                <w:szCs w:val="18"/>
                <w:highlight w:val="none"/>
              </w:rPr>
              <w:t>、具备1个TYPE-C接口，可用于充电或免拆设备升级程序及维护。</w:t>
            </w:r>
          </w:p>
        </w:tc>
        <w:tc>
          <w:tcPr>
            <w:tcW w:w="244" w:type="pct"/>
            <w:shd w:val="clear" w:color="auto" w:fill="auto"/>
            <w:vAlign w:val="center"/>
          </w:tcPr>
          <w:p w14:paraId="3393286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184764D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2800</w:t>
            </w:r>
          </w:p>
        </w:tc>
        <w:tc>
          <w:tcPr>
            <w:tcW w:w="305" w:type="pct"/>
            <w:shd w:val="clear" w:color="auto" w:fill="auto"/>
            <w:vAlign w:val="center"/>
          </w:tcPr>
          <w:p w14:paraId="3CD042E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14000</w:t>
            </w:r>
          </w:p>
        </w:tc>
      </w:tr>
      <w:tr w14:paraId="3E3F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47C33D5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w:t>
            </w:r>
          </w:p>
        </w:tc>
        <w:tc>
          <w:tcPr>
            <w:tcW w:w="333" w:type="pct"/>
            <w:gridSpan w:val="2"/>
            <w:vMerge w:val="continue"/>
            <w:vAlign w:val="center"/>
          </w:tcPr>
          <w:p w14:paraId="48D964DB">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5DD2057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会议设备机柜</w:t>
            </w:r>
          </w:p>
        </w:tc>
        <w:tc>
          <w:tcPr>
            <w:tcW w:w="3257" w:type="pct"/>
            <w:shd w:val="clear" w:color="auto" w:fill="auto"/>
            <w:vAlign w:val="center"/>
          </w:tcPr>
          <w:p w14:paraId="4AA2CC7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16U标准机柜</w:t>
            </w:r>
          </w:p>
        </w:tc>
        <w:tc>
          <w:tcPr>
            <w:tcW w:w="244" w:type="pct"/>
            <w:shd w:val="clear" w:color="auto" w:fill="auto"/>
            <w:vAlign w:val="center"/>
          </w:tcPr>
          <w:p w14:paraId="2F316D6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49A4A4C1">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1200</w:t>
            </w:r>
          </w:p>
        </w:tc>
        <w:tc>
          <w:tcPr>
            <w:tcW w:w="305" w:type="pct"/>
            <w:shd w:val="clear" w:color="auto" w:fill="auto"/>
            <w:vAlign w:val="center"/>
          </w:tcPr>
          <w:p w14:paraId="0B591D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w:t>
            </w:r>
          </w:p>
        </w:tc>
      </w:tr>
      <w:tr w14:paraId="2577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021F417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37</w:t>
            </w:r>
          </w:p>
        </w:tc>
        <w:tc>
          <w:tcPr>
            <w:tcW w:w="333" w:type="pct"/>
            <w:gridSpan w:val="2"/>
            <w:vMerge w:val="continue"/>
            <w:vAlign w:val="center"/>
          </w:tcPr>
          <w:p w14:paraId="39E793B7">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2BC30A8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医院展示会议设备</w:t>
            </w:r>
          </w:p>
        </w:tc>
        <w:tc>
          <w:tcPr>
            <w:tcW w:w="3257" w:type="pct"/>
            <w:shd w:val="clear" w:color="auto" w:fill="auto"/>
            <w:vAlign w:val="center"/>
          </w:tcPr>
          <w:p w14:paraId="4AA0A81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硬件配置要求：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1、超薄窄边框设计，整机屏占比≥85%，整机屏幕采用≥86英寸UHD超高清液晶屏，显示比例16：9，屏幕分辨率≥3840*2160，色彩度≥10bit,可视角度≥178°，全高清4K系统</w:t>
            </w:r>
            <w:r>
              <w:rPr>
                <w:rFonts w:hint="eastAsia" w:ascii="宋体" w:hAnsi="宋体" w:cs="宋体"/>
                <w:color w:val="000000"/>
                <w:kern w:val="0"/>
                <w:sz w:val="18"/>
                <w:szCs w:val="18"/>
                <w:highlight w:val="none"/>
                <w:lang w:val="en-US" w:eastAsia="zh-CN"/>
              </w:rPr>
              <w:t>图像</w:t>
            </w:r>
            <w:r>
              <w:rPr>
                <w:rFonts w:hint="eastAsia" w:ascii="宋体" w:hAnsi="宋体" w:cs="宋体"/>
                <w:color w:val="000000"/>
                <w:kern w:val="0"/>
                <w:sz w:val="18"/>
                <w:szCs w:val="18"/>
                <w:highlight w:val="none"/>
              </w:rPr>
              <w:t>显示。含无线传屏器和移动支架。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2、整机采用高精度红外触控技术，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不少于20点触摸，多点书写，书写精度≤±2mm，且触摸屏具备防强光干扰功能，能在照度≥100KLUX环境下正常工作。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3、为兼容更多应用软件，要求整机内置不低于安卓10.0版本的操作系统，且CPU不低于4*A73+4*A53配置，内存≥4G，存储空间≥16G，同时支持选配会议系统模块，拓展Windows相关应用。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4、整机内置≥4800W像素高清摄像头，摄像头支持设置分辨率，如3840*2160、1920*1080等，并且摄像头需具备声源定位功能。</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5、整机内置≥8阵列麦克风，支持不低于8米有效拾音距离。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6、整机I/O接口要求：≥2路HDMIIN，≥2路USB3</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rPr>
              <w:t>0，≥</w:t>
            </w:r>
            <w:r>
              <w:rPr>
                <w:rFonts w:hint="eastAsia" w:ascii="宋体" w:hAnsi="宋体" w:cs="宋体"/>
                <w:color w:val="000000"/>
                <w:kern w:val="0"/>
                <w:sz w:val="18"/>
                <w:szCs w:val="18"/>
                <w:highlight w:val="none"/>
                <w:lang w:val="en-US" w:eastAsia="zh-CN"/>
              </w:rPr>
              <w:t>1</w:t>
            </w:r>
            <w:r>
              <w:rPr>
                <w:rFonts w:hint="eastAsia" w:ascii="宋体" w:hAnsi="宋体" w:cs="宋体"/>
                <w:color w:val="000000"/>
                <w:kern w:val="0"/>
                <w:sz w:val="18"/>
                <w:szCs w:val="18"/>
                <w:highlight w:val="none"/>
              </w:rPr>
              <w:t>路TOUCH，≥1路AUDIOOUT，≥1路RS232，≥1路SPDIF，≥1路TFCARD，≥1路RJ45。</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7、采用2.1声道，扬声器功率为2*16W（中高音）+16W（低音）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8、整机内置接收模块，除无线传屏器外不需要连接任何附加设备，可实现外部电脑音视频信号实时传输到触摸一体机上（无论整机处于任何通道），并可支持触摸回传。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软件功能要求：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电脑可通过软件或者连接无线传屏器硬件将画面共享至整机，且支持在整机端反过来操纵电脑，为避免传屏过程中，被其他人传屏顶替掉，造成使用中断，支持开启勿扰模式，此时将不允许其他人再进行传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2、手机扫描整机传屏二维码即可快速连接整机热点，无需单独在手机上输入WIFI账号密码，且手机投屏软件除了可以将手机画面共享至整机外，还支持操控大屏，满足小屏控大屏近端操控需求。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3、无线传屏软硬件均支持windows系统/MAC系统扩展屏显示，无线传屏视频数据加密，加密方式：AES，128位，保障数据传输安全。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4、整机支持在不关机情况下熄屏，支持五指长按快速进入熄屏状态，并且在此状态下同样需通过五指长按才能唤醒屏幕。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5、手机和电脑支持混合投屏展示，最多支持四画面同屏展示，可对每个电脑投屏内容进行独立反向操作。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6、传屏之后，在屏幕上部中间部分显示工具栏，可以进行基本的操作（具体包括触摸回传控制，勿扰模式，暂停投屏等）。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7、智能白板支持智能识别手绘图形，书写无需重新点击选择画笔功能；可支持插入智能表格，表格大小可根据书写内容自动扩充，可通过画直线的方式添加行列。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8、白板内支持多人书写模式，打开后即可锁定白板并支持最少10人同时书写。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9、可以通过白板将本地的word.ppt等常用文件打开，并支持预览、翻页、全屏、批注、截屏等操作。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10、支持集控管理平台软件对接，实现集控相关功能，如：批量设备管理、远程操控、个性化设置、软件管理、报表管理、账号管理功能。</w:t>
            </w:r>
          </w:p>
        </w:tc>
        <w:tc>
          <w:tcPr>
            <w:tcW w:w="244" w:type="pct"/>
            <w:shd w:val="clear" w:color="auto" w:fill="auto"/>
            <w:vAlign w:val="center"/>
          </w:tcPr>
          <w:p w14:paraId="272D49F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64C083C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29800</w:t>
            </w:r>
          </w:p>
        </w:tc>
        <w:tc>
          <w:tcPr>
            <w:tcW w:w="305" w:type="pct"/>
            <w:shd w:val="clear" w:color="auto" w:fill="auto"/>
            <w:vAlign w:val="center"/>
          </w:tcPr>
          <w:p w14:paraId="184AA3C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178800</w:t>
            </w:r>
          </w:p>
        </w:tc>
      </w:tr>
      <w:tr w14:paraId="29E0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2E6F443A">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38</w:t>
            </w:r>
          </w:p>
        </w:tc>
        <w:tc>
          <w:tcPr>
            <w:tcW w:w="333" w:type="pct"/>
            <w:gridSpan w:val="2"/>
            <w:vMerge w:val="continue"/>
            <w:vAlign w:val="center"/>
          </w:tcPr>
          <w:p w14:paraId="0843315F">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631A6F0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会议设备配套模块</w:t>
            </w:r>
          </w:p>
        </w:tc>
        <w:tc>
          <w:tcPr>
            <w:tcW w:w="3257" w:type="pct"/>
            <w:shd w:val="clear" w:color="auto" w:fill="auto"/>
            <w:vAlign w:val="center"/>
          </w:tcPr>
          <w:p w14:paraId="43FCDB0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1、CPU≥i5 12代，主频≥2.0GHz。</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2、核显不低于Intel®HDGraphics。</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3、硬件接口不低于USB3.0*4，HDMI输出*1，耳机输出*1，麦克风输入*1。</w:t>
            </w:r>
          </w:p>
        </w:tc>
        <w:tc>
          <w:tcPr>
            <w:tcW w:w="244" w:type="pct"/>
            <w:shd w:val="clear" w:color="auto" w:fill="auto"/>
            <w:vAlign w:val="center"/>
          </w:tcPr>
          <w:p w14:paraId="6E0276E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3660D5D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2800</w:t>
            </w:r>
          </w:p>
        </w:tc>
        <w:tc>
          <w:tcPr>
            <w:tcW w:w="305" w:type="pct"/>
            <w:shd w:val="clear" w:color="auto" w:fill="auto"/>
            <w:vAlign w:val="center"/>
          </w:tcPr>
          <w:p w14:paraId="2DF68F97">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16800</w:t>
            </w:r>
          </w:p>
        </w:tc>
      </w:tr>
      <w:tr w14:paraId="4BAD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54CCB1DF">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39</w:t>
            </w:r>
          </w:p>
        </w:tc>
        <w:tc>
          <w:tcPr>
            <w:tcW w:w="333" w:type="pct"/>
            <w:gridSpan w:val="2"/>
            <w:vMerge w:val="continue"/>
            <w:vAlign w:val="center"/>
          </w:tcPr>
          <w:p w14:paraId="76A08C86">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6211819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乡镇卫生院展示会议设备</w:t>
            </w:r>
          </w:p>
        </w:tc>
        <w:tc>
          <w:tcPr>
            <w:tcW w:w="3257" w:type="pct"/>
            <w:shd w:val="clear" w:color="auto" w:fill="auto"/>
            <w:vAlign w:val="center"/>
          </w:tcPr>
          <w:p w14:paraId="13AE085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硬件配置要求：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1、超薄窄边框设计，整机屏占比≥85%，整机屏幕采用≥75英寸UHD超高清液晶屏，显示比例16：9，屏幕分辨率≥3840*2160，色彩度≥10bit,可视角度≥178°，全高清4K系统</w:t>
            </w:r>
            <w:r>
              <w:rPr>
                <w:rFonts w:hint="eastAsia" w:ascii="宋体" w:hAnsi="宋体" w:cs="宋体"/>
                <w:color w:val="000000"/>
                <w:kern w:val="0"/>
                <w:sz w:val="18"/>
                <w:szCs w:val="18"/>
                <w:highlight w:val="none"/>
                <w:lang w:val="en-US" w:eastAsia="zh-CN"/>
              </w:rPr>
              <w:t>图像</w:t>
            </w:r>
            <w:r>
              <w:rPr>
                <w:rFonts w:hint="eastAsia" w:ascii="宋体" w:hAnsi="宋体" w:cs="宋体"/>
                <w:color w:val="000000"/>
                <w:kern w:val="0"/>
                <w:sz w:val="18"/>
                <w:szCs w:val="18"/>
                <w:highlight w:val="none"/>
              </w:rPr>
              <w:t>显示。含无线传屏器和移动支架。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2、整机采用高精度红外触控技术，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不少于20点触摸，多点书写，书写精度≤±2mm，且触摸屏具备防强光干扰功能，能在照度≥100KLUX环境下正常工作。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3、为兼容更多应用软件，要求整机内置不低于安卓10.0版本的操作系统，且CPU不低于4*A73+4*A53配置，内存≥4G，存储空间≥16G，同时支持选配会议系统模块，拓展Windows相关应用。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auto"/>
                <w:kern w:val="0"/>
                <w:sz w:val="18"/>
                <w:szCs w:val="18"/>
                <w:highlight w:val="none"/>
              </w:rPr>
              <w:t>4、整机内置≥4800W像素高清摄像头，摄像头支持设置分辨率，如3840*2160、1920*1080等，并且摄像头需具备声源定位功能。</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国家认可的</w:t>
            </w:r>
            <w:r>
              <w:rPr>
                <w:rFonts w:hint="eastAsia" w:ascii="宋体" w:hAnsi="宋体" w:cs="宋体"/>
                <w:color w:val="auto"/>
                <w:kern w:val="0"/>
                <w:sz w:val="18"/>
                <w:szCs w:val="18"/>
                <w:highlight w:val="none"/>
                <w:lang w:eastAsia="zh-CN"/>
              </w:rPr>
              <w:t>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5、整机内置≥8阵列麦克风，支持不低于8米有效拾音距离。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6、整机I/O接口要求：≥2路HDMIIN，≥2路USB3</w:t>
            </w:r>
            <w:r>
              <w:rPr>
                <w:rFonts w:hint="eastAsia" w:ascii="宋体" w:hAnsi="宋体" w:cs="宋体"/>
                <w:color w:val="000000"/>
                <w:kern w:val="0"/>
                <w:sz w:val="18"/>
                <w:szCs w:val="18"/>
                <w:highlight w:val="none"/>
                <w:lang w:val="en-US" w:eastAsia="zh-CN"/>
              </w:rPr>
              <w:t>.</w:t>
            </w:r>
            <w:r>
              <w:rPr>
                <w:rFonts w:hint="eastAsia" w:ascii="宋体" w:hAnsi="宋体" w:cs="宋体"/>
                <w:color w:val="000000"/>
                <w:kern w:val="0"/>
                <w:sz w:val="18"/>
                <w:szCs w:val="18"/>
                <w:highlight w:val="none"/>
              </w:rPr>
              <w:t>0，≥</w:t>
            </w:r>
            <w:r>
              <w:rPr>
                <w:rFonts w:hint="eastAsia" w:ascii="宋体" w:hAnsi="宋体" w:cs="宋体"/>
                <w:color w:val="000000"/>
                <w:kern w:val="0"/>
                <w:sz w:val="18"/>
                <w:szCs w:val="18"/>
                <w:highlight w:val="none"/>
                <w:lang w:val="en-US" w:eastAsia="zh-CN"/>
              </w:rPr>
              <w:t>1</w:t>
            </w:r>
            <w:r>
              <w:rPr>
                <w:rFonts w:hint="eastAsia" w:ascii="宋体" w:hAnsi="宋体" w:cs="宋体"/>
                <w:color w:val="000000"/>
                <w:kern w:val="0"/>
                <w:sz w:val="18"/>
                <w:szCs w:val="18"/>
                <w:highlight w:val="none"/>
              </w:rPr>
              <w:t>路TOUCH，≥1路AUDIOOUT，≥1路RS232，≥1路SPDIF，≥1路TFCARD，≥1路RJ45。</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7、采用2.1声道，扬声器功率为2*16W（中高音）+16W（低音）</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8、整机内置接收模块，除无线传屏器外不需要连接任何附加设备，可实现外部电脑音视频信号实时传输到触摸一体机上（无论整机处于任何通道），并可支持触摸回传。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软件功能要求：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电脑可通过软件或者连接无线传屏器硬件将画面共享至整机，且支持在整机端反过来操纵电脑，为避免传屏过程中，被其他人传屏顶替掉，造成使用中断，支持开启勿扰模式，此时将不允许其他人再进行传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2、手机扫描整机传屏二维码即可快速连接整机热点，无需单独在手机上输入WIFI账号密码，且手机投屏软件除了可以将手机画面共享至整机外，还支持操控大屏，满足小屏控大屏近端操控需求。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3、无线传屏软硬件均支持windows系统/MAC系统扩展屏显示，无线传屏视频数据加密，加密方式：AES，128位，保障数据传输安全。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4、整机支持在不关机情况下熄屏，达到节能效果，支持五指长按快速进入熄屏状态，并且在此状态下同样需通过五指长按才能唤醒屏幕。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5、手机和电脑支持混合投屏展示，最多支持四画面同屏展示，可对每个电脑投屏内容进行独立反向操作。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6、传屏之后，在屏幕上部中间部分显示工具栏，可以进行基本的操作（具体包括触摸回传控制，勿扰模式，暂停投屏等）。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7、智能白板支持智能识别手绘图形，书写无需重新点击选择画笔功能；可支持插入智能表格，表格大小可根据书写内容自动扩充，可通过画直线的方式添加行列。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8、白板内支持多人书写模式，打开后即可锁定白板并支持最少10人同时书写。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9、可以通过白板将本地的word.ppt等常用文件打开，并支持预览、翻页、全屏、批注、截屏等操作。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10、支持集控管理平台软件对接，实现集控相关功能，如：批量设备管理、远程操控、个性化设置、软件管理、报表管理、账号管理功能。</w:t>
            </w:r>
          </w:p>
        </w:tc>
        <w:tc>
          <w:tcPr>
            <w:tcW w:w="244" w:type="pct"/>
            <w:shd w:val="clear" w:color="auto" w:fill="auto"/>
            <w:vAlign w:val="center"/>
          </w:tcPr>
          <w:p w14:paraId="4531D5C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124B5FD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13800</w:t>
            </w:r>
          </w:p>
        </w:tc>
        <w:tc>
          <w:tcPr>
            <w:tcW w:w="305" w:type="pct"/>
            <w:shd w:val="clear" w:color="auto" w:fill="auto"/>
            <w:vAlign w:val="center"/>
          </w:tcPr>
          <w:p w14:paraId="6E8F77AF">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220800</w:t>
            </w:r>
          </w:p>
        </w:tc>
      </w:tr>
      <w:tr w14:paraId="2E4F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01CF270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40</w:t>
            </w:r>
          </w:p>
        </w:tc>
        <w:tc>
          <w:tcPr>
            <w:tcW w:w="333" w:type="pct"/>
            <w:gridSpan w:val="2"/>
            <w:vMerge w:val="continue"/>
            <w:vAlign w:val="center"/>
          </w:tcPr>
          <w:p w14:paraId="179B44A4">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361002F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会议设备配套模块</w:t>
            </w:r>
          </w:p>
        </w:tc>
        <w:tc>
          <w:tcPr>
            <w:tcW w:w="3257" w:type="pct"/>
            <w:shd w:val="clear" w:color="auto" w:fill="auto"/>
            <w:vAlign w:val="center"/>
          </w:tcPr>
          <w:p w14:paraId="0584221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1、CPU≥i5 12代，主频≥2.0GHz。</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2、核显不低于Intel®HDGraphics。</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3、硬件接口不低于USB3.0*4，HDMI输出*1，耳机输出*1，麦克风输入*1。</w:t>
            </w:r>
          </w:p>
        </w:tc>
        <w:tc>
          <w:tcPr>
            <w:tcW w:w="244" w:type="pct"/>
            <w:shd w:val="clear" w:color="auto" w:fill="auto"/>
            <w:vAlign w:val="center"/>
          </w:tcPr>
          <w:p w14:paraId="6CC0606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0472DCCA">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2800</w:t>
            </w:r>
          </w:p>
        </w:tc>
        <w:tc>
          <w:tcPr>
            <w:tcW w:w="305" w:type="pct"/>
            <w:shd w:val="clear" w:color="auto" w:fill="auto"/>
            <w:vAlign w:val="center"/>
          </w:tcPr>
          <w:p w14:paraId="29364C3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44800</w:t>
            </w:r>
          </w:p>
        </w:tc>
      </w:tr>
      <w:tr w14:paraId="7276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7EC63B8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41</w:t>
            </w:r>
          </w:p>
        </w:tc>
        <w:tc>
          <w:tcPr>
            <w:tcW w:w="333" w:type="pct"/>
            <w:gridSpan w:val="2"/>
            <w:vMerge w:val="continue"/>
            <w:vAlign w:val="center"/>
          </w:tcPr>
          <w:p w14:paraId="52F6873F">
            <w:pPr>
              <w:widowControl/>
              <w:shd w:val="clear"/>
              <w:jc w:val="center"/>
              <w:rPr>
                <w:rFonts w:ascii="宋体" w:hAnsi="宋体" w:cs="宋体"/>
                <w:color w:val="000000"/>
                <w:kern w:val="0"/>
                <w:sz w:val="18"/>
                <w:szCs w:val="18"/>
                <w:highlight w:val="none"/>
              </w:rPr>
            </w:pPr>
          </w:p>
        </w:tc>
        <w:tc>
          <w:tcPr>
            <w:tcW w:w="369" w:type="pct"/>
            <w:shd w:val="clear" w:color="auto" w:fill="auto"/>
            <w:vAlign w:val="center"/>
          </w:tcPr>
          <w:p w14:paraId="6426472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医疗远程及视频会议系统</w:t>
            </w:r>
          </w:p>
        </w:tc>
        <w:tc>
          <w:tcPr>
            <w:tcW w:w="3257" w:type="pct"/>
            <w:shd w:val="clear" w:color="auto" w:fill="auto"/>
            <w:vAlign w:val="center"/>
          </w:tcPr>
          <w:p w14:paraId="1D63E28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1、采用嵌入式系统，本次项目提供≥25方端口，支持不限时间会议服务。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2、单台设备支持≥200方1080P 30fps远程会诊、远程阅片、手术示教接入能力，支持同时开启多组并发</w:t>
            </w:r>
            <w:r>
              <w:rPr>
                <w:rFonts w:hint="eastAsia" w:ascii="宋体" w:hAnsi="宋体" w:cs="宋体"/>
                <w:color w:val="auto"/>
                <w:kern w:val="0"/>
                <w:sz w:val="18"/>
                <w:szCs w:val="18"/>
                <w:highlight w:val="none"/>
              </w:rPr>
              <w:t>至相应软件。</w:t>
            </w:r>
            <w:r>
              <w:rPr>
                <w:rFonts w:hint="eastAsia" w:ascii="宋体" w:hAnsi="宋体" w:cs="宋体"/>
                <w:color w:val="auto"/>
                <w:kern w:val="0"/>
                <w:sz w:val="18"/>
                <w:szCs w:val="18"/>
                <w:highlight w:val="none"/>
              </w:rPr>
              <w:br w:type="textWrapping"/>
            </w:r>
            <w:r>
              <w:rPr>
                <w:rFonts w:hint="eastAsia" w:ascii="宋体" w:hAnsi="宋体" w:cs="宋体"/>
                <w:color w:val="000000"/>
                <w:kern w:val="0"/>
                <w:sz w:val="18"/>
                <w:szCs w:val="18"/>
                <w:highlight w:val="none"/>
              </w:rPr>
              <w:t>3、支持H.265、H.264SVC、H.264BP、H.264HP、H.263等多种国际通用视频编解码。支持OPUS、G.711A、G.711U、G.722、G722、1、G722、1C、G.728、G.729、AAC-LC等音频编解码协议中的至少4种。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4、支持4K、1080p、720p、360p等多种视频格式的编解码，并向下兼容4CIF、CIF标清图像格式。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5、支持4Kfp30fps、1080P30fps、720P30fps、480P30fps、360P30fps辅流清晰度。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6、支持1+N和2+N布局，支持设置1+0、1+1、1+4、1+5、1+7、1+9、1+12、1+16、2+8、的分屏模式，支持N*N的分屏模式，满足多种医疗场景设置。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7、支持客户端、Web端、终端自行设置画面布局，可自由拖动视频画面至不同位置，并可设置是否同步至所有端。</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8、支持客户端、Web端、终端自定义接入的多路视频源为不同名称。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9、支持主持人对终端发起视频流非冻屏批注，可选择终端的多路视频流的其中一个画面。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10、支持主持人对终端发起远程模拟仿真控制，通过传输鼠标、键盘信号到被控设备，被控设备无需额外安装任何软件即可实现模拟仿真控制。支持根据被控方视频分辨率调整分辨率，保障控制设备控制体验。</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11、视频呼叫支持64Kbps~10Mbps带宽自适应，并可实时显示当前自适应呼叫带宽。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12、支持在终端对云台相机和术野相机进行控制，可转动摄像头方向和画面变焦。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13、支持语音控制平台功能，实现切换画面布局、开启录制、截图、开关闭麦克风</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开关闭摄像头、远程控制摄像头转动或变焦等功能。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14、支持客户端、Web端传输不少于2路视频。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15、本端可设置观看宫格视图或主讲人视图，可设置视图自动定时翻页：可设置只看开摄像头的参会人。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16、支持预约人上传文件(文件格式不限包括但不限于Word、表格、PPT、jpgmp4、DICOM影像文件等)，参会人可在视讯开始前查看文件内容。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17、在丢包率50%的情况下能保证视频稳定传输，不低于20帧视频质量。在网络丢包率80%时,语义依然可理解。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18、支持国密SM2、SM3SM4加密方式。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19、支持统信、麒麟操作系统，海光、兆芯、飞腾服务器、巨杉数据库、东方通中间件等国产化系统和芯片。</w:t>
            </w:r>
          </w:p>
        </w:tc>
        <w:tc>
          <w:tcPr>
            <w:tcW w:w="244" w:type="pct"/>
            <w:shd w:val="clear" w:color="auto" w:fill="auto"/>
            <w:vAlign w:val="center"/>
          </w:tcPr>
          <w:p w14:paraId="6634558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2" w:type="pct"/>
            <w:shd w:val="clear" w:color="auto" w:fill="auto"/>
            <w:vAlign w:val="center"/>
          </w:tcPr>
          <w:p w14:paraId="4D1FEF8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105000</w:t>
            </w:r>
          </w:p>
        </w:tc>
        <w:tc>
          <w:tcPr>
            <w:tcW w:w="305" w:type="pct"/>
            <w:shd w:val="clear" w:color="auto" w:fill="auto"/>
            <w:vAlign w:val="center"/>
          </w:tcPr>
          <w:p w14:paraId="78725C8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105000</w:t>
            </w:r>
          </w:p>
        </w:tc>
      </w:tr>
      <w:tr w14:paraId="31EE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7" w:type="pct"/>
            <w:shd w:val="clear" w:color="auto" w:fill="auto"/>
            <w:vAlign w:val="center"/>
          </w:tcPr>
          <w:p w14:paraId="725A9B9E">
            <w:pPr>
              <w:widowControl/>
              <w:shd w:val="clear"/>
              <w:jc w:val="center"/>
              <w:rPr>
                <w:rFonts w:hint="default" w:ascii="宋体" w:hAnsi="宋体" w:eastAsia="宋体" w:cs="宋体"/>
                <w:color w:val="000000"/>
                <w:kern w:val="0"/>
                <w:sz w:val="18"/>
                <w:szCs w:val="18"/>
                <w:highlight w:val="none"/>
                <w:lang w:val="en-US" w:eastAsia="zh-CN"/>
              </w:rPr>
            </w:pPr>
            <w:bookmarkStart w:id="5" w:name="_Toc10183"/>
            <w:r>
              <w:rPr>
                <w:rFonts w:hint="eastAsia" w:ascii="宋体" w:hAnsi="宋体" w:cs="宋体"/>
                <w:color w:val="000000"/>
                <w:kern w:val="0"/>
                <w:sz w:val="18"/>
                <w:szCs w:val="18"/>
                <w:highlight w:val="none"/>
                <w:lang w:val="en-US" w:eastAsia="zh-CN"/>
              </w:rPr>
              <w:t>42</w:t>
            </w:r>
          </w:p>
        </w:tc>
        <w:tc>
          <w:tcPr>
            <w:tcW w:w="4497" w:type="pct"/>
            <w:gridSpan w:val="6"/>
            <w:vAlign w:val="center"/>
          </w:tcPr>
          <w:p w14:paraId="76380409">
            <w:pPr>
              <w:widowControl/>
              <w:shd w:val="clear"/>
              <w:jc w:val="center"/>
              <w:rPr>
                <w:rFonts w:ascii="宋体" w:hAnsi="宋体" w:cs="宋体"/>
                <w:kern w:val="0"/>
                <w:sz w:val="18"/>
                <w:szCs w:val="18"/>
                <w:highlight w:val="none"/>
              </w:rPr>
            </w:pPr>
            <w:r>
              <w:rPr>
                <w:rFonts w:hint="eastAsia" w:ascii="宋体" w:hAnsi="宋体" w:cs="宋体"/>
                <w:kern w:val="0"/>
                <w:sz w:val="18"/>
                <w:szCs w:val="18"/>
                <w:highlight w:val="none"/>
              </w:rPr>
              <w:t>合计</w:t>
            </w:r>
          </w:p>
        </w:tc>
        <w:tc>
          <w:tcPr>
            <w:tcW w:w="305" w:type="pct"/>
            <w:shd w:val="clear" w:color="auto" w:fill="auto"/>
            <w:vAlign w:val="center"/>
          </w:tcPr>
          <w:p w14:paraId="4D337ABC">
            <w:pPr>
              <w:widowControl/>
              <w:shd w:val="clea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2671370</w:t>
            </w:r>
          </w:p>
        </w:tc>
      </w:tr>
    </w:tbl>
    <w:p w14:paraId="4809A282">
      <w:pPr>
        <w:shd w:val="clear"/>
        <w:rPr>
          <w:highlight w:val="none"/>
        </w:rPr>
      </w:pPr>
      <w:r>
        <w:rPr>
          <w:rFonts w:hint="eastAsia"/>
          <w:highlight w:val="none"/>
        </w:rPr>
        <w:br w:type="page"/>
      </w:r>
    </w:p>
    <w:bookmarkEnd w:id="5"/>
    <w:p w14:paraId="17E7384F">
      <w:pPr>
        <w:shd w:val="clear"/>
        <w:spacing w:line="360" w:lineRule="auto"/>
        <w:ind w:firstLine="480" w:firstLineChars="200"/>
        <w:rPr>
          <w:rFonts w:ascii="宋体" w:hAnsi="宋体"/>
          <w:sz w:val="24"/>
          <w:highlight w:val="none"/>
        </w:rPr>
        <w:sectPr>
          <w:footerReference r:id="rId3" w:type="default"/>
          <w:pgSz w:w="16839" w:h="11907" w:orient="landscape"/>
          <w:pgMar w:top="1077" w:right="1440" w:bottom="1077" w:left="1440" w:header="851" w:footer="992" w:gutter="0"/>
          <w:pgNumType w:fmt="numberInDash"/>
          <w:cols w:space="720" w:num="1"/>
          <w:docGrid w:type="lines" w:linePitch="312" w:charSpace="0"/>
        </w:sectPr>
      </w:pPr>
    </w:p>
    <w:p w14:paraId="529C1779">
      <w:pPr>
        <w:pStyle w:val="5"/>
        <w:numPr>
          <w:ilvl w:val="2"/>
          <w:numId w:val="0"/>
        </w:numPr>
        <w:shd w:val="clear"/>
        <w:rPr>
          <w:highlight w:val="none"/>
        </w:rPr>
      </w:pPr>
      <w:bookmarkStart w:id="6" w:name="_Toc7602"/>
      <w:r>
        <w:rPr>
          <w:rFonts w:hint="eastAsia"/>
          <w:highlight w:val="none"/>
          <w:lang w:val="en-US" w:eastAsia="zh-CN"/>
        </w:rPr>
        <w:t>3</w:t>
      </w:r>
      <w:r>
        <w:rPr>
          <w:rFonts w:hint="eastAsia"/>
          <w:highlight w:val="none"/>
        </w:rPr>
        <w:t>、喀喇沁旗医院软件服务</w:t>
      </w:r>
      <w:bookmarkEnd w:id="6"/>
    </w:p>
    <w:tbl>
      <w:tblPr>
        <w:tblStyle w:val="48"/>
        <w:tblW w:w="4924" w:type="pct"/>
        <w:tblInd w:w="98" w:type="dxa"/>
        <w:tblLayout w:type="autofit"/>
        <w:tblCellMar>
          <w:top w:w="0" w:type="dxa"/>
          <w:left w:w="108" w:type="dxa"/>
          <w:bottom w:w="0" w:type="dxa"/>
          <w:right w:w="108" w:type="dxa"/>
        </w:tblCellMar>
      </w:tblPr>
      <w:tblGrid>
        <w:gridCol w:w="496"/>
        <w:gridCol w:w="609"/>
        <w:gridCol w:w="609"/>
        <w:gridCol w:w="812"/>
        <w:gridCol w:w="9066"/>
        <w:gridCol w:w="712"/>
        <w:gridCol w:w="782"/>
        <w:gridCol w:w="874"/>
      </w:tblGrid>
      <w:tr w14:paraId="5E2572BA">
        <w:tblPrEx>
          <w:tblCellMar>
            <w:top w:w="0" w:type="dxa"/>
            <w:left w:w="108" w:type="dxa"/>
            <w:bottom w:w="0" w:type="dxa"/>
            <w:right w:w="108" w:type="dxa"/>
          </w:tblCellMar>
        </w:tblPrEx>
        <w:trPr>
          <w:trHeight w:val="57" w:hRule="atLeast"/>
          <w:tblHeader/>
        </w:trPr>
        <w:tc>
          <w:tcPr>
            <w:tcW w:w="178" w:type="pct"/>
            <w:tcBorders>
              <w:top w:val="single" w:color="auto" w:sz="4" w:space="0"/>
              <w:left w:val="single" w:color="auto" w:sz="4" w:space="0"/>
              <w:bottom w:val="single" w:color="auto" w:sz="4" w:space="0"/>
              <w:right w:val="single" w:color="auto" w:sz="4" w:space="0"/>
            </w:tcBorders>
            <w:shd w:val="clear" w:color="auto" w:fill="auto"/>
            <w:vAlign w:val="center"/>
          </w:tcPr>
          <w:p w14:paraId="5096BF1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218" w:type="pct"/>
            <w:tcBorders>
              <w:top w:val="single" w:color="auto" w:sz="4" w:space="0"/>
              <w:left w:val="nil"/>
              <w:bottom w:val="single" w:color="auto" w:sz="4" w:space="0"/>
              <w:right w:val="single" w:color="auto" w:sz="4" w:space="0"/>
            </w:tcBorders>
            <w:shd w:val="clear" w:color="auto" w:fill="auto"/>
            <w:vAlign w:val="center"/>
          </w:tcPr>
          <w:p w14:paraId="42158AE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w:t>
            </w:r>
          </w:p>
          <w:p w14:paraId="0A31ECA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分类</w:t>
            </w:r>
          </w:p>
        </w:tc>
        <w:tc>
          <w:tcPr>
            <w:tcW w:w="218" w:type="pct"/>
            <w:tcBorders>
              <w:top w:val="single" w:color="auto" w:sz="4" w:space="0"/>
              <w:left w:val="nil"/>
              <w:bottom w:val="single" w:color="auto" w:sz="4" w:space="0"/>
              <w:right w:val="single" w:color="auto" w:sz="4" w:space="0"/>
            </w:tcBorders>
            <w:shd w:val="clear" w:color="auto" w:fill="auto"/>
            <w:vAlign w:val="center"/>
          </w:tcPr>
          <w:p w14:paraId="50455D0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系统名称</w:t>
            </w:r>
          </w:p>
        </w:tc>
        <w:tc>
          <w:tcPr>
            <w:tcW w:w="290" w:type="pct"/>
            <w:tcBorders>
              <w:top w:val="single" w:color="auto" w:sz="4" w:space="0"/>
              <w:left w:val="nil"/>
              <w:bottom w:val="single" w:color="auto" w:sz="4" w:space="0"/>
              <w:right w:val="single" w:color="auto" w:sz="4" w:space="0"/>
            </w:tcBorders>
            <w:shd w:val="clear" w:color="auto" w:fill="auto"/>
            <w:vAlign w:val="center"/>
          </w:tcPr>
          <w:p w14:paraId="2910C3E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子系统</w:t>
            </w:r>
          </w:p>
        </w:tc>
        <w:tc>
          <w:tcPr>
            <w:tcW w:w="3247" w:type="pct"/>
            <w:tcBorders>
              <w:top w:val="single" w:color="auto" w:sz="4" w:space="0"/>
              <w:left w:val="nil"/>
              <w:bottom w:val="single" w:color="auto" w:sz="4" w:space="0"/>
              <w:right w:val="single" w:color="auto" w:sz="4" w:space="0"/>
            </w:tcBorders>
            <w:shd w:val="clear" w:color="auto" w:fill="auto"/>
            <w:vAlign w:val="center"/>
          </w:tcPr>
          <w:p w14:paraId="313D871E">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技术要求（参数具体要求）</w:t>
            </w:r>
          </w:p>
        </w:tc>
        <w:tc>
          <w:tcPr>
            <w:tcW w:w="255" w:type="pct"/>
            <w:tcBorders>
              <w:top w:val="single" w:color="auto" w:sz="4" w:space="0"/>
              <w:left w:val="nil"/>
              <w:bottom w:val="single" w:color="auto" w:sz="4" w:space="0"/>
              <w:right w:val="single" w:color="auto" w:sz="4" w:space="0"/>
            </w:tcBorders>
            <w:shd w:val="clear" w:color="auto" w:fill="auto"/>
            <w:vAlign w:val="center"/>
          </w:tcPr>
          <w:p w14:paraId="2A07911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276" w:type="pct"/>
            <w:tcBorders>
              <w:top w:val="single" w:color="auto" w:sz="4" w:space="0"/>
              <w:left w:val="nil"/>
              <w:bottom w:val="single" w:color="auto" w:sz="4" w:space="0"/>
              <w:right w:val="single" w:color="auto" w:sz="4" w:space="0"/>
            </w:tcBorders>
            <w:shd w:val="clear" w:color="auto" w:fill="auto"/>
            <w:vAlign w:val="center"/>
          </w:tcPr>
          <w:p w14:paraId="490F97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单价（元）</w:t>
            </w:r>
          </w:p>
        </w:tc>
        <w:tc>
          <w:tcPr>
            <w:tcW w:w="313" w:type="pct"/>
            <w:tcBorders>
              <w:top w:val="single" w:color="auto" w:sz="4" w:space="0"/>
              <w:left w:val="nil"/>
              <w:bottom w:val="single" w:color="auto" w:sz="4" w:space="0"/>
              <w:right w:val="single" w:color="auto" w:sz="4" w:space="0"/>
            </w:tcBorders>
            <w:shd w:val="clear" w:color="auto" w:fill="auto"/>
            <w:vAlign w:val="center"/>
          </w:tcPr>
          <w:p w14:paraId="21EAD53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7F49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26E6FB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218" w:type="pct"/>
            <w:vMerge w:val="restart"/>
            <w:shd w:val="clear" w:color="auto" w:fill="auto"/>
            <w:vAlign w:val="center"/>
          </w:tcPr>
          <w:p w14:paraId="1B784D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系统基础管理</w:t>
            </w:r>
          </w:p>
        </w:tc>
        <w:tc>
          <w:tcPr>
            <w:tcW w:w="509" w:type="pct"/>
            <w:gridSpan w:val="2"/>
            <w:shd w:val="clear" w:color="auto" w:fill="auto"/>
            <w:vAlign w:val="center"/>
          </w:tcPr>
          <w:p w14:paraId="20481B0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基础数据管理平台</w:t>
            </w:r>
          </w:p>
        </w:tc>
        <w:tc>
          <w:tcPr>
            <w:tcW w:w="3247" w:type="pct"/>
            <w:shd w:val="clear" w:color="auto" w:fill="auto"/>
            <w:vAlign w:val="center"/>
          </w:tcPr>
          <w:p w14:paraId="65CB538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1、基础数据管理：能够将所有维护基础数据的页面整合到一起，然后进行优化，减少操作量，将常用数据维护功能整合到一起，并增加数据实时校验和快捷键操作等功能。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2、配置管理：能够完成医院信息系统下的多种模块的配置，要求能够实现一站式配置管理与服务。（提供功能截图证明材料）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权限管理系统：能够解决医院信息化建设中需要将基础数据维护权限分配给各职能科室、临床科室的问题。权限管理系统整体要求包含三维立体权限管理（3DAuthorization）和医院级授权（数据隔离），具体要求包含菜单授权、功能元素授权、基础数据授权等</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日志管理系统：基础数据维护下的页面可实现日志接口的调用，要求对数据的新增、修改、删除操作都存有日志，能够记录操作用户、IP地址、时间以及操作前后数据的变化等信息。要求可以查看数据的变更记录，以便错误操作数据时可以及时恢复数据和查找责任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5、临床知识库管理：临床知识库管理模块能够给临床工作者、患者或个体提供知识或统计信息，并可以自动选择适当的时机，智能地过滤或表示这些信息。</w:t>
            </w:r>
          </w:p>
        </w:tc>
        <w:tc>
          <w:tcPr>
            <w:tcW w:w="255" w:type="pct"/>
            <w:shd w:val="clear" w:color="auto" w:fill="auto"/>
            <w:vAlign w:val="center"/>
          </w:tcPr>
          <w:p w14:paraId="68328CFA">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D7583E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40000</w:t>
            </w:r>
          </w:p>
        </w:tc>
        <w:tc>
          <w:tcPr>
            <w:tcW w:w="313" w:type="pct"/>
            <w:shd w:val="clear" w:color="auto" w:fill="auto"/>
            <w:vAlign w:val="center"/>
          </w:tcPr>
          <w:p w14:paraId="4213630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7844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1DB449F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218" w:type="pct"/>
            <w:vMerge w:val="continue"/>
            <w:vAlign w:val="center"/>
          </w:tcPr>
          <w:p w14:paraId="41685A3B">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72550E4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基础平台</w:t>
            </w:r>
          </w:p>
        </w:tc>
        <w:tc>
          <w:tcPr>
            <w:tcW w:w="3247" w:type="pct"/>
            <w:shd w:val="clear" w:color="auto" w:fill="auto"/>
            <w:vAlign w:val="center"/>
          </w:tcPr>
          <w:p w14:paraId="2BE93C2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1、用户管理：实现通过授权方式对所能使用的系统功能进行限制，达到系统安全控制的目的；</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数字证书进行管理、指纹信息进行管理。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2、代码表：支持定义和维护</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系统业务数据基础代码及系统参数。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3、工作流管理器：允许用户按照自己的工作情况、性质以及触发条件建立自己的工作序列，从而完成一次临床服务。（提供功能截图证明材料）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4、界面编辑器：支持按用户、用户组、医院灵活定义界面内容和风格，</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每个用户可以定义自己的页面。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5、列编辑器：对于列表格式的组件，要求列编辑器可以定义列表要显示对象的字段，排列顺序、数据排序方式等属性。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6、组件/菜单管理器：实现将一个工作流、组件、工作列表等定义为一个菜单项。能够支持多个菜单项定义为一个菜单容器。可以将菜单容器赋予某一角色，组成一个专业科室工作站。</w:t>
            </w:r>
          </w:p>
        </w:tc>
        <w:tc>
          <w:tcPr>
            <w:tcW w:w="255" w:type="pct"/>
            <w:shd w:val="clear" w:color="auto" w:fill="auto"/>
            <w:vAlign w:val="center"/>
          </w:tcPr>
          <w:p w14:paraId="3B65466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0B7BC2C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c>
          <w:tcPr>
            <w:tcW w:w="313" w:type="pct"/>
            <w:shd w:val="clear" w:color="auto" w:fill="auto"/>
            <w:vAlign w:val="center"/>
          </w:tcPr>
          <w:p w14:paraId="56D44D9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323C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7F06F9B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218" w:type="pct"/>
            <w:vMerge w:val="continue"/>
            <w:vAlign w:val="center"/>
          </w:tcPr>
          <w:p w14:paraId="340F08E5">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446E91E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患者基本信息管理系统</w:t>
            </w:r>
          </w:p>
        </w:tc>
        <w:tc>
          <w:tcPr>
            <w:tcW w:w="3247" w:type="pct"/>
            <w:shd w:val="clear" w:color="auto" w:fill="auto"/>
            <w:vAlign w:val="center"/>
          </w:tcPr>
          <w:p w14:paraId="760A42B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建卡：窗口建卡模块可以通过读取患者医保卡、身份证等有效证件信息快速准确的完成患者基本信息的采集、发卡操作。采集的基本信息要求包含：患者姓名、性别、年龄、出生日期、联系电话、家庭住址、身份证、患者类型、患者照片信息等。要求支付方式有现金，微信，支付宝，银行卡等。系统能够支持除窗口建卡以外的自助机</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app</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微信等多种建卡渠道，能协助患者在线自助完成开卡建档等工作。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基本信息采集：支持通过居民健康卡、身份证、军官证、驾驶证、护照等身份证件识别和人工录入患者个人信息，包括姓名、性别、民族、籍贯、出生地、出生日期、婚姻、户籍地址、现住址、工作单位、职业、联系电话（本人）、联系电话（家属）等方式进行基本信息采集，并且</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通过社保卡号、商业保险号等保险类别识别患者的医保信息。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2、数据质量控制：可通过校验和跟踪实现对数据质量问题的管理，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从数据格式、数据值域、数据间的逻辑关系等角度做质量审核，可按照空值校验、重复校验、格式校验、一致性校验和逻辑校验等审核规则对患者基本信息数据进行质量控制。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患者主索引注册：支持根据录入的患者基本信息，注册生成患者在院的唯一主索引，作为患者在本院就诊的唯一标识，并支持与院内各系统之间进行关联，并且可以关联患者历次就诊的诊疗信息。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患者信息修改：信息修改模块支持在患者基本信息发生变化时，同步变更院内电子档案信息。支持针对系统中患者基本信息发生的变更做详细的日志记录，自动记录相应的操作内容、操作人员和操作日期，用于对操作的追溯和审计。实现患者基本信息的变更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4、卡信息合并：患者电子档案信息因特殊原因导致同一患者在院内有多个档案记录时，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将患者基本信息做信息合并处理，保留患者需要的档案信息，做到患者在医院内存在唯一档案信息。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5、患者信息查询：支持对患者基本信息进行多条件组合查询，以及对患者基本信息进行多维度统计，并且提供对查询和统计结果的导出功能。该系统模块可以支持自助机</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app</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微信等多渠道，能协助患者在线完成自己院内卡信息的查询。</w:t>
            </w:r>
          </w:p>
        </w:tc>
        <w:tc>
          <w:tcPr>
            <w:tcW w:w="255" w:type="pct"/>
            <w:shd w:val="clear" w:color="auto" w:fill="auto"/>
            <w:vAlign w:val="center"/>
          </w:tcPr>
          <w:p w14:paraId="750CF14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2432AFE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c>
          <w:tcPr>
            <w:tcW w:w="313" w:type="pct"/>
            <w:shd w:val="clear" w:color="auto" w:fill="auto"/>
            <w:vAlign w:val="center"/>
          </w:tcPr>
          <w:p w14:paraId="74C4C57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6B62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56A07DD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218" w:type="pct"/>
            <w:vMerge w:val="restart"/>
            <w:shd w:val="clear" w:color="auto" w:fill="auto"/>
            <w:vAlign w:val="center"/>
          </w:tcPr>
          <w:p w14:paraId="5174510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w:t>
            </w:r>
          </w:p>
        </w:tc>
        <w:tc>
          <w:tcPr>
            <w:tcW w:w="509" w:type="pct"/>
            <w:gridSpan w:val="2"/>
            <w:shd w:val="clear" w:color="auto" w:fill="auto"/>
            <w:vAlign w:val="center"/>
          </w:tcPr>
          <w:p w14:paraId="234F9D7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门诊预约挂号系统</w:t>
            </w:r>
          </w:p>
        </w:tc>
        <w:tc>
          <w:tcPr>
            <w:tcW w:w="3247" w:type="pct"/>
            <w:shd w:val="clear" w:color="auto" w:fill="auto"/>
            <w:vAlign w:val="center"/>
          </w:tcPr>
          <w:p w14:paraId="546E3588">
            <w:pPr>
              <w:widowControl/>
              <w:numPr>
                <w:ilvl w:val="0"/>
                <w:numId w:val="10"/>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诊挂号/取号：支持操作员通过医保卡或就诊卡等检索患者基本信息，支持根据患者病情或患者要求为患者选择对应的就诊科室和就诊资源，进行挂号收费操作或选择已经有的预约/加号信息进行取号缴费操作。缴费时可支持但不限于使用现金、院内账户、银行卡等多种支付方式进行支付操作，同时也根据当地医保规定可进行医保</w:t>
            </w:r>
            <w:r>
              <w:rPr>
                <w:rFonts w:hint="eastAsia" w:ascii="宋体" w:hAnsi="宋体" w:cs="宋体"/>
                <w:color w:val="000000"/>
                <w:kern w:val="0"/>
                <w:sz w:val="18"/>
                <w:szCs w:val="18"/>
                <w:highlight w:val="none"/>
                <w:lang w:val="en-US" w:eastAsia="zh-CN"/>
              </w:rPr>
              <w:t>直接</w:t>
            </w:r>
            <w:r>
              <w:rPr>
                <w:rFonts w:hint="eastAsia" w:ascii="宋体" w:hAnsi="宋体" w:cs="宋体"/>
                <w:color w:val="000000"/>
                <w:kern w:val="0"/>
                <w:sz w:val="18"/>
                <w:szCs w:val="18"/>
                <w:highlight w:val="none"/>
              </w:rPr>
              <w:t>上传就诊信息和进行报销操作。挂号结束后根据需要可以为患者进行挂号凭证和收费凭证的打印，患者可凭此进行有效就医。要求系统模块可以支持自助机</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app</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微信等多渠道接口实现线上直接挂号/取号、支付的流程，挂号成功后向患者推送相应的就诊信息。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2、窗口预约：支持操作员根据患者病情或患者要求选择对应的就诊科室、就诊日期、可用出诊资源为患者进行就诊预约并打印预约凭证。该系统模块可以支持自助机</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app</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微信等多渠道实现线上直接进行预约，按自身需要选择需要就诊的时段进行预约。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退号：支持患者在挂号支付后，由于特殊原因不能就诊，在符合医院退号政策的前提下为患者进行退号退费的操作。支持在退号的过程中可以选择对应的退号操作原因，可以进行后期质控数据查询。该系统模块可以支持自助机，app，微信等多渠道接口，实现在满足医院退号政策控制的前提下，进行自助退号退费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4、预约管理：可以通过多条件索引进行执行预约信息的查询，支持对查询出来的有效的预约数据，在满足医院政策的前提下进行取消预约的操作。该系统模块要求可以支持自助机</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app</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微信等多渠道接口，实现在满足医院取消预约政策控制的前提下，支持进行自助查询预约记录并取消预约操作。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5、预约信息一览表：支持操作员可在预约信息一览表中通过多条件联</w:t>
            </w:r>
            <w:r>
              <w:rPr>
                <w:rFonts w:hint="eastAsia" w:ascii="宋体" w:hAnsi="宋体" w:cs="宋体"/>
                <w:color w:val="000000"/>
                <w:kern w:val="0"/>
                <w:sz w:val="18"/>
                <w:szCs w:val="18"/>
                <w:highlight w:val="none"/>
                <w:lang w:val="en-US" w:eastAsia="zh-CN"/>
              </w:rPr>
              <w:t>合</w:t>
            </w:r>
            <w:r>
              <w:rPr>
                <w:rFonts w:hint="eastAsia" w:ascii="宋体" w:hAnsi="宋体" w:cs="宋体"/>
                <w:color w:val="000000"/>
                <w:kern w:val="0"/>
                <w:sz w:val="18"/>
                <w:szCs w:val="18"/>
                <w:highlight w:val="none"/>
              </w:rPr>
              <w:t>查询，实现对系统的预约数据进行按就诊科室汇总查询或对全部明细进行汇总查询。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6、挂号查询：支持通过多条件联合查询，可以查询对应的就诊登记时所产生的详细挂号信息记录。包括但不限于以下信息：就诊人姓名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就诊人登记号</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就诊科室</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就诊号别</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收费金额</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支付详情</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发票号</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挂号人</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挂号日期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挂号时间。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7、医生坐诊信息调整：支持通过该功能可以对已经生成的出诊医生资源进行调整，包括正号限额，加号限额，分时段信息，各预约途径可预约数量等。支持对已生成的资源进行停诊操作或对</w:t>
            </w:r>
            <w:r>
              <w:rPr>
                <w:rFonts w:hint="eastAsia" w:ascii="宋体" w:hAnsi="宋体" w:cs="宋体"/>
                <w:color w:val="000000"/>
                <w:kern w:val="0"/>
                <w:sz w:val="18"/>
                <w:szCs w:val="18"/>
                <w:highlight w:val="none"/>
                <w:lang w:val="en-US" w:eastAsia="zh-CN"/>
              </w:rPr>
              <w:t>未</w:t>
            </w:r>
            <w:r>
              <w:rPr>
                <w:rFonts w:hint="eastAsia" w:ascii="宋体" w:hAnsi="宋体" w:cs="宋体"/>
                <w:color w:val="000000"/>
                <w:kern w:val="0"/>
                <w:sz w:val="18"/>
                <w:szCs w:val="18"/>
                <w:highlight w:val="none"/>
              </w:rPr>
              <w:t>生成的资源进行临时加诊操作，医生坐诊信息的调整。对于已经生成的出诊信息调整会提供完整的调整信息日志功能，用于对操作的追溯和审计实现出诊信息的变更管理。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8、排班模板维护：支持对需要出诊科室资源进行出诊班次和出诊资源模板维护。模板数据要求包括：科室</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星期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时段</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级别</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正号限额</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加号限额</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预约限额</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分时段信息等。模板信息可以用来批量生成出诊记录。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9、生成排班记录：支持通过维护的排班模板生成一段时间的出诊资源。可以根据需要选择部分科室和部分号别来进行生成也可已选择全部进行生成。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10、出诊查询：可以通过多条件联合查询对应科室的出诊排班报表，并提供导出功能。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11、停替诊查询：可以通过多条件联合查询可以查询对应的日期范围内的停替诊出诊记录，支持对资源的变更可以进行审计操作，更直观的进行管理查询。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12、号源信息汇总：支持对出诊信息的使用情况进行汇总查询，支持通过查询可以随时进行号源资源投放的优化调整。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黑名单维护：支持根据医院实际情况，制定相关信用规则，针对诊疗活动中，恶意占用医院诊疗资源的行为进行系统甄别，形成黑名单，对违反预约挂号规则或频繁爽约的患者给予必要限制；支持对恶意占用号源的患者进行信用跟踪，同时对信用不良的患者采取停用或限制预约次数和范围等增加管理措施。</w:t>
            </w:r>
          </w:p>
          <w:p w14:paraId="14775E7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w:t>
            </w:r>
            <w:r>
              <w:rPr>
                <w:rFonts w:ascii="宋体" w:hAnsi="宋体" w:cs="宋体"/>
                <w:color w:val="000000"/>
                <w:kern w:val="0"/>
                <w:sz w:val="18"/>
                <w:szCs w:val="18"/>
                <w:highlight w:val="none"/>
              </w:rPr>
              <w:t>14、挂号权限配置：支持按用户组配置可以挂号的科室或号源，没有权限的收费员在挂号时根据规则进行限制或不显示，自助机等终端针对没有权限的科室、号源在数据交互时进行限制。</w:t>
            </w:r>
            <w:r>
              <w:rPr>
                <w:rFonts w:hint="eastAsia" w:ascii="宋体" w:hAnsi="宋体" w:cs="宋体"/>
                <w:color w:val="000000"/>
                <w:kern w:val="0"/>
                <w:sz w:val="18"/>
                <w:szCs w:val="18"/>
                <w:highlight w:val="none"/>
              </w:rPr>
              <w:t>（提供功能截图证明材料）</w:t>
            </w:r>
          </w:p>
        </w:tc>
        <w:tc>
          <w:tcPr>
            <w:tcW w:w="255" w:type="pct"/>
            <w:shd w:val="clear" w:color="auto" w:fill="auto"/>
            <w:vAlign w:val="center"/>
          </w:tcPr>
          <w:p w14:paraId="7405147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63B2178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24F23EA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486A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BA0331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218" w:type="pct"/>
            <w:vMerge w:val="continue"/>
            <w:vAlign w:val="center"/>
          </w:tcPr>
          <w:p w14:paraId="5BFBCA51">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732511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门（急）诊收费系统</w:t>
            </w:r>
          </w:p>
        </w:tc>
        <w:tc>
          <w:tcPr>
            <w:tcW w:w="3247" w:type="pct"/>
            <w:shd w:val="clear" w:color="auto" w:fill="auto"/>
            <w:vAlign w:val="center"/>
          </w:tcPr>
          <w:p w14:paraId="352CEC1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1、门诊预交金充值：支持一站式服务，支持就诊卡充值预交金，在患者就诊、取药、医技科室做诊疗时支持刷卡</w:t>
            </w:r>
            <w:r>
              <w:rPr>
                <w:rFonts w:hint="eastAsia" w:ascii="宋体" w:hAnsi="宋体" w:cs="宋体"/>
                <w:color w:val="000000"/>
                <w:kern w:val="0"/>
                <w:sz w:val="18"/>
                <w:szCs w:val="18"/>
                <w:highlight w:val="none"/>
                <w:lang w:val="en-US" w:eastAsia="zh-CN"/>
              </w:rPr>
              <w:t>缴费</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2、门诊预交金退款：患者在就诊结束后，</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可以将储存在就诊卡中的钱退回。</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3、门诊账户结算：患者在就诊结束后，</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可以做账户结算、退卡。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4、补录费用：支持收费员给患者补录费用，如做检验、检查需要的导管，材料等。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门诊费用结算：支持根据不同患者类别，自动确定收费比例，计算患者自付金额与记账金额，并可将结算完毕的药品处方同步传送给对应药房的摆药机。支持患者通过线上线下等多种支付方式完成结算。支持根据不同患者类别打印不同格式的发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6、锁定就诊：同一个病人的门诊收费结算界面和医生医嘱录入界面不能同时操作，病人缴费过程中不允许医生开医嘱。</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7、跳号：支持提供发票因为某些原因（例如卡纸、破损）导致该发票不能继续使用时，进行发票的作废功能。支持在</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系统中将此发票号作废，同时要求</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系统中的号码跟实际发票号一致。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8、门诊收费异常处理：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对收费或退费过程中产生异常而未能完成收费或退费的业务进行撤销、完成的操作。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9、发票集中打印：</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对患者在科室</w:t>
            </w:r>
            <w:r>
              <w:rPr>
                <w:rFonts w:hint="eastAsia" w:ascii="宋体" w:hAnsi="宋体" w:cs="宋体"/>
                <w:color w:val="000000"/>
                <w:kern w:val="0"/>
                <w:sz w:val="18"/>
                <w:szCs w:val="18"/>
                <w:highlight w:val="none"/>
                <w:lang w:val="en-US" w:eastAsia="zh-CN"/>
              </w:rPr>
              <w:t>刷</w:t>
            </w:r>
            <w:r>
              <w:rPr>
                <w:rFonts w:hint="eastAsia" w:ascii="宋体" w:hAnsi="宋体" w:cs="宋体"/>
                <w:color w:val="000000"/>
                <w:kern w:val="0"/>
                <w:sz w:val="18"/>
                <w:szCs w:val="18"/>
                <w:highlight w:val="none"/>
              </w:rPr>
              <w:t>卡</w:t>
            </w:r>
            <w:r>
              <w:rPr>
                <w:rFonts w:hint="eastAsia" w:ascii="宋体" w:hAnsi="宋体" w:cs="宋体"/>
                <w:color w:val="000000"/>
                <w:kern w:val="0"/>
                <w:sz w:val="18"/>
                <w:szCs w:val="18"/>
                <w:highlight w:val="none"/>
                <w:lang w:val="en-US" w:eastAsia="zh-CN"/>
              </w:rPr>
              <w:t>缴</w:t>
            </w:r>
            <w:r>
              <w:rPr>
                <w:rFonts w:hint="eastAsia" w:ascii="宋体" w:hAnsi="宋体" w:cs="宋体"/>
                <w:color w:val="000000"/>
                <w:kern w:val="0"/>
                <w:sz w:val="18"/>
                <w:szCs w:val="18"/>
                <w:highlight w:val="none"/>
              </w:rPr>
              <w:t>费、自助机、APP</w:t>
            </w:r>
            <w:r>
              <w:rPr>
                <w:rFonts w:hint="eastAsia" w:ascii="宋体" w:hAnsi="宋体" w:cs="宋体"/>
                <w:color w:val="000000"/>
                <w:kern w:val="0"/>
                <w:sz w:val="18"/>
                <w:szCs w:val="18"/>
                <w:highlight w:val="none"/>
                <w:lang w:val="en-US" w:eastAsia="zh-CN"/>
              </w:rPr>
              <w:t>上</w:t>
            </w:r>
            <w:r>
              <w:rPr>
                <w:rFonts w:hint="eastAsia" w:ascii="宋体" w:hAnsi="宋体" w:cs="宋体"/>
                <w:color w:val="000000"/>
                <w:kern w:val="0"/>
                <w:sz w:val="18"/>
                <w:szCs w:val="18"/>
                <w:highlight w:val="none"/>
              </w:rPr>
              <w:t>缴费，或医保患者结算时先自费垫付但没有打印发票的费用进行医保报销且打印发票。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10、退费申请：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可由原开单科室医生或超级管理员对患者已经缴过费且未执行、未发药的医嘱做退费申请，以便后面进行退费。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11、退费审核：支持由负责审核的专员进行审核或者撤销，审核通过则可以后续退费。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12、门诊退费：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退费可以由收费处直接退费，也支持经过医生停医嘱以及财务人员的审批后再退费。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按票据号、登记号、就诊卡号等方式查询患者缴费信息。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非收费员补录的医嘱退费需院内相关部门确认后方可执行退费，而收费员补录的医嘱可直接退费。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线上线下等多种退款途径。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13、医保业务处理：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与本区域医保中心提供的相关接口对接，要求包括登记信息上传、费用上传、费用预结算、费用结算、结算取消、医保数据对照、医保对账等。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14、门诊收据查询：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按患者、收费员、日期、结算费别等条件查询收费、退费、打印发票的明细，方便核对。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15、打印患者费用清单：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在门诊收据查询界面，提供打印患者费用清单功能。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16、收费员日结：</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收费员在交账时做结账。</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报表和建卡、挂号、退号、门诊预交金充值退款、门诊收费退费等业务明细。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17、收费员日结汇总：</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收费组长或财务对收费员</w:t>
            </w:r>
            <w:r>
              <w:rPr>
                <w:rFonts w:hint="eastAsia" w:ascii="宋体" w:hAnsi="宋体" w:cs="宋体"/>
                <w:color w:val="000000"/>
                <w:kern w:val="0"/>
                <w:sz w:val="18"/>
                <w:szCs w:val="18"/>
                <w:highlight w:val="none"/>
                <w:lang w:val="en-US" w:eastAsia="zh-CN"/>
              </w:rPr>
              <w:t>上</w:t>
            </w:r>
            <w:r>
              <w:rPr>
                <w:rFonts w:hint="eastAsia" w:ascii="宋体" w:hAnsi="宋体" w:cs="宋体"/>
                <w:color w:val="000000"/>
                <w:kern w:val="0"/>
                <w:sz w:val="18"/>
                <w:szCs w:val="18"/>
                <w:highlight w:val="none"/>
              </w:rPr>
              <w:t>交的账务进行核对并上交报表存档。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18、门诊发票管理：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发票购入、发放、转交功能。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财务科对购入的发票进行管理，将购入的发票发放给办理收费员；</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未使用的发票可以转交给其他收费员。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19、急诊收费：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收费员在急诊收费结算界面可以对患者医疗项目进行结算，并且可补录相关加收费用项目。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20、急诊担保：</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对三无患者、绿色通道患者进行先诊疗后付费，对患者进行费用担保。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21、欠费结算：</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对已经担保过的患者，进行欠费结算。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22、欠费补回：</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为欠费结算患者提供后续来院补交费用的功能。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23、急诊收费异常处理：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急诊收费结算时需要调用第三方接口，并且支持第三方的原因导致收费发生异常，可以进行异常处理。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24、急诊退费：支持作废发票、重打发票、医保患者的自费垫付费用按医保重新结算或者进行退费。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25、账户管理：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对患者账户明细的查询，并可查看相应的交易明细，要求预交金查询默认显示当日的预交金缴、退费信息。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26、发票集中打印：可以集中打印病人未打印的发票。</w:t>
            </w:r>
          </w:p>
        </w:tc>
        <w:tc>
          <w:tcPr>
            <w:tcW w:w="255" w:type="pct"/>
            <w:shd w:val="clear" w:color="auto" w:fill="auto"/>
            <w:vAlign w:val="center"/>
          </w:tcPr>
          <w:p w14:paraId="422CA09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43FA82A1">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6BFF12D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019F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3B41D69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218" w:type="pct"/>
            <w:vMerge w:val="continue"/>
            <w:vAlign w:val="center"/>
          </w:tcPr>
          <w:p w14:paraId="39DBF334">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3C389F0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门（急）诊医生工作站</w:t>
            </w:r>
          </w:p>
        </w:tc>
        <w:tc>
          <w:tcPr>
            <w:tcW w:w="3247" w:type="pct"/>
            <w:shd w:val="clear" w:color="auto" w:fill="auto"/>
            <w:vAlign w:val="center"/>
          </w:tcPr>
          <w:p w14:paraId="719B197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1、门诊医生工作站：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（1）自动获取信息和医嘱监控：</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自动获取病人信息。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自动审核医嘱的完整性和合理性，</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痕迹跟踪功能。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合理用药实时监控系统。</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所有医嘱备注功能。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（2）历史就诊记录：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授权医生可以查询病人的历次就诊相关信息。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（3）核算功能：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自动核算费用、并支持当地医保结算政策。</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（4）诊断录入：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医生可以根据病人的情况开相应的诊断和病情，并可以在处方和相关申请单上打印出相关信息。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诊断模板、历史诊断、诊断复制等诊断快捷录入方式。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（5）医嘱录入：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集成医嘱的录入、展示、操作等功能，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模糊检索、个人及科室模板、历史医嘱复制、字典查询、常用医嘱用法、医嘱套、检查检验申请、治疗申请等多种录入方式。</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在录入过程中结合用户习惯，对内容进行排名，可默认医嘱明细数据，</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用户准确便捷的录入医嘱。要求集成知识库系统，提供相互作用、说明书、建议医嘱等辅助功能，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自定义当地医保管控，结合患者病种、特殊诊断等信息对医疗费用进行管控。</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医嘱审核后自动发送至对应的执行科室，包括护士站、药房、治疗科室、医技科室等，并能直观展示当前医嘱的执行进度，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医嘱审核后未缴费之前修改医嘱处理。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（6）检查检验申请：集成各类检验、检查、病理医嘱的申请入口，集中展示且可自定义树状结构。</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多部位检查申请、自定义病理申请、多标本检验申请，集成显示已发送各种申请的当前状态，同时直观展示结果及报告信息。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（7）治疗申请：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集中治疗项目申请入口，选择对应的治疗医嘱后可自定义治疗方案内容，治疗科室按照申请内容为患者提供预约治疗服务。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（8）中草药录入：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结合中草药处方的特性，提供草药饮品、颗粒剂、小包装、膏方等不同处方剂型的录入方式，</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协定处方，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基本单位自动转化多种包装数量发药。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（9）处方处理：可根据医院要求对处方进行归类分类设置，保存医嘱时自动按照处方分类设置自动分处方。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在处方分类的基础上区分急诊、儿科处方、毒麻处方等。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（10）绿色通道：</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对特殊的病人进行处理，包括病人不交费情况下可以进行和交费病人一样的处理，并可以进行优先就诊设置，提前处理（抢救下各种申请等）。</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对本科室自备药进行管理。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（11）更新病人信息：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对病人的基本信息如姓名、性别、类别、工作单位、年龄进行修改并更新。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（12）一键打印：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所录入医嘱按照其基础数据分类可自动进行相应归类，选中相应单据即可打印相应的处方或申请单。处方支持卫健委最新处方书写要求的分色打印。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（13）医疗质量控制：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重复医嘱判断、药品库存量判断、药品适应症判断、根据诊断控制药品的用药疗程、限制某类医嘱的条数、限制处方的条数，根据处方类型限制医嘱的使用，根据上次就诊医嘱用量限制本次用量、加入用药备注，限制本次就诊的医嘱费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依据用法、用量、疗程自动计算整包装、成组医嘱的自动匹配。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（14）电子病历：要求可以查询病人相应的过往检查检验结果和诊断记录，并书写病历，在电子病历系统中详细描述。（提供功能截图证明材料）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（15）医生服务：可以通过电子病历调阅临床治疗信息；根据医生权限可以接入</w:t>
            </w:r>
            <w:r>
              <w:rPr>
                <w:rFonts w:hint="eastAsia" w:ascii="宋体" w:hAnsi="宋体" w:cs="宋体"/>
                <w:color w:val="000000"/>
                <w:kern w:val="0"/>
                <w:sz w:val="18"/>
                <w:szCs w:val="18"/>
                <w:highlight w:val="none"/>
                <w:lang w:val="en-US" w:eastAsia="zh-CN"/>
              </w:rPr>
              <w:t>网络</w:t>
            </w:r>
            <w:r>
              <w:rPr>
                <w:rFonts w:hint="eastAsia" w:ascii="宋体" w:hAnsi="宋体" w:cs="宋体"/>
                <w:color w:val="000000"/>
                <w:kern w:val="0"/>
                <w:sz w:val="18"/>
                <w:szCs w:val="18"/>
                <w:highlight w:val="none"/>
              </w:rPr>
              <w:t>进行资料查询，并可以进行院内科研、技术交流。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（16）统计查询：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床位查询与预约、药品查询、诊疗项目查询、病人费用查询等。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2、急诊医生工作站：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（1）病人列表：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按本人、本组及本科室查看病人列表；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按照待诊列表、已诊列表、各抢救留观区查看病人；要求可显示各级别、是否绿色通道标志、押金余额/担保余额、危重、转出、手术等不同状态的病人；</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同时针对普通急诊病人会按照病人的预检分级和挂号顺序进行排序，急诊医生可按照病人列表顺序进行叫号、过号等操作。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（2）信息总览：</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急诊病人信息预览可直观的显示患者的基本信息、分诊详情、诊断记录；</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检验检查快捷查看入口以及危急值提醒标识；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查看患者本次就诊的整个流转信息，包括分诊、挂号、下诊断、开医嘱等各个流程节点以及在各个节点的停留时间。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（3）诊断录入：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用户\科室自定义模板、历史诊断、模糊检索等录入方式，用户可选择诊断类型、诊断级别、附加说明、标准ICD诊断、非标准ICD诊断等信息录入；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诊断信息符合传染病上报条件时自动上报；诊断信息符合临床入径诊断时提示是否入径。如医生录入传染病诊断，在该传染病还未上报情况下，系统将自动打开传染病上报界面，强行要求医生上报。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在录入食源性疾病诊断时，提示填报食源性疾病报告。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在录入孕周诊断时会自动弹出末次月经时间，填写保存后自动插入诊断。</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在录入诊断的时候如果性别、年龄不满足给出提示信息。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医嘱录入：系统可按照院区对急诊就诊有效天数、是否下医嘱后置为到达、使用个人诊断模板、不同医嘱类型需要提示重复的子类（如果该子类的医嘱已录入过医嘱，选择其他的医嘱类型录入该医嘱时，会提示重复）、未下诊断可以下医嘱等配置项</w:t>
            </w:r>
            <w:r>
              <w:rPr>
                <w:rFonts w:hint="eastAsia" w:ascii="宋体" w:hAnsi="宋体" w:cs="宋体"/>
                <w:color w:val="auto"/>
                <w:kern w:val="0"/>
                <w:sz w:val="18"/>
                <w:szCs w:val="18"/>
                <w:highlight w:val="none"/>
              </w:rPr>
              <w:t>进</w:t>
            </w:r>
            <w:r>
              <w:rPr>
                <w:rFonts w:hint="eastAsia" w:ascii="宋体" w:hAnsi="宋体" w:cs="宋体"/>
                <w:color w:val="auto"/>
                <w:kern w:val="0"/>
                <w:sz w:val="18"/>
                <w:szCs w:val="18"/>
                <w:highlight w:val="none"/>
                <w:lang w:val="en-US" w:eastAsia="zh-CN"/>
              </w:rPr>
              <w:t>行</w:t>
            </w:r>
            <w:r>
              <w:rPr>
                <w:rFonts w:hint="eastAsia" w:ascii="宋体" w:hAnsi="宋体" w:cs="宋体"/>
                <w:color w:val="auto"/>
                <w:kern w:val="0"/>
                <w:sz w:val="18"/>
                <w:szCs w:val="18"/>
                <w:highlight w:val="none"/>
              </w:rPr>
              <w:t>配置</w:t>
            </w:r>
            <w:r>
              <w:rPr>
                <w:rFonts w:hint="eastAsia" w:ascii="宋体" w:hAnsi="宋体" w:cs="宋体"/>
                <w:color w:val="000000"/>
                <w:kern w:val="0"/>
                <w:sz w:val="18"/>
                <w:szCs w:val="18"/>
                <w:highlight w:val="none"/>
              </w:rPr>
              <w:t>；要求医嘱录入界面布局支持自定义化设置，可按安全组或个人习惯设置页面布局方式；</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维护医嘱套和医嘱模板的快捷入口，</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按医嘱套、医嘱模板快速录入医嘱方式，同时可根据已录入医嘱，快速生成医嘱模板；要求针对已审核和未审核的医嘱在医嘱名称列上进行颜色区分；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在开立检查、检验或病理医嘱时，自动弹出申请单快速录入申请信息，一键发送；同时联动其他模块。</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医嘱复制功能，快速复制之前已经开立的医嘱；</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根据高值耗材条码快速录入高值耗材医嘱；支持对未进行保存或提交的医嘱提供暂存功能。支持按照拼音简码和汉字快速查询录入医嘱；</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对未审核医嘱，进行同步备注功能。支持对多条医嘱时间不一致时，同步下方医嘱时间控制；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对抗菌药物开立权限设置，没有抗菌药物审核权限的医生录入的抗菌药物医嘱，需要上级医师审核后才能生效。</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录入毒麻药品和精一药品医嘱时，判断患者是否有身份证号码，不存在时，需输入患者本人、或代办人身份证号码。</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通过配置对开医嘱时无费用的医嘱是否提示医嘱费用为零；要求保存医嘱增加暂存功能，离开医嘱录入界面时自动保存，重新登录界面，上次录入但未审核的医嘱显示在医嘱录入界面；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医嘱互斥提醒功能。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药品说明书查看功能，可实现与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知识库、合理用药系统的交互。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（5）中草药录入：</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开立草药医嘱功能；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对中草药中存在的互斥医嘱的提示功能；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维护药品的极限用量，对于草药医嘱，当单次剂量超过极限用量时给出提示。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（6）医嘱查询：</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多种查询条件，医生</w:t>
            </w:r>
            <w:r>
              <w:rPr>
                <w:rFonts w:hint="eastAsia" w:ascii="宋体" w:hAnsi="宋体" w:cs="宋体"/>
                <w:color w:val="000000"/>
                <w:kern w:val="0"/>
                <w:sz w:val="18"/>
                <w:szCs w:val="18"/>
                <w:highlight w:val="none"/>
                <w:lang w:val="en-US" w:eastAsia="zh-CN"/>
              </w:rPr>
              <w:t>可</w:t>
            </w:r>
            <w:r>
              <w:rPr>
                <w:rFonts w:hint="eastAsia" w:ascii="宋体" w:hAnsi="宋体" w:cs="宋体"/>
                <w:color w:val="000000"/>
                <w:kern w:val="0"/>
                <w:sz w:val="18"/>
                <w:szCs w:val="18"/>
                <w:highlight w:val="none"/>
              </w:rPr>
              <w:t>查询各类型医嘱。对检查检验和药品医嘱提供查看医嘱状态跟踪的快捷入口</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（7）过敏录入：支持自定义过敏原设置，可根据护士皮试结果自动插入过敏记录或手动录入两种方式。</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患者的过敏数据会在床位图、急诊医生列表、急诊医生工作站处进行醒目的提醒</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（8）总览打印：提供统一打印界面，支持对处方、检查单、检验单、病理申请单、会诊等单据打印及预览。</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对未打印病历的病人打印病历；处方打印支持按照卫健委最新处方书写要求分色打印。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医生可以打印出带有处方号的处方。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（9）检查查询：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按照时间、就诊记录对病人本次就诊或历史就诊的检查医嘱及报告进行查询，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查看检查医嘱状态跟踪；</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查询检查医嘱的适应症、禁忌症、不良反应及注意事项，</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查看检查医嘱的预约情况、危急值及提供图像或报告快速查看入口。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（10）检验查询：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查询病人本次就诊的检验医嘱及结果。</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按照时间、就诊记录对病人本次就诊或历史就诊的检验医嘱及报告进行查询，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查看检验医嘱状态跟踪；</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查询检验医嘱的禁忌症、采集注意事项；提供图像或报告快速查看入口；同时提供集中打印检验单功能。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（11）手术管理：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快捷开立手术申请入口、支持病人信息自动带入申请单界面；</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手术列表模块，可按照时间、手术分类查看该病人的相关手术申请信息。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（12）病情总览：提供病人全景视图功能，支持一站式查看病人本次及历次就诊数据；提供病人集成视图功能，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按周查看病人每日各时间节点的诊断记录、生命体征、出入量、血压、检查检验医嘱、病历文书等数据；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查看病人的护理病历记录单及内容、支持查看本次就诊的医嘱单数据及生命体征内容。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（13）状态变更：患者在就诊过程中，可变更病人状态</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查询病人历次变更的信息明细。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（14）修改分级：急诊医生可以针对当前患者进行，患者分级，修改分级原因，分级评估等信息填写修改。支持带入相关评估信息方便急诊医师快捷录入。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（15）检查检验申请：要求检查申请单支持同个检查项目选择不同部位、体位等；</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自动带入患者相关主诉、体征等信息；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自定义各检查项目其他注意事项录入；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自动调用知识库查看检验检测开单注意事项及说明；</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按照名称，拼音码方式快捷查询各个检查项目信息。可以通过就诊记录，检查分类，申请状态等条件去查询填写的申请单信息。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（16）退药申请：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针对部分特殊情况需要退药的病人，提供退药申请功能；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主管医生可根据病人发票选择待退费的处方，选择已付费并发</w:t>
            </w:r>
            <w:r>
              <w:rPr>
                <w:rFonts w:hint="eastAsia" w:ascii="宋体" w:hAnsi="宋体" w:cs="宋体"/>
                <w:color w:val="000000"/>
                <w:kern w:val="0"/>
                <w:sz w:val="18"/>
                <w:szCs w:val="18"/>
                <w:highlight w:val="none"/>
                <w:lang w:val="en-US" w:eastAsia="zh-CN"/>
              </w:rPr>
              <w:t>放</w:t>
            </w:r>
            <w:r>
              <w:rPr>
                <w:rFonts w:hint="eastAsia" w:ascii="宋体" w:hAnsi="宋体" w:cs="宋体"/>
                <w:color w:val="000000"/>
                <w:kern w:val="0"/>
                <w:sz w:val="18"/>
                <w:szCs w:val="18"/>
                <w:highlight w:val="none"/>
              </w:rPr>
              <w:t>药品，录入需退数量后，确定完成退药申请。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（17）绿色通道：</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对当前就诊病人进行取消或启用绿色通道流程。设置合理的有效时间(时效性)，实现绿色通道病人先诊疗后付费的就诊流程。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（18）急诊就诊登记：急诊医生可</w:t>
            </w:r>
            <w:r>
              <w:rPr>
                <w:rFonts w:hint="eastAsia" w:ascii="宋体" w:hAnsi="宋体" w:cs="宋体"/>
                <w:color w:val="000000"/>
                <w:kern w:val="0"/>
                <w:sz w:val="18"/>
                <w:szCs w:val="18"/>
                <w:highlight w:val="none"/>
                <w:lang w:val="en-US" w:eastAsia="zh-CN"/>
              </w:rPr>
              <w:t>以</w:t>
            </w:r>
            <w:r>
              <w:rPr>
                <w:rFonts w:hint="eastAsia" w:ascii="宋体" w:hAnsi="宋体" w:cs="宋体"/>
                <w:color w:val="000000"/>
                <w:kern w:val="0"/>
                <w:sz w:val="18"/>
                <w:szCs w:val="18"/>
                <w:highlight w:val="none"/>
              </w:rPr>
              <w:t>给病人进行快速挂号，减少病人的等待和排队时间。</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急诊医生权限管控，可按医生职称级别控制医生对病人病历和医嘱录入的查看和修改权限。</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查看急诊患者全诊疗时间轴，实时统计并显示病人在各个医疗节点的时间点的行为。</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医疗行为时间点实时监控，系统会实时统计显示病人在各个医疗节点的时间点，并计算病人在就诊过程中的待诊时间、急诊留观时间、分诊病人去向统计(入院、抢救等)。</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急诊病人就诊超时处理，针对等待时长超过一定时限的病人进行干预操作(修改病人分级，优先处理或者继续观察)。</w:t>
            </w:r>
          </w:p>
        </w:tc>
        <w:tc>
          <w:tcPr>
            <w:tcW w:w="255" w:type="pct"/>
            <w:shd w:val="clear" w:color="auto" w:fill="auto"/>
            <w:vAlign w:val="center"/>
          </w:tcPr>
          <w:p w14:paraId="2AFD46E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7B23707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74E9347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4847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34ABBEC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w:t>
            </w:r>
          </w:p>
        </w:tc>
        <w:tc>
          <w:tcPr>
            <w:tcW w:w="218" w:type="pct"/>
            <w:vMerge w:val="continue"/>
            <w:vAlign w:val="center"/>
          </w:tcPr>
          <w:p w14:paraId="6A9CDB44">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790A94A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门（急）诊护士工作站</w:t>
            </w:r>
          </w:p>
        </w:tc>
        <w:tc>
          <w:tcPr>
            <w:tcW w:w="3247" w:type="pct"/>
            <w:shd w:val="clear" w:color="auto" w:fill="auto"/>
            <w:vAlign w:val="center"/>
          </w:tcPr>
          <w:p w14:paraId="5F1AF4B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1、门诊护士工作站：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（1）座位图管理：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病人座位管理，包括座位安排、调整、打印座位号，支持刷卡确认身份并扣费。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（2）护士执行管理：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接收各门诊医生站开立的一定时间范围内的各类型医嘱，并能打印各种执行单、标签、条码及巡回单等。支持护士移动工作站执行医嘱，支持刷卡执行单个病人医嘱或一次性执行所有等候区病人医嘱。</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（3）输液记录查询：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查询科室当日所有病人的输液记录。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（4）门诊护士工作量统计：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统计输液、抽血量、注射量等护士已执行的医嘱数量。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2、急诊护士工作站：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（1）输液室座位安排：座位图以卡片形式简易明了展现座位使用情况，</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安排、离开、安排主管医生、座位卡打印等功能；</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登记号快速查询患者功能，和具体的输液室座位使用情况明细，并实时刷新。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（2）护士执行：</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输液室患者显示、医嘱查询显示、执行、撤销执行、贴瓶签打印、执行单打印等功能。</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多种队列显示病人，便于护士快速定位病人；</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患者明细信息展现。便于护士三查七对；</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护士执行界面，用于医嘱执行、撤销执行等操作。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（3）过敏记录：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显示和录入病人的过敏史和过敏记录。录入过敏史的病人在护士执行主界面病人列表中会显示敏字图标提示。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（4）患者状态查询：显示患者流转信息，以时间轴形式展现出患者当前状态和流转信息包含状态描述、日期、时间、具体描述、操作人。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（5）医嘱费用查询：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查询病人本次就诊医生开医嘱以及补录医嘱情况，并提供价格合计显示，按类型显示汇总，提供总费用、已缴、未缴总额显示。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（6）输液贴瓶签展现：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卡片形式展现，一张卡片显示一组医嘱。</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（7）输液追踪：显示出医嘱所有执行记录，并显示出具体的医嘱执行明细情况。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（8）皮试管理：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对皮试医嘱进行皮试计时和置皮试结果管理，皮试结果提供手动置皮试结果以及PPD皮试录入数据自动计算皮试结果两种方式。</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皮试批次录入和PDD历史数据的显示。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（9）工作量查询：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按照人次查询护士工作量，按照类别展现人次数量。提供日期和类型为检索条件。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（10）费用补录：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根据选择医嘱类型进行相应类型的费用材料费补录。</w:t>
            </w:r>
          </w:p>
        </w:tc>
        <w:tc>
          <w:tcPr>
            <w:tcW w:w="255" w:type="pct"/>
            <w:shd w:val="clear" w:color="auto" w:fill="auto"/>
            <w:vAlign w:val="center"/>
          </w:tcPr>
          <w:p w14:paraId="0E2662F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461B7D93">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2AC2D35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4990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750D8FA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218" w:type="pct"/>
            <w:vMerge w:val="continue"/>
            <w:vAlign w:val="center"/>
          </w:tcPr>
          <w:p w14:paraId="402254B7">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0D570F2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门（急）诊药房管理系统</w:t>
            </w:r>
          </w:p>
        </w:tc>
        <w:tc>
          <w:tcPr>
            <w:tcW w:w="3247" w:type="pct"/>
            <w:shd w:val="clear" w:color="auto" w:fill="auto"/>
            <w:vAlign w:val="center"/>
          </w:tcPr>
          <w:p w14:paraId="612B4FC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1、门诊药房管理系统：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（1）配药：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患者交费可以通过自助机、扫码等自动打印配药单，并支持选择处方打印配药单。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（2）发药：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选择对应的窗口号，通过病人的登记号或者卡号打印配药单，或刷卡后检索患者处方列表信息，选择处方进行发药。可完成后台自动打印发药单并提供补打功能。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（3）退药申请：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在处方发药后，由患者向医生申请医生发起处方的退药申请。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（4）退药：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通过患者的登记号或收据号，对其进行退药操作，可以进行整体或部分退药。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（5）发药查询：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查询出整个药房或单个患者在一段时间内的发药信息，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发药时自动按药品批次减库存，记录库存台账。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当要对某种药品进行单据跟踪查询时，要输入该药品，系统就检索到药房在一段时间内的包含该药品的发药单据。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（6）退药查询：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对一段时间内的退药信息进行查询，可以按照退药单据查询，也可以统计出所退药品的汇总。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（7）工作量统计：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药房小组管理人员统计整个药房的发药和配药人员的工作量，</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“按窗口统计”和“按人员统计”等模式，要求统计药房人员的配药人次、发药人次、配药量、发药量等。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（8）日消耗查询：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查询出药房在一段时间的消耗情况，也可以在查询条件中输入药品，查询出单个药品的消耗情况。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（9）发药统计：根据每天的日报信息来生成药房的月报，如果该月的月报已生成时，支持重新生成确认。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2、急诊药房系统：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（1）配药：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患者交费可以通过自助机、扫码等方式自动打印配药单，配药人员根据配药</w:t>
            </w:r>
            <w:r>
              <w:rPr>
                <w:rFonts w:hint="eastAsia" w:ascii="宋体" w:hAnsi="宋体" w:cs="宋体"/>
                <w:color w:val="000000"/>
                <w:kern w:val="0"/>
                <w:sz w:val="18"/>
                <w:szCs w:val="18"/>
                <w:highlight w:val="none"/>
                <w:lang w:val="en-US" w:eastAsia="zh-CN"/>
              </w:rPr>
              <w:t>单</w:t>
            </w:r>
            <w:r>
              <w:rPr>
                <w:rFonts w:hint="eastAsia" w:ascii="宋体" w:hAnsi="宋体" w:cs="宋体"/>
                <w:color w:val="000000"/>
                <w:kern w:val="0"/>
                <w:sz w:val="18"/>
                <w:szCs w:val="18"/>
                <w:highlight w:val="none"/>
              </w:rPr>
              <w:t>进行配药。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（2）发药：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选择对应的窗口号，通过病人的登记号或者卡号打印配药单，或刷卡后检索患者处方列表信息，选择处方进行发药。可完成后台自动打印发药单并提供补打功能。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（3）退药申请：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在处方发药后，由患者向医生申请医生发起处方的退药申请。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（4）退药：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通过患者的登记号或收据号，对其进行退药操作，可以进行整体或部分退药。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（5）发药查询：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查询出整个药房或单个患者在一段时间内的发药信息，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发药时自动按药品批次减库存，记录库存台账。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当要对某种药品进行单据跟踪查询时，要输入该药品，系统就检索到药房在一段时间内的包含该药品的发药单据。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（6）退药查询：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对一段时间内的退药信息进行查询，可以按照退药单据查询，也可以统计出所退药品的汇总。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（7）工作量统计：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药房小组管理人员统计整个药房的发药和配药人员的工作量，</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“按窗口统计”和“按人员统计”等模式，统计药房人员的配药人次、发药人次、配药量、发药量等。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（8）日消耗查询：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查询出药房在一段时间的消耗情况，也可以在查询条件中输入药品，查询出单个药品的消耗情况。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（9）发药统计：根据每天的日报信息来生成药房的月报，如果该月的月报已生成时，支持重新生成确认。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（10）退药查询：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对一段时间内的退药信息进行查询，可以按照退药单据查询，也可以统计出所退药品的汇总。</w:t>
            </w:r>
          </w:p>
        </w:tc>
        <w:tc>
          <w:tcPr>
            <w:tcW w:w="255" w:type="pct"/>
            <w:shd w:val="clear" w:color="auto" w:fill="auto"/>
            <w:vAlign w:val="center"/>
          </w:tcPr>
          <w:p w14:paraId="1376588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2DDA37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2B47FEA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0635B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24EC70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w:t>
            </w:r>
          </w:p>
        </w:tc>
        <w:tc>
          <w:tcPr>
            <w:tcW w:w="218" w:type="pct"/>
            <w:vMerge w:val="continue"/>
            <w:vAlign w:val="center"/>
          </w:tcPr>
          <w:p w14:paraId="2F741F7D">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56AC9C0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门诊应急系统</w:t>
            </w:r>
          </w:p>
        </w:tc>
        <w:tc>
          <w:tcPr>
            <w:tcW w:w="3247" w:type="pct"/>
            <w:shd w:val="clear" w:color="auto" w:fill="auto"/>
            <w:vAlign w:val="center"/>
          </w:tcPr>
          <w:p w14:paraId="60D757B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1、基础数据同步：可以每天定时将基础数据下载同步到客户端，保证客户端数据与数据库的一致性。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2、发票更新：应急收费系统自动提示收费员核对发票并更改，保证系统票号与实际票号一致。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3、就诊登记：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录入患者信息，选择科室、就诊医生、患者类别等信息进行登记。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4、就诊查询：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根据日期、登记号、就诊号查询患者就诊记录，可选择就诊记录进行缴费，可修改患者基本信息。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5、诊断录入：可以根据病人的情况开相应的诊断和病情。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6、收费：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录入患者需要缴费的项目、数量、用法等，系统根据不同患者类别，自动确定收费比例，计算患者自付金额、记账金额、折扣金额，药品可根据导入批次计价，打印发票。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7、收费记录查询：可根据日期、发票号查询收费记录，支持收费记录导出、打印收费清单。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8、导回数据：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将应急系统业务数据导回数据库，包含患者信息、就诊记录、医嘱明细、收费记录等。并支持导回数据与系统数据汇总日结、查询统计、退费等。</w:t>
            </w:r>
          </w:p>
        </w:tc>
        <w:tc>
          <w:tcPr>
            <w:tcW w:w="255" w:type="pct"/>
            <w:shd w:val="clear" w:color="auto" w:fill="auto"/>
            <w:vAlign w:val="center"/>
          </w:tcPr>
          <w:p w14:paraId="05A797B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0A5435A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425A7AD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244A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8409E8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218" w:type="pct"/>
            <w:vMerge w:val="continue"/>
            <w:vAlign w:val="center"/>
          </w:tcPr>
          <w:p w14:paraId="606D0942">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40F36DB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住院医生工作站</w:t>
            </w:r>
          </w:p>
        </w:tc>
        <w:tc>
          <w:tcPr>
            <w:tcW w:w="3247" w:type="pct"/>
            <w:shd w:val="clear" w:color="auto" w:fill="auto"/>
            <w:vAlign w:val="center"/>
          </w:tcPr>
          <w:p w14:paraId="4844B276">
            <w:pPr>
              <w:widowControl/>
              <w:numPr>
                <w:ilvl w:val="0"/>
                <w:numId w:val="11"/>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住院病人列表：以表格的形式展示当前在院的病人列表，汇总展示病人当前主要诊疗信息，特殊标注新入、病重、病危及其他特殊情况患者，同时</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按照本人、本科、本医疗组、已出院、已转出、已手术等属性查询的快捷入口，提高检索病人的简便性。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2、信息总览：整合病历质控、病历缺陷、生命体征、检查检验执行进度等内容，直观展示当前病人的诊疗信息，同时</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医嘱浏览、执行、停止、撤销、作废等功能操作。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3、诊断录入：</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标准ICD及非标准诊断录入，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个人模板、科室模板、历史诊断等快捷录入。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4、检查检验申请：集成各类检查、检验、病理医嘱的申请入口，要求集中展示且可自定义树状结构，</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多部位检查申请、自定义病理申请、多标本检验申请，集成已发生申请及各申请单当前状态，同时直观展示结果及报告信息。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5、治疗申请：选择对应的治疗医嘱后可自定义治疗方案内容，治疗科室按照申请内容为患者进行预约治疗服务。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6、医嘱录入：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模糊检索、个人及科室模板、历史医嘱复制、字典查询、常用医嘱用法、医嘱套、检查检验申请、治疗申请等多种录入方式。要求在录入过程中结合用户习惯，对内容进行排名，协助默认医嘱明细数据，</w:t>
            </w:r>
            <w:r>
              <w:rPr>
                <w:rFonts w:hint="eastAsia" w:ascii="宋体" w:hAnsi="宋体" w:cs="宋体"/>
                <w:color w:val="000000"/>
                <w:kern w:val="0"/>
                <w:sz w:val="18"/>
                <w:szCs w:val="18"/>
                <w:highlight w:val="none"/>
                <w:lang w:val="en-US" w:eastAsia="zh-CN"/>
              </w:rPr>
              <w:t>实现</w:t>
            </w:r>
            <w:r>
              <w:rPr>
                <w:rFonts w:hint="eastAsia" w:ascii="宋体" w:hAnsi="宋体" w:cs="宋体"/>
                <w:color w:val="000000"/>
                <w:kern w:val="0"/>
                <w:sz w:val="18"/>
                <w:szCs w:val="18"/>
                <w:highlight w:val="none"/>
              </w:rPr>
              <w:t>用户准确便捷的录入医嘱。要求集成知识库系统，提供相互作用、说明书、建议医嘱等辅助功能，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自定义当地医保结算，结合患者病种、特殊诊断等信息对医疗费用进行管控。</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出院、转科、手术等特殊医嘱录入，自动停止当前有效长期医嘱。</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医嘱审核后自动发送至对应的执行科室，包括护士站、药房、治疗科室、医技科室等，并能直观展示当前医嘱的执行进度。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7、中草药录入：结合中草药处方的特性，提供草药饮品、颗粒剂、小包装、膏方等不同处方剂型的录入方式，</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协定处方，支持基本单位自动转化多种包装数量发药。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8、诊疗计划：</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医师、护士、营养师等不同类型的人员可对同一患者制定各自的诊疗计划，并能与其他用户共同执行，可自定义诊疗计划模板。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9、交班本：</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值班班次，系统自动抽取当前医疗小组下负责的病危、病重、死亡、出入转、手术等信息，结合每位患者当前病历、诊断、医嘱等内容，在上一班次医生补充部分交班内容、生成电子交班本信息后，交由下一班次医生浏览查看。</w:t>
            </w:r>
          </w:p>
          <w:p w14:paraId="014C676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w:t>
            </w:r>
            <w:r>
              <w:rPr>
                <w:rFonts w:ascii="宋体" w:hAnsi="宋体" w:cs="宋体"/>
                <w:color w:val="000000"/>
                <w:kern w:val="0"/>
                <w:sz w:val="18"/>
                <w:szCs w:val="18"/>
                <w:highlight w:val="none"/>
              </w:rPr>
              <w:t>10、时间轴浏览患者信息：基于时间轴的信息视图浏览患者诊断、生命体征、出量入量、长期医嘱、临时医嘱、检验、检查、手术过程，并能够在该视图了解病人历次住院就诊的详细临床信息。</w:t>
            </w:r>
            <w:r>
              <w:rPr>
                <w:rFonts w:hint="eastAsia" w:ascii="宋体" w:hAnsi="宋体" w:cs="宋体"/>
                <w:color w:val="000000"/>
                <w:kern w:val="0"/>
                <w:sz w:val="18"/>
                <w:szCs w:val="18"/>
                <w:highlight w:val="none"/>
              </w:rPr>
              <w:t>（提供功能截图证明材料）</w:t>
            </w:r>
          </w:p>
        </w:tc>
        <w:tc>
          <w:tcPr>
            <w:tcW w:w="255" w:type="pct"/>
            <w:shd w:val="clear" w:color="auto" w:fill="auto"/>
            <w:vAlign w:val="center"/>
          </w:tcPr>
          <w:p w14:paraId="249F314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6DE6A1F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4104433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6C51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154AA43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218" w:type="pct"/>
            <w:vMerge w:val="continue"/>
            <w:vAlign w:val="center"/>
          </w:tcPr>
          <w:p w14:paraId="5FAB3C26">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FECAB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住院护士工作站</w:t>
            </w:r>
          </w:p>
        </w:tc>
        <w:tc>
          <w:tcPr>
            <w:tcW w:w="3247" w:type="pct"/>
            <w:shd w:val="clear" w:color="auto" w:fill="auto"/>
            <w:vAlign w:val="center"/>
          </w:tcPr>
          <w:p w14:paraId="470ECCF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1、床位图：按病房物理位置定制个性化的病房管理界面布局，</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维护个性化界面信息（床号、病历号、姓名、年龄、诊断、病情、护理信息和图标显示信息等）。</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一个病区包含多个科室床位的管理模式，允许各科床位分别进行统计、核算，允许床位级别的特殊设定。提供病人入科、转科、出院处理并允许特殊情况下审批出院。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2、患者信息展示：床位图展示患者的基本信息（床号、病历号、姓名、年龄、诊断、病情、护理信息），对于展示的信息可以根据使用习惯进行项目和显示顺序的配置。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3、查询统计提醒：</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患者模糊查询，可根据患者姓名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登记号</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床号等各种信息进行床位筛选。对于有需要处理医嘱的患者人数进行动态醒目的提醒。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4、基于床位的快捷操作：</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患者首次分床时可给患者分配主管医生和管床护士。</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治疗过程中，在患者基本信息界面也可更换主管医生和管床护士。可对患者进行入院分床、患者床位更换、包床操作，</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患者腕带和床头卡的打印。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处理完患者转科需关注医嘱后，可直接在床位图选择患者进行转科操作。床位可直接对符合条件的患者进行出院操作。</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床位图提供患者腕带和床头卡的打印。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5、护士执行：</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护士执行能够根据各种不同查询条件</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如频次，用法，接受科室，标本类型，医嘱状态等。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6、领药审核：</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护士对患者的药品类医嘱进行再次审核，并发送给医嘱对应的药房。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7、生命体征：</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对患者体温、脉搏、呼吸、血压、体重、尿量、引流量、大便、身高等项目进行填写。</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生成打印体温单，展示患者生命体征记录趋势。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8、医嘱单：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护士预览以及打印患者医嘱单。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长期、临时医嘱单快捷切换。打印时支持打印记录的保存或者不保存，可删除已保存的打印记录。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医嘱单的续打功能。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将医嘱单导出到表格。</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选行打印，打印特定的行数，对于转科患者可设置医嘱单是否换页。打印格式可自定义，对特定医嘱（如手术、转科）给与特殊标识。可进行医嘱重整。为电子病历归档提供支持。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w:t>
            </w:r>
            <w:r>
              <w:rPr>
                <w:rFonts w:hint="eastAsia" w:ascii="宋体" w:hAnsi="宋体" w:cs="宋体"/>
                <w:color w:val="000000"/>
                <w:kern w:val="0"/>
                <w:sz w:val="18"/>
                <w:szCs w:val="18"/>
                <w:highlight w:val="none"/>
                <w:lang w:val="en-US" w:eastAsia="zh-CN"/>
              </w:rPr>
              <w:t>提醒功能</w:t>
            </w:r>
            <w:r>
              <w:rPr>
                <w:rFonts w:hint="eastAsia" w:ascii="宋体" w:hAnsi="宋体" w:cs="宋体"/>
                <w:color w:val="000000"/>
                <w:kern w:val="0"/>
                <w:sz w:val="18"/>
                <w:szCs w:val="18"/>
                <w:highlight w:val="none"/>
              </w:rPr>
              <w:t>：转科或者出院时，</w:t>
            </w:r>
            <w:r>
              <w:rPr>
                <w:rFonts w:hint="eastAsia" w:ascii="宋体" w:hAnsi="宋体" w:cs="宋体"/>
                <w:color w:val="000000"/>
                <w:kern w:val="0"/>
                <w:sz w:val="18"/>
                <w:szCs w:val="18"/>
                <w:highlight w:val="none"/>
                <w:lang w:val="en-US" w:eastAsia="zh-CN"/>
              </w:rPr>
              <w:t>如</w:t>
            </w:r>
            <w:r>
              <w:rPr>
                <w:rFonts w:hint="eastAsia" w:ascii="宋体" w:hAnsi="宋体" w:cs="宋体"/>
                <w:color w:val="000000"/>
                <w:kern w:val="0"/>
                <w:sz w:val="18"/>
                <w:szCs w:val="18"/>
                <w:highlight w:val="none"/>
              </w:rPr>
              <w:t>有未完成的治疗，未停止的医嘱或未计算的费用</w:t>
            </w:r>
            <w:r>
              <w:rPr>
                <w:rFonts w:hint="eastAsia" w:ascii="宋体" w:hAnsi="宋体" w:cs="宋体"/>
                <w:color w:val="000000"/>
                <w:kern w:val="0"/>
                <w:sz w:val="18"/>
                <w:szCs w:val="18"/>
                <w:highlight w:val="none"/>
                <w:lang w:val="en-US" w:eastAsia="zh-CN"/>
              </w:rPr>
              <w:t>具有</w:t>
            </w:r>
            <w:r>
              <w:rPr>
                <w:rFonts w:hint="eastAsia" w:ascii="宋体" w:hAnsi="宋体" w:cs="宋体"/>
                <w:color w:val="000000"/>
                <w:kern w:val="0"/>
                <w:sz w:val="18"/>
                <w:szCs w:val="18"/>
                <w:highlight w:val="none"/>
              </w:rPr>
              <w:t>提醒功能。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10、标本运送：</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对标本的位置及状态进行实时追踪，对当前人和当前位置进行记录。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11、更新采血时间：</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对患者标本的采集时间进行更新。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如检验标本已接收，则不允许更新采血时间。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12、出院召回：病人出院后，病情反复，需要继续入院治疗时，可办理召回操作。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13、费用调整：</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患者出院后发现费用差错，需要调整，通过出院费用调整来完成。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14、病区床位管理：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病区床位管理可以对病区床位进行锁定，状态改变，性别限制等操作。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15、分娩管理：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对孕妇分娩进行登记，记录孕妇分娩的产程记录，对分娩的婴儿进行登记，查询统计等操作。系统根据记录生成产程图，支持医护人员更直观的查看产程。</w:t>
            </w:r>
          </w:p>
        </w:tc>
        <w:tc>
          <w:tcPr>
            <w:tcW w:w="255" w:type="pct"/>
            <w:shd w:val="clear" w:color="auto" w:fill="auto"/>
            <w:vAlign w:val="center"/>
          </w:tcPr>
          <w:p w14:paraId="19B6F88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6A91943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5FF072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2B56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18EED43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218" w:type="pct"/>
            <w:vMerge w:val="continue"/>
            <w:vAlign w:val="center"/>
          </w:tcPr>
          <w:p w14:paraId="25F361C1">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6573B11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住院出入转系统</w:t>
            </w:r>
          </w:p>
        </w:tc>
        <w:tc>
          <w:tcPr>
            <w:tcW w:w="3247" w:type="pct"/>
            <w:shd w:val="clear" w:color="auto" w:fill="auto"/>
            <w:vAlign w:val="center"/>
          </w:tcPr>
          <w:p w14:paraId="24B0FD0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1、入院登记：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为患者完善基本信息，并建立入院档案生成住院号。复诊患者，可通过患者主索引读取相关信息。对于尚未入病区的患者，可以修改病区。</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登记需要预约床位的患者。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2、退院：对尚未入病区的患者，可以取消患者的入院状态。如已分配了病区和床位，但没有发生实际费用，可由病区先办理出区，再做退院。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3、医保登记：</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对已入院、需要做收费结算的医保患者进行医保登记的功能。取消医保登记：</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对已进行过医保登记的医保患者，进行取消登记的功能。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4、打印腕带：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住院患者打印腕带，腕带上有患者登记号、病案号、二维码或条码、姓名、性别、年龄、科室病区、床号等信息。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5、患者信息修改：</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对患者基本信息、就诊信息修改功能。例如修改患者出生日期、费别等。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6、患者信息修改查询：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收费员可以查询患者信息所做的变更记录。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7、入院分床：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对已经进行入院登记并分配到本病区的患者进行床位分配，可分配此患者的主管医生、管床护士以及填写患者入院时测量的生命体征记录（如体温、体重、身高等）。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8、入院撤销：</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对尚未分床的患者，可以取消患者的入院状态。如已分配了床位，但没有发生实际费用，可由病区先将患者拉入等候区，再做入院撤销即退院处理。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9、医疗结算：</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医生通过开立出院诊断，下出院医嘱，停长期医嘱等操作，对患者的本次住院进行医疗层面的结算。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10、最终结算：</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护士或医生处理负责的出院需关注医嘱（如患者有未领取的药品，有未执行的医嘱，未退药的医嘱，未停止的长期医嘱，未做检查检验的医嘱等），同时审核患者费用。处理完毕并且审核通过后才可对患者进行出院操作，并通知患者到收费处进行下一步结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11、财务结算：患者到收费处进行费用结账。对于医保患者，</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在出院结算前应</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费用明细全部上传。</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取消结账的功能。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12、出院召回：已经办理了出院手续后有可能发现了某些新的不容忽视病况需要进行重新检查，或者出院的费用或手续有误，</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召回再处理。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13、补记账：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患者补记账功能，患者额外使用的材料或在医嘱执行时无法收费的项目可做补记账处理；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对补记账记录作废的功能。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14、出院患者账页：</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查询统计出院患者的费用账单，提供账单汇总信息以及账单明细的查询功能。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转科需关注：转科代表着患者在本科室治疗的阶段性完成，转科时也需要对患者需要结束的检查，检验，医嘱，药品，会诊等进行处理。转科需关注要求自动查询出患者转科需要处理的情况。护士或医生根据提示对自己负责的需关注情况进行处理。转科时应根据配置对转科操作进行提醒或流程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16、转科：</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处理完需关注医嘱，如未处理完成，转科时会有提醒或流程控制。处理完需关注医嘱后，</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当前科室的护士对患者进行转科操作，进行转科申请。转科申请后患者将出现在本科室转出去，以及转入科室的等候区，转入科室护士进行分床操作后，完成本次转科。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17、转病区：</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患者当前科室关联多个病区，护士可以根据需要将患者转移到本科关联的其他病区。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18、分床：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护士可选中患者，将患者拖到空闲床位上。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19、转移记录：系统对于患者的分床，转科，转病区操作都进行详实的记录，并绘制流程图。从转移界面可清晰直观的了解患者的每一次转移的时间，科室，床位，转移人等信息。</w:t>
            </w:r>
          </w:p>
        </w:tc>
        <w:tc>
          <w:tcPr>
            <w:tcW w:w="255" w:type="pct"/>
            <w:shd w:val="clear" w:color="auto" w:fill="auto"/>
            <w:vAlign w:val="center"/>
          </w:tcPr>
          <w:p w14:paraId="1800BC4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6D806AF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5C7EB00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55A30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71DEEBD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13</w:t>
            </w:r>
          </w:p>
        </w:tc>
        <w:tc>
          <w:tcPr>
            <w:tcW w:w="218" w:type="pct"/>
            <w:vMerge w:val="continue"/>
            <w:vAlign w:val="center"/>
          </w:tcPr>
          <w:p w14:paraId="03AFB649">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2E3979F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住院收费系统</w:t>
            </w:r>
          </w:p>
        </w:tc>
        <w:tc>
          <w:tcPr>
            <w:tcW w:w="3247" w:type="pct"/>
            <w:shd w:val="clear" w:color="auto" w:fill="auto"/>
            <w:vAlign w:val="center"/>
          </w:tcPr>
          <w:p w14:paraId="38E15F5C">
            <w:pPr>
              <w:widowControl/>
              <w:numPr>
                <w:ilvl w:val="0"/>
                <w:numId w:val="12"/>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押金收据管理：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押金收据购入、发放、转交。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2、住院发票管理：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发票购入、发放、转交。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3、收押金：可以按照各种支付方式收取押金，如现金，支票，汇票等</w:t>
            </w:r>
            <w:r>
              <w:rPr>
                <w:rFonts w:hint="eastAsia" w:ascii="宋体" w:hAnsi="宋体" w:cs="宋体"/>
                <w:color w:val="000000"/>
                <w:kern w:val="0"/>
                <w:sz w:val="18"/>
                <w:szCs w:val="18"/>
                <w:highlight w:val="none"/>
                <w:lang w:val="en-US" w:eastAsia="zh-CN"/>
              </w:rPr>
              <w:t>，符合医保最新住院预交金测算的制度规定</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4、退押金：</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在押金没有结算的情况下，可以给病人退押金，并打印押金收据；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作废重复打印押金收据：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在押金收据打印异常的情况下，可以作废异常的押金收据，并重复打印新的押金收据。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5、出院管理：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出院登记；出院召回；出院查询。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6、住院担保：</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为特殊患者、绿色通道患者进行住院费用担保。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7、中途结算：</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可以按某段时间或某些医嘱等规则拆分出一个账单进行结算。支持医保病人结算。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8、“欠费/结存”结算：年终由于涉及到结算本年度的账，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后续产生的费用算入下一年。</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可以选择“欠费/结存”的支付方式来结算。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9、欠费患者转出与补交：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对以“欠费/结存”结算的费用，等后面患者来办理财务结算时，再“补交/退回”差额。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10、住院费用核查：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对费用有问题的医嘱或不合规的收费进行把控、调整、费用补查，</w:t>
            </w:r>
            <w:r>
              <w:rPr>
                <w:rFonts w:hint="eastAsia" w:ascii="宋体" w:hAnsi="宋体" w:cs="宋体"/>
                <w:color w:val="000000"/>
                <w:kern w:val="0"/>
                <w:sz w:val="18"/>
                <w:szCs w:val="18"/>
                <w:highlight w:val="none"/>
                <w:lang w:val="en-US" w:eastAsia="zh-CN"/>
              </w:rPr>
              <w:t>实现收费合规</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11、取消中途结算：</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针对做中途结算拆分出来的账单，提供撤销功能，即合并账单。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12、出院结算：</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核对病人</w:t>
            </w:r>
            <w:r>
              <w:rPr>
                <w:rFonts w:hint="eastAsia" w:ascii="宋体" w:hAnsi="宋体" w:cs="宋体"/>
                <w:color w:val="000000"/>
                <w:kern w:val="0"/>
                <w:sz w:val="18"/>
                <w:szCs w:val="18"/>
                <w:highlight w:val="none"/>
                <w:lang w:val="en-US" w:eastAsia="zh-CN"/>
              </w:rPr>
              <w:t>账</w:t>
            </w:r>
            <w:r>
              <w:rPr>
                <w:rFonts w:hint="eastAsia" w:ascii="宋体" w:hAnsi="宋体" w:cs="宋体"/>
                <w:color w:val="000000"/>
                <w:kern w:val="0"/>
                <w:sz w:val="18"/>
                <w:szCs w:val="18"/>
                <w:highlight w:val="none"/>
              </w:rPr>
              <w:t>单费用总额，自付金额和押金总额无误后，办理病人出院，可以对病人多退或少补选择一种或多种支付方式进行结算，打印出院发票，并做财务结算，并打印费用明细单给病人。支持医保病人结算。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13、取消结算：</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如果病人出院结算后发现费用有错误，收款员可以取消病人出院结算，取消结算后，押金回到未结算的状态，然后医生对错误的医嘱调整后，收费员</w:t>
            </w:r>
            <w:r>
              <w:rPr>
                <w:rFonts w:hint="eastAsia" w:ascii="宋体" w:hAnsi="宋体" w:cs="宋体"/>
                <w:color w:val="000000"/>
                <w:kern w:val="0"/>
                <w:sz w:val="18"/>
                <w:szCs w:val="18"/>
                <w:highlight w:val="none"/>
                <w:lang w:val="en-US" w:eastAsia="zh-CN"/>
              </w:rPr>
              <w:t>核查账</w:t>
            </w:r>
            <w:r>
              <w:rPr>
                <w:rFonts w:hint="eastAsia" w:ascii="宋体" w:hAnsi="宋体" w:cs="宋体"/>
                <w:color w:val="000000"/>
                <w:kern w:val="0"/>
                <w:sz w:val="18"/>
                <w:szCs w:val="18"/>
                <w:highlight w:val="none"/>
              </w:rPr>
              <w:t>单，重新计算病人的费用总额，自付费用等，收费员确认费用无误后，重新办理病人出院结算，重新打印发票并打印费用明细单给病人。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14、打印押金催款单：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可以查询某个病区的欠费病人，同时显示欠费病人的费用总额，押金总额和欠费金额，</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可以录入需补交的押金，然后打印押金催款单给病人进行催款。</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办理住院登记后可以打印住院就诊卡给病人。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15、打印病人费用明细单：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可以查询并打印某个账单的医嘱费用明细，各分类的医嘱费用总额。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16、打印病人每日费用明细单：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可以查询并打印某个病区病人的费用明细单，可以单独查询并打印某个病人的费用明细单。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17、打印病人预交金明细</w:t>
            </w:r>
            <w:r>
              <w:rPr>
                <w:rFonts w:hint="eastAsia" w:ascii="宋体" w:hAnsi="宋体" w:cs="宋体"/>
                <w:color w:val="000000"/>
                <w:kern w:val="0"/>
                <w:sz w:val="18"/>
                <w:szCs w:val="18"/>
                <w:highlight w:val="none"/>
                <w:lang w:val="en-US" w:eastAsia="zh-CN"/>
              </w:rPr>
              <w:t>账</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可以查询并打印某段时间内的住院病人的收押金，退押金明细和出院病人的退押金明细。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18、收款员日报表：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收费员办理的所有押金明细和出院发票明细，统计收费员的收押金总额，退押金总额（包括住院退押金，出院退押金），出院结算病人的费用总额，以及应当上交的现金，支票等金额，对作废的押金收据和作废的发票在日报表中单独列出，并打印收费员日报表上交财务科，如果需要可以打印明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19、住院收费查询：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可以根据病人的就诊日期，病人的收费类别，科室，登记号，姓名等条件查询病人的未结算，已结算的账单信息。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20、收费员日结：</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收费员在下班前、交账时做结账。提供报表和收退押金、结算、取消结算等业务明细方便收费员对自己手中的款项和票据进行核对，并给财务交账。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21、收费员日结汇总：</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提供收费组长或财务对收费员交的账务进行核对并上交报表存档。</w:t>
            </w:r>
          </w:p>
          <w:p w14:paraId="4D2EC5C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w:t>
            </w:r>
            <w:r>
              <w:rPr>
                <w:rFonts w:ascii="宋体" w:hAnsi="宋体" w:cs="宋体"/>
                <w:color w:val="000000"/>
                <w:kern w:val="0"/>
                <w:sz w:val="18"/>
                <w:szCs w:val="18"/>
                <w:highlight w:val="none"/>
              </w:rPr>
              <w:t>22、医保费用上传：记录医嘱录入时医生选择的限范围标志，费用上传时自动使用标志进行费用转换；</w:t>
            </w:r>
            <w:r>
              <w:rPr>
                <w:rFonts w:hint="eastAsia" w:ascii="宋体" w:hAnsi="宋体" w:cs="宋体"/>
                <w:color w:val="000000"/>
                <w:kern w:val="0"/>
                <w:sz w:val="18"/>
                <w:szCs w:val="18"/>
                <w:highlight w:val="none"/>
                <w:lang w:eastAsia="zh-CN"/>
              </w:rPr>
              <w:t>提供</w:t>
            </w:r>
            <w:r>
              <w:rPr>
                <w:rFonts w:ascii="宋体" w:hAnsi="宋体" w:cs="宋体"/>
                <w:color w:val="000000"/>
                <w:kern w:val="0"/>
                <w:sz w:val="18"/>
                <w:szCs w:val="18"/>
                <w:highlight w:val="none"/>
              </w:rPr>
              <w:t>限范围收费项目的统计查询功能，管理科室可以进行修改；限范围标志针对的是全院所有患者。</w:t>
            </w:r>
            <w:r>
              <w:rPr>
                <w:rFonts w:hint="eastAsia" w:ascii="宋体" w:hAnsi="宋体" w:cs="宋体"/>
                <w:color w:val="000000"/>
                <w:kern w:val="0"/>
                <w:sz w:val="18"/>
                <w:szCs w:val="18"/>
                <w:highlight w:val="none"/>
              </w:rPr>
              <w:t>（提供功能截图证明材料）</w:t>
            </w:r>
          </w:p>
        </w:tc>
        <w:tc>
          <w:tcPr>
            <w:tcW w:w="255" w:type="pct"/>
            <w:shd w:val="clear" w:color="auto" w:fill="auto"/>
            <w:vAlign w:val="center"/>
          </w:tcPr>
          <w:p w14:paraId="5D00B02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54E4EEF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72F1FEE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0838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1660637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14</w:t>
            </w:r>
          </w:p>
        </w:tc>
        <w:tc>
          <w:tcPr>
            <w:tcW w:w="218" w:type="pct"/>
            <w:vMerge w:val="continue"/>
            <w:vAlign w:val="center"/>
          </w:tcPr>
          <w:p w14:paraId="7392AABD">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62257FC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住院中心药房系统</w:t>
            </w:r>
          </w:p>
        </w:tc>
        <w:tc>
          <w:tcPr>
            <w:tcW w:w="3247" w:type="pct"/>
            <w:shd w:val="clear" w:color="auto" w:fill="auto"/>
            <w:vAlign w:val="center"/>
          </w:tcPr>
          <w:p w14:paraId="55B9E5C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1、配药：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配药人员拿到发药单后，按货位顺序逐个进行药品的配药，配药过程要核对药品的名称、批次等信息，要求可在系统中完成配药确认，记录配药人员工作量。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2、发药：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操作人员按日期检索出待发药的病区和需发药的药品类别，选择病区和发药类别后检索对应的待发药医嘱，</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可以全部或部分选择发药并打印发药单，发药时按有效期规</w:t>
            </w:r>
            <w:r>
              <w:rPr>
                <w:rFonts w:hint="eastAsia" w:ascii="宋体" w:hAnsi="宋体" w:cs="宋体"/>
                <w:color w:val="000000"/>
                <w:kern w:val="0"/>
                <w:sz w:val="18"/>
                <w:szCs w:val="18"/>
                <w:highlight w:val="none"/>
                <w:lang w:val="en-US" w:eastAsia="zh-CN"/>
              </w:rPr>
              <w:t>减</w:t>
            </w:r>
            <w:r>
              <w:rPr>
                <w:rFonts w:hint="eastAsia" w:ascii="宋体" w:hAnsi="宋体" w:cs="宋体"/>
                <w:color w:val="000000"/>
                <w:kern w:val="0"/>
                <w:sz w:val="18"/>
                <w:szCs w:val="18"/>
                <w:highlight w:val="none"/>
              </w:rPr>
              <w:t>当前药品批次库存。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3、退药申请：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病区护士根据医生要求的医嘱停止情况及患者情况，对需要退药的药品医嘱进行退药申请，退药申请后再由药房人员进行退药。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4、退药：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住院药房根据病区</w:t>
            </w:r>
            <w:r>
              <w:rPr>
                <w:rFonts w:hint="eastAsia" w:ascii="宋体" w:hAnsi="宋体" w:cs="宋体"/>
                <w:color w:val="000000"/>
                <w:kern w:val="0"/>
                <w:sz w:val="18"/>
                <w:szCs w:val="18"/>
                <w:highlight w:val="none"/>
                <w:lang w:val="en-US" w:eastAsia="zh-CN"/>
              </w:rPr>
              <w:t>生成</w:t>
            </w:r>
            <w:r>
              <w:rPr>
                <w:rFonts w:hint="eastAsia" w:ascii="宋体" w:hAnsi="宋体" w:cs="宋体"/>
                <w:color w:val="000000"/>
                <w:kern w:val="0"/>
                <w:sz w:val="18"/>
                <w:szCs w:val="18"/>
                <w:highlight w:val="none"/>
              </w:rPr>
              <w:t>退药申请单，在核对护士的退药实物后进行退药操作，退药时要核对药品的名称和批次、数量等信息，退药完成后系统中增加药房的库存。</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退药也可以在发药时根据病区</w:t>
            </w:r>
            <w:r>
              <w:rPr>
                <w:rFonts w:hint="eastAsia" w:ascii="宋体" w:hAnsi="宋体" w:cs="宋体"/>
                <w:color w:val="000000"/>
                <w:kern w:val="0"/>
                <w:sz w:val="18"/>
                <w:szCs w:val="18"/>
                <w:highlight w:val="none"/>
                <w:lang w:val="en-US" w:eastAsia="zh-CN"/>
              </w:rPr>
              <w:t>发放</w:t>
            </w:r>
            <w:r>
              <w:rPr>
                <w:rFonts w:hint="eastAsia" w:ascii="宋体" w:hAnsi="宋体" w:cs="宋体"/>
                <w:color w:val="000000"/>
                <w:kern w:val="0"/>
                <w:sz w:val="18"/>
                <w:szCs w:val="18"/>
                <w:highlight w:val="none"/>
              </w:rPr>
              <w:t>药品种自动冲抵退药。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5、发药查询：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可以按病区、发药类别、药品名称、患者登记号等查询出药房在一段时间内的发药信息。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6、退药查询：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对一段时间内的退药信息进行查询，可以按照退药单据查询，也可以统计出所退药品的汇总。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7、综合查询：输入查询条件后，</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查询当前的未发药品或已发药品信息，可以按药品汇总数量，选择药品可以查看药品的发药医嘱明细。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8、药房工作量：</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统计整个药房的发药和配药人员的工作量。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9、发药统计：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查询出药房在一段时间的药品消耗情况，可以查询全院药品发退药数量汇总，也可以查询某个病区药品发退药品种及数量。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10、月报：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按财务要求生成每个月的月报，月报生成时间可以根据实际业务需要随时生成，对有问题的月报也可以</w:t>
            </w:r>
            <w:r>
              <w:rPr>
                <w:rFonts w:hint="eastAsia" w:ascii="宋体" w:hAnsi="宋体" w:cs="宋体"/>
                <w:color w:val="000000"/>
                <w:kern w:val="0"/>
                <w:sz w:val="18"/>
                <w:szCs w:val="18"/>
                <w:highlight w:val="none"/>
                <w:lang w:val="en-US" w:eastAsia="zh-CN"/>
              </w:rPr>
              <w:t>修改</w:t>
            </w:r>
            <w:r>
              <w:rPr>
                <w:rFonts w:hint="eastAsia" w:ascii="宋体" w:hAnsi="宋体" w:cs="宋体"/>
                <w:color w:val="000000"/>
                <w:kern w:val="0"/>
                <w:sz w:val="18"/>
                <w:szCs w:val="18"/>
                <w:highlight w:val="none"/>
              </w:rPr>
              <w:t>重新生成。</w:t>
            </w:r>
          </w:p>
        </w:tc>
        <w:tc>
          <w:tcPr>
            <w:tcW w:w="255" w:type="pct"/>
            <w:shd w:val="clear" w:color="auto" w:fill="auto"/>
            <w:vAlign w:val="center"/>
          </w:tcPr>
          <w:p w14:paraId="6F0899A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2D18025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6D5B08C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7A4E6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3BD806F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218" w:type="pct"/>
            <w:vMerge w:val="continue"/>
            <w:vAlign w:val="center"/>
          </w:tcPr>
          <w:p w14:paraId="32533E43">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3972D7F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会诊管理系统</w:t>
            </w:r>
          </w:p>
        </w:tc>
        <w:tc>
          <w:tcPr>
            <w:tcW w:w="3247" w:type="pct"/>
            <w:shd w:val="clear" w:color="auto" w:fill="auto"/>
            <w:vAlign w:val="center"/>
          </w:tcPr>
          <w:p w14:paraId="1F4780C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1、会诊申请：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（1）会诊类型：</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单科会诊、多科会诊、院际会诊、PICC会诊。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（2）会诊性质：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普通(急)、专家(急)、普通、专家。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（3）病情摘要：可直接引用患者诊断、检验、检查、医嘱、病理信息。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（4）会诊费用：可灵活配置是否收费和何种费用。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（5）消息推送：</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发送会诊给指定会诊医生或会诊科室发消息；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院内、院间、院际发起会诊申请。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（6）会诊删除：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申请医生对保存状态不再需要的会诊申请记录可进行删除。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（7）会诊取消：</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申请医生对发送、驳回、拒绝、取消接收状态的会诊申请记录可进行取消。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（8）会诊审核：</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审核约定会诊地点时间人员等信息。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（9）取消审核：</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对审核后的会诊记录取消审核；取消审核后可再审核。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（10）驳回：</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对不合适会诊申请填写驳回意见驳回申请。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（11）灵活配置：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会诊流程中是否需要审核由会诊工作流的配置决定。当配置需要审核时，未审核的会诊，会诊医生列表不显示。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可打印某会诊。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（13）审核列表：</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开始日期、结束日期、请会诊科室、登记号、会诊类型、审核状态条件查询功能。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2、申请单列表：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（1）申请列表：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本人申请的会诊记录；显示合计。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（2）会诊列表：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被邀请参与会诊的记录；显示合计。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3、默认显示昨天今天两天的会诊记录。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可按开始日期、结束日期查询一定时间段内的会诊记录列表，可按会诊状态、登记号快捷条件查询。超时显示：普通会诊24小时，急会诊2小时。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（1）会诊接收：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会诊医生接收申请医生发起的会诊，共同为患者疑难病症进行诊治。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（2）取消接收：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会诊医生接收会诊后可取消接收该会诊。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（3）拒绝接收：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会诊医生可拒绝接收会诊申请。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4、会诊完成：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（1）预完成功能：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对正在编辑的会诊结论随时保存。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（2）保存模板功能：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会诊结论可保存为科室模板、个人模板。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（3）选择模板功能：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会诊可以选择保存过的模板。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5、会诊结论引用功能：可对患者诊断、检验、检查、医嘱、病理等内容进行引用：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（1）会诊费用：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灵活配置是否收费和收取何种费用。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（2）取消完成：</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会诊医生完成会诊后可以取消完成。取消完成的会诊可预完成、完成。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（3）会诊确认：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申请医生对会诊医生完成的会诊进行会诊结果确认。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6、会诊评价（双评价）：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（1）申请医生评价：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申请医生对该会诊关于满意度等的评价。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（2）会诊科室评价表：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会诊医生对该会诊按评价表进行评价；评价内容灵活配置；独立于会诊流程。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（3）申请科室评价表：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申请医生对该会诊按评价表进行评价；评价内容灵活配置；独立于会诊流程。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（4）抗菌药会诊：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因抗生素类药物发起的会诊。会诊决定是否同意抗菌药的使用。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（5）会诊打印：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打印医生会诊申请单。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（6）状态视图：</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动态显示会诊发送（审核）、接收、完成、确认、评价的会诊流程当前进度和已有历史操作人、操作时间。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（7）开启授权：</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申请医生对会诊科室授权病历/医嘱的权限，按小时授权，可关闭/开启授权，会诊医生拥有生效中的授权才可查看病历或录入医嘱；病历授权可按配置是否发送时自动开启72小时授权。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（8）查看病历：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会诊医生也可以查看患者病历。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（9）医嘱录入：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会诊医生也可以录入医嘱。涵盖医嘱录入和中草药录入。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（10）检查检验：</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会诊医生可以查看患者历次检验和检查的具体信息，查看每一次的检验报告和检查结果。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（11）历次会诊：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查询该患者历次会诊情况</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提供打印功能。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（12）查询：会诊历史记录的查询。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按开始时间、结束时间查询一定时间段的会诊记录；可按申请科室、会诊科室、会诊状态条件查询；可弹窗查看会诊明细。支持导出功能。会诊日志：会诊流转情况展示。全局动态掌控各状态变化和变化的日期、时间、操作人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（13）统计：会诊历史记录的统计。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可按开始时间、结束时间统计一定时间段内的会诊记录。支持导出功能。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护士会诊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1、会诊申请：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（1）会诊性质：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普通(急)、专家(急)、普通、专家。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（2）病情摘要：</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可直接引用患者诊断、检验、检查、医嘱、病理信息。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（3）会诊费用：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灵活配置是否收费和何种费用。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（4）消息推送：</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发送会诊给指定会诊护士或会诊科室发消息</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（5）专科小组：</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灵活配置维护小组成员，选择专科小组，该小组成员批量自动带入会诊人员列表</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2、会诊取消：</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申请护士对发送、驳回、拒绝、取消接收状态的会诊申请记录可进行取消。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3、会诊审核：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（1）审核：</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约定会诊地点时间人员等信息。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（2）取消审核：</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对审核后的会诊记录取消审核；取消审核后可再审核。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（3）驳回：</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对不合适会诊申请填写驳回意见驳回申请。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（4）灵活配置：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会诊流程中是否需要审核由会诊工作流的配置决定。当配置需要审核时，未审核的会诊，护士会诊列表不显示。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可打印某会诊。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（6）审核列表：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提供开始日期、结束日期、请会诊科室、登记号、会诊类型、审核状态条件查询功能。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4、申请单列表：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（1）申请列表：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本人申请的会诊记录；显示合计。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（2）会诊列表：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被邀请参与会诊的记录；显示合计。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（3）默认显示昨天今天两天的会诊记录。可按开始日期、结束日期查询一定时间段内的会诊记录列表，可按会诊状态、登记号快捷条件查询。超时显示：普通会诊24小时，急会诊2小时。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（4）会诊接收：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会诊护士接收申请护士发起的会诊，共同为患者疑难病症进行诊治。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（5）取消接收：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会诊护士接收会诊后可取消接收该会诊。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（6）拒绝接收：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会诊护士可拒绝接收会诊申请。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（7）会诊完成：</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会诊讨论完毕后会诊护士对会诊进行完成。按配置是否收费和收取何种费用。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5、会诊确认：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申请护士对会诊护士完成后的会诊进行确认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6、会诊评价（双评价）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会诊护士评价：会诊护士对该会诊关于满意度等的评价。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（2）会诊护士评价：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申请护士对该会诊关于满意度等的评价。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（3）会诊打印：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打印护士会诊申请单。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（4）状态视图：</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动态显示会诊发送（审核）、接收、完成、确认、评价的会诊流程当前进度和已有历史操作人、操作时间。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（5）历次会诊：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查询该患者历次会诊情况，提供打印功能。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会诊历史记录的查询。可按开始时间、结束时间查询一定时间段的会诊记录；可按申请科室、会诊科室、会诊状态条件查询；可弹窗查看会诊明细。支持导出功能。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会诊日志：会诊流转情况展示。全局动态掌控各状态变化和变化的日期、时间、操作人等信息。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历史记录的统计。可按开始时间、结束时间统计一定时间段内的会诊记录；可按统计类型（按照申请科室/按照接收科室）、会诊类型、会诊性质、显示明细勾选与否条件查询统计。主要展示申请科室、会诊职称、会诊医师、会诊次数、超时次数、会诊金额。可查看会诊次数明细和各会诊明细；超时次数亦然。支持导出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诊历史记录明细的统计。可按开始日期、结束时间统计一定时间段内的会诊明细记录；可按全部、发送、完成、确认、未完成、超时完成条件查询统计。主要展示会诊类型、申请科室、申请医生、申请日期、申请时间、会诊日期、会诊时间、患者基本信息、病情摘要、会诊理由及要求、状态、会诊科室、完成时间、确认医生、确认时间。支持导出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申请界面提供多种患者历史信息查看，处理界面提供大量</w:t>
            </w:r>
            <w:r>
              <w:rPr>
                <w:rFonts w:hint="eastAsia" w:ascii="宋体" w:hAnsi="宋体" w:cs="宋体"/>
                <w:color w:val="000000"/>
                <w:kern w:val="0"/>
                <w:sz w:val="18"/>
                <w:szCs w:val="18"/>
                <w:highlight w:val="none"/>
                <w:lang w:val="en-US" w:eastAsia="zh-CN"/>
              </w:rPr>
              <w:t>功</w:t>
            </w:r>
            <w:r>
              <w:rPr>
                <w:rFonts w:hint="eastAsia" w:ascii="宋体" w:hAnsi="宋体" w:cs="宋体"/>
                <w:color w:val="000000"/>
                <w:kern w:val="0"/>
                <w:sz w:val="18"/>
                <w:szCs w:val="18"/>
                <w:highlight w:val="none"/>
              </w:rPr>
              <w:t>能按钮，</w:t>
            </w:r>
            <w:r>
              <w:rPr>
                <w:rFonts w:hint="eastAsia" w:ascii="宋体" w:hAnsi="宋体" w:cs="宋体"/>
                <w:color w:val="000000"/>
                <w:kern w:val="0"/>
                <w:sz w:val="18"/>
                <w:szCs w:val="18"/>
                <w:highlight w:val="none"/>
                <w:lang w:val="en-US" w:eastAsia="zh-CN"/>
              </w:rPr>
              <w:t>通</w:t>
            </w:r>
            <w:r>
              <w:rPr>
                <w:rFonts w:hint="eastAsia" w:ascii="宋体" w:hAnsi="宋体" w:cs="宋体"/>
                <w:color w:val="000000"/>
                <w:kern w:val="0"/>
                <w:sz w:val="18"/>
                <w:szCs w:val="18"/>
                <w:highlight w:val="none"/>
              </w:rPr>
              <w:t>过简单点击即可医嘱录入、检验检查查看等功能；处理列表分类显示，可快速查询到需处理会诊，缩减查询时间。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（10）类型的支持：从医护人员角度可支持：医生会诊和护士会诊；从会诊类型角度要求可支持：单科会诊、多科会诊、抗生素会诊、院际会诊和护士会诊；从会诊性质方面要求可支持：平会诊、急会诊。</w:t>
            </w:r>
          </w:p>
        </w:tc>
        <w:tc>
          <w:tcPr>
            <w:tcW w:w="255" w:type="pct"/>
            <w:shd w:val="clear" w:color="auto" w:fill="auto"/>
            <w:vAlign w:val="center"/>
          </w:tcPr>
          <w:p w14:paraId="4D6358E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045486C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0D2C5F1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41CA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69FEE27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p>
        </w:tc>
        <w:tc>
          <w:tcPr>
            <w:tcW w:w="218" w:type="pct"/>
            <w:vMerge w:val="restart"/>
            <w:shd w:val="clear" w:color="auto" w:fill="auto"/>
            <w:vAlign w:val="center"/>
          </w:tcPr>
          <w:p w14:paraId="129FD33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临床信息系统</w:t>
            </w:r>
          </w:p>
        </w:tc>
        <w:tc>
          <w:tcPr>
            <w:tcW w:w="509" w:type="pct"/>
            <w:gridSpan w:val="2"/>
            <w:shd w:val="clear" w:color="auto" w:fill="auto"/>
            <w:vAlign w:val="center"/>
          </w:tcPr>
          <w:p w14:paraId="3E523EB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心电信息管理系统</w:t>
            </w:r>
          </w:p>
        </w:tc>
        <w:tc>
          <w:tcPr>
            <w:tcW w:w="3247" w:type="pct"/>
            <w:shd w:val="clear" w:color="auto" w:fill="auto"/>
            <w:vAlign w:val="center"/>
          </w:tcPr>
          <w:p w14:paraId="46B22F9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医嘱登记功能，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替代</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的医技登记模块，通过医嘱登记模块，医生可以查询到特定时间内开到本科室的所有检查项医嘱，支持查看申请单详细信息，科室医生可以选择需要执行的医嘱进行登记，也可以批量选择登记，不必要重复登录</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排队叫号功能，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患者缴费成功后到门诊心电图做检查，首先要到候诊区报道，分诊技师通过</w:t>
            </w:r>
            <w:r>
              <w:rPr>
                <w:rFonts w:hint="eastAsia" w:ascii="宋体" w:hAnsi="宋体" w:cs="宋体"/>
                <w:color w:val="000000"/>
                <w:kern w:val="0"/>
                <w:sz w:val="18"/>
                <w:szCs w:val="18"/>
                <w:highlight w:val="none"/>
                <w:lang w:val="en-US" w:eastAsia="zh-CN"/>
              </w:rPr>
              <w:t>侯</w:t>
            </w:r>
            <w:r>
              <w:rPr>
                <w:rFonts w:hint="eastAsia" w:ascii="宋体" w:hAnsi="宋体" w:cs="宋体"/>
                <w:color w:val="000000"/>
                <w:kern w:val="0"/>
                <w:sz w:val="18"/>
                <w:szCs w:val="18"/>
                <w:highlight w:val="none"/>
              </w:rPr>
              <w:t>诊台功能模块将该患者加入到候诊队列，并且打印候诊条码单，凭候诊单检查,心电图检查者通过心电工作站的叫号模块功能，从候诊队列里按照顺序呼叫等候患者，支持重复呼叫、过号、急诊等多种呼叫模式。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常规检查功能，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常规检查是心电系统采集患者心电图数据的主要功能模块，该模块支持常规12导联、15导联、18导联、药物试验等多种心电图检查模式，支持同一条心电图医嘱重复采集数据，并且支持追加长导联等操作。常规检查操作可以设置医嘱登记环节，即数据上传的同时执行医嘱。</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病例管理功能，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病例管理模式是医生对心电图病例进行集中管理的功能模块，其中包含组合查询功能，可以通过患者的ID号、住院号、性别、来源、诊断结论等内容检索符合条件的患者，并且具有相应权限的医生可以对无效病例进行删除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分析诊断功能，</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分析诊断模块是心电图室报告医生使用的主要功能模块，该模块功能模块包含心电图波形展示、专业的辅助工具、标准心电诊断库、多种打印模板等。</w:t>
            </w:r>
          </w:p>
        </w:tc>
        <w:tc>
          <w:tcPr>
            <w:tcW w:w="255" w:type="pct"/>
            <w:shd w:val="clear" w:color="auto" w:fill="auto"/>
            <w:vAlign w:val="center"/>
          </w:tcPr>
          <w:p w14:paraId="3CD8A0A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4CD49B8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58000</w:t>
            </w:r>
          </w:p>
        </w:tc>
        <w:tc>
          <w:tcPr>
            <w:tcW w:w="313" w:type="pct"/>
            <w:shd w:val="clear" w:color="auto" w:fill="auto"/>
            <w:vAlign w:val="center"/>
          </w:tcPr>
          <w:p w14:paraId="1051010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58000</w:t>
            </w:r>
          </w:p>
        </w:tc>
      </w:tr>
      <w:tr w14:paraId="48A8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5BFEC1C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17</w:t>
            </w:r>
          </w:p>
        </w:tc>
        <w:tc>
          <w:tcPr>
            <w:tcW w:w="218" w:type="pct"/>
            <w:vMerge w:val="continue"/>
            <w:vAlign w:val="center"/>
          </w:tcPr>
          <w:p w14:paraId="7161841F">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7D6CDDB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病理管理系统</w:t>
            </w:r>
          </w:p>
        </w:tc>
        <w:tc>
          <w:tcPr>
            <w:tcW w:w="3247" w:type="pct"/>
            <w:shd w:val="clear" w:color="auto" w:fill="auto"/>
            <w:vAlign w:val="center"/>
          </w:tcPr>
          <w:p w14:paraId="1F56501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1、标本运送：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（1）新建运送单：选择运送单类型，增加一条运送单信息，自动产生运送单号，记录相关运送信息。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（2）添加病理标本：选择新增的运送单，增加要新增的病理标本。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2、标本接收：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（1）运送单接收：针对护工运送过来的批量运送单标本的确认接收操作。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（2）标本接收：针对单个的标本，进行检查是否合格，检查合格后确认接收。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（3）标本拒收：针对不合格的标本进行拒收操作，填写拒收原因，退回临床。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3、申请单登记：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（1）信息查询：支持按照天周月快捷日期、登记日期、申请日期、报告日期、医嘱子类、医嘱、状态、病理号、申请单号、条码号、登记号、病案号、姓名来进行查询。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（2）登记：对临床下的病理申请单进行登记。可分为手动点击登记、自动登记、连续登记、批量登记；登记时可自动触发打印标签、回执单、下特检。</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（3）取消登记：对在登记状态下的申请进行取消登记，登记出现问题时及时调整。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（4）拒收申请：对临床下的病理申请单进行拒收，并返回消息给临床医生，以提醒临床医生及时修改申请信息或者再</w:t>
            </w:r>
            <w:r>
              <w:rPr>
                <w:rFonts w:hint="eastAsia" w:ascii="宋体" w:hAnsi="宋体" w:cs="宋体"/>
                <w:color w:val="000000"/>
                <w:kern w:val="0"/>
                <w:sz w:val="18"/>
                <w:szCs w:val="18"/>
                <w:highlight w:val="none"/>
                <w:lang w:val="en-US" w:eastAsia="zh-CN"/>
              </w:rPr>
              <w:t>次</w:t>
            </w:r>
            <w:r>
              <w:rPr>
                <w:rFonts w:hint="eastAsia" w:ascii="宋体" w:hAnsi="宋体" w:cs="宋体"/>
                <w:color w:val="000000"/>
                <w:kern w:val="0"/>
                <w:sz w:val="18"/>
                <w:szCs w:val="18"/>
                <w:highlight w:val="none"/>
              </w:rPr>
              <w:t>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（5）执行随访：在诊断发起随访后，登记技师回访患者，然后对回访信息登记保存，以便后期查看。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（6）打印标签：对查询的各种状态的申请进行标签打印，为申请单和标本提供标签，使病理管理更精准。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（7）打印回执单：给门诊患者打印回执单，方便患者在病理科打印、领取报告。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（8）打印包埋盒：对登记状态的患者进行包埋盒的预打印。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（9）下特检医嘱：对已经登记且未取材的患者在开始做病理检查前确定其要做特检的，可直接在此下特检医嘱，缩短检测时间，加快对患者病情判断。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4、手工计费：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（1）信息查询：支持按照天周月快捷日期、登记日期、申请日期、报告日期、医嘱子类、医嘱、标本类型、状态、病理号、申请单号、条码号、登记号、病案号、姓名、以是否收费来进行查询。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（2）医嘱申请：与患者检查子类有所关联的或者全部费用医嘱查询，方便医护人员按相应医嘱收费。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（3）医嘱核实：费用医嘱申请后，科修改医嘱数量，然后审核，按相应的费用扣除患者费用，方便财务管理。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5、取材处理：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（1）信息查询：支持按照天周月快捷日期、登记日期、医嘱子类、医嘱、标本类型、病理号（单个，多个，区间）等方式进行查询，也支持快捷按钮待取、已取、快速、冰冻、补取以及沉渣包埋查询；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（2）取材：选择检查记录，确认待取材的标本之后，对标本进行取材。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（3）材块信息修改：对录入有误的材块信息进行编辑修改，系统自动记录修改日志</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（4）材块删除：对于作废的材块进行删除操作（若已进行后续操作，需逆流程将材块状态返回取材状态，方可进行删除操作）</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（5）大体信息录入：对标本进行大体描述，并记录信息；信息录入时，可引用辅助录入模板，可引用特殊字符快捷录入</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（6）打印包埋盒：勾选未打印包埋盒的材块进行打印</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（7）导出取材打印列表：勾选取材列表进行取材信息导出打印</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（8）返回登记：对没有材块的检查进行返回登记操作</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（9）补费：对未收费的医嘱进行收费操作</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（10）标本信息修改：取材时发现标本信息有误，系统操作人员可以修改，系统自动记录修改日志</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（11）标本不合格信息记录：取材时发现标本信息不合格，可设置不合格记录信息</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（12）标本清理：对已发报告14天的检查所剩余的标本进行清理的操作</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（13）特检医嘱申请审核：选择一个材块之后，对该材块下特殊染色或者免疫组化医嘱，技师只能申请下医嘱，医师可直接审核</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（14）技术医嘱申请审核：选择需要下的技术医嘱之后，根据所需的技术医嘱判断是否需要选择材块，技师只能申请下医嘱，医师可直接审核</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（15）图像采集：可进行图像采集或者导入本地图片的操作，对选中的图像进行放缩，旋转，裁剪，编辑，删除等操作</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（16）辅助录入模板：可通过亚专科、部位、疾病三层关系对模板进行筛选，私有默认可维护用户个人的常用模板，方便大体录入。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6、标本清理：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（1）信息查询、确认清理。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（2）信息查询：支持按照病理号（单个，多个，区间）、标本类型、清理状态、报告时间等条件来进行查询</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（3）确认清理：核对信息无误之后，选中记录，选择清理人，进行清理操作，可在清理确认之后添加清理说明。</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7、材块核对：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（1）信息查询：支持按照天周月快捷日期、取材时间、病理号(单个病理号、多个病理号(多个病理号用,分隔)、病理号段(病理号段用-分隔))、材块类型、核对状态、取材医师、是否脱钙条件来进行查询。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（2）核对确认：核对信息无误之后，选中记录，然后点击核对确认，将保存核对时间，核对人，核对备注。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（3）核对取消：如果核对有问题，可以对已经核对的材块进行核对取消（没有后续流程直接取消，如果有后续流程，后续流程都逆操作之后才能取消）。让使用者达到逆操作处理。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（4）工作单打印：对勾选的材块进行信息打印。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8、技术处理：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信息查询：支持按照天周月快捷日期、取材日期、包埋日期、病理号(单个病理号、多个病理号(多个病理号用,分隔)、病理号段(病理号段用-分隔))、标本类型、材块类型、取材医师、是否合格、是否包埋条件来进行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（2）包埋确认：确认信息无误之后，选中记录，然后点击包埋确认，将保存包埋时间，包埋人等。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（3）包埋取消：如果发现包埋有问题，可以对已经包埋的蜡块进行包埋取消（没有后续流程直接取消，如果有后续流程，后续流程都逆操作之后才能取消）。让使用者达到逆操作处理。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（4）工作单导出：对勾选的蜡块进行信息导出、打印。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9、病理科技师或者医师对蜡块包埋之后，需要对蜡块进行切片操作。如果切片不合格，可进行不合格信息录入：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（1）切片确认：确认信息无误之后，选中记录，然后点击切片确认，将保存切片时间，切片人等。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（2）切片取消：如果发现切片有问题，可以对已经切片的玻片进行切片取消（没有后续流程直接取消，如果有后续流程，后续流程都逆操作之后才能取消）。让使用者达到逆操作处理。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（3）工作单导出：对勾选的玻片进行信息导出、打印。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（4）标签打印：对勾选的玻片进行标签打印，打印的标签可贴到玻片上。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（5）玻片打印：对勾选的玻片进行玻片打印。直接打印到玻片上，可以不用手动贴上。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（6）染色确认：确认信息无误之后，选中记录，然后点击染色确认，将保存染色时间，染色人等。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（7）染色取消：如果发现染色有问题，可以对已经染色的玻片进行染色取消（没有后续流程直接取消，如果有后续流程，后续流程都逆操作之后才能取消）。让使用者达到逆操作处理。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（8）开始脱水：选择脱水机，然后选择脱水篮，点击开始脱水，表示脱水篮中的蜡块开始在脱水机中进行脱水。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（9）结束脱水：点击结束脱水，让正在进行脱水的蜡块结束脱水操作。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拆分脱水篮：如果脱水篮中的包埋盒数量多于脱水篮的实际空间，需要进行脱水篮拆分，才能进行脱水操作。点击拆分脱水篮之后，将脱水篮中多余的蜡块转移到有可用空间的脱水篮，如果没有可用空间，不能进行转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（11）派片确认：确认信息无误之后，选中记录，然后点击派片确认，填入初诊医师、二/三线医师之后，点击保存，将保存派片时间，派片人等。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（12）派片取消：如果发现派片有问题，可以对已经派片的玻片进行派片取消（没有后续流程直接取消，如果有后续流程，后续流程都逆操作之后才能取消）。让使用者达到逆操作处理。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10、诊断报告：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（1）保存：对属于自己的检查或者不属于任何所有人的检查进行诊断操作，保存的同时增加报告的归属操作和提交操作，将检查状态变为诊断。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（2）审核：二线或者三线医生对报告进行审核操作，判断审核规则，自动生成对应的PDF报告。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（3）取消审核：如果要对报告进行取消操作，需要判断犹豫期，如果超犹豫期的报告可以根据配置来判断是否可以取消或者需要审批操作。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（4）提交：一线医生完成诊断后，需要将检查报告提交到高级医生，可以保存时选择复诊医生，也可以批量选择自己的检查，进行批量提交。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（5）提取：医生针对不归属</w:t>
            </w:r>
            <w:r>
              <w:rPr>
                <w:rFonts w:hint="eastAsia" w:ascii="宋体" w:hAnsi="宋体" w:cs="宋体"/>
                <w:color w:val="000000"/>
                <w:kern w:val="0"/>
                <w:sz w:val="18"/>
                <w:szCs w:val="18"/>
                <w:highlight w:val="none"/>
                <w:lang w:val="en-US" w:eastAsia="zh-CN"/>
              </w:rPr>
              <w:t>于</w:t>
            </w:r>
            <w:r>
              <w:rPr>
                <w:rFonts w:hint="eastAsia" w:ascii="宋体" w:hAnsi="宋体" w:cs="宋体"/>
                <w:color w:val="000000"/>
                <w:kern w:val="0"/>
                <w:sz w:val="18"/>
                <w:szCs w:val="18"/>
                <w:highlight w:val="none"/>
              </w:rPr>
              <w:t>自己的检查，可以进行提取操作，如果被提取人员未进行诊断，则直接替换，如果已经开始诊断，则增加诊断人员处理。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（6）补充报告：报告发布后，后续需要补充诊断处理的情况，可以添加补充报告操作。同时，如果不想发布补充报告，可以对已经生成补充报告作废处理。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（7）特检医嘱：诊断过程中，医生可以针对检查下特检医嘱来辅助诊断处理，住院患者可以自动计费。已下的特检医嘱可以作废处理，且取消计费。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（8）技术医嘱：诊断过程中，为更好、更细致进行诊断，医生可以下技术医嘱，已下的技术医嘱可以作废处理。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（9）玻片质量：诊断过程中可以对检查产生的玻片进行质量评价，方便质控管理。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（10）符合情况：不同的检查类型，自动关联不同的符合情况，在诊断过程中，医生可以判断符合情况，进行质控管理。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（11）打印预览：报告生成后，即保存操作后，可以对报告打印的样式进行预览，以此来判断报告的最终样式，便于调整内容。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（12）报告打印：已发布的报告进行打印处理，打印过程调用配置的本地打印机，打印纸质报告。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（13）快捷查询：针对用户和科室不同维度对检查进行快速过滤查询，针对工作流的管理，操作人员可以便捷迅速的查询出与自己相关的各类检查，进行诊断或者其他流程操作。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（14）修改病理号：检查在登记过程中可能存在病理号有误的情况，在后续的过程中可以对流水号进行修改处理。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11、资料管理：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（1）信息查询：支持按照天周月快捷日期、登记日期、取材日期、归档日期、医嘱子类、医嘱、标本类型、材块类型、玻片类型、病理号（单个，多个，区间）、归档状态，检查阴阳性等方式进行查询。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（2）确认归档：核对信息无误之后，选中记录，选择归档位置，进行归档操作，在已归档数据中可修改归档位置；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（3）取消归档：对误操作的归档数据进行取消归档操作，选择归档数据之后，即可取消归档</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（4）发送通知：存在长时间未归档的数据，可以发送通知给相应的工作组或诊断人，提醒他们需要归档的具体蜡块、玻片或者底单</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（5）自动归档：勾选自动按钮之后，可通过输入蜡块号，玻片号，申请单号实现对应类型的自动归档。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（6）确认借出：核对待借出的资料无误之后，完整的填写借阅人信息，即可完成借阅操作；可在借阅前或借阅后打印借阅凭证</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（7）取消借出：对误操作的借阅数据进行取消借出操作，选择借阅数据之后，即可取消借阅</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（8）确认归还：核对待归还的资料无误之后，完</w:t>
            </w:r>
            <w:r>
              <w:rPr>
                <w:rFonts w:hint="eastAsia" w:ascii="宋体" w:hAnsi="宋体" w:cs="宋体"/>
                <w:color w:val="000000"/>
                <w:kern w:val="0"/>
                <w:sz w:val="18"/>
                <w:szCs w:val="18"/>
                <w:highlight w:val="none"/>
                <w:lang w:val="en-US" w:eastAsia="zh-CN"/>
              </w:rPr>
              <w:t>成</w:t>
            </w:r>
            <w:r>
              <w:rPr>
                <w:rFonts w:hint="eastAsia" w:ascii="宋体" w:hAnsi="宋体" w:cs="宋体"/>
                <w:color w:val="000000"/>
                <w:kern w:val="0"/>
                <w:sz w:val="18"/>
                <w:szCs w:val="18"/>
                <w:highlight w:val="none"/>
              </w:rPr>
              <w:t>填写归还所需的信息，即可完成归还操作；可通过设置蜡块或者玻片的状态来记录其损坏情况</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12、报告分发：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报告查询：支持按照天、周、月快捷日期、报告日期、登记日期、申请日期、分发日期、报告医师、分发状态、病理号(单个病理号、多个病理号(多个病理号用,分隔)、病理号段(病理号段用-分隔))、就诊类型、申请科室、申请病区、申请人、子类、医嘱、报告条码条件来进行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（2）清屏：清空/默认所有查询条件控件。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（3）确认分发：勾选未分发的报告列表，点击确认分发按钮，进行分发报告操作。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（4）确认自取：勾选未分发的报告列表，点击确认自取按钮，进行分发报告操作。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（5）取消分发：勾选已分发的报告列表，点击取消分发按钮，进行取消报告操作。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（6）打印底单：勾选报告列表，点击打印底单按钮，进行打印底单操作。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（7）打印签收本：勾选已分发报告列表，点击打印签收本按钮，进行打印签收本操作。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（8）右键扣补：勾选未分发报告列表，右键单击扣补，对未分发报告列表进行扣补操作。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13、统计查询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（1）及时率统计：针对阶段时间内科室的送检申请，统计出是否及时发布病理报告。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（2）优片率统计：针对阶段时间内科室接收的送检申请，检查产生的玻片进行质量统计，并展示非优片的原因。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（3）标本规范率统计：是指临床送检标本的固定是否规范化，体现临床的标本工作质控。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（4）医生工作量：是指病理科医生在全流程中所参与的工作的多少。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（5）技师工作量：技师在技术处理环节中所参与工作的统计。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（6）技术医嘱统计：统计科室内时间段所产生的技术医嘱的数量汇总。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（7）特检医嘱统计：阶段时间内科室内部产生的特检医嘱的数量汇总。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（8）特检项目统计：统计科室内部阶段时间内所下的特检的项目数量汇总。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（9）病例查询：多维度、多条件的对科室内的检查进行全面检索，支持快捷查询、自定义查询和高级查询。</w:t>
            </w:r>
          </w:p>
        </w:tc>
        <w:tc>
          <w:tcPr>
            <w:tcW w:w="255" w:type="pct"/>
            <w:shd w:val="clear" w:color="auto" w:fill="auto"/>
            <w:vAlign w:val="center"/>
          </w:tcPr>
          <w:p w14:paraId="2739492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3FF8CD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76000</w:t>
            </w:r>
          </w:p>
        </w:tc>
        <w:tc>
          <w:tcPr>
            <w:tcW w:w="313" w:type="pct"/>
            <w:shd w:val="clear" w:color="auto" w:fill="auto"/>
            <w:vAlign w:val="center"/>
          </w:tcPr>
          <w:p w14:paraId="3582F55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76000</w:t>
            </w:r>
          </w:p>
        </w:tc>
      </w:tr>
      <w:tr w14:paraId="1351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BE4AA3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18</w:t>
            </w:r>
          </w:p>
        </w:tc>
        <w:tc>
          <w:tcPr>
            <w:tcW w:w="218" w:type="pct"/>
            <w:vMerge w:val="continue"/>
            <w:vAlign w:val="center"/>
          </w:tcPr>
          <w:p w14:paraId="7C567980">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0B309CE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内镜管理系统</w:t>
            </w:r>
          </w:p>
        </w:tc>
        <w:tc>
          <w:tcPr>
            <w:tcW w:w="3247" w:type="pct"/>
            <w:shd w:val="clear" w:color="auto" w:fill="auto"/>
            <w:vAlign w:val="center"/>
          </w:tcPr>
          <w:p w14:paraId="19E261D5">
            <w:pPr>
              <w:widowControl/>
              <w:numPr>
                <w:ilvl w:val="0"/>
                <w:numId w:val="13"/>
              </w:numPr>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患者查询：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（1）个性化查询：根据医生的个性喜好来配置对应的查询条件，查询显示列表和常用操作的功能按钮。对于颜色有要求的情况还可以根据检查状态设置对应的颜色。比如申请-绿色，急诊患者-红色等。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（2）高级查询：提供多种与或关系的查询功能。比如查询某检查号或者某个登记号的查询。扩展查询的多样性，对于有复杂的与或关系、检索报告内容模糊查询等。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定制查询：将医生常用的组合查询功能固定为功能按钮。以后登录系统查询可以一键完成。比如定制一个查询当天诊室三已经预约的数据。第一次查询之后将其保存自动生成一个功能按钮，下次点击按钮就可以直接查询该组合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（4）编辑报告：在查询列表加入了一个编辑发布报告的入口点。数据查询出来后选中患者信息，点击编辑报告功能，则可以编写保存报告及其以后操作。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（5）采集图像：在查询列表加入了一个采集图像的入口点。数据查询出来后选中患者信息，点击采集图像功能，则可快捷跳转到采集界面进行相应操作。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（6）读卡：读卡功能，读卡快速读取卡内登记号自动查询数据。支持读取身份证号/就诊号/医保卡号等。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（7）报告超时提醒：对于患者检查做完后拖了很长时间没有保存审核报告的情况进行提示，在查询列表上面醒目字样滚动显示。有助于医生及时发现未出报告的检查。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（8）导出报告/图像：把患者检查信息的图像报告导出到本地。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（9）打印报告：支持全科室统一位置打印报告。整个科室或者同一个检查组设定指定位置打印报告。查询指定患者信息，然后点击打印报告功能即可。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（10）请求会诊：对于比较复杂的检查需要其他医生或者科室帮助的时候，可以用这个请求会诊功能达到数据共享的目的。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（11）报告挂起：对于某条检查报告写到一半有特殊情况需要临时保存过会再来继续写的情况，可以采用报告挂起功能。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（12）质量控制：提供进行数据修改的入口。查询数据后选中质量控制操作即可进行质量控制功能。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（13）修改叫号诊室：修改呼叫队列某条检查信息的诊室信息。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（14）过号操作：将某条检查信息的叫号记录过号处理。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（15）修改检查优先级：修改某条检查信息检查优先级，比如加急/军人优先等。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（16）导出数据到表格：将查询出来的数据导出到表格存储到本地。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（17）分配报告/审核医生：针对有的检查需要特定人来写报告或者审核报告的情况，可以选中患者信息进行分配功能。分配功能一般需要高级权限。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（18）修改检查技师：修改某条检查信息的技师信息。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（19）取消终审：将某条检查信息终审信息因为特殊原因进行取消终审。取消终审后状态变为已审核状态。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2、检查预约：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预约：对申请状态的检查执行预约操作，选择预约日期、预约时间段对病人检查进行预约操作；预约时产生的流水号规则可自定义，可按照诊室、科室或检查组多种方式生成流水号，可统一分配，也可以按照设备分配。支持同一个病人多条医嘱合并预约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（2）资源计划：在系统中按照时间段提前排出资源计划，按照周一至周日每天各时间段的资源数，生成资源计划到指定日期。医生可选择做检查时预约的具体时间点。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（3）查看申请信息：支持查看</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中病人的电子病历（主诉、病史、检验结果等信息），支持查看申请单信息，支持通过扫描仪扫描申请单功能。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（4）打印预约单：支持自定义预约单模板，打印预约单，预约单打印可配置为预约后自动打印，也可选择手动打印。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（5）补录费用：支持</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补录费用后，重新录入费用信息。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（6）手工录入患者检查：可自定义录入患者的病人类型，姓名、检查项目等信息，新增患者检查。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（7）修改患者信息：修改患者类型、病人姓名、年龄等患者信息，也可修改检查项目，检查部位等检查信息。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3、登记：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（1）到达：预约状态的检查，患者按照预约时间到达科室后，可执行到达操作。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（2）查看申请信息：支持查看</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中病人的电子病历（主诉、病史、检验结果等信息），支持查看申请单信息，支持通过扫描仪扫描申请单功能。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（3）打印取片单：支持自定义取片凭证模板，打印出取片凭证，取片凭证打印可配置为预约后自动打印，也可选择手动打印。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（4）关联医嘱：支持补录的医嘱与其他检查的关联。</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4、排队叫号：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（1）呼叫队列生成：支持按诊间或分组生成呼叫队列。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（2）查询呼叫队列：医生可灵活选择按诊间或检查组、检查子类等来检索呼叫队列信息，满足科室多种情况使用。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（3）呼叫：调用其他语音叫号系统进行语音呼叫病人，并用多媒体终端显示叫号信息。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（4）呼叫下一个：自动呼叫下一个未呼叫或等待状态的病人。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（5）过号：将呼叫后未按时来做检查的病人进行过号操作，并显示到过号列表。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（6）取消过号：将过号病人恢复到等候病人队列。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5、图像采集：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（1）采集卡：支持多种类型采集卡，如宝狮、天创恒达等采集卡。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（2）采集方式：支持采集卡/网口，采集快捷键支持程序按键操作，键盘快捷键操作，脚踏板/USB手柄操作。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（3）静态采集：单张图片采集，并将采集到的JPG图像上传到服务器。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（4）动态采集：支持动态图像的采集及视频回放，支持多种视频压缩算法MPEG2,MPEG4等。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（5）图像的基本处理：如亮度调节、图像的旋转、放大、缩小、裁减、标注等，图像的模式识别等，能实现图像色彩亮度对比度调节。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（6）图像标注：可以把图像及标注打印在报告上面。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（7）后台采集：支持书写诊断报告的同时后台采集，特殊患者可以先进行图像采集，把图像保存在工作站上，可以集中的把急诊患者图像采集下来，之后再加载到相应报告中。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（8）图像导入、导出：支持BMP/JPG/TIF/DICOM格式图像的导入和导出功能。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6、诊断工作站：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（1）维护报告样式：可根据医院要求制作不同样式的报告，维护好的报告样式需要关联科室才可在该科室使用，在录入检查诊断信息时，医生可根据当前检查项目以及部位选择合适的报告样式。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（2）浏览影像：查看该患者通过设备采集到的图像。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录入以及修改报告：当患者在医技执行科室完成检查之后，医生在报告界面对患者进行报告录入，报告医生可保存完成的报告并且保存的报告也同时会以PDF文件保存在电脑上，此时检查状态变为“已录入报告”，并且原报告医生可随时打开并修改已保存的报告。医生在点击“保存报告”时可以设置是否返回首页，若选择返回，在保存报告之后返回首页；若选择不返回，在保存报告之后停留在当前页面。提交审核：报告完成之后，报告医生可提交报告给审核医生进行审核，此时患者状态变为“已提交”，并且报告医生不可再修改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（4）审核以及驳回报告：保存成功以及提交审核的报告，都可进行审核，审核医生可对报告进行修改，审核完成的报告临床医生</w:t>
            </w:r>
            <w:r>
              <w:rPr>
                <w:rFonts w:hint="eastAsia" w:ascii="宋体" w:hAnsi="宋体" w:cs="宋体"/>
                <w:color w:val="000000"/>
                <w:kern w:val="0"/>
                <w:sz w:val="18"/>
                <w:szCs w:val="18"/>
                <w:highlight w:val="none"/>
                <w:lang w:val="en-US" w:eastAsia="zh-CN"/>
              </w:rPr>
              <w:t>对</w:t>
            </w:r>
            <w:r>
              <w:rPr>
                <w:rFonts w:hint="eastAsia" w:ascii="宋体" w:hAnsi="宋体" w:cs="宋体"/>
                <w:color w:val="000000"/>
                <w:kern w:val="0"/>
                <w:sz w:val="18"/>
                <w:szCs w:val="18"/>
                <w:highlight w:val="none"/>
              </w:rPr>
              <w:t>该条检查状态变为“执行”。若报告存在问题，审核医生可驳回报告，</w:t>
            </w:r>
            <w:r>
              <w:rPr>
                <w:rFonts w:hint="eastAsia" w:ascii="宋体" w:hAnsi="宋体" w:cs="宋体"/>
                <w:color w:val="000000"/>
                <w:kern w:val="0"/>
                <w:sz w:val="18"/>
                <w:szCs w:val="18"/>
                <w:highlight w:val="none"/>
                <w:lang w:val="en-US" w:eastAsia="zh-CN"/>
              </w:rPr>
              <w:t>审核</w:t>
            </w:r>
            <w:r>
              <w:rPr>
                <w:rFonts w:hint="eastAsia" w:ascii="宋体" w:hAnsi="宋体" w:cs="宋体"/>
                <w:color w:val="000000"/>
                <w:kern w:val="0"/>
                <w:sz w:val="18"/>
                <w:szCs w:val="18"/>
                <w:highlight w:val="none"/>
              </w:rPr>
              <w:t>医生可再次对报告进行修改。医生在点击“审核报告”时可以设置是否返回首页以及审核打印，若选择返回，在保存报告之后返回首页；若选择不返回，在保存报告之后停留在当前页面；若选择审核打印，则在报告审核之后自动打印报告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（5）终审报告：报告审核完毕后，也可对报告进行终审操作，终审后的报告检查状态变为“已终审”。报告打印以及补打报告：</w:t>
            </w:r>
            <w:r>
              <w:rPr>
                <w:rFonts w:hint="eastAsia" w:ascii="宋体" w:hAnsi="宋体" w:cs="宋体"/>
                <w:color w:val="000000"/>
                <w:kern w:val="0"/>
                <w:sz w:val="18"/>
                <w:szCs w:val="18"/>
                <w:highlight w:val="none"/>
                <w:lang w:val="en-US" w:eastAsia="zh-CN"/>
              </w:rPr>
              <w:t>审核</w:t>
            </w:r>
            <w:r>
              <w:rPr>
                <w:rFonts w:hint="eastAsia" w:ascii="宋体" w:hAnsi="宋体" w:cs="宋体"/>
                <w:color w:val="000000"/>
                <w:kern w:val="0"/>
                <w:sz w:val="18"/>
                <w:szCs w:val="18"/>
                <w:highlight w:val="none"/>
              </w:rPr>
              <w:t>医生可对已经完成的报告进行打印，也可以补打当前患者的报告。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（6）模板数据：医生可以将“检查方法”、“检查所见”、“诊断意见”以模板的形式保存，当</w:t>
            </w:r>
            <w:r>
              <w:rPr>
                <w:rFonts w:hint="eastAsia" w:ascii="宋体" w:hAnsi="宋体" w:cs="宋体"/>
                <w:color w:val="000000"/>
                <w:kern w:val="0"/>
                <w:sz w:val="18"/>
                <w:szCs w:val="18"/>
                <w:highlight w:val="none"/>
                <w:lang w:val="en-US" w:eastAsia="zh-CN"/>
              </w:rPr>
              <w:t>审核</w:t>
            </w:r>
            <w:r>
              <w:rPr>
                <w:rFonts w:hint="eastAsia" w:ascii="宋体" w:hAnsi="宋体" w:cs="宋体"/>
                <w:color w:val="000000"/>
                <w:kern w:val="0"/>
                <w:sz w:val="18"/>
                <w:szCs w:val="18"/>
                <w:highlight w:val="none"/>
              </w:rPr>
              <w:t>医生需要使用某个模板时可直接对当前报告进行添加或者替换。模板可以保存为公有模板和私有模板，公有模板该科室的所有医生都可以维护和使用，私有模板仅当前医生可以维护和使用。同时模板也可建立各级目录来保存不同的模板数据。医生还可使用智能模板，根据医嘱项及相关模板使用频率进行排序，最常用的模板排在首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智能提醒：医生可根据患者年龄段、患者性别、检查部位、检查设备等维护智能提醒。例如患者性别为“男”，提醒关键字为“子宫”，在保存男性患者报告时若报告内容出现“子宫”字样，则提醒医生是否继续保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（8）报告记录：可查看该报告的所有执行操作过程；包括：操作医生、操作时间、操作状态（保存、访问、审核等）以及操作之后报告的内容。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（9）标记回访：若患者需要回访，可为患者添加标记回访，设置回访日期、提前提醒天数以及回访医生，则可在回访前提醒回访医生该患者需要进行回访。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报告质量控制：可设置报告阴阳性是否为必选项，默认阳性或者阴性；影像评级是否为必选项，默认是否为甲级；报告保存（第一次保存）多久后不能修改；报告结果同步调整字体大小，由于部分报告的某些模块需要录入字数较多，为了适应报告纸张大小其字体就会自动缩小，为了适应保持字体大小一致其他内容字体也会同步缩小；报告是否需要审核；报告是否需要终审；可编辑报告的检查状态，设置患者在预约、到达、已有图像、正在检查、检查完成状态医生才可编辑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（11）相关检查：可以查看该患者所做其他检查的日期、临床诊断、检查所见、诊断意见以及查看影像。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（12）定位图标注：通过使用定位图的标注功能，医师可以清晰的看到每幅采集到的图像，在该检查部位中的确切位置、详细描述，为日后再次查看报告和影像提供方便。同时支持定位图的管理和维护功能。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（13）报告和采集界面设置：支持同屏采集和报告，实时采集和写诊断报告分屏显示，医生可以一边观看采集图像一边写诊断报告。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7、诊断报告管理：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（1）WCF与FTP双通道上传：在存储服务器架设WCF存储服务程序，并同时开启FTP虚拟目录作为备用通道，实现双保险。</w:t>
            </w:r>
          </w:p>
          <w:p w14:paraId="07845924">
            <w:pPr>
              <w:widowControl/>
              <w:numPr>
                <w:ilvl w:val="0"/>
                <w:numId w:val="0"/>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多服务器多存储介质抽象化存储：是将物理存储抽象化为存储服务和存储介质，只需知道报告存储的服务器与介质名称即可。将用户与复杂的存储规则相隔离，同时将存储文件与存储介质相关联，达到高可扩容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（3）web版调阅工具：给临床医生提供统一的web版调阅报告工具，此工具提供多种版式的调阅方式，只看报告，只看图像，报告和图像同时浏览。并且提供基于html5实现的禁止临床打印pdf报告功能。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8、诊断报告打印：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报告样式维护：可在样式设计器中维护报告样式，报告样式可根据检查项目子类关联，固定检查项目默认选择样式。报告样式可维护报告中各项基础信息元素，各个模块之间的排版，报告内容的字体、大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（2）配置打印参数：打印参数包括选择报告样式、选择打印份数、选择图像行数、选择每个样式调用的打印机、选择等。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（3）打印预览：配置打印预览后，打印会弹出生成PDF文件的预览页面缩略图。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9、质控管理：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（1）修改患者基础信息：患者基础信息的修改的数据只包含对患者的登记号、姓名、拼音的修改。对于其他信息，在预约登记组件来直接修改。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（2）合并患者：将两位患者的信息进行合并。实际效果为将一患者下的检查，全部更新到另一患者的检查下。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（3）修改检查信息：可以将患者检查过程中产生的错误数据直接进行修改。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（4）取消计费：可以对</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发消息，取消该检查的计费。在患者需要进行出院结算，但是还有检查未做的时候进行处理。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（5）初始化检查：将患者的检查信息以及报告信息全部清除，但是会保留患者基础信息。如果为</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开的医嘱，将会变为申请状态。如果为手动预约的医嘱，将会变为取消检查状态。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修改报告信息：修改报告信息主要目的是对该检查的报告信息进行修改，例如修改报告的保存时间、审核医生等。但是要注意一点，这里进行修改数据后，报告文件已经生成并且上传的话，临床调阅的文件并不会发生改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（7）取消报告：取消报告信息主要目的是对该检查的报告进行重写，只有状态为已录入报告的患者可以取消报告，取消报告后检查将回到写报告之前的状态，到达或已有图像。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报告转交：报告转交主要目的是批量修改报告锁定的用户，在系统中当一份报告被用户打开后，或者分配报告给指定医生后，将会给该报告添加用户锁定。当锁定用户不在电脑前或者锁定用户临时有事离岗后，在该处可批量修改锁定的医生，交给其他医生来处理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10、统计分析：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科室收入统计：支持按检查子类，设备，申请科室，病人类型，转诊，和部位大类来统计科室收入。支持按预约日期，登记日期，检查日期，报告日期统计。支持选择某个科室统计。支持按两种不同录入医嘱的方式统计，</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医嘱登记和手工登记</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（2）工作量统计：</w:t>
            </w:r>
            <w:r>
              <w:rPr>
                <w:rFonts w:hint="eastAsia" w:ascii="宋体" w:hAnsi="宋体" w:cs="宋体"/>
                <w:color w:val="000000"/>
                <w:kern w:val="0"/>
                <w:sz w:val="18"/>
                <w:szCs w:val="18"/>
                <w:highlight w:val="none"/>
                <w:lang w:val="en-US" w:eastAsia="zh-CN"/>
              </w:rPr>
              <w:t>支持</w:t>
            </w:r>
            <w:r>
              <w:rPr>
                <w:rFonts w:hint="eastAsia" w:ascii="宋体" w:hAnsi="宋体" w:cs="宋体"/>
                <w:color w:val="000000"/>
                <w:kern w:val="0"/>
                <w:sz w:val="18"/>
                <w:szCs w:val="18"/>
                <w:highlight w:val="none"/>
              </w:rPr>
              <w:t>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技师</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护师</w:t>
            </w:r>
            <w:r>
              <w:rPr>
                <w:rFonts w:hint="eastAsia" w:ascii="宋体" w:hAnsi="宋体" w:cs="宋体"/>
                <w:color w:val="000000"/>
                <w:kern w:val="0"/>
                <w:sz w:val="18"/>
                <w:szCs w:val="18"/>
                <w:highlight w:val="none"/>
                <w:lang w:val="en-US" w:eastAsia="zh-CN"/>
              </w:rPr>
              <w:t>工作量统计</w:t>
            </w:r>
            <w:r>
              <w:rPr>
                <w:rFonts w:hint="eastAsia" w:ascii="宋体" w:hAnsi="宋体" w:cs="宋体"/>
                <w:color w:val="000000"/>
                <w:kern w:val="0"/>
                <w:sz w:val="18"/>
                <w:szCs w:val="18"/>
                <w:highlight w:val="none"/>
              </w:rPr>
              <w:t>。支持报告医生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审核医生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登记医生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报告录入者</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介入医生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会诊医生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辅助医生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护师</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核对护师</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检查技师工作量统计。支持影像评级</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报告评级</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审核报告评级统计。支持预约率</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报告被驳回率</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医生退回报告</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已完成的检查率统计。支持检查项目</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申请医生检查项目</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医生检查项目统计。支持报告医生检查部位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审核医师检查部位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检查技师检查部位统计。支持扫描方式</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同比</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环比</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检查项目权重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设备权重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检查部位权重统计。支持检查技师曝光次数，报告医师曝光次数统计。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（3）设备工作量统计：支持按日期段</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精确时间点</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检查子类</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检查部位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检查设备</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用户来统计。支持按报告日期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检查日期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登记日期统计。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（4）病案统计：病案统计分为三块</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病案统计</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阳性率统计和医嘱检测信息。病案统计支持按报告日期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检查日期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登记日期来统计。支持按检查子类</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检查部位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检查项目</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结构化</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归档类型来统计。支持按是否活检检查</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回访状态</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检查结果</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报告医生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审核医生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患者年龄来统计。统计结果支持患者信息</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医嘱信息</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就诊信息</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年龄分布图</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以及报告内容。支持高级查询</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自定义查询条件查询。统计结果支持导出到工作站查询组件。阳性率统计</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支持按日期段</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检查子类</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病人类型</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用户</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诊间</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设备统计。支持按时间统计</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报告日期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检查日期。支持按申请科室统计。统计结果支持饼状统计图。医嘱检测信息，支持当前用户，查看对某个医嘱具体时间进行的某种操作，是否取消计费，是否初始化等。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（5）流程监控统计：支持按日期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检查子类</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诊间</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设备</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报告医生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审核医生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通过选择开始状态与结束状态进行统计。支持按检查项目耗时，检查状态耗时统计。检查状态耗时统计，可以统计出此医嘱从登记到审核报告一系列流程的具体时间。支持查看检查项目平均耗时饼图。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（6）打印：所有的统计类型下的统计结果都支持打印</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（7）绘制统计图：统计结果都支持柱状统计图显示</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（8）病历明细：统计出来的结果选中后，可以看出患者的基本信息，检查信息，医嘱信息等等，每个统计类型病历明细中显示的信息会有所区别。</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（9）导出到表格：所有统计结果都支持导出到表格</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11、排班管理：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（1）检查项目关联：用于设置检查项目和检查专业组的关联。</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选择多个检查项目批量关联某个专业组，也支持选择多个检查项目批量取消关联，同时可按患者类型区分设置专业组关联的检查项目。支持按检查子类来过滤未关联的检查项目。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（2）用户关联：用于设置用户和检查专业组的关联。支持按角色区分设置与专业组关联的用户，可选择多个用户批量设置关联，也可选择多个用户批量取消关联。</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医护人员排班：根据角色和专业组设置医护人员在一段时间内的排班。选择排班日期、角色和专业组开始排班后，会显示一周内的排班情况，双击要排班的时间单元格，会弹出跟当前角色和专业组关联的用户，即可排班的用户，可选择多个用户来排班。支持将一周的排班复制到本科室或其它科室、角色和专业组里，解决医院同班次用户可在不同科室值班，或写不同专业组报告的需求，减少重复排班。支持切换当前用户能登录的其它科室进行排班，对完成的排班可进行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资源排班：资源排班用于按日期修改资源的可预约数。选择日期点击生成排班后，会根据资源计划生成一周的资源使用情况，包括可预约数和当前剩余数量。双击每个单元格，可修改某个设备在对应日期的可预约数。支持按设备过滤资源排班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12、其它模块：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（1）系统管理工作站：为检查科室系统提供基础数据的维护，包括检查项目基础数据维护，科室参数，系统用户，权限设置，系统参数维护及系统组件，以及科室工作流程设置等内容。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（2）申请单浏览：查看病人的电子版申请单，内容包括：病人基本信息、病人就诊信息（主诉与临床诊断等）、检查信息。融合</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功能查看病人的电子病历。另外，提供了扫描纸质申请单功能，可将纸质申请单扫描并保存归档。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（3）检前信息记录：可填写病人病症、体征、手术情况等多项信息，形成完整的诊疗记录，并提供模板功能。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（4）检中信息记录：支持录入活检部位及块数、HP值、手术用药及手术医生等信息。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（5）检后信息记录：可查询和填写病人的回访记录，并支持导出功能，实现诊疗的闭环。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（6）图像报告浏览：首页选中病人的同时可快速浏览图像和报告内容。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（7）相关检查：可查看某病人的全部跨科检查记录。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（8）工作流程监控：查询某人或某次检查的全部操作信息，追溯检查流程。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（9）科室工作状态：显示各诊间的待检，已检和总检人数，各个诊间的实时呼叫列表，以及预约资源使用情况。使管理者对科室现状有大致了解。显示诊间设备与个人的工作量与待工作量。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（10）病理信息：及时有效的显示某次检查相关的病理部位、病理描述、病理诊断、等病理信息，更好的结合病理结果对病人做出准确诊断。</w:t>
            </w:r>
          </w:p>
        </w:tc>
        <w:tc>
          <w:tcPr>
            <w:tcW w:w="255" w:type="pct"/>
            <w:shd w:val="clear" w:color="auto" w:fill="auto"/>
            <w:vAlign w:val="center"/>
          </w:tcPr>
          <w:p w14:paraId="6676A5A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7238FF8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76000</w:t>
            </w:r>
          </w:p>
        </w:tc>
        <w:tc>
          <w:tcPr>
            <w:tcW w:w="313" w:type="pct"/>
            <w:shd w:val="clear" w:color="auto" w:fill="auto"/>
            <w:vAlign w:val="center"/>
          </w:tcPr>
          <w:p w14:paraId="35943B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76000</w:t>
            </w:r>
          </w:p>
        </w:tc>
      </w:tr>
      <w:tr w14:paraId="4C976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CF5715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19</w:t>
            </w:r>
          </w:p>
        </w:tc>
        <w:tc>
          <w:tcPr>
            <w:tcW w:w="218" w:type="pct"/>
            <w:shd w:val="clear" w:color="auto" w:fill="auto"/>
            <w:vAlign w:val="center"/>
          </w:tcPr>
          <w:p w14:paraId="4D6B46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LIS系统</w:t>
            </w:r>
          </w:p>
        </w:tc>
        <w:tc>
          <w:tcPr>
            <w:tcW w:w="509" w:type="pct"/>
            <w:gridSpan w:val="2"/>
            <w:shd w:val="clear" w:color="auto" w:fill="auto"/>
            <w:vAlign w:val="center"/>
          </w:tcPr>
          <w:p w14:paraId="6F284CF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检查检验系统</w:t>
            </w:r>
          </w:p>
        </w:tc>
        <w:tc>
          <w:tcPr>
            <w:tcW w:w="3247" w:type="pct"/>
            <w:shd w:val="clear" w:color="auto" w:fill="auto"/>
            <w:vAlign w:val="center"/>
          </w:tcPr>
          <w:p w14:paraId="1524774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检验信息管理系统是通过计算机、数据库等信息化技术手段，集样本管理、流程管理、资源管理、数据管理、质量控制、报告管理等诸多模块于一体，组成一套完整的、符合实验室综合管理要求的信息管理系统。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1、集中接收功能：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标本到达检验科标本集中接收窗口使用。要求包含如下功能：接收护士站采集的标本（未采集的标本也可直接接收）；拒收不符合检验要求的标本；运送单标本接收；打印护士回执单；按条件查询已申请的医嘱信息；置打印标识；清空列表；标本无采集信息提示，可控制是否接收；标本条码有拒收记录，提示是否继续接收；接收判断标本临床状态，已经执行、已经停止、已经撤销、已经作废的标本不可接收；接收权限控制，提示标本非本处接收，请送到指定科室接收；门急诊欠费提示不可接收；住院患者出院提示，控制是否接收；标本超TAT时间提示等</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2、标本拒收功能：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检验科接收窗口收到问题标本时可以对标本进行拒收并打印拒收单，根据卫健委相关统计对拒收类型分为医嘱问题，采样问题，运送问题，对应详细原因可以直接点击选择，方便快速处理，也可获得准确的统计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3</w:t>
            </w:r>
            <w:r>
              <w:rPr>
                <w:rFonts w:hint="eastAsia" w:ascii="宋体" w:hAnsi="宋体" w:cs="宋体"/>
                <w:color w:val="000000"/>
                <w:kern w:val="0"/>
                <w:sz w:val="18"/>
                <w:szCs w:val="18"/>
                <w:highlight w:val="none"/>
              </w:rPr>
              <w:t>、标本核收功能：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标本处理后，进入核收排样操作，即按工作小组或医嘱组核收检验标本。</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标本可按照医嘱组核收并自动分流水号段；要求可按照标本类型，患者类型核收自动分流水号段；可自动分配工作小组；要求核收页面显示流水号可用号段及核收医嘱信息；核收错误提示具体核收位置信息。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4</w:t>
            </w:r>
            <w:r>
              <w:rPr>
                <w:rFonts w:hint="eastAsia" w:ascii="宋体" w:hAnsi="宋体" w:cs="宋体"/>
                <w:color w:val="000000"/>
                <w:kern w:val="0"/>
                <w:sz w:val="18"/>
                <w:szCs w:val="18"/>
                <w:highlight w:val="none"/>
              </w:rPr>
              <w:t>、标本登记功能：要求手工登记可以根据病案号获取患者信息，展示工作小组下所有医嘱方便勾选，附加条码及记录单打印勾选。对登记错误的患者信息可批量修改流水号。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、报告处理功能：报告处理页面是检验科技师工作者最常用页面，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可完成标本结果处理到报告审核的操作。在报告结果审核之前，</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技师可通过质控提示判断当天仪器结果准确性，也可比对历次结果及图片结果判断结果准确性；要求通过标本操作日志可查询报告手工修改记录；通过右键功能菜单，可进行复查操作，转移标本工作小组，转移标本处理日期，批量增删项目及单独增加项目，拆分报告，标本复制等功能</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6</w:t>
            </w:r>
            <w:r>
              <w:rPr>
                <w:rFonts w:hint="eastAsia" w:ascii="宋体" w:hAnsi="宋体" w:cs="宋体"/>
                <w:color w:val="000000"/>
                <w:kern w:val="0"/>
                <w:sz w:val="18"/>
                <w:szCs w:val="18"/>
                <w:highlight w:val="none"/>
              </w:rPr>
              <w:t>、拆分报告功能：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将一个标本拆分成多个报告出结果。</w:t>
            </w:r>
          </w:p>
          <w:p w14:paraId="20C9474A">
            <w:pPr>
              <w:widowControl/>
              <w:numPr>
                <w:ilvl w:val="0"/>
                <w:numId w:val="0"/>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bidi="ar-SA"/>
              </w:rPr>
              <w:t>7</w:t>
            </w:r>
            <w:r>
              <w:rPr>
                <w:rFonts w:ascii="宋体" w:hAnsi="宋体" w:eastAsia="宋体" w:cs="宋体"/>
                <w:color w:val="000000"/>
                <w:kern w:val="0"/>
                <w:sz w:val="18"/>
                <w:szCs w:val="18"/>
                <w:highlight w:val="none"/>
                <w:lang w:val="en-US" w:eastAsia="zh-CN" w:bidi="ar-SA"/>
              </w:rPr>
              <w:t>、</w:t>
            </w:r>
            <w:r>
              <w:rPr>
                <w:rFonts w:hint="eastAsia" w:ascii="宋体" w:hAnsi="宋体" w:cs="宋体"/>
                <w:color w:val="000000"/>
                <w:kern w:val="0"/>
                <w:sz w:val="18"/>
                <w:szCs w:val="18"/>
                <w:highlight w:val="none"/>
              </w:rPr>
              <w:t>标本复制功能：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仅复制标本的信息，复制时新选择医嘱，减少手工登记录入患者信息的工作量。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8</w:t>
            </w:r>
            <w:r>
              <w:rPr>
                <w:rFonts w:hint="eastAsia" w:ascii="宋体" w:hAnsi="宋体" w:cs="宋体"/>
                <w:color w:val="000000"/>
                <w:kern w:val="0"/>
                <w:sz w:val="18"/>
                <w:szCs w:val="18"/>
                <w:highlight w:val="none"/>
              </w:rPr>
              <w:t>、结果备份功能：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把原标本备份一份，原标本用新填的流水号和日期，</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复制标本在原标本的日期和流水号，两个标本都有结果。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9</w:t>
            </w:r>
            <w:r>
              <w:rPr>
                <w:rFonts w:hint="eastAsia" w:ascii="宋体" w:hAnsi="宋体" w:cs="宋体"/>
                <w:color w:val="000000"/>
                <w:kern w:val="0"/>
                <w:sz w:val="18"/>
                <w:szCs w:val="18"/>
                <w:highlight w:val="none"/>
              </w:rPr>
              <w:t>、结果复查功</w:t>
            </w:r>
            <w:r>
              <w:rPr>
                <w:rFonts w:hint="eastAsia" w:ascii="宋体" w:hAnsi="宋体" w:cs="宋体"/>
                <w:color w:val="000000"/>
                <w:kern w:val="0"/>
                <w:sz w:val="18"/>
                <w:szCs w:val="18"/>
                <w:highlight w:val="none"/>
                <w:lang w:val="en-US" w:eastAsia="zh-CN"/>
              </w:rPr>
              <w:t>能</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把原标本备份一份，原标本用新填的流水号和日期，复制标本在原标本的日期和流水号，复制标本有结果,原标本无结果。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10</w:t>
            </w:r>
            <w:r>
              <w:rPr>
                <w:rFonts w:hint="eastAsia" w:ascii="宋体" w:hAnsi="宋体" w:cs="宋体"/>
                <w:color w:val="000000"/>
                <w:kern w:val="0"/>
                <w:sz w:val="18"/>
                <w:szCs w:val="18"/>
                <w:highlight w:val="none"/>
              </w:rPr>
              <w:t>、危急值闭环管理功能：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危急值上报：当报告存在危急值结果时，弹出危急值报告处理界面，要求危急值报告处理至少提供四种方式：网络上报、电话上报、网络+电话上报、无需上报。网络上报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选择后会发送危急值报告给临床医生；电话上报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电话通知的方式通知相关人员并做记录，系统上不发送危急值消息到临床；网络+电话上报：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电话通知的方式通知相关人员并做记录，并会发送危急值报告给临床医生；无需上报：不作为危急值进行发送。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1</w:t>
            </w:r>
            <w:r>
              <w:rPr>
                <w:rFonts w:hint="eastAsia" w:ascii="宋体" w:hAnsi="宋体" w:cs="宋体"/>
                <w:color w:val="000000"/>
                <w:kern w:val="0"/>
                <w:sz w:val="18"/>
                <w:szCs w:val="18"/>
                <w:highlight w:val="none"/>
              </w:rPr>
              <w:t>、危急值消息</w:t>
            </w:r>
            <w:r>
              <w:rPr>
                <w:rFonts w:hint="eastAsia" w:ascii="宋体" w:hAnsi="宋体" w:cs="宋体"/>
                <w:color w:val="000000"/>
                <w:kern w:val="0"/>
                <w:sz w:val="18"/>
                <w:szCs w:val="18"/>
                <w:highlight w:val="none"/>
                <w:lang w:val="en-US" w:eastAsia="zh-CN"/>
              </w:rPr>
              <w:t>阅读处理：</w:t>
            </w:r>
            <w:r>
              <w:rPr>
                <w:rFonts w:hint="eastAsia" w:ascii="宋体" w:hAnsi="宋体" w:cs="宋体"/>
                <w:color w:val="000000"/>
                <w:kern w:val="0"/>
                <w:sz w:val="18"/>
                <w:szCs w:val="18"/>
                <w:highlight w:val="none"/>
              </w:rPr>
              <w:t>支持医生阅读危急值消息并处理。</w:t>
            </w:r>
          </w:p>
          <w:p w14:paraId="6F08C8CA">
            <w:pPr>
              <w:widowControl/>
              <w:numPr>
                <w:ilvl w:val="0"/>
                <w:numId w:val="0"/>
              </w:numPr>
              <w:shd w:val="clear"/>
              <w:jc w:val="left"/>
              <w:rPr>
                <w:rFonts w:ascii="宋体" w:hAnsi="宋体" w:cs="宋体"/>
                <w:color w:val="000000"/>
                <w:kern w:val="0"/>
                <w:sz w:val="18"/>
                <w:szCs w:val="18"/>
                <w:highlight w:val="none"/>
              </w:rPr>
            </w:pPr>
            <w:r>
              <w:rPr>
                <w:rFonts w:ascii="宋体" w:hAnsi="宋体" w:eastAsia="宋体" w:cs="宋体"/>
                <w:color w:val="000000"/>
                <w:kern w:val="0"/>
                <w:sz w:val="18"/>
                <w:szCs w:val="18"/>
                <w:highlight w:val="none"/>
                <w:lang w:val="en-US" w:eastAsia="zh-CN" w:bidi="ar-SA"/>
              </w:rPr>
              <w:t>1</w:t>
            </w:r>
            <w:r>
              <w:rPr>
                <w:rFonts w:hint="eastAsia" w:ascii="宋体" w:hAnsi="宋体" w:cs="宋体"/>
                <w:color w:val="000000"/>
                <w:kern w:val="0"/>
                <w:sz w:val="18"/>
                <w:szCs w:val="18"/>
                <w:highlight w:val="none"/>
                <w:lang w:val="en-US" w:eastAsia="zh-CN" w:bidi="ar-SA"/>
              </w:rPr>
              <w:t>2</w:t>
            </w:r>
            <w:r>
              <w:rPr>
                <w:rFonts w:ascii="宋体" w:hAnsi="宋体" w:eastAsia="宋体" w:cs="宋体"/>
                <w:color w:val="000000"/>
                <w:kern w:val="0"/>
                <w:sz w:val="18"/>
                <w:szCs w:val="18"/>
                <w:highlight w:val="none"/>
                <w:lang w:val="en-US" w:eastAsia="zh-CN" w:bidi="ar-SA"/>
              </w:rPr>
              <w:t>、</w:t>
            </w:r>
            <w:r>
              <w:rPr>
                <w:rFonts w:hint="eastAsia" w:ascii="宋体" w:hAnsi="宋体" w:cs="宋体"/>
                <w:color w:val="000000"/>
                <w:kern w:val="0"/>
                <w:sz w:val="18"/>
                <w:szCs w:val="18"/>
                <w:highlight w:val="none"/>
              </w:rPr>
              <w:t>检验系统消息提醒：临床处理危急值消息后检验科收到临床处理或未处理的消息。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3</w:t>
            </w:r>
            <w:r>
              <w:rPr>
                <w:rFonts w:hint="eastAsia" w:ascii="宋体" w:hAnsi="宋体" w:cs="宋体"/>
                <w:color w:val="000000"/>
                <w:kern w:val="0"/>
                <w:sz w:val="18"/>
                <w:szCs w:val="18"/>
                <w:highlight w:val="none"/>
              </w:rPr>
              <w:t>、报告查询功能：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报告查询页面方便检验科报告窗口查询患者报告及打印，可通过登记号，病案号，检验号，卡号，流水号，患者姓名精确查找出患者所有状态下的报告，包含登记，初审，复查，取消，审核，打印，未打印。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4</w:t>
            </w:r>
            <w:r>
              <w:rPr>
                <w:rFonts w:hint="eastAsia" w:ascii="宋体" w:hAnsi="宋体" w:cs="宋体"/>
                <w:color w:val="000000"/>
                <w:kern w:val="0"/>
                <w:sz w:val="18"/>
                <w:szCs w:val="18"/>
                <w:highlight w:val="none"/>
              </w:rPr>
              <w:t>、高级查询提供更详细的查询条件：取消自助功能还可重置自助状态，重置后在自助机上可二次打印报告。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、明细查询功能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接收明细查询</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查询条件有时间条件，病人类型，申请科室，工作组，接收用户，运送用户，医嘱及标本类型。</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6</w:t>
            </w:r>
            <w:r>
              <w:rPr>
                <w:rFonts w:hint="eastAsia" w:ascii="宋体" w:hAnsi="宋体" w:cs="宋体"/>
                <w:color w:val="000000"/>
                <w:kern w:val="0"/>
                <w:sz w:val="18"/>
                <w:szCs w:val="18"/>
                <w:highlight w:val="none"/>
              </w:rPr>
              <w:t>、核收明细查询功能：要求查询条件有时间条件，病人类型，申请科室，工作组，医嘱及流水号，接收者，核收者，审核者。查询内容打印和导出，导出可以选择导出保存为表格文件。</w:t>
            </w:r>
          </w:p>
          <w:p w14:paraId="2C51C3D2">
            <w:pPr>
              <w:widowControl/>
              <w:numPr>
                <w:ilvl w:val="0"/>
                <w:numId w:val="0"/>
              </w:numPr>
              <w:shd w:val="clear"/>
              <w:jc w:val="left"/>
              <w:rPr>
                <w:rFonts w:ascii="宋体" w:hAnsi="宋体" w:cs="宋体"/>
                <w:color w:val="000000"/>
                <w:kern w:val="0"/>
                <w:sz w:val="18"/>
                <w:szCs w:val="18"/>
                <w:highlight w:val="none"/>
              </w:rPr>
            </w:pPr>
            <w:r>
              <w:rPr>
                <w:rFonts w:ascii="宋体" w:hAnsi="宋体" w:eastAsia="宋体" w:cs="宋体"/>
                <w:color w:val="000000"/>
                <w:kern w:val="0"/>
                <w:sz w:val="18"/>
                <w:szCs w:val="18"/>
                <w:highlight w:val="none"/>
                <w:lang w:val="en-US" w:eastAsia="zh-CN" w:bidi="ar-SA"/>
              </w:rPr>
              <w:t>1</w:t>
            </w:r>
            <w:r>
              <w:rPr>
                <w:rFonts w:hint="eastAsia" w:ascii="宋体" w:hAnsi="宋体" w:cs="宋体"/>
                <w:color w:val="000000"/>
                <w:kern w:val="0"/>
                <w:sz w:val="18"/>
                <w:szCs w:val="18"/>
                <w:highlight w:val="none"/>
                <w:lang w:val="en-US" w:eastAsia="zh-CN" w:bidi="ar-SA"/>
              </w:rPr>
              <w:t>7</w:t>
            </w:r>
            <w:r>
              <w:rPr>
                <w:rFonts w:ascii="宋体" w:hAnsi="宋体" w:eastAsia="宋体" w:cs="宋体"/>
                <w:color w:val="000000"/>
                <w:kern w:val="0"/>
                <w:sz w:val="18"/>
                <w:szCs w:val="18"/>
                <w:highlight w:val="none"/>
                <w:lang w:val="en-US" w:eastAsia="zh-CN" w:bidi="ar-SA"/>
              </w:rPr>
              <w:t>、</w:t>
            </w:r>
            <w:r>
              <w:rPr>
                <w:rFonts w:hint="eastAsia" w:ascii="宋体" w:hAnsi="宋体" w:cs="宋体"/>
                <w:color w:val="000000"/>
                <w:kern w:val="0"/>
                <w:sz w:val="18"/>
                <w:szCs w:val="18"/>
                <w:highlight w:val="none"/>
              </w:rPr>
              <w:t>拒收明细查询功能：要求查询条件有时间条件，申请科室，工作组，病区，拒收类型，拒收人。查询内容打印和导出，导出可以选择导出保存为表格文件。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8</w:t>
            </w:r>
            <w:r>
              <w:rPr>
                <w:rFonts w:hint="eastAsia" w:ascii="宋体" w:hAnsi="宋体" w:cs="宋体"/>
                <w:color w:val="000000"/>
                <w:kern w:val="0"/>
                <w:sz w:val="18"/>
                <w:szCs w:val="18"/>
                <w:highlight w:val="none"/>
              </w:rPr>
              <w:t>、危急报告查询功能：要求查询条件有时间条件，申请科室，申请医生，工作组，工作小组，病人类型，是否处理。查询内容打印和导出，导出可以选择导出保存为表格文件。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9</w:t>
            </w:r>
            <w:r>
              <w:rPr>
                <w:rFonts w:hint="eastAsia" w:ascii="宋体" w:hAnsi="宋体" w:cs="宋体"/>
                <w:color w:val="000000"/>
                <w:kern w:val="0"/>
                <w:sz w:val="18"/>
                <w:szCs w:val="18"/>
                <w:highlight w:val="none"/>
              </w:rPr>
              <w:t>、报告结果查询：要求查询条件有时间条件，申请科室，工作组，病区，拒收类型，拒收人。查询内容打印和导出，导出可以选择导出保存为表格文件。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20</w:t>
            </w:r>
            <w:r>
              <w:rPr>
                <w:rFonts w:hint="eastAsia" w:ascii="宋体" w:hAnsi="宋体" w:cs="宋体"/>
                <w:color w:val="000000"/>
                <w:kern w:val="0"/>
                <w:sz w:val="18"/>
                <w:szCs w:val="18"/>
                <w:highlight w:val="none"/>
              </w:rPr>
              <w:t>、仪器结果明细查询：要求查询条件有时间条件，检验仪器，申请科室，病人类型。查询内容打印和导出，导出可以选择导出保存为表格文件。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1</w:t>
            </w:r>
            <w:r>
              <w:rPr>
                <w:rFonts w:hint="eastAsia" w:ascii="宋体" w:hAnsi="宋体" w:cs="宋体"/>
                <w:color w:val="000000"/>
                <w:kern w:val="0"/>
                <w:sz w:val="18"/>
                <w:szCs w:val="18"/>
                <w:highlight w:val="none"/>
              </w:rPr>
              <w:t>、标本状态查询功能：要求查询条件有时间条件，登记号，申请科室，申请医生，工作组，病人类型。查询内容打印和导出，导出可以选择导出保存为表格文件。</w:t>
            </w:r>
          </w:p>
          <w:p w14:paraId="3685C11B">
            <w:pPr>
              <w:widowControl/>
              <w:numPr>
                <w:ilvl w:val="0"/>
                <w:numId w:val="0"/>
              </w:numPr>
              <w:shd w:val="clear"/>
              <w:jc w:val="left"/>
              <w:rPr>
                <w:rFonts w:ascii="宋体" w:hAnsi="宋体" w:cs="宋体"/>
                <w:color w:val="000000"/>
                <w:kern w:val="0"/>
                <w:sz w:val="18"/>
                <w:szCs w:val="18"/>
                <w:highlight w:val="none"/>
              </w:rPr>
            </w:pPr>
            <w:r>
              <w:rPr>
                <w:rFonts w:ascii="宋体" w:hAnsi="宋体" w:eastAsia="宋体" w:cs="宋体"/>
                <w:color w:val="000000"/>
                <w:kern w:val="0"/>
                <w:sz w:val="18"/>
                <w:szCs w:val="18"/>
                <w:highlight w:val="none"/>
                <w:lang w:val="en-US" w:eastAsia="zh-CN" w:bidi="ar-SA"/>
              </w:rPr>
              <w:t>2</w:t>
            </w:r>
            <w:r>
              <w:rPr>
                <w:rFonts w:hint="eastAsia" w:ascii="宋体" w:hAnsi="宋体" w:cs="宋体"/>
                <w:color w:val="000000"/>
                <w:kern w:val="0"/>
                <w:sz w:val="18"/>
                <w:szCs w:val="18"/>
                <w:highlight w:val="none"/>
                <w:lang w:val="en-US" w:eastAsia="zh-CN" w:bidi="ar-SA"/>
              </w:rPr>
              <w:t>2</w:t>
            </w:r>
            <w:r>
              <w:rPr>
                <w:rFonts w:ascii="宋体" w:hAnsi="宋体" w:eastAsia="宋体" w:cs="宋体"/>
                <w:color w:val="000000"/>
                <w:kern w:val="0"/>
                <w:sz w:val="18"/>
                <w:szCs w:val="18"/>
                <w:highlight w:val="none"/>
                <w:lang w:val="en-US" w:eastAsia="zh-CN" w:bidi="ar-SA"/>
              </w:rPr>
              <w:t>、</w:t>
            </w:r>
            <w:r>
              <w:rPr>
                <w:rFonts w:hint="eastAsia" w:ascii="宋体" w:hAnsi="宋体" w:cs="宋体"/>
                <w:color w:val="000000"/>
                <w:kern w:val="0"/>
                <w:sz w:val="18"/>
                <w:szCs w:val="18"/>
                <w:highlight w:val="none"/>
              </w:rPr>
              <w:t>取消审核查询功能：要求查询条件有时间条件，取消审核人，申请科室，病区。查询内容打印和导出，导出可以选择导出保存为表格文件。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3</w:t>
            </w:r>
            <w:r>
              <w:rPr>
                <w:rFonts w:hint="eastAsia" w:ascii="宋体" w:hAnsi="宋体" w:cs="宋体"/>
                <w:color w:val="000000"/>
                <w:kern w:val="0"/>
                <w:sz w:val="18"/>
                <w:szCs w:val="18"/>
                <w:highlight w:val="none"/>
              </w:rPr>
              <w:t>、收藏报告查询功能：要求查询条件有时间条件，申请医生，病人类型，申请科室，检验医生，检验医嘱，工作组，工作小组，审核医生，标本类型，收藏类型。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4</w:t>
            </w:r>
            <w:r>
              <w:rPr>
                <w:rFonts w:hint="eastAsia" w:ascii="宋体" w:hAnsi="宋体" w:cs="宋体"/>
                <w:color w:val="000000"/>
                <w:kern w:val="0"/>
                <w:sz w:val="18"/>
                <w:szCs w:val="18"/>
                <w:highlight w:val="none"/>
              </w:rPr>
              <w:t>、统计汇总功能，具体要求如下：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（1）工作量综合统计：要求根据时间类型、日期范围、工作组，病人类型等查询条件统计工作量，查询条件可以根据选择内容定义表格列头，组合出不同形式的表单。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（3）工作小组工作量查询功能：要求查询条件有时间条件，病人类型，工作组，工作小组，项目。查询内容打印和导出，导出可以选择导出保存为文件。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（4）仪器结果汇总功能：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查询仪器均值，标准值，最大最小值，变异系数。查询条件有时间条件，仪器，申请科室，病人类型，要求查询内容打印和导出，导出可以选择导出保存为表格文件。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（5）项目阳性率统计：要求查询条件有时间条件，申请科室，工作组，工作小组，检测项目，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5</w:t>
            </w:r>
            <w:r>
              <w:rPr>
                <w:rFonts w:hint="eastAsia" w:ascii="宋体" w:hAnsi="宋体" w:cs="宋体"/>
                <w:color w:val="000000"/>
                <w:kern w:val="0"/>
                <w:sz w:val="18"/>
                <w:szCs w:val="18"/>
                <w:highlight w:val="none"/>
              </w:rPr>
              <w:t>、统计可有效展示科室工作集中度，工作强度，各阶段工作合格率。具体要求如下：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运送工作集中度，接收工作集中度，核收工作集中度，审核工作集中度；采集到运送工作强度，采集到接收工作强度，采集到核收工作强度，采集到审核工作强度，送检到接收工作强度，送检到核收工作强度，送检到审核工作强度，接收到核收工作强度，接收到审核工作强度，申请到接收工作强度，申请到核收工作强度，申请到审核工作强度，核收到审核工作强度；采集到审核合格率，接收到审核合格率，核收到审核合格率，采集到接收合格率，采集到核收合格率，接收到核收合格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（2）接收工作集中度查询：要求查询条件有时间条件，申请科室，工作组，工作小组，病人类型，优先级，要求查询内容打印和导出，导出可以选择导出保存为表格文件。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（3）审核工作集中度查询：要求查询条件有时间条件，申请科室，工作组，工作小组，病人类型，优先级，查询内容打印和导出，导出可以选择导出保存为表格文件。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（4）标本汇总查询功能：要求条件有时间条件，申请科室，病人类型，优先级，查询内容打印和导出，导出可以选择导出保存为表格文件。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接收至审核合格率：查询时间条件分为年统计，月统计，精确到每日时间，要求查询内容打印和导出，导出可以选择导出保存为表格文件。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（5）汇总（按照核收时间查询）功能：要求查询有时间条件申请科室，病人类型，各操作动作，优先级等，要求查询内容打印和导出，导出可以选择导出保存为表格文件。</w:t>
            </w:r>
          </w:p>
          <w:p w14:paraId="632D8384">
            <w:pPr>
              <w:widowControl/>
              <w:numPr>
                <w:ilvl w:val="0"/>
                <w:numId w:val="0"/>
              </w:numPr>
              <w:shd w:val="clear"/>
              <w:jc w:val="left"/>
              <w:rPr>
                <w:rFonts w:ascii="宋体" w:hAnsi="宋体" w:cs="宋体"/>
                <w:color w:val="000000"/>
                <w:kern w:val="0"/>
                <w:sz w:val="18"/>
                <w:szCs w:val="18"/>
                <w:highlight w:val="none"/>
              </w:rPr>
            </w:pPr>
            <w:r>
              <w:rPr>
                <w:rFonts w:ascii="宋体" w:hAnsi="宋体" w:eastAsia="宋体" w:cs="宋体"/>
                <w:color w:val="000000"/>
                <w:kern w:val="0"/>
                <w:sz w:val="18"/>
                <w:szCs w:val="18"/>
                <w:highlight w:val="none"/>
                <w:lang w:val="en-US" w:eastAsia="zh-CN" w:bidi="ar-SA"/>
              </w:rPr>
              <w:t>2</w:t>
            </w:r>
            <w:r>
              <w:rPr>
                <w:rFonts w:hint="eastAsia" w:ascii="宋体" w:hAnsi="宋体" w:cs="宋体"/>
                <w:color w:val="000000"/>
                <w:kern w:val="0"/>
                <w:sz w:val="18"/>
                <w:szCs w:val="18"/>
                <w:highlight w:val="none"/>
                <w:lang w:val="en-US" w:eastAsia="zh-CN" w:bidi="ar-SA"/>
              </w:rPr>
              <w:t>6</w:t>
            </w:r>
            <w:r>
              <w:rPr>
                <w:rFonts w:ascii="宋体" w:hAnsi="宋体" w:eastAsia="宋体" w:cs="宋体"/>
                <w:color w:val="000000"/>
                <w:kern w:val="0"/>
                <w:sz w:val="18"/>
                <w:szCs w:val="18"/>
                <w:highlight w:val="none"/>
                <w:lang w:val="en-US" w:eastAsia="zh-CN" w:bidi="ar-SA"/>
              </w:rPr>
              <w:t>、</w:t>
            </w:r>
            <w:r>
              <w:rPr>
                <w:rFonts w:hint="eastAsia" w:ascii="宋体" w:hAnsi="宋体" w:cs="宋体"/>
                <w:color w:val="000000"/>
                <w:kern w:val="0"/>
                <w:sz w:val="18"/>
                <w:szCs w:val="18"/>
                <w:highlight w:val="none"/>
              </w:rPr>
              <w:t>实验室质量指标，具体功能要求如下：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（1）实验室质量指标汇总功能：要求可概览医嘱专业组中位数（含检验前周转时间，实验室内周转中位数），项目组中位数，危急值通报率，标本可接受性，血培养污染率</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（2）标本可接受性查询功能：要求查询条件有时间条件，</w:t>
            </w:r>
            <w:r>
              <w:rPr>
                <w:rFonts w:hint="eastAsia" w:ascii="宋体" w:hAnsi="宋体" w:cs="宋体"/>
                <w:color w:val="000000"/>
                <w:kern w:val="0"/>
                <w:sz w:val="18"/>
                <w:szCs w:val="18"/>
                <w:highlight w:val="none"/>
                <w:lang w:eastAsia="zh-CN"/>
              </w:rPr>
              <w:t>年份</w:t>
            </w:r>
            <w:r>
              <w:rPr>
                <w:rFonts w:hint="eastAsia" w:ascii="宋体" w:hAnsi="宋体" w:cs="宋体"/>
                <w:color w:val="000000"/>
                <w:kern w:val="0"/>
                <w:sz w:val="18"/>
                <w:szCs w:val="18"/>
                <w:highlight w:val="none"/>
              </w:rPr>
              <w:t>，月份，季度，病人类型。查询内容打印和导出，导出可以选择导出保存为表格文件。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（3）危急值通报率查询功能：要求查询条件有时间条件，</w:t>
            </w:r>
            <w:r>
              <w:rPr>
                <w:rFonts w:hint="eastAsia" w:ascii="宋体" w:hAnsi="宋体" w:cs="宋体"/>
                <w:color w:val="000000"/>
                <w:kern w:val="0"/>
                <w:sz w:val="18"/>
                <w:szCs w:val="18"/>
                <w:highlight w:val="none"/>
                <w:lang w:eastAsia="zh-CN"/>
              </w:rPr>
              <w:t>年份</w:t>
            </w:r>
            <w:r>
              <w:rPr>
                <w:rFonts w:hint="eastAsia" w:ascii="宋体" w:hAnsi="宋体" w:cs="宋体"/>
                <w:color w:val="000000"/>
                <w:kern w:val="0"/>
                <w:sz w:val="18"/>
                <w:szCs w:val="18"/>
                <w:highlight w:val="none"/>
              </w:rPr>
              <w:t>，月份，季度，病人类型。查询内容打印和导出，导出可以选择导出保存为表格文件。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（4）医嘱专业组中位数查询功能：要求查询条件有时间条件，</w:t>
            </w:r>
            <w:r>
              <w:rPr>
                <w:rFonts w:hint="eastAsia" w:ascii="宋体" w:hAnsi="宋体" w:cs="宋体"/>
                <w:color w:val="000000"/>
                <w:kern w:val="0"/>
                <w:sz w:val="18"/>
                <w:szCs w:val="18"/>
                <w:highlight w:val="none"/>
                <w:lang w:eastAsia="zh-CN"/>
              </w:rPr>
              <w:t>年份</w:t>
            </w:r>
            <w:r>
              <w:rPr>
                <w:rFonts w:hint="eastAsia" w:ascii="宋体" w:hAnsi="宋体" w:cs="宋体"/>
                <w:color w:val="000000"/>
                <w:kern w:val="0"/>
                <w:sz w:val="18"/>
                <w:szCs w:val="18"/>
                <w:highlight w:val="none"/>
              </w:rPr>
              <w:t>，月份，季度，病人类型。查询内容打印和导出，导出可以选择导出保存为表格文件。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（5）项目组中位数查询功能：要求查询条件有时间条件，</w:t>
            </w:r>
            <w:r>
              <w:rPr>
                <w:rFonts w:hint="eastAsia" w:ascii="宋体" w:hAnsi="宋体" w:cs="宋体"/>
                <w:color w:val="000000"/>
                <w:kern w:val="0"/>
                <w:sz w:val="18"/>
                <w:szCs w:val="18"/>
                <w:highlight w:val="none"/>
                <w:lang w:eastAsia="zh-CN"/>
              </w:rPr>
              <w:t>年份</w:t>
            </w:r>
            <w:r>
              <w:rPr>
                <w:rFonts w:hint="eastAsia" w:ascii="宋体" w:hAnsi="宋体" w:cs="宋体"/>
                <w:color w:val="000000"/>
                <w:kern w:val="0"/>
                <w:sz w:val="18"/>
                <w:szCs w:val="18"/>
                <w:highlight w:val="none"/>
              </w:rPr>
              <w:t>，月份，季度，病人类型。查询内容打印和导出，导出可以选择导出保存为表格文件。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（6）专业组TAT中位数查询功能：要求查询条件有时间条件，</w:t>
            </w:r>
            <w:r>
              <w:rPr>
                <w:rFonts w:hint="eastAsia" w:ascii="宋体" w:hAnsi="宋体" w:cs="宋体"/>
                <w:color w:val="000000"/>
                <w:kern w:val="0"/>
                <w:sz w:val="18"/>
                <w:szCs w:val="18"/>
                <w:highlight w:val="none"/>
                <w:lang w:eastAsia="zh-CN"/>
              </w:rPr>
              <w:t>年份</w:t>
            </w:r>
            <w:r>
              <w:rPr>
                <w:rFonts w:hint="eastAsia" w:ascii="宋体" w:hAnsi="宋体" w:cs="宋体"/>
                <w:color w:val="000000"/>
                <w:kern w:val="0"/>
                <w:sz w:val="18"/>
                <w:szCs w:val="18"/>
                <w:highlight w:val="none"/>
              </w:rPr>
              <w:t>，月份，季度，病人类型。查询内容打印和导出，导出可以选择导出保存为表格文件。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（7）血培养污染率查询功能：要求查询条件有时间条件，</w:t>
            </w:r>
            <w:r>
              <w:rPr>
                <w:rFonts w:hint="eastAsia" w:ascii="宋体" w:hAnsi="宋体" w:cs="宋体"/>
                <w:color w:val="000000"/>
                <w:kern w:val="0"/>
                <w:sz w:val="18"/>
                <w:szCs w:val="18"/>
                <w:highlight w:val="none"/>
                <w:lang w:eastAsia="zh-CN"/>
              </w:rPr>
              <w:t>年份</w:t>
            </w:r>
            <w:r>
              <w:rPr>
                <w:rFonts w:hint="eastAsia" w:ascii="宋体" w:hAnsi="宋体" w:cs="宋体"/>
                <w:color w:val="000000"/>
                <w:kern w:val="0"/>
                <w:sz w:val="18"/>
                <w:szCs w:val="18"/>
                <w:highlight w:val="none"/>
              </w:rPr>
              <w:t>，月份，季度，病人类型。查询内容打印和导出，导出可以选择导出保存为表格文件。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（8）标本可接收性查询功能：要求查询条件有时间条件，</w:t>
            </w:r>
            <w:r>
              <w:rPr>
                <w:rFonts w:hint="eastAsia" w:ascii="宋体" w:hAnsi="宋体" w:cs="宋体"/>
                <w:color w:val="000000"/>
                <w:kern w:val="0"/>
                <w:sz w:val="18"/>
                <w:szCs w:val="18"/>
                <w:highlight w:val="none"/>
                <w:lang w:eastAsia="zh-CN"/>
              </w:rPr>
              <w:t>年份</w:t>
            </w:r>
            <w:r>
              <w:rPr>
                <w:rFonts w:hint="eastAsia" w:ascii="宋体" w:hAnsi="宋体" w:cs="宋体"/>
                <w:color w:val="000000"/>
                <w:kern w:val="0"/>
                <w:sz w:val="18"/>
                <w:szCs w:val="18"/>
                <w:highlight w:val="none"/>
              </w:rPr>
              <w:t>，月份，季度，病人类型。查询内容打印和导出，导出可以选择导出保存为表格文件。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（9）室内质控项目开展率：要求可按工作组，工作小组（仪器）查看开展率。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（10）室间质评项目不合格率：要求可按工作组，工作小组（仪器）查看不合格率。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7</w:t>
            </w:r>
            <w:r>
              <w:rPr>
                <w:rFonts w:hint="eastAsia" w:ascii="宋体" w:hAnsi="宋体" w:cs="宋体"/>
                <w:color w:val="000000"/>
                <w:kern w:val="0"/>
                <w:sz w:val="18"/>
                <w:szCs w:val="18"/>
                <w:highlight w:val="none"/>
              </w:rPr>
              <w:t>、室间质评计划：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（1）提供室间质评结果录入。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（2）提供实验室间比对率。</w:t>
            </w:r>
          </w:p>
          <w:p w14:paraId="4B62BE03">
            <w:pPr>
              <w:widowControl/>
              <w:numPr>
                <w:ilvl w:val="0"/>
                <w:numId w:val="0"/>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28、</w:t>
            </w:r>
            <w:r>
              <w:rPr>
                <w:rFonts w:hint="eastAsia" w:ascii="宋体" w:hAnsi="宋体" w:cs="宋体"/>
                <w:color w:val="000000"/>
                <w:kern w:val="0"/>
                <w:sz w:val="18"/>
                <w:szCs w:val="18"/>
                <w:highlight w:val="none"/>
              </w:rPr>
              <w:t>质量控制功能，具体功能要求如下：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（1）提供L-J图：</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选择日期范围、检测项目，分别查看各类浓度下的质控趋势。L-J方便查看单浓度趋势图，越接近靶值浮动，仪器质量越稳定。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（2）质控规则：要求按照质控物维护的质控规则，显示不同的颜色点。如+3SD线上的点为失控，且用红色标识，在质控图中，该点呈红色。</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（3）失控处理：点击质控点，弹出失控处理界面，双击选择或直接录入失控类型、处理方法、处理结果、临床影响等信息。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编辑质控点：在失控处理界面，录入一新的质控值，点击【添加】，并保存。成功在当前质控图中增加一质控点。也可进行排除和删除质控点操作，排除的质控点不参与判断，可在质控数据界面看到已排除的质控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（5）失控处理功能：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填写失控类型，原因分析，质控处理方法，质控处理结果，质控临床影响，质控预防措施。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（6）支持Z分数图：要求Z分数图可同时显示多种类型的浓度，方便各浓度之间的对比。</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（7）支持WestGuard图：要求WestGuard图可同时以多张图形式展现各浓度变化。</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（8）支持优顿图：要求可以方便查看质控两个浓度间的收放趋势。越靠近中心区域的点，离靶值越近，仪器效果越好。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（9）提供8-N图：要求方便查看多个项目最近八天的质控情况，适用于按医嘱查看质控。可同时选择全部检测项目和全部的浓度显示。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（10）提供质控对比图：要求可对同一个检测项目下，不同浓度的质控图进行对比。可以对比一个仪器的不同浓度的质控，也可以对比两台仪器的质控效果。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（11）提供日间质控：要求方便查看多个项目一天的质控情况。快速知道某个项目是否在控。日间质控只能查看到一天的质控信息。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（12）提供定性质控：要求未维护定性质控的检测项目，质控结果以Z分数图的形式显现。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（13）提供质控监控功能：要求可直观的显示一个仪器多个项目多个浓度的质控情况。选择日期和检测项目可查询显示对应的质控监控。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（14）通过质控图：选择默认图L-J、Z分数图和WestGard图三类。可查看当天质控图。进行失控处理，失控评价等操作。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（15）提供质控月报：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选择月份、开始结束日期、质控物等条件，可查询指定月份内，项目的质控情况，包括失控率、使用靶值、本月SD值等。质控月报界面给医院提供上报质控情况。也可进行打印、导出操作。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（16）提供质控年报：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选择年份，仪器，查询出一年的质控项目，通过质控项目明细内容查看，要求可显示相应质控项目的失控情况。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（17）提供质控上报：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查看、上报质控项目对应的质控结果，可导出。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（18）提供质控失控查询功能：要求查看质控项目的失控情况，也可进行失控处理。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（19）提供质控操作日志功能：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选择日期、检测仪器，查看当前所有的质控操作记录。</w:t>
            </w:r>
          </w:p>
          <w:p w14:paraId="3F7C98D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9</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基础数据信息维护</w:t>
            </w:r>
            <w:r>
              <w:rPr>
                <w:rFonts w:hint="eastAsia" w:ascii="宋体" w:hAnsi="宋体" w:cs="宋体"/>
                <w:color w:val="000000"/>
                <w:kern w:val="0"/>
                <w:sz w:val="18"/>
                <w:szCs w:val="18"/>
                <w:highlight w:val="none"/>
                <w:lang w:eastAsia="zh-CN"/>
              </w:rPr>
              <w:t>功能</w:t>
            </w:r>
            <w:r>
              <w:rPr>
                <w:rFonts w:hint="eastAsia" w:ascii="宋体" w:hAnsi="宋体" w:cs="宋体"/>
                <w:color w:val="000000"/>
                <w:kern w:val="0"/>
                <w:sz w:val="18"/>
                <w:szCs w:val="18"/>
                <w:highlight w:val="none"/>
              </w:rPr>
              <w:t>，具体功能要求如下：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采集容器维护：可编辑颜色添加图片。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标本类型维护：可维护WhoNet码，标本组。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检测项目维护：维护信息详细；含三方对照码维护可扩展性强；</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特殊检测项结果配置化控制；参考范围维护精确，可适用科室，适用诊断；计算项可维护复杂逻辑规则。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医嘱维护：医嘱信息维护详细；采集提示，取报告提示，报告说明，报告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模式等可配置维护；标本类型及采集容器可添加多个，并可维护条码数量关联采集部位。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val="en-US" w:eastAsia="zh-CN"/>
              </w:rPr>
              <w:t>30</w:t>
            </w:r>
            <w:r>
              <w:rPr>
                <w:rFonts w:hint="eastAsia" w:ascii="宋体" w:hAnsi="宋体" w:cs="宋体"/>
                <w:color w:val="000000"/>
                <w:kern w:val="0"/>
                <w:sz w:val="18"/>
                <w:szCs w:val="18"/>
                <w:highlight w:val="none"/>
              </w:rPr>
              <w:t>、系统权限管理</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用户维护：可维护默认访问，配置不同安全菜单组权限，可以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配置用户级别，限制用户访问数据权限。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安全组菜单：可维护不同安全组访问页面，及功能点。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工作组默认设置：工作组级控制及默认设置。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工作小组默认设置：工作小组级控制及默认设置。</w:t>
            </w:r>
          </w:p>
        </w:tc>
        <w:tc>
          <w:tcPr>
            <w:tcW w:w="255" w:type="pct"/>
            <w:shd w:val="clear" w:color="auto" w:fill="auto"/>
            <w:vAlign w:val="center"/>
          </w:tcPr>
          <w:p w14:paraId="1C034BE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2EE4ED1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135000</w:t>
            </w:r>
          </w:p>
        </w:tc>
        <w:tc>
          <w:tcPr>
            <w:tcW w:w="313" w:type="pct"/>
            <w:shd w:val="clear" w:color="auto" w:fill="auto"/>
            <w:vAlign w:val="center"/>
          </w:tcPr>
          <w:p w14:paraId="7F607A7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135000</w:t>
            </w:r>
          </w:p>
        </w:tc>
      </w:tr>
      <w:tr w14:paraId="6FA6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664087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218" w:type="pct"/>
            <w:vMerge w:val="restart"/>
            <w:shd w:val="clear" w:color="auto" w:fill="auto"/>
            <w:vAlign w:val="center"/>
          </w:tcPr>
          <w:p w14:paraId="7948A90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医政管理</w:t>
            </w:r>
          </w:p>
        </w:tc>
        <w:tc>
          <w:tcPr>
            <w:tcW w:w="509" w:type="pct"/>
            <w:gridSpan w:val="2"/>
            <w:shd w:val="clear" w:color="auto" w:fill="auto"/>
            <w:vAlign w:val="center"/>
          </w:tcPr>
          <w:p w14:paraId="37391B2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重大非传染病疾病上报系统</w:t>
            </w:r>
          </w:p>
        </w:tc>
        <w:tc>
          <w:tcPr>
            <w:tcW w:w="3247" w:type="pct"/>
            <w:shd w:val="clear" w:color="auto" w:fill="auto"/>
            <w:vAlign w:val="center"/>
          </w:tcPr>
          <w:p w14:paraId="2B1F94C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1、报告填报：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登记病人基本信息、诊断信息以及上报重大非传染性疾病所要求填写的疾病相关信息等。其中病人基本信息大部分可从系统中自动提取，且保存报告时系统会进行数据完整性检测，保证数据的完整性、正确性。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2、报告审核：</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临床医生填报报告卡后，管理人员可在报告查询页面查到该份报告，打开报告对填写内容进行审核。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3、报告导出和打印：要求对于已经审核的报告支持报告导出和打印，方便存档。在报告查询页面也可对查询出的报告记录做导出操作。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4、查询统计：要求</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通过报告时间查询报告记录，查询出的结果包含报告基本信息和患者基本信息。并且查询出的结果可支持导出操作。</w:t>
            </w:r>
          </w:p>
        </w:tc>
        <w:tc>
          <w:tcPr>
            <w:tcW w:w="255" w:type="pct"/>
            <w:shd w:val="clear" w:color="auto" w:fill="auto"/>
            <w:vAlign w:val="center"/>
          </w:tcPr>
          <w:p w14:paraId="3E4E51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2E0A422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41C01F6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2C69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1EF7CF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218" w:type="pct"/>
            <w:vMerge w:val="continue"/>
            <w:vAlign w:val="center"/>
          </w:tcPr>
          <w:p w14:paraId="0923D659">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36D8F2D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食源性疾病管理</w:t>
            </w:r>
          </w:p>
        </w:tc>
        <w:tc>
          <w:tcPr>
            <w:tcW w:w="3247" w:type="pct"/>
            <w:shd w:val="clear" w:color="auto" w:fill="auto"/>
            <w:vAlign w:val="center"/>
          </w:tcPr>
          <w:p w14:paraId="0D0A9FA6">
            <w:pPr>
              <w:widowControl/>
              <w:numPr>
                <w:ilvl w:val="0"/>
                <w:numId w:val="14"/>
              </w:numPr>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报告填报：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登记病人基本信息、诊断信息以及上报食源性疾病所要求填写的疾病信息等。其中病人基本信息大部分可从系统中自动提取，且保存报告时系统会进行数据完整性检测，保证数据的完整性、正确性。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2、报告审核：</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临床医生填报报告后，管理人员可在报告查询页面查到该份报告，打开报告对填写内容进行审核。</w:t>
            </w:r>
          </w:p>
          <w:p w14:paraId="66C4E886">
            <w:pPr>
              <w:widowControl/>
              <w:numPr>
                <w:ilvl w:val="0"/>
                <w:numId w:val="0"/>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3、报告导出和打印：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对于已经审核的报告，支持报告导出和打印，便于存档。查询统计：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通过报告时间、疾病分类等查询报告记录，查询结果包含报告基本信息和患者基本信息等，查询结果可导出，便于统计分析。</w:t>
            </w:r>
          </w:p>
        </w:tc>
        <w:tc>
          <w:tcPr>
            <w:tcW w:w="255" w:type="pct"/>
            <w:shd w:val="clear" w:color="auto" w:fill="auto"/>
            <w:vAlign w:val="center"/>
          </w:tcPr>
          <w:p w14:paraId="7C75B68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7C3F738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04857A0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5990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6F40A1F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218" w:type="pct"/>
            <w:vMerge w:val="continue"/>
            <w:vAlign w:val="center"/>
          </w:tcPr>
          <w:p w14:paraId="4EA70063">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489B2CB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传染病管理</w:t>
            </w:r>
          </w:p>
        </w:tc>
        <w:tc>
          <w:tcPr>
            <w:tcW w:w="3247" w:type="pct"/>
            <w:shd w:val="clear" w:color="auto" w:fill="auto"/>
            <w:vAlign w:val="center"/>
          </w:tcPr>
          <w:p w14:paraId="5BE0546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1、诊间填报：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临床医生在下诊断时，系统自动检查诊断是否传染病诊断，如果是传染病诊断，并根据传染病的分类、时效性要求、年龄要求、历史报告来判断强制报卡或提示报卡。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2、主动填报：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临床确诊传染病后主动报卡，登记病人基本信息、诊断信息等。其中病人基本信息大部分可从系统中自动提取，且保存报告时系统会进行数据完整性、正确性检测。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3、报告查询：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可按照报告时间、科室、院区、报告状态进行传染病报告查询，查询结果包含报告基本信息和患者基本信息等，查询结果可导出，便于统计分析。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4、报告审核：</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临床医生填报报告后，管理人员可在报告查询页面查到该份报告，打开报告对填写内容进行审核。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5、报告导出和打印：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对于已经审核的报告，支持报告导出和打印。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6、传染病监控：</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基于临床诊断、检验结果、影像检查结果进行传染病筛查，结合传染病报卡情况筛查传染病漏报、误报，管理科室对筛查结果进行处置，处置结果反馈给临床科室，提示补录报卡或订正报卡。</w:t>
            </w:r>
          </w:p>
        </w:tc>
        <w:tc>
          <w:tcPr>
            <w:tcW w:w="255" w:type="pct"/>
            <w:shd w:val="clear" w:color="auto" w:fill="auto"/>
            <w:vAlign w:val="center"/>
          </w:tcPr>
          <w:p w14:paraId="7322BA9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3ECCA0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321E35C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311E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081B4F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23</w:t>
            </w:r>
          </w:p>
        </w:tc>
        <w:tc>
          <w:tcPr>
            <w:tcW w:w="218" w:type="pct"/>
            <w:vMerge w:val="continue"/>
            <w:vAlign w:val="center"/>
          </w:tcPr>
          <w:p w14:paraId="4B63F88B">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6A83E86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临床路径管理系统</w:t>
            </w:r>
          </w:p>
        </w:tc>
        <w:tc>
          <w:tcPr>
            <w:tcW w:w="3247" w:type="pct"/>
            <w:shd w:val="clear" w:color="auto" w:fill="auto"/>
            <w:vAlign w:val="center"/>
          </w:tcPr>
          <w:p w14:paraId="1DD77D6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1、表单导入：要求</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导入特定格式的表格，以简化制作表单过程。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2、表单维护：要求</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对表单基本信息、准入信息、阶段信息、项目信息、医嘱项目等进行增加、修改、删除操作。支持表单版本新建、发布、删除、导出操作。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3、出入径管理：要求</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两种入径方式，一是提醒入径，即在临床医生录入诊断时，自动判断是否符合入径标准，如果符合则弹出提示，选择相应路径后入径；另一种主动入径，即直接打开临床路径页签，选择路径后进入执行页面。在提醒入径时，可以选择不入径原因，做不入径申请。当路径执行过程中出现重大变异，不适合继续执行时，可以做出径操作。在出径时，需要选择出径原因类型，并填写具体原因。当表单各阶段内容都执行完后，可以进行完成操作，标志本次临床路径正常结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4、表单执行：</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进入临床路径后，护士可以对表单中的主要护理工作进行执行、撤销操作；医生可以对表单中的主要诊疗工作和重点医嘱进行执行、撤销操作。在每阶段执行结束后医生、护士将分别做签名操作，表示本阶段工作已经完成，并自动进入到下一个阶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5、添加变异：首先，在医生录入医嘱时，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自动判断是否为表单外的医嘱，如果是，则弹出提示，需要为每条表单外医嘱添加变异原因；其次，在每阶段结束前签名时，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会筛查出未执行的项目，提醒医生、护士去执行或者添加不执行的变异原因。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6、表单打印：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两种打印，一是打印患者知情同意书，二是打印表单执行记录。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7、查询统计：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入径日期、科室、状态（入径、出径、完成）查询出入径记录；支持按申请日期、申请类型（入径申请、出径申请）、申请状态（拒绝、通过）查询申请记录。同时支持按科室或者按病种统计临床路径月报表，其中数据包括科室、路径、病种、入径率、完成率、出径率、变异率、费用、住院天数等信息。</w:t>
            </w:r>
          </w:p>
        </w:tc>
        <w:tc>
          <w:tcPr>
            <w:tcW w:w="255" w:type="pct"/>
            <w:shd w:val="clear" w:color="auto" w:fill="auto"/>
            <w:vAlign w:val="center"/>
          </w:tcPr>
          <w:p w14:paraId="45D4287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B3F23A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4BCFA16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279AA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C4D051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24</w:t>
            </w:r>
          </w:p>
        </w:tc>
        <w:tc>
          <w:tcPr>
            <w:tcW w:w="218" w:type="pct"/>
            <w:vMerge w:val="continue"/>
            <w:vAlign w:val="center"/>
          </w:tcPr>
          <w:p w14:paraId="3A629120">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2DC1528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死亡证明书管理</w:t>
            </w:r>
          </w:p>
        </w:tc>
        <w:tc>
          <w:tcPr>
            <w:tcW w:w="3247" w:type="pct"/>
            <w:shd w:val="clear" w:color="auto" w:fill="auto"/>
            <w:vAlign w:val="center"/>
          </w:tcPr>
          <w:p w14:paraId="1056DEF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1、报告信息登记：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针对居民医学死亡证明书临床数据采集，实现死亡患者相关信息的自动提取；临床医护人员对报告信息进行核对、修改及补录工作。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2、三联打印：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临床医师完成居民医学死亡证明书填报后，打印居民医学死亡证明书三联报告。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3、报告初审：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对居民医学死亡证明书疾病编码与登记信息的审核工作。包括对临床登记信息进行初步审核，如内容有出入，指导临床及时修正；对导致死亡的疾病或情况进行编码，维护根本死因及损伤中毒编码。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4、首联打印：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居民医学死亡证明书的首联打印，与病历一起归档。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5、报告终审：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居民医学死亡证明书登记信息进行审核。包括：对临床登记信息进行再次审核，如内容有出入，指导临床及时修正；审核通过的居民医学死亡证明书及时上报疾控处。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6、三联打印授权：</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基于居民医学死亡证明书严格管控的要求，增加了打印授权功能。对于三联打印过后，不允许再重复打印；特殊情况需要再次打印，先申请，管理科室三联打印授权后，才可以再次打印。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7、首联打印授权：</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基于居民医学死亡证明书严格管控的要求，增加了打印授权功能；对于首联打印过后，不允许再重复打印；特殊情况需要再次打印，先申请，管理科室首联打印授权后，才可以再次打印。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8、报告查询：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根据查询条件，查询各临床科室填报的居民医学死亡证明书列表；双击查看居民医学死亡证明书登记信息；并进行相应的审核操作等。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9、监控月报表：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基于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系统就诊记录及死亡标记，查询各科室死亡患者、漏报情况等；点击病区链接，可查看死亡患者列表。</w:t>
            </w:r>
          </w:p>
        </w:tc>
        <w:tc>
          <w:tcPr>
            <w:tcW w:w="255" w:type="pct"/>
            <w:shd w:val="clear" w:color="auto" w:fill="auto"/>
            <w:vAlign w:val="center"/>
          </w:tcPr>
          <w:p w14:paraId="5CB229F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697329D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0B18CB4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57B5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6EDC6C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25</w:t>
            </w:r>
          </w:p>
        </w:tc>
        <w:tc>
          <w:tcPr>
            <w:tcW w:w="218" w:type="pct"/>
            <w:vMerge w:val="continue"/>
            <w:vAlign w:val="center"/>
          </w:tcPr>
          <w:p w14:paraId="6E05B57C">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2CB5CFD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危急值管理平台</w:t>
            </w:r>
          </w:p>
        </w:tc>
        <w:tc>
          <w:tcPr>
            <w:tcW w:w="3247" w:type="pct"/>
            <w:shd w:val="clear" w:color="auto" w:fill="auto"/>
            <w:vAlign w:val="center"/>
          </w:tcPr>
          <w:p w14:paraId="1D7FA66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1、临床提醒：</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危急值平台接收到医技系统的危急值报告后在</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提醒用户包含消息提醒、图标系统提醒。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2、消息提醒：</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按患者就诊类型，就诊科室、发生时间配置消息接收用户，在</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界面弹出危急值消息提醒，在未处理情况下每隔一段时间就会再次弹出，直到处理完成，确保危急值处理率；支持危急值的多级提醒，当危急值未及时处理时继续向上级发送消息提醒，督促完成危急值的处理。（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3、图标系统提醒：</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当患者存在危急值须处理时，在患者床位图、信息条显示危急值图标，可以快速打开查看患者危急值记录。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4、临床接收：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临床人员看到危急值提醒后，可以查看到患者的基本信息与危急值报告信息，需要先进行危急值接收，后台自动反馈回医技系统。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5、临床处理：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临床人员对危急值的一系列操作：医嘱录入、病程书写。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6、医嘱录入：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链入</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医嘱录入模块，录入医嘱后与危急值记录绑定。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7、病程书写：</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链入电子病历系统，书写危急值病程记录并绑定起来。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8、查询统计：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为医院医务管理部门提供危急值报告记录查询、危急值完成比例报表、危急值分布报表。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（1）危急值查询：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按日期、科室、类型等查询危急值记录、跟踪患者危急值记录。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（2）危急值完成比例：</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以图表的形式展示医院危急值完成情况。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（3）危急值分布：</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统计医院危急值的科室+类型分布情况以及类型+科室分布情况。</w:t>
            </w:r>
          </w:p>
        </w:tc>
        <w:tc>
          <w:tcPr>
            <w:tcW w:w="255" w:type="pct"/>
            <w:shd w:val="clear" w:color="auto" w:fill="auto"/>
            <w:vAlign w:val="center"/>
          </w:tcPr>
          <w:p w14:paraId="38D1460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93506B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48D7AAE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6AE3D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641130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26</w:t>
            </w:r>
          </w:p>
        </w:tc>
        <w:tc>
          <w:tcPr>
            <w:tcW w:w="218" w:type="pct"/>
            <w:vMerge w:val="continue"/>
            <w:vAlign w:val="center"/>
          </w:tcPr>
          <w:p w14:paraId="1C9AB72B">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0610F0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医疗安全(不良)事件</w:t>
            </w:r>
          </w:p>
        </w:tc>
        <w:tc>
          <w:tcPr>
            <w:tcW w:w="3247" w:type="pct"/>
            <w:shd w:val="clear" w:color="auto" w:fill="auto"/>
            <w:vAlign w:val="center"/>
          </w:tcPr>
          <w:p w14:paraId="538F095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1、配置：对不良事件的分类定义、填报内容、审核流程、不良事件等级及严重程度等基础信息维护，同时提供事件评估因素知识库的维护。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2、事件上报：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医疗不良事件、护理不良事件、药品不良事件、输血不良事件、器械不良事件、职业暴露不良事件、感染不良事件、治安消防不良事件、信息安全不良事件、后勤不良事件、非计划再次手术事件、医疗投诉纠纷事件、锐器伤不良事件、医技检查不良事件等不同类别的不良事件进行在线填报，具体功能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（1）支持实名/匿名提交。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（2）支持患者信息自动填充。</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（3）填报内容设计需要人性化，提供必填项提示功能、错误内容提示功能，还可以自动带入填报日期、填报科室、填报人等信息。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3、事件处置：支持实时查询不良事件报告所处的状态，可进行报告的逐级审批、归档等操作。针对不良事件报告要求具有如下功能：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（1）审批：进行报告的审核，审核的同时填写意见。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（2）撤销审批：如果审核或者提交完成以后下一级还没有接收则可以进行撤销审核操作，重新进行审核。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（3）驳回：当报告进行审核的时候，审核人发现报告不合理可以进行驳回操作，将报告驳回给对应的节点。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（4）传阅：可以将报告传阅给具有可查看权限的人员，该人员可针对这份报告提出意见或建议。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（5）反馈：用于各个审批节点，进行反馈内容的填写。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（6）科室评估：支持科室，进行表单化评估填报。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（7）打印：打印当前报告的详细信息。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（8）抄送：可以将报告抄送给需要查看该报告的人员，接收人员只有查看报告的权限。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（9）归档：报告审核完成以后，进行归档操作，此时报告正式审批结束。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（10）案例共享：当患者进行了转科，这份报告可以通过案例共享给新科室，进行不良事件的查询和填报。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（11）重点关注：将特殊的报告案例设置成重点关注，方便查询和学习。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（12）分享：将报告分享出来，可以查看回复列表里面进行报告的在线评论。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（13）鱼骨图：可以进行鱼骨图分析。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（14）事件查询：可以查看全院上报的不良事件记录，可以根据查询条件进行检索、记录导出。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（15）超时填报：能统计上报事件中上报时间与发生时间差超过填报时限的记录。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（16）超时审批：能统计超过审批时限的记录。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4、统计分析：支持通过不同维度对上报表单进行统计，分析院内不良事件的发生情况，为医疗质量管理者提供决策数据。具体功能要求如下：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（1）报告质量：从上报人员职称、当事人职称、事件等级方面进行统计分析。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（2）处置质量：从各科室处置例数、处置满意度、是否超时处置等方面进行统计分析。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（3）事件分析：从发生时段、发生场所、患者年龄性别等方面进行不良事件的统计分析。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（4）综合查询：根据不同维度生成各类报表，实现不良事件例数的统计。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5、系统管理：支持对医院医疗安全（不良）事件相关的业务字典、系统用户、科室信息、资源权限等基础信息的管理。</w:t>
            </w:r>
          </w:p>
        </w:tc>
        <w:tc>
          <w:tcPr>
            <w:tcW w:w="255" w:type="pct"/>
            <w:shd w:val="clear" w:color="auto" w:fill="auto"/>
            <w:vAlign w:val="center"/>
          </w:tcPr>
          <w:p w14:paraId="28B6CAE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3507FBE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553CFF6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3CB2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24475D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27</w:t>
            </w:r>
          </w:p>
        </w:tc>
        <w:tc>
          <w:tcPr>
            <w:tcW w:w="218" w:type="pct"/>
            <w:vMerge w:val="continue"/>
            <w:vAlign w:val="center"/>
          </w:tcPr>
          <w:p w14:paraId="4B0F1EB9">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784D0D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抗菌药分级管理系统</w:t>
            </w:r>
          </w:p>
        </w:tc>
        <w:tc>
          <w:tcPr>
            <w:tcW w:w="3247" w:type="pct"/>
            <w:shd w:val="clear" w:color="auto" w:fill="auto"/>
            <w:vAlign w:val="center"/>
          </w:tcPr>
          <w:p w14:paraId="1849607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1、抗菌药物权限管理：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不同的就诊类型，医生对各级别抗菌药物的权限管理，系统中权限分为级别权限和医生权限，只需维护级别权限，医生权限默认继承于级别权限，医生权限优先于级别权限。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2、抗菌药物流程配置：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针对某种级别的抗菌药物医生无权限时，如何去向上级部门申请的流程管理。系统流程类型分为非特抗药申请流程、特抗药无审核权限申请流程、特抗药有审核权限申请流程三种流程。支持的审核节点有科室预审、会诊、科室审核和最终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3、抗菌药物功能配置：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对抗菌药物各功能进行配置化管理。包括系统开关、常用功能、扩展功能、会诊设置、使用目的管控、碳青霉烯类及替加环素管控等，为整个的抗菌药物维护提供便利。</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4、抗菌药物联合用药管理：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对抗菌药物联合用药进行管理。支持当患者发生联合用药时，需要填写相关的联合用药原因，并且当患者的联次发生变更时，需要填写变更原因。</w:t>
            </w:r>
          </w:p>
        </w:tc>
        <w:tc>
          <w:tcPr>
            <w:tcW w:w="255" w:type="pct"/>
            <w:shd w:val="clear" w:color="auto" w:fill="auto"/>
            <w:vAlign w:val="center"/>
          </w:tcPr>
          <w:p w14:paraId="622AAFE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23914EF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2956A18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1E41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546F567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28</w:t>
            </w:r>
          </w:p>
        </w:tc>
        <w:tc>
          <w:tcPr>
            <w:tcW w:w="218" w:type="pct"/>
            <w:vMerge w:val="restart"/>
            <w:shd w:val="clear" w:color="auto" w:fill="auto"/>
            <w:vAlign w:val="center"/>
          </w:tcPr>
          <w:p w14:paraId="31CE620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w:t>
            </w:r>
          </w:p>
        </w:tc>
        <w:tc>
          <w:tcPr>
            <w:tcW w:w="509" w:type="pct"/>
            <w:gridSpan w:val="2"/>
            <w:shd w:val="clear" w:color="auto" w:fill="auto"/>
            <w:vAlign w:val="center"/>
          </w:tcPr>
          <w:p w14:paraId="25EFB6A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门（急）诊医生电子病历</w:t>
            </w:r>
          </w:p>
        </w:tc>
        <w:tc>
          <w:tcPr>
            <w:tcW w:w="3247" w:type="pct"/>
            <w:shd w:val="clear" w:color="auto" w:fill="auto"/>
            <w:vAlign w:val="center"/>
          </w:tcPr>
          <w:p w14:paraId="439FE2DE">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1、门（急）诊病历编辑相关详细要求如下：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（1）病历创建：</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提供患者就诊后，医师可以创建患者的病历记录的功能。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（2）病历编辑：</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提供门（急）诊医师创建病历后，可以书写、保存病历的功能。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（3）病历签名：</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提供病历书写完成后，医师可以签名，签名可以配置宋体或图片的功能。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（4）病历打印：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提供门诊医师可将签名后的病历打印出来的功能。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（5）病历删除：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提供门诊医师可以删除保存过的有问题病历的功能。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（6）病历数据绑定：</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提供门诊医师在创建患者病历时，引用该患者的基本信息数据的功能。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（7）病历引用：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提供门诊医师可以引用患者历次就诊的病历的功能。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2、病历模板库管理功能相关详细要求如下：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（1）病历目录管理：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按照电子病历基本架构标准管理的标准病历目录数据的功能。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（2）病历模板管理：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实施工程师、高级用户对病历模板进行维护管理的功能。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（3）病历知识库模板管理：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高级用户对知识库进行维护管理的功能。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（4）病历模板版本管理：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高级用户修改模板，得到医务科确认后发布版本的功能。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3、系统配置管理功能相关详细要求如下：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（1）基础字典管理：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项目实施通过基础字典管理新增、修改字典显示的</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系统数据的功能。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（2）数据引用管理：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项目实施或实施维护病历结构化单元需要引用的患者基本信息、医嘱信息、诊断信息、费用信息的功能。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（3）病种管理：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高级用户维护病种以及病种与科室、icd疾病、知识库之间的关联的功能。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（4）图库管理：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高级用户维护图库的功能。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（5）病历导航目录管理：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高级用户维护显示在临床医师书写界面的病历目录的功能。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（6）系统参数管理：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项目实施或实施使用系统参数配置用户各项个性化需求的功能。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4、病历权限管理功能相关详细要求如下：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（1）操作权限管理：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高级用户根据医务科的管理规定，用脚本对病历的操作进行权限管理的功能。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（2）浏览权限管理：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高级用户根据医务科的管理规定，用脚本对病历的浏览进行权限管理的功能。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（3）加载权限管理：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高级用户根据医务科的管理规定，用脚本对病历的加载进行权限管理的功能。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（4）授权权限管理：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高级用户根据医务科的管理规定，用脚本对病历的授权进行权限管理的功能。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（5）创建权限管理：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高级用户根据医务科的管理规定，用脚本对病历的创建进行权限管理的功能。</w:t>
            </w:r>
          </w:p>
          <w:p w14:paraId="394C4B0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6</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支持权限自定义、流程自定义。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5、诊断证明书审核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（1）诊断证明书保存：</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门诊医师对诊断证明书创建、编辑、保存的功能。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（2）诊断证明书签名：</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门诊医师对诊断证明书签名的功能。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（3）门诊办公室审核：</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门诊办公室审核已签名的诊断证明书的功能。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6、门（急）诊病历补打功能相关详细要求如下：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（1）门（急）诊病历保存：</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门诊医师对门（急）诊病历创建、编辑、保存的功能。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（2）门（急）诊病历签名：</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门诊医师对门（急）诊病历签名的功能。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（3）医师或者自助机打印：</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门诊医师或者自助机打印门（急）诊病历的功能。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（4）门（急）诊病历补打：</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门（急）诊护士补打门（急）诊病历的功能。</w:t>
            </w:r>
          </w:p>
        </w:tc>
        <w:tc>
          <w:tcPr>
            <w:tcW w:w="255" w:type="pct"/>
            <w:shd w:val="clear" w:color="auto" w:fill="auto"/>
            <w:vAlign w:val="center"/>
          </w:tcPr>
          <w:p w14:paraId="5BCC6C3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E29044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6B06683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1CDD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70296BB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29</w:t>
            </w:r>
          </w:p>
        </w:tc>
        <w:tc>
          <w:tcPr>
            <w:tcW w:w="218" w:type="pct"/>
            <w:vMerge w:val="continue"/>
            <w:vAlign w:val="center"/>
          </w:tcPr>
          <w:p w14:paraId="2EE2BC69">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44A399E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住院医生电子病历</w:t>
            </w:r>
          </w:p>
        </w:tc>
        <w:tc>
          <w:tcPr>
            <w:tcW w:w="3247" w:type="pct"/>
            <w:shd w:val="clear" w:color="auto" w:fill="auto"/>
            <w:vAlign w:val="center"/>
          </w:tcPr>
          <w:p w14:paraId="3B74F0A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1、病历模板库管理功能要求详细说明如下：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（1）病历目录管理：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按照电子病历基本架构标准管理的标准病历目录数据的功能。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（2）病历模板管理：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病历模板的定义、设计及模板版本管理等功能。（提供功能截图证明材料）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（3）病历模板标题管理：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病历模板标题的定义和维护的管理功能。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（4）病历知识库模板管理：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病历知识库模板的定义、维护及配置的管理功能。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（5）病历模板审核管理：提供病历模板的审核的管理功能。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2、住院病历编辑功能要求详细说明如下：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（1）病历创建：</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医师创建病历文书的功能。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（2）病历编辑：</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病历书写、修改及保存的功能。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（3）病历签名：</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病历书写完成后，医师确认病历内容并签名的功能。签名可以是宋体文字签名，也可以是图片签名。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（4）病历打印：</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医师将签名后的病历打印出来的功能。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（5）病历删除：</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医师删除保存过的有问题的病历的功能。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（6）病历数据引用：</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医师在创建患者病历时，引用该患者的基本信息数据的功能。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（7）病历引用：</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医师可以引用患者历次就诊的病历的功能。（提供功能截图证明材料）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3、电子病历浏览器功能要求详细说明如下：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（1）就诊历史记录的浏览：</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护士或手术科室查看患者历史就诊记录的功能。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（2）病历文书浏览：</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护士或手术科室等浏览患者历次就诊的病历文书的功能。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（3）检查、检验、医嘱单、体温单浏览：</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护士或手术科室等查看患者历史就诊的检查、检验、医嘱单、体温单等信息的功能。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4、电子病历术语管理功能要求详细说明如下：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（1）术语目录管理：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按照标准病历目录数据的标准术语目录数据的功能。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（2）术语管理：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高级用户或项目实施人员依据卫健委的标准电子病历数据集标准WS445的功能。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（3）术语对照管理：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高级用户或项目实施人员对术语和模板元素进行关联的维护管理功能。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5、系统配置管理功能要求详细说明如下：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（1）基础字典管理：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项目实施通过基础字典管理新增、修改字典显示的</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系统数据的功能。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（2）数据引用管理：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项目实施或实施维护病历结构化单元需要引用的患者基本信息、医嘱信息、诊断信息、费用信息等数据接口管理的功能。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（3）病种管理：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高级用户维护病种与科室、icd疾病、知识库之间的关联的管理功能。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（4）图库管理：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高级用户对图库的配置和维护的管理功能。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（5）病历导航目录管理：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高级用户维护显示在临床医师书写界面的病历目录的管理功能。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（6）系统参数管理：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项目实施或实施使用系统参数配置用户各项个性化需求的管理功能。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（7）病历权限管理：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高级用户根据医务科的管理规定，用脚本对病历的保存、打印、删除、签名、留痕等操作进行权限管理的功能。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（8）病历浏览权限管理：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高级用户根据医务科的管理规定，用脚本对病历的浏览进行权限管理的功能。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（9）病历加载权限管理：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高级用户根据医务科的管理规定，用脚本对病历的加载进行权限管理的功能。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（10）病历授权权限管理：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高级用户根据医务科的管理规定，用脚本对病历的授权进行权限管理的功能。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（11）病历创建权限管理：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高级用户根据医务科的管理规定，用脚本对病历的创建进行权限管理的功能。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6、隐私保护管理功能要求详细说明如下：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（1）隐私域管理：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高级用户对隐私域的配置和维护的管理功能。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7、图片生成功能要求详细说明如下：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（1）图片生成服务程序：</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将每天产生的病历都生成图片并上传的功能。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（2）病历图片获取公共服务：</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第三方系统获取患者就诊的图片列表及病历内容图片的功能。</w:t>
            </w:r>
          </w:p>
        </w:tc>
        <w:tc>
          <w:tcPr>
            <w:tcW w:w="255" w:type="pct"/>
            <w:shd w:val="clear" w:color="auto" w:fill="auto"/>
            <w:vAlign w:val="center"/>
          </w:tcPr>
          <w:p w14:paraId="1ADEB8B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3290700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620A6F7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401D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14AFFAC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30</w:t>
            </w:r>
          </w:p>
        </w:tc>
        <w:tc>
          <w:tcPr>
            <w:tcW w:w="218" w:type="pct"/>
            <w:vMerge w:val="continue"/>
            <w:vAlign w:val="center"/>
          </w:tcPr>
          <w:p w14:paraId="6F9AC781">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A7459A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病历质控系统</w:t>
            </w:r>
          </w:p>
        </w:tc>
        <w:tc>
          <w:tcPr>
            <w:tcW w:w="3247" w:type="pct"/>
            <w:shd w:val="clear" w:color="auto" w:fill="auto"/>
            <w:vAlign w:val="center"/>
          </w:tcPr>
          <w:p w14:paraId="2212D73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1、系统配置管理功能要求详细说明如下：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（1）质控标准维护：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定义主观评分标准、提示列表标准、保存提示标准、提交控制标准、打印控制标准、自动任务在院质控、自动任务出院质控等。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（2）病历质控项目维护：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病历质控项目分为完整性和一致性两大类。一致性病历质控项目提供病历时效性、逻辑性、主观评分项目定义。完整性病历质控项目提供病历必填内容的质控项目的定义。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（3）病历质控结构维护：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实施配置质控功能时，能够维护1：质控结构；2：检查条件；3：病历范畴。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（4）质控启动开关维护：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实施配置质控功能时，能够维护质控标准和启动选项，将相关质控标准和启动选项设置为有效。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2、病历质控提示列表功能要求详细说明如下：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（1）自动质控提示列表：</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医生书写界面提示系统自动检查发现的病历质量问题。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（2）环节质控提示列表：</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医生书写界面提示科室质控员发现的环节质控项目。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3、科室级质控功能要求详细说明如下：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（1）病历环节质控患者列表：</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科室质控员查询环节质控患者列表的功能。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（2）病历环节质控：</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病历质控员对患者病历集中浏览、标注病历缺陷、添加缺陷项目、发送质控消息的功能。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（3）病历质控消息查看：</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病历质控员本人所发送的质控消息处理情况查询、浏览的功能。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（4）复制粘贴权限：</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质控管理员对医生书写病历的复制粘贴操作的控制功能。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4、院级质控功能要求详细说明如下：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（1）病历终末质控患者列表：</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病历质控员查询终末质控患者列表的功能。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（2）病历终末质控：</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病历质控员对出院患者病历集中浏览、标注病历缺陷、添加缺陷项目的功能。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5、质控报表功能要求详细说明如下：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（1）病历环节质控明细报表：</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病历环节质控明细内容的统计功能。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（2）病历终末等级报表：为医务科提供病历终末等级的统计功能。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（3）病历终末质控明细报表：为医务科提供病历终末质控详细缺陷的统计功能。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（4）病历单分类报表：为医务科提供病历单分类质控项目的统计功能。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（5）病历质控项目查询报表：为医务科提供指定病历质控项目的查询统计功能。</w:t>
            </w:r>
          </w:p>
        </w:tc>
        <w:tc>
          <w:tcPr>
            <w:tcW w:w="255" w:type="pct"/>
            <w:shd w:val="clear" w:color="auto" w:fill="auto"/>
            <w:vAlign w:val="center"/>
          </w:tcPr>
          <w:p w14:paraId="2FAF45D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31BC427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4A642E9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574B1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3E10C9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218" w:type="pct"/>
            <w:vMerge w:val="restart"/>
            <w:shd w:val="clear" w:color="auto" w:fill="auto"/>
            <w:vAlign w:val="center"/>
          </w:tcPr>
          <w:p w14:paraId="38856F4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护理系统</w:t>
            </w:r>
          </w:p>
        </w:tc>
        <w:tc>
          <w:tcPr>
            <w:tcW w:w="509" w:type="pct"/>
            <w:gridSpan w:val="2"/>
            <w:shd w:val="clear" w:color="auto" w:fill="auto"/>
            <w:vAlign w:val="center"/>
          </w:tcPr>
          <w:p w14:paraId="7440F4A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护理管理</w:t>
            </w:r>
          </w:p>
        </w:tc>
        <w:tc>
          <w:tcPr>
            <w:tcW w:w="3247" w:type="pct"/>
            <w:shd w:val="clear" w:color="auto" w:fill="auto"/>
            <w:vAlign w:val="center"/>
          </w:tcPr>
          <w:p w14:paraId="11E2AEC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护理档案管理：通过对护士的个人档案信息的完善及管理来实现护理部对在职护理人员的统一管理，方便护理部掌握在院所有护理人员的基本素质、学历分布、专业分布、年龄层次、聘任职称、护士层级、护士调科信息等等,主要功能要求包括护士档案、技术能手、服务之星、护士离职、奖惩情况、离退人员列表、护士排班看板、护士退休、人力指标、离职情况分布、人员一览表等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2、科室事务管理：对护士工作进行安排、统计。主要功能要求包括关联床位管理、初始化积假设置、排班日程、请假申请、护士长请假备案、换班申请、改班申请、排班统计等功能,关联床位管理是关联</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病区专业组及床位。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3、护理工作量管理：护理工作量管理要求用于对护士的工作进行数据统计，实现完整的工作量数据统计工作。主要功能要求包括服务之星统计、技术能手统计、工作量项目、生成月报、工作量月报查询等功能。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4、质量控制：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抽取质控指标进行表单重组,能够有效的根据敏感指标进行质控评价，要求采用PDCA循环质量管理能够有效的提升护理质控水平,要求通过友好的人机交互、三层质控和三级指标的系统分类、PDCA的流程及科学的数据分析工具，为护理质量控制提供高效的解决方案,主要功能要求包括质控组管理、检查病区维护、检查病区分组、检查任务计划、质控排班、换班申请、质控任务发布、质控检查、随机检查、复查检查、质控问题汇总、质控统计分析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人员动态：包括科室轮转、弹性调配和院内调岗功能；其中科室轮转是对未定科的护士制定的轮转计划，计划发布后轮转护士分配到各个病区由带教老师指导其护理相关的工作；弹性调配要求包括计划性调配和随机调配，弹性调配一般用于突然状况（如疫情原因，部分科室患者急增，需要增加护士）进行护士批量调配；计划性调配要求需要护士长提交用人申请由科护士长或者护理部审核通过然后分配人员；随机性调配则由护士长直接将护士的调配信息提交即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6、组织管理：组织管理要求包括组织管理制度和组织规划功能。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（1）组织管理制度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对护理部、科室和病区对相关制度的维护、查阅以及护理文件的管理及维护工作。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（2）组织规划</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护理部对工作规划、工作计划、工作重点的维护工作，其中工作计划和工作重点又分为年度、季度、半年和月底计划和重点。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7、护士长手册：根据项目实际情况进行系统的功能优化升级。具体功能要求包括手册说明、护理人员信息、计划总结、质量管理、风险管理、日常事务管理、护理查房、病例讨论、手册审阅等功能。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8、护理教学：包括日常练习（章节练习、真题模考、学习资料库）、考核发布、理论考核、技操考核、应急预案考核、应急预案演练、教学情况汇总（综合汇总、培训汇总、考核汇总）等功能。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9、护理调查：包括护士满意度调查、患者满意度调查和出院随访等功能。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10、科研管理：支持对在院护士的发表论文、交流获奖论文、年底上交论文、科研立项、科室创新、获奖科研、专利备案、新技术申报审批等功能的填报。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11、专业组：</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医院对于各个专科专业组、人员进行分配登记，此外还有专科护士备案以及再认证等工作也可以在系统中进行相关信息的统计。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12、实习进修：包括实习生列表、进修人员管理、轮转管理、人员登记、培训管理、奖惩记录等功能。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13、护理指标分析：包括敏感指标、医疗照护（工作量）指标、人力指标、安全通报指标、质量考核指标</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建立指标数据平台，可实现与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系统、移动护理、护理病历、护理排班、不良事件、人力系统、院感系统等护理相关系统的对接，指标</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高度可配置化管理，支持数据源定义、指标的快速构建、报表模板定义等，可满足护理指标数据的提取。</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根据填报、上报、导入需求进行模板的定制，系统需根据敏感指标的要求，自动导入符合国家护理质控平台要求的模板。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基础数据维护：包括片区（大科）设置、科室设置、病区设置、楼层设置、全局排班类型管理、病区排班类型管理、质控项目管理、公共代码维护、节假日维护、用户设置、教学维护、专科护士再认证项目、调查问卷维护等。片区（大科）设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对片区（大科）的添加功能，并可以关联所辖科室；科室设置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对科室添加功能，并支持关联所辖病区；病区设置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病区的添加功能，需支持顺序调整、关联所属科室功能，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病区的关联；楼层设置是对楼层的维护，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楼层关联病区功能；全局排班类型管理是护理部对全院所有排班班次的维护功能，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顺序调整、班次时间段的维护、班次导出等功能；病区排班类型管理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病区护士长对本病区所属班次的添加、班次时间段的维护功能；要求质控项目管理支持对质控指标的添加、编辑、删除、导入、导出功能；公共代码维护需支持对系统公共代码的维护功能；节假日维护需支持对国家法定节假日的维护功能；需实现对用户的</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信息的相关关联；教学维护需支持对理论项目、技操项目的考核题目的维护；专科护士再认证项目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相关认证项目的维护；调查问卷维护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对护士满意度调查、患者满意度调查以及出院随访问卷的维护。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15、系统设置：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对护理管理系统参数的维护。具体功能要求包括模块设置、菜单设置、菜单权限设置、病区权限设置、用户角色管理、系统参数设置、综合参数设置、列表配置、夜班费及系数等。</w:t>
            </w:r>
          </w:p>
        </w:tc>
        <w:tc>
          <w:tcPr>
            <w:tcW w:w="255" w:type="pct"/>
            <w:shd w:val="clear" w:color="auto" w:fill="auto"/>
            <w:vAlign w:val="center"/>
          </w:tcPr>
          <w:p w14:paraId="3EE3C2F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2422682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278CCD1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0A66D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503EF42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218" w:type="pct"/>
            <w:vMerge w:val="continue"/>
            <w:vAlign w:val="center"/>
          </w:tcPr>
          <w:p w14:paraId="4D148D5D">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46E15D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护理病历（含智能引导）</w:t>
            </w:r>
          </w:p>
        </w:tc>
        <w:tc>
          <w:tcPr>
            <w:tcW w:w="3247" w:type="pct"/>
            <w:shd w:val="clear" w:color="auto" w:fill="auto"/>
            <w:vAlign w:val="center"/>
          </w:tcPr>
          <w:p w14:paraId="1D1D14E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1、体温单：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护理人员利用手持PDA系统采集体征数据、患者事件的输入，系统可自动生成体温单绘制并支持打印；根据采集患者体征数据自动生成血压趋势图。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2、血糖单：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单人和多人批量两种输入血糖数据模式，自动生成血糖单，自动生成血糖趋势图，趋势图可展示每个采集值的详细信息，支持根据血糖采集状态过滤查看。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3、评估单：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入院评估、Gordon11项身体结构功能评估以及各专项评估，可自动生成护理评估单。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4、中医专科评估单：</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护理人员通过对证候症状、主要症状、中医护理技术、主要辩证施护方法，开展中医护理方案制定，支持对中医护理方案、中医护理技术依从性/满意度、中医护理技术应用情况、主要辩证施护方法应用情况等维度的统计。</w:t>
            </w:r>
          </w:p>
        </w:tc>
        <w:tc>
          <w:tcPr>
            <w:tcW w:w="255" w:type="pct"/>
            <w:shd w:val="clear" w:color="auto" w:fill="auto"/>
            <w:vAlign w:val="center"/>
          </w:tcPr>
          <w:p w14:paraId="4B49108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624305A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7C2EDDD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7108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restart"/>
            <w:shd w:val="clear" w:color="auto" w:fill="auto"/>
            <w:vAlign w:val="center"/>
          </w:tcPr>
          <w:p w14:paraId="4FFDF89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218" w:type="pct"/>
            <w:vMerge w:val="restart"/>
            <w:shd w:val="clear" w:color="auto" w:fill="auto"/>
            <w:vAlign w:val="center"/>
          </w:tcPr>
          <w:p w14:paraId="074A725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人工智能应用建设</w:t>
            </w:r>
          </w:p>
        </w:tc>
        <w:tc>
          <w:tcPr>
            <w:tcW w:w="218" w:type="pct"/>
            <w:vMerge w:val="restart"/>
            <w:shd w:val="clear" w:color="auto" w:fill="auto"/>
            <w:vAlign w:val="center"/>
          </w:tcPr>
          <w:p w14:paraId="0AEB2F5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AI病历质控系统</w:t>
            </w:r>
          </w:p>
        </w:tc>
        <w:tc>
          <w:tcPr>
            <w:tcW w:w="290" w:type="pct"/>
            <w:shd w:val="clear" w:color="auto" w:fill="auto"/>
            <w:vAlign w:val="center"/>
          </w:tcPr>
          <w:p w14:paraId="045FBCA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基于大模型的质控条目</w:t>
            </w:r>
          </w:p>
        </w:tc>
        <w:tc>
          <w:tcPr>
            <w:tcW w:w="3247" w:type="pct"/>
            <w:shd w:val="clear" w:color="auto" w:fill="auto"/>
            <w:vAlign w:val="center"/>
          </w:tcPr>
          <w:p w14:paraId="51C3B8E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基于大语言模型的AI病历质控系统，通过实时动态监测医疗文书生成过程，结合结构化知识图谱与临床指南库进行多维度语义分析，实现电子病历质量的智能审查。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自然语言交互式规则配置，突破传统编程范式限制，医院质控人员可以根据自然语言自主添加质控规则。</w:t>
            </w:r>
          </w:p>
        </w:tc>
        <w:tc>
          <w:tcPr>
            <w:tcW w:w="255" w:type="pct"/>
            <w:vMerge w:val="restart"/>
            <w:shd w:val="clear" w:color="auto" w:fill="auto"/>
            <w:vAlign w:val="center"/>
          </w:tcPr>
          <w:p w14:paraId="41469D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vMerge w:val="restart"/>
            <w:shd w:val="clear" w:color="auto" w:fill="auto"/>
            <w:vAlign w:val="center"/>
          </w:tcPr>
          <w:p w14:paraId="083B393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150000</w:t>
            </w:r>
          </w:p>
        </w:tc>
        <w:tc>
          <w:tcPr>
            <w:tcW w:w="313" w:type="pct"/>
            <w:vMerge w:val="restart"/>
            <w:shd w:val="clear" w:color="auto" w:fill="auto"/>
            <w:vAlign w:val="center"/>
          </w:tcPr>
          <w:p w14:paraId="13E95EA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150000</w:t>
            </w:r>
          </w:p>
        </w:tc>
      </w:tr>
      <w:tr w14:paraId="70C9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continue"/>
            <w:vAlign w:val="center"/>
          </w:tcPr>
          <w:p w14:paraId="1B74F7F2">
            <w:pPr>
              <w:widowControl/>
              <w:shd w:val="clear"/>
              <w:jc w:val="left"/>
              <w:rPr>
                <w:rFonts w:ascii="宋体" w:hAnsi="宋体" w:cs="宋体"/>
                <w:color w:val="000000"/>
                <w:kern w:val="0"/>
                <w:sz w:val="18"/>
                <w:szCs w:val="18"/>
                <w:highlight w:val="none"/>
              </w:rPr>
            </w:pPr>
          </w:p>
        </w:tc>
        <w:tc>
          <w:tcPr>
            <w:tcW w:w="218" w:type="pct"/>
            <w:vMerge w:val="continue"/>
            <w:vAlign w:val="center"/>
          </w:tcPr>
          <w:p w14:paraId="21931DC6">
            <w:pPr>
              <w:widowControl/>
              <w:shd w:val="clear"/>
              <w:jc w:val="left"/>
              <w:rPr>
                <w:rFonts w:ascii="宋体" w:hAnsi="宋体" w:cs="宋体"/>
                <w:color w:val="000000"/>
                <w:kern w:val="0"/>
                <w:sz w:val="18"/>
                <w:szCs w:val="18"/>
                <w:highlight w:val="none"/>
              </w:rPr>
            </w:pPr>
          </w:p>
        </w:tc>
        <w:tc>
          <w:tcPr>
            <w:tcW w:w="218" w:type="pct"/>
            <w:vMerge w:val="continue"/>
            <w:vAlign w:val="center"/>
          </w:tcPr>
          <w:p w14:paraId="490E8F91">
            <w:pPr>
              <w:widowControl/>
              <w:shd w:val="clear"/>
              <w:jc w:val="left"/>
              <w:rPr>
                <w:rFonts w:ascii="宋体" w:hAnsi="宋体" w:cs="宋体"/>
                <w:color w:val="000000"/>
                <w:kern w:val="0"/>
                <w:sz w:val="18"/>
                <w:szCs w:val="18"/>
                <w:highlight w:val="none"/>
              </w:rPr>
            </w:pPr>
          </w:p>
        </w:tc>
        <w:tc>
          <w:tcPr>
            <w:tcW w:w="290" w:type="pct"/>
            <w:shd w:val="clear" w:color="auto" w:fill="auto"/>
            <w:vAlign w:val="center"/>
          </w:tcPr>
          <w:p w14:paraId="16D1B79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入院记录主诉和诊断的关联性</w:t>
            </w:r>
          </w:p>
        </w:tc>
        <w:tc>
          <w:tcPr>
            <w:tcW w:w="3247" w:type="pct"/>
            <w:shd w:val="clear" w:color="auto" w:fill="auto"/>
            <w:vAlign w:val="center"/>
          </w:tcPr>
          <w:p w14:paraId="6753C5D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1、入院记录“主诉”和“诊断”的关联性：通过入院记录中主诉描述的主要症状推导出患者就诊最主要的诊断，判断医生书写诊断的正确性。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2、入院记录“主诉”和“现病史”一致性：通过识别主诉和现病史中主要症状、症状所在部位、症状持续时间、症状加重时间等角度分析主诉和现病史书写内容是否一致。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3、首次病程记录“初步诊断”合理性：通过患者的症状、病史、查体、辅助检查等给出患者的初步诊断，判断医生书写诊断的合理性。如果不合理，给出合理的初步诊断建议。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4、首次病程记录“鉴别诊断”合理性：通过患者的病例特点，结合初步诊断给出患者的鉴别诊断和鉴别要点，判断医生书写鉴别诊断合理性。如果不合理，给出合理的鉴别诊断建议。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5、首次病程记录“诊疗计划”合理性：通过患者病情给出即刻需要进行的治疗措施，判断医生书写诊疗计划的合理性。如果不合理，给出合理的诊疗计划建议。</w:t>
            </w:r>
          </w:p>
        </w:tc>
        <w:tc>
          <w:tcPr>
            <w:tcW w:w="255" w:type="pct"/>
            <w:vMerge w:val="continue"/>
            <w:vAlign w:val="center"/>
          </w:tcPr>
          <w:p w14:paraId="68606B20">
            <w:pPr>
              <w:widowControl/>
              <w:shd w:val="clear"/>
              <w:jc w:val="left"/>
              <w:rPr>
                <w:rFonts w:ascii="宋体" w:hAnsi="宋体" w:cs="宋体"/>
                <w:color w:val="000000"/>
                <w:kern w:val="0"/>
                <w:sz w:val="18"/>
                <w:szCs w:val="18"/>
                <w:highlight w:val="none"/>
              </w:rPr>
            </w:pPr>
          </w:p>
        </w:tc>
        <w:tc>
          <w:tcPr>
            <w:tcW w:w="276" w:type="pct"/>
            <w:vMerge w:val="continue"/>
            <w:vAlign w:val="center"/>
          </w:tcPr>
          <w:p w14:paraId="5BAA92FD">
            <w:pPr>
              <w:widowControl/>
              <w:shd w:val="clear"/>
              <w:jc w:val="left"/>
              <w:rPr>
                <w:rFonts w:ascii="宋体" w:hAnsi="宋体" w:cs="宋体"/>
                <w:color w:val="000000"/>
                <w:kern w:val="0"/>
                <w:sz w:val="18"/>
                <w:szCs w:val="18"/>
                <w:highlight w:val="none"/>
              </w:rPr>
            </w:pPr>
          </w:p>
        </w:tc>
        <w:tc>
          <w:tcPr>
            <w:tcW w:w="313" w:type="pct"/>
            <w:vMerge w:val="continue"/>
            <w:vAlign w:val="center"/>
          </w:tcPr>
          <w:p w14:paraId="343CBE85">
            <w:pPr>
              <w:widowControl/>
              <w:shd w:val="clear"/>
              <w:jc w:val="left"/>
              <w:rPr>
                <w:rFonts w:ascii="宋体" w:hAnsi="宋体" w:cs="宋体"/>
                <w:color w:val="000000"/>
                <w:kern w:val="0"/>
                <w:sz w:val="18"/>
                <w:szCs w:val="18"/>
                <w:highlight w:val="none"/>
              </w:rPr>
            </w:pPr>
          </w:p>
        </w:tc>
      </w:tr>
      <w:tr w14:paraId="4E74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198643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218" w:type="pct"/>
            <w:vMerge w:val="restart"/>
            <w:shd w:val="clear" w:color="auto" w:fill="auto"/>
            <w:vAlign w:val="center"/>
          </w:tcPr>
          <w:p w14:paraId="495538B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信息平台</w:t>
            </w:r>
          </w:p>
        </w:tc>
        <w:tc>
          <w:tcPr>
            <w:tcW w:w="218" w:type="pct"/>
            <w:vMerge w:val="restart"/>
            <w:shd w:val="clear" w:color="auto" w:fill="auto"/>
            <w:vAlign w:val="center"/>
          </w:tcPr>
          <w:p w14:paraId="26BFEE2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服务总线</w:t>
            </w:r>
          </w:p>
        </w:tc>
        <w:tc>
          <w:tcPr>
            <w:tcW w:w="290" w:type="pct"/>
            <w:shd w:val="clear" w:color="auto" w:fill="auto"/>
            <w:vAlign w:val="center"/>
          </w:tcPr>
          <w:p w14:paraId="745A719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平台管理</w:t>
            </w:r>
          </w:p>
        </w:tc>
        <w:tc>
          <w:tcPr>
            <w:tcW w:w="3247" w:type="pct"/>
            <w:shd w:val="clear" w:color="auto" w:fill="auto"/>
            <w:vAlign w:val="center"/>
          </w:tcPr>
          <w:p w14:paraId="76A11AC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1、多平台统一管理：要求集中管理不同业务分类的多个平台，通过负载均衡实现平台的水平扩展。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2、接入平台系统：要求包括平台接入系统管理、包括接入系统查看、接口系统启用、接入系统停用、接入系统编辑等。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3、平台标准服务：</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平台的标准化接口服务，以组件的模式对平台服务进行管理。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4、平台消息管理：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平台消息管理功能，包括消息汇总查看、异常消息查看、消息发布信息查看、消息订阅信息查看等。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5、行业标准管理：</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对系统中的角色、用户进行维护管理功能，包括角色管理、用户管理功能。</w:t>
            </w:r>
          </w:p>
        </w:tc>
        <w:tc>
          <w:tcPr>
            <w:tcW w:w="255" w:type="pct"/>
            <w:shd w:val="clear" w:color="auto" w:fill="auto"/>
            <w:vAlign w:val="center"/>
          </w:tcPr>
          <w:p w14:paraId="76803F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5C774C23">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6F1D8DE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53E7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5D0627B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35</w:t>
            </w:r>
          </w:p>
        </w:tc>
        <w:tc>
          <w:tcPr>
            <w:tcW w:w="218" w:type="pct"/>
            <w:vMerge w:val="continue"/>
            <w:vAlign w:val="center"/>
          </w:tcPr>
          <w:p w14:paraId="71703CFA">
            <w:pPr>
              <w:widowControl/>
              <w:shd w:val="clear"/>
              <w:jc w:val="left"/>
              <w:rPr>
                <w:rFonts w:ascii="宋体" w:hAnsi="宋体" w:cs="宋体"/>
                <w:color w:val="000000"/>
                <w:kern w:val="0"/>
                <w:sz w:val="18"/>
                <w:szCs w:val="18"/>
                <w:highlight w:val="none"/>
              </w:rPr>
            </w:pPr>
          </w:p>
        </w:tc>
        <w:tc>
          <w:tcPr>
            <w:tcW w:w="218" w:type="pct"/>
            <w:vMerge w:val="continue"/>
            <w:vAlign w:val="center"/>
          </w:tcPr>
          <w:p w14:paraId="3836DCE4">
            <w:pPr>
              <w:widowControl/>
              <w:shd w:val="clear"/>
              <w:jc w:val="left"/>
              <w:rPr>
                <w:rFonts w:ascii="宋体" w:hAnsi="宋体" w:cs="宋体"/>
                <w:color w:val="000000"/>
                <w:kern w:val="0"/>
                <w:sz w:val="18"/>
                <w:szCs w:val="18"/>
                <w:highlight w:val="none"/>
              </w:rPr>
            </w:pPr>
          </w:p>
        </w:tc>
        <w:tc>
          <w:tcPr>
            <w:tcW w:w="290" w:type="pct"/>
            <w:shd w:val="clear" w:color="auto" w:fill="auto"/>
            <w:vAlign w:val="center"/>
          </w:tcPr>
          <w:p w14:paraId="61A622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服务管理</w:t>
            </w:r>
          </w:p>
        </w:tc>
        <w:tc>
          <w:tcPr>
            <w:tcW w:w="3247" w:type="pct"/>
            <w:shd w:val="clear" w:color="auto" w:fill="auto"/>
            <w:vAlign w:val="center"/>
          </w:tcPr>
          <w:p w14:paraId="78825BA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多种输入和输出适配器：适配器是连接各种应用、技术、协议的暴露其功能和数据的高度标准化和可复用的程序，适配器具有处理异常，能够重试、超时和恢复等功能。适配器的类型有：xDBC、TCP/IP、HTTP、File、COM、SOAP、REST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服务注册中心：服务注册中心是指服务提供者向服务注册管理中心发布服务的功能，服务提供者是服务的所有者，负责定义并实现服务，对服务进行详细、准确、规范地描述，并将该描述发布到服务注册管理中心，供服务请求者查找并绑定使用。服务注册管理中心具有目录服务、监控、负载均衡、安全控制、分布式强健壮、适用于高并发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服务发布中心：服务发布是由总线自身生成相应服务并对外进行发布，服务请求者使用服务描述中的绑定细节（调用者的身份、位置、方法、绑定、配置、方案和策略等描述性属性信息）来定位、联系并调用服务。服务发布中心将所有的服务部署到一台或者多台物理服务器上，形成一个整体对外提供服务，服务发布中心对所有发布服务进行统一的管理调配。各个业务系统直接访问服务发布中心查找需要调用的接口位置进而调用，不需关心下游系统使用情况。</w:t>
            </w:r>
          </w:p>
        </w:tc>
        <w:tc>
          <w:tcPr>
            <w:tcW w:w="255" w:type="pct"/>
            <w:shd w:val="clear" w:color="auto" w:fill="auto"/>
            <w:vAlign w:val="center"/>
          </w:tcPr>
          <w:p w14:paraId="2831C82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582FBFA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4A3A562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5B9D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A6EB05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36</w:t>
            </w:r>
          </w:p>
        </w:tc>
        <w:tc>
          <w:tcPr>
            <w:tcW w:w="218" w:type="pct"/>
            <w:vMerge w:val="continue"/>
            <w:vAlign w:val="center"/>
          </w:tcPr>
          <w:p w14:paraId="6AA6704E">
            <w:pPr>
              <w:widowControl/>
              <w:shd w:val="clear"/>
              <w:jc w:val="left"/>
              <w:rPr>
                <w:rFonts w:ascii="宋体" w:hAnsi="宋体" w:cs="宋体"/>
                <w:color w:val="000000"/>
                <w:kern w:val="0"/>
                <w:sz w:val="18"/>
                <w:szCs w:val="18"/>
                <w:highlight w:val="none"/>
              </w:rPr>
            </w:pPr>
          </w:p>
        </w:tc>
        <w:tc>
          <w:tcPr>
            <w:tcW w:w="218" w:type="pct"/>
            <w:vMerge w:val="continue"/>
            <w:vAlign w:val="center"/>
          </w:tcPr>
          <w:p w14:paraId="464E8974">
            <w:pPr>
              <w:widowControl/>
              <w:shd w:val="clear"/>
              <w:jc w:val="left"/>
              <w:rPr>
                <w:rFonts w:ascii="宋体" w:hAnsi="宋体" w:cs="宋体"/>
                <w:color w:val="000000"/>
                <w:kern w:val="0"/>
                <w:sz w:val="18"/>
                <w:szCs w:val="18"/>
                <w:highlight w:val="none"/>
              </w:rPr>
            </w:pPr>
          </w:p>
        </w:tc>
        <w:tc>
          <w:tcPr>
            <w:tcW w:w="290" w:type="pct"/>
            <w:shd w:val="clear" w:color="auto" w:fill="auto"/>
            <w:vAlign w:val="center"/>
          </w:tcPr>
          <w:p w14:paraId="12BB81B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消息管理</w:t>
            </w:r>
          </w:p>
        </w:tc>
        <w:tc>
          <w:tcPr>
            <w:tcW w:w="3247" w:type="pct"/>
            <w:shd w:val="clear" w:color="auto" w:fill="auto"/>
            <w:vAlign w:val="center"/>
          </w:tcPr>
          <w:p w14:paraId="1333C21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1、基于消息的传递：依靠消息传递信息，消息也会被持久化，同时支持消息的队列管理、消息的同步、任务识别、消息的跟踪、消息的定时发送、事件处理、通知等功能。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2、支持同步和异步交互方式：要求以同步方式发出的请求消息要等待应答消息到达才继续下面的传递。以异步方式发出的请求消息可以不需要应答，也可以需要应答但不等待，应答消息到达时再处理。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3、基于消息内容的路由规则：要求路由和基于规则的流量控制能力可用户定制和扩展，支持最简单和最复杂的集成环境。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4、数据格式转换：数据格式转换是整合平台将信息和数据从一种格式转换为另一种的能力。</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5、值域转换：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值域转换映射。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6、消息监控：</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图形化消息监控界面，实时查看消息负载及消息异常状况等内容。</w:t>
            </w:r>
          </w:p>
        </w:tc>
        <w:tc>
          <w:tcPr>
            <w:tcW w:w="255" w:type="pct"/>
            <w:shd w:val="clear" w:color="auto" w:fill="auto"/>
            <w:vAlign w:val="center"/>
          </w:tcPr>
          <w:p w14:paraId="4651585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6D0A7B6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3072516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4E83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CA4B24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37</w:t>
            </w:r>
          </w:p>
        </w:tc>
        <w:tc>
          <w:tcPr>
            <w:tcW w:w="218" w:type="pct"/>
            <w:vMerge w:val="continue"/>
            <w:vAlign w:val="center"/>
          </w:tcPr>
          <w:p w14:paraId="6AF92688">
            <w:pPr>
              <w:widowControl/>
              <w:shd w:val="clear"/>
              <w:jc w:val="left"/>
              <w:rPr>
                <w:rFonts w:ascii="宋体" w:hAnsi="宋体" w:cs="宋体"/>
                <w:color w:val="000000"/>
                <w:kern w:val="0"/>
                <w:sz w:val="18"/>
                <w:szCs w:val="18"/>
                <w:highlight w:val="none"/>
              </w:rPr>
            </w:pPr>
          </w:p>
        </w:tc>
        <w:tc>
          <w:tcPr>
            <w:tcW w:w="218" w:type="pct"/>
            <w:vMerge w:val="continue"/>
            <w:vAlign w:val="center"/>
          </w:tcPr>
          <w:p w14:paraId="38EE81C8">
            <w:pPr>
              <w:widowControl/>
              <w:shd w:val="clear"/>
              <w:jc w:val="left"/>
              <w:rPr>
                <w:rFonts w:ascii="宋体" w:hAnsi="宋体" w:cs="宋体"/>
                <w:color w:val="000000"/>
                <w:kern w:val="0"/>
                <w:sz w:val="18"/>
                <w:szCs w:val="18"/>
                <w:highlight w:val="none"/>
              </w:rPr>
            </w:pPr>
          </w:p>
        </w:tc>
        <w:tc>
          <w:tcPr>
            <w:tcW w:w="290" w:type="pct"/>
            <w:shd w:val="clear" w:color="auto" w:fill="auto"/>
            <w:vAlign w:val="center"/>
          </w:tcPr>
          <w:p w14:paraId="459574D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标准管理</w:t>
            </w:r>
          </w:p>
        </w:tc>
        <w:tc>
          <w:tcPr>
            <w:tcW w:w="3247" w:type="pct"/>
            <w:shd w:val="clear" w:color="auto" w:fill="auto"/>
            <w:vAlign w:val="center"/>
          </w:tcPr>
          <w:p w14:paraId="519151E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1、标准字典：包括身份证件类别代码表、地址类别代码表、ABO血型代码表、Rh（D）血型代码表、诊断状态代码表等400多个国家和行业标准代码表。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2、术语字典：包括ICD-9手术编码（北京、全国）、ICD-10手术编码（北京、全国）、ICD-9诊断编码（北京、全国）、ICD-10诊断编码（北京、全国）、形态学编码（北京、全国）。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3、共享文档：</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医院内部不同信息系统以及医院外不同机构之间的互联互通、信息共享为目的的科学、规范的医疗信息记录，在结构上遵循《卫生信息共享文档编制规范》，并结合业务实际进行了细化和应用落地。遵循HL7RIM模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交互服务：基于RIM模型，参考HL7V3标准，结合医院的实际情况和需求，对上述标准进行本地化扩展，建立医院信息交互规范，并文档化。提供医院信息服务、互联互通的标准化指南，明确场景、信息模型、标准化服务的提供方、服务消费方。目前国家卫健委制定交互服务规范的数量36个，主要涉及患者身份信息、医护人员信息、医疗卫生机构（科室）信息、电子病历文档信息、医嘱信息、申请单信息、就诊相关信息、字典信息。</w:t>
            </w:r>
          </w:p>
        </w:tc>
        <w:tc>
          <w:tcPr>
            <w:tcW w:w="255" w:type="pct"/>
            <w:shd w:val="clear" w:color="auto" w:fill="auto"/>
            <w:vAlign w:val="center"/>
          </w:tcPr>
          <w:p w14:paraId="5CFA033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3CD743C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3E7845C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639B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771D2D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38</w:t>
            </w:r>
          </w:p>
        </w:tc>
        <w:tc>
          <w:tcPr>
            <w:tcW w:w="218" w:type="pct"/>
            <w:vMerge w:val="continue"/>
            <w:vAlign w:val="center"/>
          </w:tcPr>
          <w:p w14:paraId="4F2BB287">
            <w:pPr>
              <w:widowControl/>
              <w:shd w:val="clear"/>
              <w:jc w:val="left"/>
              <w:rPr>
                <w:rFonts w:ascii="宋体" w:hAnsi="宋体" w:cs="宋体"/>
                <w:color w:val="000000"/>
                <w:kern w:val="0"/>
                <w:sz w:val="18"/>
                <w:szCs w:val="18"/>
                <w:highlight w:val="none"/>
              </w:rPr>
            </w:pPr>
          </w:p>
        </w:tc>
        <w:tc>
          <w:tcPr>
            <w:tcW w:w="218" w:type="pct"/>
            <w:vMerge w:val="continue"/>
            <w:vAlign w:val="center"/>
          </w:tcPr>
          <w:p w14:paraId="7839A281">
            <w:pPr>
              <w:widowControl/>
              <w:shd w:val="clear"/>
              <w:jc w:val="left"/>
              <w:rPr>
                <w:rFonts w:ascii="宋体" w:hAnsi="宋体" w:cs="宋体"/>
                <w:color w:val="000000"/>
                <w:kern w:val="0"/>
                <w:sz w:val="18"/>
                <w:szCs w:val="18"/>
                <w:highlight w:val="none"/>
              </w:rPr>
            </w:pPr>
          </w:p>
        </w:tc>
        <w:tc>
          <w:tcPr>
            <w:tcW w:w="290" w:type="pct"/>
            <w:shd w:val="clear" w:color="auto" w:fill="auto"/>
            <w:vAlign w:val="center"/>
          </w:tcPr>
          <w:p w14:paraId="32B05F6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流程管理</w:t>
            </w:r>
          </w:p>
        </w:tc>
        <w:tc>
          <w:tcPr>
            <w:tcW w:w="3247" w:type="pct"/>
            <w:shd w:val="clear" w:color="auto" w:fill="auto"/>
            <w:vAlign w:val="center"/>
          </w:tcPr>
          <w:p w14:paraId="0F7BF24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1、工作流引擎组件：包含调用组件、代码组件、逻辑判断组件、循环组件、延迟组件、警告组件、异常组件等多种引擎组件。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val="en-US" w:eastAsia="zh-CN"/>
              </w:rPr>
              <w:t>可视化</w:t>
            </w:r>
            <w:r>
              <w:rPr>
                <w:rFonts w:hint="eastAsia" w:ascii="宋体" w:hAnsi="宋体" w:cs="宋体"/>
                <w:color w:val="000000"/>
                <w:kern w:val="0"/>
                <w:sz w:val="18"/>
                <w:szCs w:val="18"/>
                <w:highlight w:val="none"/>
              </w:rPr>
              <w:t>的图形操作界面：</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可视化的流程配置界面，实现流程的自主配置。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3、启动、管理和监视流程的功能：</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全程可视化管理。</w:t>
            </w:r>
          </w:p>
        </w:tc>
        <w:tc>
          <w:tcPr>
            <w:tcW w:w="255" w:type="pct"/>
            <w:shd w:val="clear" w:color="auto" w:fill="auto"/>
            <w:vAlign w:val="center"/>
          </w:tcPr>
          <w:p w14:paraId="3FE61BD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C022D7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265B3BD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6E2F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735AC8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39</w:t>
            </w:r>
          </w:p>
        </w:tc>
        <w:tc>
          <w:tcPr>
            <w:tcW w:w="218" w:type="pct"/>
            <w:vMerge w:val="continue"/>
            <w:vAlign w:val="center"/>
          </w:tcPr>
          <w:p w14:paraId="7BCAF66C">
            <w:pPr>
              <w:widowControl/>
              <w:shd w:val="clear"/>
              <w:jc w:val="left"/>
              <w:rPr>
                <w:rFonts w:ascii="宋体" w:hAnsi="宋体" w:cs="宋体"/>
                <w:color w:val="000000"/>
                <w:kern w:val="0"/>
                <w:sz w:val="18"/>
                <w:szCs w:val="18"/>
                <w:highlight w:val="none"/>
              </w:rPr>
            </w:pPr>
          </w:p>
        </w:tc>
        <w:tc>
          <w:tcPr>
            <w:tcW w:w="218" w:type="pct"/>
            <w:vMerge w:val="continue"/>
            <w:vAlign w:val="center"/>
          </w:tcPr>
          <w:p w14:paraId="2BC52762">
            <w:pPr>
              <w:widowControl/>
              <w:shd w:val="clear"/>
              <w:jc w:val="left"/>
              <w:rPr>
                <w:rFonts w:ascii="宋体" w:hAnsi="宋体" w:cs="宋体"/>
                <w:color w:val="000000"/>
                <w:kern w:val="0"/>
                <w:sz w:val="18"/>
                <w:szCs w:val="18"/>
                <w:highlight w:val="none"/>
              </w:rPr>
            </w:pPr>
          </w:p>
        </w:tc>
        <w:tc>
          <w:tcPr>
            <w:tcW w:w="290" w:type="pct"/>
            <w:shd w:val="clear" w:color="auto" w:fill="auto"/>
            <w:vAlign w:val="center"/>
          </w:tcPr>
          <w:p w14:paraId="79EBB71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监控管理</w:t>
            </w:r>
          </w:p>
        </w:tc>
        <w:tc>
          <w:tcPr>
            <w:tcW w:w="3247" w:type="pct"/>
            <w:shd w:val="clear" w:color="auto" w:fill="auto"/>
            <w:vAlign w:val="center"/>
          </w:tcPr>
          <w:p w14:paraId="56A8E07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1、平台参数与报警参数配置：对平台的各项参数进行配置，包括配置各个监控参数的报警阈值等。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2、监控各个系统组件的状态：对平台各个系统模块的状态进行监测。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3、记录平台日志和异常信息：记录平台的日志，显示与查询异常信息。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4、监控对象的启停控制：对被监控对象进行启动、停止、重启操作。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监控告警：能够及时了解当前的监控信息，当监控对象的性能参数超过告警阈值时，产生报警。告警阈值能够分级设置，不同级别产生不同的告警。通过多种告警手段提供现场和远程告警，并且可定制发送方式和告警的优先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6、监控可视化：</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图形化方式直观地显示监控信息，并能够进行统计分析。</w:t>
            </w:r>
          </w:p>
        </w:tc>
        <w:tc>
          <w:tcPr>
            <w:tcW w:w="255" w:type="pct"/>
            <w:shd w:val="clear" w:color="auto" w:fill="auto"/>
            <w:vAlign w:val="center"/>
          </w:tcPr>
          <w:p w14:paraId="0EC681D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28638F1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7F3632A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5C84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4F4200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40</w:t>
            </w:r>
          </w:p>
        </w:tc>
        <w:tc>
          <w:tcPr>
            <w:tcW w:w="218" w:type="pct"/>
            <w:shd w:val="clear" w:color="auto" w:fill="auto"/>
            <w:vAlign w:val="center"/>
          </w:tcPr>
          <w:p w14:paraId="7E8B8BA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统计分析管理</w:t>
            </w:r>
          </w:p>
        </w:tc>
        <w:tc>
          <w:tcPr>
            <w:tcW w:w="509" w:type="pct"/>
            <w:gridSpan w:val="2"/>
            <w:shd w:val="clear" w:color="auto" w:fill="auto"/>
            <w:vAlign w:val="center"/>
          </w:tcPr>
          <w:p w14:paraId="666FB87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统计分析管理系统</w:t>
            </w:r>
          </w:p>
        </w:tc>
        <w:tc>
          <w:tcPr>
            <w:tcW w:w="3247" w:type="pct"/>
            <w:shd w:val="clear" w:color="auto" w:fill="auto"/>
            <w:vAlign w:val="center"/>
          </w:tcPr>
          <w:p w14:paraId="25EB2F9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系统包括：抗菌药物统计查询分析、统计室报表查询、院长查询、阳光用药查询、基础数据查询、核算报表查询、财务报表查询、病案统计查询、医院绩效考核上报等。</w:t>
            </w:r>
          </w:p>
        </w:tc>
        <w:tc>
          <w:tcPr>
            <w:tcW w:w="255" w:type="pct"/>
            <w:shd w:val="clear" w:color="auto" w:fill="auto"/>
            <w:vAlign w:val="center"/>
          </w:tcPr>
          <w:p w14:paraId="207E60B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0EC88F3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c>
          <w:tcPr>
            <w:tcW w:w="313" w:type="pct"/>
            <w:shd w:val="clear" w:color="auto" w:fill="auto"/>
            <w:vAlign w:val="center"/>
          </w:tcPr>
          <w:p w14:paraId="09BEB02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36000</w:t>
            </w:r>
          </w:p>
        </w:tc>
      </w:tr>
      <w:tr w14:paraId="546B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3C3E4E7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41</w:t>
            </w:r>
          </w:p>
        </w:tc>
        <w:tc>
          <w:tcPr>
            <w:tcW w:w="218" w:type="pct"/>
            <w:vMerge w:val="restart"/>
            <w:shd w:val="clear" w:color="auto" w:fill="auto"/>
            <w:vAlign w:val="center"/>
          </w:tcPr>
          <w:p w14:paraId="657021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药事管理</w:t>
            </w:r>
          </w:p>
        </w:tc>
        <w:tc>
          <w:tcPr>
            <w:tcW w:w="509" w:type="pct"/>
            <w:gridSpan w:val="2"/>
            <w:shd w:val="clear" w:color="auto" w:fill="auto"/>
            <w:vAlign w:val="center"/>
          </w:tcPr>
          <w:p w14:paraId="2FEEF8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药库管理系统</w:t>
            </w:r>
          </w:p>
        </w:tc>
        <w:tc>
          <w:tcPr>
            <w:tcW w:w="3247" w:type="pct"/>
            <w:shd w:val="clear" w:color="auto" w:fill="auto"/>
            <w:vAlign w:val="center"/>
          </w:tcPr>
          <w:p w14:paraId="59BCAE5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1、药品信息维护：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维护药品的基础字典信息，用于临床开药品医嘱、护士执行医嘱、药房发药、药品医嘱收费、医保报销等药品基础数据维护。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2、调价：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因政策原因或者采购价格变化等原因对药品进行价格的调整管理，可以由审核人审核调价信息，可以按约定生效日期自动生效。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3、入库：</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以批次管理为模式，对药品的入库（可以实现扫码入库）管理，入库时记录入库采购的供应企业、发票信息、药品品种、数量、批号有效期等信息，入库时生成系统的药品批次和库存。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4、出库：</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根据药房或者临床科室的请领单信息，进行药品的出库管理。出库是按照药品批次进行减库存，也可以由药库手工建出库单，审核人员审核出库后完成药库的出库，接收科室验货后进行转移入库审核。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5、报损：</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因药品过期、破损等原因需要进行统一报损，由药库人员按照药品品种、报损数量、报损批次进行报损管理，报损后减药品库存。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6、盘点：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在月底或者季度末、年末，药库进行药品的盘点，比对药品的系统账面数和实物数量，按实物数量调整药品的库存到账面，生成盘点的盈亏损益报表。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7、多库房管理：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设置多个药品库房，自定义药品在库房之间的流向，可自定义药库、药房等各级包装单位及其换算关系。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8、有效期管理：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提供药品的有效期管理、可统计过期药品或即将过期药品的明细，并有库存量提示功能。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9、呆滞管理：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对长时间不用的药品定义为呆滞药品，统计出呆滞药品后可以进行退货处理。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10、动销管理：可以查询出一段时间内在用的品种，可查询出相应的用量，进而判断药品库存的活性，是否需要备货采购等。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11、入库统计：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按日期段、按供应商、按药品各种分类、按药品品种等汇总药品的采购入库和退药等情况，可用于财务报表的统计和医院领导需要查看的报表等等。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12、出库统计：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按日期段、按接收科室、按药品各种分类、按药品品种等汇总药品的出库情况，满足医院领导常用的查看报表、财务上报的报表等。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13、月报管理：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按财务要求生成每个月的月报，月报生成时间可以根据实际业务需要随时生成，对有问题的月报也可以</w:t>
            </w:r>
            <w:r>
              <w:rPr>
                <w:rFonts w:hint="eastAsia" w:ascii="宋体" w:hAnsi="宋体" w:cs="宋体"/>
                <w:color w:val="000000"/>
                <w:kern w:val="0"/>
                <w:sz w:val="18"/>
                <w:szCs w:val="18"/>
                <w:highlight w:val="none"/>
                <w:lang w:val="en-US" w:eastAsia="zh-CN"/>
              </w:rPr>
              <w:t>修改</w:t>
            </w:r>
            <w:r>
              <w:rPr>
                <w:rFonts w:hint="eastAsia" w:ascii="宋体" w:hAnsi="宋体" w:cs="宋体"/>
                <w:color w:val="000000"/>
                <w:kern w:val="0"/>
                <w:sz w:val="18"/>
                <w:szCs w:val="18"/>
                <w:highlight w:val="none"/>
              </w:rPr>
              <w:t>重新生成。日报生成后，可以查询一段时间内的日报情况，按照财务要求的月报表格式输出打印报表。</w:t>
            </w:r>
          </w:p>
        </w:tc>
        <w:tc>
          <w:tcPr>
            <w:tcW w:w="255" w:type="pct"/>
            <w:shd w:val="clear" w:color="auto" w:fill="auto"/>
            <w:vAlign w:val="center"/>
          </w:tcPr>
          <w:p w14:paraId="44F1983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39CE194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2052992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0BF4A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E37F42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42</w:t>
            </w:r>
          </w:p>
        </w:tc>
        <w:tc>
          <w:tcPr>
            <w:tcW w:w="218" w:type="pct"/>
            <w:vMerge w:val="continue"/>
            <w:vAlign w:val="center"/>
          </w:tcPr>
          <w:p w14:paraId="39662A09">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273E73B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中草药房管理系统</w:t>
            </w:r>
          </w:p>
        </w:tc>
        <w:tc>
          <w:tcPr>
            <w:tcW w:w="3247" w:type="pct"/>
            <w:shd w:val="clear" w:color="auto" w:fill="auto"/>
            <w:vAlign w:val="center"/>
          </w:tcPr>
          <w:p w14:paraId="0183171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1、门诊草药业务：门诊草药业务主要是对门急诊患者的处方相关操作。包括门诊草药处方审核、门诊草药发放和门诊退药。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2、门诊草药审方：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对于门急诊已经收费的处方可以进行手工审核，也可以调用安全用药智能决策系统或者第三方系统进行自动分析。当处方被拒绝后，系统会把拒绝信息发送给开医嘱医生。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3、门诊草药发药：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发放已经处方审核通过的草药处方。在发药界面发现问题时可以拒绝发放，同时也允许取消拒绝。由于患者主观意愿的变化，</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在发药界面做煎药申请、修改煎药方式。发药的同时可以打印处方和煎药条。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4、门诊退药：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药房对处方进行退药。对于那些满足退药条件的剂型或者被置为可退的处方可以进行退药操作，可以依据申请单退药，也可以直接按照处方退药。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对于不可退的处方拒绝退药，已拒绝的退药单也可以取消拒绝。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5、住院草药业务：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住院草药业务，主要是对住院患者的处方相关操作。包括住院草药处方审核、住院草药发放和住院草药已发药查询。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6、住院草药审方：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于已经开立的处方按照病区检索，以预览的方式展示并进行审核。审核时可以手工审核，也可以调用安全用药智能决策系统或者第三方系统进行自动分析。当处方被拒绝后，系统会把拒绝信息发送给开医嘱医生，等医生反馈后再做进一步的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7、住院草药发药：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发放已经处方审核通过的草药处方。在发药界面发现问题时也可以拒绝发放，同时也允许取消拒绝。发药完成后会打印处方和煎药条。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8、住院草药已发药查询：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检索已经发放的草药处方。此界面可以重打煎药条和将处方置为可退。</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9、处方追踪：</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按照病区或者登记号检索草药处方，并展示草药处方从医嘱开立到最后发放给患者所有流程的操作人员，操作日期，操作结果等信息。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10、发药查询：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按照业务日期，患者卡号、登记号，处方号，药品名称等信息检索已经发放的处方，并支持导出处方汇总信息以及处方明细信息。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11、处方集中打印：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对本药房的所有处方进行集中打印。按照日期、开单科室、处方类型以及患者登记号检索处方，然后对单个或者多个处方进行重打操作。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12、直接退药：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药房直接进行退药操作。按照登记号检索该患者名下已经停止执行且未退药的所有处方，填写退药数量后退药。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13、申请单退药：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药房对病区已提的退药申请单进行退药。</w:t>
            </w:r>
          </w:p>
        </w:tc>
        <w:tc>
          <w:tcPr>
            <w:tcW w:w="255" w:type="pct"/>
            <w:shd w:val="clear" w:color="auto" w:fill="auto"/>
            <w:vAlign w:val="center"/>
          </w:tcPr>
          <w:p w14:paraId="20D0B44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065384E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c>
          <w:tcPr>
            <w:tcW w:w="313" w:type="pct"/>
            <w:shd w:val="clear" w:color="auto" w:fill="auto"/>
            <w:vAlign w:val="center"/>
          </w:tcPr>
          <w:p w14:paraId="6042982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50000</w:t>
            </w:r>
          </w:p>
        </w:tc>
      </w:tr>
      <w:tr w14:paraId="43BB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DBDB5C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43</w:t>
            </w:r>
          </w:p>
        </w:tc>
        <w:tc>
          <w:tcPr>
            <w:tcW w:w="218" w:type="pct"/>
            <w:shd w:val="clear" w:color="auto" w:fill="auto"/>
            <w:vAlign w:val="center"/>
          </w:tcPr>
          <w:p w14:paraId="0F018AC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数据库</w:t>
            </w:r>
          </w:p>
        </w:tc>
        <w:tc>
          <w:tcPr>
            <w:tcW w:w="509" w:type="pct"/>
            <w:gridSpan w:val="2"/>
            <w:shd w:val="clear" w:color="auto" w:fill="auto"/>
            <w:vAlign w:val="center"/>
          </w:tcPr>
          <w:p w14:paraId="579158E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数据库</w:t>
            </w:r>
          </w:p>
        </w:tc>
        <w:tc>
          <w:tcPr>
            <w:tcW w:w="3247" w:type="pct"/>
            <w:shd w:val="clear" w:color="auto" w:fill="auto"/>
            <w:vAlign w:val="center"/>
          </w:tcPr>
          <w:p w14:paraId="19808C5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1、面向对象的后关系型数据库或大型关系数据库。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2、支持主流厂商的硬件及操作系统平台。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3、支持Unix、Linux、Windows操作系统，支持C/S/S或B/S/S的体系结构。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4、支持关系模型，支持分布式处理。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5、支持主流的网络协议（TCP/IP、IPX/SPX、NETBIOS及混合协议等）。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6、具有开放性，支持异种数据库的访问，包括实现对文件数据和桌面数据库的访问、实现对大型异种数据库的访问、实现和高级语言互连的能力等。</w:t>
            </w:r>
          </w:p>
        </w:tc>
        <w:tc>
          <w:tcPr>
            <w:tcW w:w="255" w:type="pct"/>
            <w:shd w:val="clear" w:color="auto" w:fill="auto"/>
            <w:vAlign w:val="center"/>
          </w:tcPr>
          <w:p w14:paraId="2FE7AF4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20F95FA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125000</w:t>
            </w:r>
          </w:p>
        </w:tc>
        <w:tc>
          <w:tcPr>
            <w:tcW w:w="313" w:type="pct"/>
            <w:shd w:val="clear" w:color="auto" w:fill="auto"/>
            <w:vAlign w:val="center"/>
          </w:tcPr>
          <w:p w14:paraId="5CB882F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125000</w:t>
            </w:r>
          </w:p>
        </w:tc>
      </w:tr>
      <w:tr w14:paraId="1F79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6D4DA7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44</w:t>
            </w:r>
          </w:p>
        </w:tc>
        <w:tc>
          <w:tcPr>
            <w:tcW w:w="218" w:type="pct"/>
            <w:shd w:val="clear" w:color="auto" w:fill="auto"/>
            <w:vAlign w:val="center"/>
          </w:tcPr>
          <w:p w14:paraId="7DBAF23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临床决策支持系统</w:t>
            </w:r>
          </w:p>
        </w:tc>
        <w:tc>
          <w:tcPr>
            <w:tcW w:w="509" w:type="pct"/>
            <w:gridSpan w:val="2"/>
            <w:shd w:val="clear" w:color="auto" w:fill="auto"/>
            <w:vAlign w:val="center"/>
          </w:tcPr>
          <w:p w14:paraId="4F9D186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临床决策支持系统</w:t>
            </w:r>
          </w:p>
        </w:tc>
        <w:tc>
          <w:tcPr>
            <w:tcW w:w="3247" w:type="pct"/>
            <w:shd w:val="clear" w:color="auto" w:fill="auto"/>
            <w:vAlign w:val="center"/>
          </w:tcPr>
          <w:p w14:paraId="5D2054C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决策支持系统实现临床诊疗过程中的辅助决策支持，根据症状、体征、检查、检验等结果诊断可能疾病，并提示对应的鉴别诊断及检查、检验、治疗方案，以进一步规范临床工作，提升医疗安全。具体功能要求如下：</w:t>
            </w:r>
          </w:p>
          <w:p w14:paraId="315E827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诊断决策支持：通过分析患者信息（基础信息、主诉、五史、体格检查等），为临床医生推荐疑似诊断、鉴别诊断、疑似罕见病、辅助检查检验等诊断信息，并提供诊断相关详细信息浏览、检索等功能，辅助临床医生确诊患者。</w:t>
            </w:r>
          </w:p>
          <w:p w14:paraId="7126B08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2、治疗决策支持：通过分析患者基础信息和诊断信息，针对患者推荐评分表和治疗方案，并依据患者信息对方案进行评估，推荐患者最佳治疗方案。</w:t>
            </w:r>
          </w:p>
          <w:p w14:paraId="56B5125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3、预警决策支持：在诊疗过程中，通过分析患者基础信息和诊疗信息，实时监控患者用药、检查、检验合理性，患者不良反应等情况。</w:t>
            </w:r>
          </w:p>
          <w:p w14:paraId="61566CC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4、患者画像：系统依据患者信息，智能生成患者病史模型，以二维图表形式展示患者既往史、家族史、个人史、婚育史等信息</w:t>
            </w:r>
          </w:p>
          <w:p w14:paraId="220551A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5、数据统计：系统会自动记录每次推荐、预警或操作的信息，然后以图形化的方式展示这些记录，利于后期的统计和分析。</w:t>
            </w:r>
          </w:p>
        </w:tc>
        <w:tc>
          <w:tcPr>
            <w:tcW w:w="255" w:type="pct"/>
            <w:shd w:val="clear" w:color="auto" w:fill="auto"/>
            <w:vAlign w:val="center"/>
          </w:tcPr>
          <w:p w14:paraId="65EF164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322DFE8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90000</w:t>
            </w:r>
          </w:p>
        </w:tc>
        <w:tc>
          <w:tcPr>
            <w:tcW w:w="313" w:type="pct"/>
            <w:shd w:val="clear" w:color="auto" w:fill="auto"/>
            <w:vAlign w:val="center"/>
          </w:tcPr>
          <w:p w14:paraId="0E830B5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90000</w:t>
            </w:r>
          </w:p>
        </w:tc>
      </w:tr>
      <w:tr w14:paraId="39B0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12D098C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45</w:t>
            </w:r>
          </w:p>
        </w:tc>
        <w:tc>
          <w:tcPr>
            <w:tcW w:w="218" w:type="pct"/>
            <w:shd w:val="clear" w:color="auto" w:fill="auto"/>
            <w:vAlign w:val="center"/>
          </w:tcPr>
          <w:p w14:paraId="62F0AAC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临床知识库</w:t>
            </w:r>
          </w:p>
        </w:tc>
        <w:tc>
          <w:tcPr>
            <w:tcW w:w="509" w:type="pct"/>
            <w:gridSpan w:val="2"/>
            <w:shd w:val="clear" w:color="auto" w:fill="auto"/>
            <w:vAlign w:val="center"/>
          </w:tcPr>
          <w:p w14:paraId="7606E96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临床知识库</w:t>
            </w:r>
          </w:p>
        </w:tc>
        <w:tc>
          <w:tcPr>
            <w:tcW w:w="3247" w:type="pct"/>
            <w:shd w:val="clear" w:color="auto" w:fill="auto"/>
            <w:vAlign w:val="center"/>
          </w:tcPr>
          <w:p w14:paraId="2D36FF8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w:t>
            </w:r>
            <w:r>
              <w:rPr>
                <w:rFonts w:hint="eastAsia" w:ascii="宋体" w:hAnsi="宋体" w:cs="宋体"/>
                <w:color w:val="000000"/>
                <w:kern w:val="0"/>
                <w:sz w:val="18"/>
                <w:szCs w:val="18"/>
                <w:highlight w:val="none"/>
                <w:lang w:val="en-US" w:eastAsia="zh-CN"/>
              </w:rPr>
              <w:t>知</w:t>
            </w:r>
            <w:r>
              <w:rPr>
                <w:rFonts w:hint="eastAsia" w:ascii="宋体" w:hAnsi="宋体" w:cs="宋体"/>
                <w:color w:val="000000"/>
                <w:kern w:val="0"/>
                <w:sz w:val="18"/>
                <w:szCs w:val="18"/>
                <w:highlight w:val="none"/>
              </w:rPr>
              <w:t>识库的研发依托《电子病历功能规范与分级评价》中的要求，建设重点是辅助医护人员实施正确的诊疗措施，提供主动式全面化智能化专业化提示与警告。同时也形成电子字典，在全院共享，方便查阅。具体功能要求如下：</w:t>
            </w:r>
          </w:p>
          <w:p w14:paraId="1302A79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1、数据管理：实现知识库标识定义，目录定义，基础字典与对照，知识录入等功能。</w:t>
            </w:r>
          </w:p>
          <w:p w14:paraId="026AF26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2、策略管理：为管理人员提供策略工具，可以按权限，按知识目录分别个性化定义校验规则。</w:t>
            </w:r>
          </w:p>
          <w:p w14:paraId="1F4E1EB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3、智能审查：实现临床医师在开医嘱时，根据病人与医嘱的相关信息智能审查与提示等功能。</w:t>
            </w:r>
          </w:p>
          <w:p w14:paraId="61C5657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4、辅助信息实时提醒：医生端：开医嘱，提交检验、检查申请时，给与适应症、禁忌症、注意事项、不良反应、临床意义等辅助信息实时提醒。</w:t>
            </w:r>
          </w:p>
          <w:p w14:paraId="1E7E155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护士端：执行医嘱，打印检验条码前，给与适应症、禁忌症、注意事项、不良反应等辅助信息实时提醒。</w:t>
            </w:r>
          </w:p>
          <w:p w14:paraId="08FCFD8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5、诊疗建议查询：医生开具医嘱时，根据病人诊断信息，可以查询出诊疗建议，即适应症相对应的检验和药品列表，给出参考项。</w:t>
            </w:r>
          </w:p>
          <w:p w14:paraId="3721AEC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6、监测数据查询与分析：提供数据触发提醒日志工具与查询分析功能。</w:t>
            </w:r>
          </w:p>
        </w:tc>
        <w:tc>
          <w:tcPr>
            <w:tcW w:w="255" w:type="pct"/>
            <w:shd w:val="clear" w:color="auto" w:fill="auto"/>
            <w:vAlign w:val="center"/>
          </w:tcPr>
          <w:p w14:paraId="48569E0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09156C1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30BB17B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001D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5779CB1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46</w:t>
            </w:r>
          </w:p>
        </w:tc>
        <w:tc>
          <w:tcPr>
            <w:tcW w:w="218" w:type="pct"/>
            <w:shd w:val="clear" w:color="auto" w:fill="auto"/>
            <w:vAlign w:val="center"/>
          </w:tcPr>
          <w:p w14:paraId="78279C7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体检系统</w:t>
            </w:r>
          </w:p>
        </w:tc>
        <w:tc>
          <w:tcPr>
            <w:tcW w:w="509" w:type="pct"/>
            <w:gridSpan w:val="2"/>
            <w:shd w:val="clear" w:color="auto" w:fill="auto"/>
            <w:vAlign w:val="center"/>
          </w:tcPr>
          <w:p w14:paraId="6AA83E3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体检系统</w:t>
            </w:r>
          </w:p>
        </w:tc>
        <w:tc>
          <w:tcPr>
            <w:tcW w:w="3247" w:type="pct"/>
            <w:shd w:val="clear" w:color="auto" w:fill="auto"/>
            <w:vAlign w:val="center"/>
          </w:tcPr>
          <w:p w14:paraId="1AFAB7AF">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网上预约：网上预约借助互联网技术平台，为体检机构提供广泛的体检预约途径。网上预约要求涵盖微信、支付宝、APP、官网等各种在线预约渠道，可为体检机构开发互联网新客户，提升客户体验及满意度，广泛宣传体检机构，提升品牌价值，基于存量业务提供在线增值服务。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（1）在线调查问卷：</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基于系统健康评估模块维护的问卷内容，在线对用户进行预约前的基本信息（如病史、生活习惯等）筛查。通过科学的问卷评估模型可初步掌握用户身体状况，对用户可能存在的潜在疾病进行评估，为用户自主在线选择项目提供科学的依据，进而提升用户体检质量，助于体检机构进行精准筛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（2）预约号源排期：</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根据体检机构容纳量，可对网上预约限额进行管理。号源维护是基于VIP等级（套餐类型）、性别、预约类型（个人或团体）、日期、科室五个维度进行划分。可通过限额模板批量生成限额信息。</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每日按时段预约。特殊团体可维护成主场团体，进行该团体私有的号源维护。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（3）个人预约（1+X模式）：</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个人预约，在线可以选择一个基础体检套餐加自助选择体检项目的模式进行体检预约。可在线查询预约记录；取消预约记录。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（4）团体预约：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团体预约记录通过线下生成，分组并导入名单后，团体成员可在线选择公费项目或自费项目进行预约，可以针对预约记录进行项目修改和体检日期修改。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（5）在线缴费：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个人预约或团体自费加项完成后，可自动在体检系统登记，线上完成项目缴费。到达体检机构后可通过自助机打印导诊单，根据分诊信息进行科室检查。</w:t>
            </w:r>
          </w:p>
          <w:p w14:paraId="4E7AE67F">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体检前台预约：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体检前台预约提供个人体检业务办理，单位体检业务办理，预约记录查询及体检单据打印的功能。个人体检业务主要是建立客户信息、预约体检时间、体检项目等。在建立客户信息时，</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通过姓名检索历史记录，支持通过就诊卡、身份证获取信息，支持拍照并保存客户照片。单位体检业务办理，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批量导入体检人员、批量加项等操作。具体功能要求包括：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（1）预约管理：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设置体检中心网络预约及现场预约的限额，当到达预约数量时提示前台已达预约限额。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（2）个人基本信息维护：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通过姓名、身份证等查询系统中的个人基本信息记录；没有记录的、可新建客户基本信息；有记录的可以修改已有的客户基本信息；信息维护时可以拍照并保存客户的照片。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（3）个人预约：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就诊卡、身份证、姓名获取已有的客户信息直接预约、也可以建立客户信息后进行预约，预约时可以拍照并保存客户照片，预约界面显示的套餐和项目根据客户的VIP等级、性别、婚姻状况等自动进行过滤，选择套餐和项目支持模糊查询，选择完成可以按需打印体检指引单、检查检验条码。职业病体检提供职业病相关的基本信息、职业史、病史、职业病史等内容的录入保存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（4）个人预约查询：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登记号、姓名、团体、预约状态等条件的组合查询功能，也支持通过读身份证直接查找预约记录。选中预约记录，可以设置先体检后交费、可以对费用进行折扣、销售金额优惠，可以打印指引单、检查检验条码、病理单等单据，可以给客户进行报到操作，对已约未报到的记录可以修改体检日期或者进行取消体检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（5）团体基本信息维护：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通过团体名称或者负责人查询团体档案、可以新建团体基本信息、也可以修改已有的团体基本信息。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（6）团体预约：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团体预约可以新建团体预约记录、设置团体体检的起始日期和截止日期、支付方式为团体统结或者团体人员自结、是否先体检后缴费以及其他必要设置等，</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自动进行分组并将团体人员批量导入到对应分组中，并可以为分组中人员批量增加项目，系统还支持对分组中选定的人员以公费或自费的形式增加项目。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（7）团体预约查询：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团体预约查询可以查询团体的预约记录，可以计算团体的总费用，可以对团体进行折扣或者销售金额的优惠，可以查看打印团体的已检未检人员情况，也可以导出团体的费用清单；系统还提供复制历史团体预约记录的分组和项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（8）体检中心要求可为客户建立档案信息，能快捷办理各种类型的体检，在客户报告时一键打印体检的各类单据。</w:t>
            </w:r>
          </w:p>
          <w:p w14:paraId="522392C8">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分诊排队为诊室提供叫号、顺延、过号功能，在诊室检查结束时为体检客户分配下一站诊室。对系统自动分配的诊室，可进行人干预，对不想检查的诊室进行放弃等操作。具体功能要求包括：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（1）诊室调整：</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展示各诊室的等侯人数、时间、过号人数；查询体检客户的第一诊室或者当前诊室；对已分配的诊室进行人工干预，如更换诊室，暂停排队等。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（2）采血台及诊室叫号，分配诊室：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采血护士或诊室医生对当前分配到自己诊室的体检客户依次进行叫号、对未到达的客户进行顺延、过号操作；完成采血或</w:t>
            </w:r>
            <w:r>
              <w:rPr>
                <w:rFonts w:hint="eastAsia" w:ascii="宋体" w:hAnsi="宋体" w:cs="宋体"/>
                <w:color w:val="000000"/>
                <w:kern w:val="0"/>
                <w:sz w:val="18"/>
                <w:szCs w:val="18"/>
                <w:highlight w:val="none"/>
                <w:lang w:val="en-US" w:eastAsia="zh-CN"/>
              </w:rPr>
              <w:t>检查后</w:t>
            </w:r>
            <w:r>
              <w:rPr>
                <w:rFonts w:hint="eastAsia" w:ascii="宋体" w:hAnsi="宋体" w:cs="宋体"/>
                <w:color w:val="000000"/>
                <w:kern w:val="0"/>
                <w:sz w:val="18"/>
                <w:szCs w:val="18"/>
                <w:highlight w:val="none"/>
              </w:rPr>
              <w:t>为客户分配下一站体检诊室。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（3）分诊排队结合体检中心的检查区域安排、各诊室的检查时间、基本医疗规则实现让体检客户排队时间最短，提升客户满意度；结合门头屏、自助机等体检中心可安排体检客户高效、有序参加体检。</w:t>
            </w:r>
          </w:p>
          <w:p w14:paraId="63DBE555">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体检采血：</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体检采血根据诊室分配人员依次叫号采集标本、记录采集时间和采集人；标本运送员运送标本可</w:t>
            </w:r>
            <w:r>
              <w:rPr>
                <w:rFonts w:hint="eastAsia" w:ascii="宋体" w:hAnsi="宋体" w:cs="宋体"/>
                <w:color w:val="000000"/>
                <w:kern w:val="0"/>
                <w:sz w:val="18"/>
                <w:szCs w:val="18"/>
                <w:highlight w:val="none"/>
                <w:lang w:val="en-US" w:eastAsia="zh-CN"/>
              </w:rPr>
              <w:t>建立</w:t>
            </w:r>
            <w:r>
              <w:rPr>
                <w:rFonts w:hint="eastAsia" w:ascii="宋体" w:hAnsi="宋体" w:cs="宋体"/>
                <w:color w:val="000000"/>
                <w:kern w:val="0"/>
                <w:sz w:val="18"/>
                <w:szCs w:val="18"/>
                <w:highlight w:val="none"/>
              </w:rPr>
              <w:t>运送单并将标本记录到对应运单、可以查询运送单的处理状态。具体功能要求包括：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（1）采集标本：</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根据诊室分配人员依次叫号采集标本、记录采集时间和采集人。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（2）标本采集一览：</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直观展示各采血人员标本采集数量、可导出标本采集详细数据。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（3）标本运送：</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运送员</w:t>
            </w:r>
            <w:r>
              <w:rPr>
                <w:rFonts w:hint="eastAsia" w:ascii="宋体" w:hAnsi="宋体" w:cs="宋体"/>
                <w:color w:val="000000"/>
                <w:kern w:val="0"/>
                <w:sz w:val="18"/>
                <w:szCs w:val="18"/>
                <w:highlight w:val="none"/>
                <w:lang w:val="en-US" w:eastAsia="zh-CN"/>
              </w:rPr>
              <w:t>建立</w:t>
            </w:r>
            <w:r>
              <w:rPr>
                <w:rFonts w:hint="eastAsia" w:ascii="宋体" w:hAnsi="宋体" w:cs="宋体"/>
                <w:color w:val="000000"/>
                <w:kern w:val="0"/>
                <w:sz w:val="18"/>
                <w:szCs w:val="18"/>
                <w:highlight w:val="none"/>
              </w:rPr>
              <w:t>运送单并将标本记录到对应运单、可以查询运送单的处理状态。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（4）采集标本的使用：详细记录客户的标本采集时间、采集人、也记录下各采血护士的工作量；标本运送有效解决了标本的遗漏问题。</w:t>
            </w:r>
          </w:p>
          <w:p w14:paraId="6D26EED4">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体检科室医生：系统提供当前诊室的未检队列和已检队列；体检医生给客户录入体检结果、给出诊断建议、发现高危时可保存高危。具体功能要求包括：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（1）结果录入：</w:t>
            </w:r>
            <w:r>
              <w:rPr>
                <w:rFonts w:hint="eastAsia" w:ascii="宋体" w:hAnsi="宋体" w:cs="宋体"/>
                <w:color w:val="000000"/>
                <w:kern w:val="0"/>
                <w:sz w:val="18"/>
                <w:szCs w:val="18"/>
                <w:highlight w:val="none"/>
                <w:lang w:eastAsia="zh-CN"/>
              </w:rPr>
              <w:t>提供</w:t>
            </w:r>
            <w:r>
              <w:rPr>
                <w:rFonts w:hint="eastAsia" w:ascii="宋体" w:hAnsi="宋体" w:cs="宋体"/>
                <w:color w:val="000000"/>
                <w:kern w:val="0"/>
                <w:sz w:val="18"/>
                <w:szCs w:val="18"/>
                <w:highlight w:val="none"/>
              </w:rPr>
              <w:t>体检结果的模板化录入，系统已维护了结果的关键词、体检医生可鼠标双击调出关键词模板进行选择、亦可以自行进行修改，体检医生还可以查看客户当前项目的历史体检结果、也可以查看本次体检其他项目的检查结果。录入完成保存结果，可以为客户添加诊断建议、对建议可进行修改、最后对本诊室进行提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自动提交。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（2）获取数据：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从身高体重及血压设备直接获取数据并保存到系统。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（3）图片报告上传：</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图片报告上传到体检系统，最后在报告中打印。</w:t>
            </w:r>
          </w:p>
          <w:p w14:paraId="6BBD177D">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体检收表管理：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体检完成时收回客户的指引单、核对客户已完成全部项目的体检、预防客户没做完体检离开；未检的项目客户拒绝检查并签字确认、或者做退费申请去退费；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收表时客户预约体检报告的领取时间和领取方式；可以查找当天未交表的体检客户、核实实际情况做具体操作。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通过扫码查找客户、显示就诊记录，选择就诊记录显示客户无结果项目及未提交的诊室，点击项目可以对项目谢绝检查。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（3）收表管理有效预防体检客户未做完全部检查离开体检中心、并为客户预约报告领取时间和方式。</w:t>
            </w:r>
          </w:p>
          <w:p w14:paraId="17EB7E9C">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体检总检医生：总检分为初审和复审、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系统对各诊室体检结果的异常进行汇总、根据综合检查结果自动生成总检结论建议，并由总检医生完成审核。系统可以提供历史结果对比、检查检验原始报告浏览功能。对健康证等特殊类别体检，可用发证管理给出结论并打印相关证件。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（1）总检初审：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总检医生通过组合条件查询未总检、已初审、已复审的体检客户，系统会自动汇总各诊室体检结果的异常进行汇总、并自动生成总检结论建议，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总检医生可继续调出建议库添加建议、也可以对已有的建议进行修改，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对建议进行合并排序，最终由总检医生审核并提交。总检医生可在总检界面浏览客户的历史结果、检查检验原始报告。发现高危可进行保存上报。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（2）总检复审：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对初审的建议进行审核和修改，完成最终的体检审核。</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（3）发证管理：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对特殊类型如健康证的体检给出结论，打印出相关证件。</w:t>
            </w:r>
          </w:p>
          <w:p w14:paraId="52D7E3CA">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体检报告系统：体检报告系统主要提供个人报告和单位汇总分析报告的打印功能。</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导出报告的电子版。具体功能要求包括：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（1）个人报告：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通过组合条件查询出需要打印的报告、单打或者批量打印体检报告、支持导出Word、PDF格式的体检报告、支持导出体检结论。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（2）保密报告：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查询保密报告，保密报告不会出现在个人报告中。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（3）报告已完成：</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报告入库并告知客户报告已准备好，并短信通知客户来体检中心领取报告。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（4）取报告：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记录报告领取人和领取时间。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（5）到期报告：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查询收表管理约取报告未取的报告。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（6）团体报告：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自动生成团体体检报告分析，各种常见疾病的患病率、患病人数等；可以导出团体人员的异常值和体检结果。</w:t>
            </w:r>
          </w:p>
          <w:p w14:paraId="11737BC9">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网上浏览体检报告：网上浏览体检报告提供互联网平台报告预约或下载功能。具体功能要求包括：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（1）报告进度查询：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通过录入客户基本信息在线查询当前报告进度。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（2）报告预览、下载、打印：</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在线浏览PDF体检报告,方便客户随时查询报告详情，可自主下载打印。</w:t>
            </w:r>
          </w:p>
          <w:p w14:paraId="5A3D4C60">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体检收费：收费员对体检中心审核后的费用进行结算，给客户打印出体检发票及收费明细；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包括现金、银行卡、体检卡、医保卡余额、微信支付宝等多种支付方式。收费员可进行扎账并打印日结账报表。可对体检中心已审核的退费申请进行退费。具体功能要求包括：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（1）费用管理：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单人结算、将多个单人体检结算到一起、支持将团体费用拆分进行结算，支持定义发票名称，并能支持各种支付方式。结算打印出发票。按需可打印收费明细小票。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（2）收费员日结账：</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收费员对当天已收的体检费用进行扎账。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（3）退费：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对于前台已经做过退费的申请的收据，进行退费操作，所退项目是由体检前台确定。</w:t>
            </w:r>
          </w:p>
          <w:p w14:paraId="632AE515">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体检卡管理：体检卡管理包含了体检卡的新建、充值、挂失、冻结等操作。按是否本人消费区分为体检预缴金和体检代金卡，其中代金卡不限制本人消费，预缴金和登记号绑定。具体功能要求包括：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（1）体检卡管理：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可查询客户的体检卡记录、如卡信息、余额，可新建体检卡、体检卡充值并打印发票。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（2）体检卡明细查询：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查询体检卡的金额变动明细、可以补打充值发票。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（3）体检卡状态查询：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查询体检卡的状态。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（4）卡金额转移：</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卡之间的转账操作，可以批量新建卡并进行充值。</w:t>
            </w:r>
          </w:p>
          <w:p w14:paraId="665D916F">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体检主任管理：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（1）挂账折扣权限设置：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设置相关人员是否可以进行挂账、折扣的操作权限。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（2）质量上报统计：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分为责任人和上报人两张报表，可以为科室计算绩效提供参考。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（3）体检中心工作量报表：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查询时间段内人员的各种工作量及明细。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（4）体检中心年度报表：</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展示人次及收入情况。</w:t>
            </w:r>
          </w:p>
          <w:p w14:paraId="14C9278B">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体检高危信息查询：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（1）体检医生检查过程中发现高危在录入时可以保存高危，总检在审核时发现高危也可以保存上报，其他未上报的高危则在高危信息查询通过设置的高危条件查询出来并做进一步的处理。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（2）高危信息查询：</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查询科室医生上报的高危信息及设置好的高危条件查询到的高危结果，发送短信或者打电话通知体检者,可实现高危信息查询并进行高危管理。</w:t>
            </w:r>
          </w:p>
          <w:p w14:paraId="75A3B09D">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体检统计查询：体检统计查询从收入、工作量、人次、体征及结果等多个维度提供查询功能，具体功能要求包括：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（1）费用统计类：</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体检卡汇总报表、团体费用统计、收费员统计报表、科室收入统计、体检收入统计、体检费用统计。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（2）疾病体征类：</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疾病统计、体检结果分析、高危信息查询。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（3）工作量类：</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体检中心工作量统计、体检中心年度报表、医生工作量统计、医嘱数量查询、科室工作量统计。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（4）其他统计：</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排队叫号统计、质量上报统计、体检自费人员未交费已检统计。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（5）日常查询类：</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体检已检未检弃检查询、未回传结果项目查询、体检状态查询、体检综合查询。</w:t>
            </w:r>
          </w:p>
          <w:p w14:paraId="41CE915D">
            <w:pPr>
              <w:widowControl/>
              <w:numPr>
                <w:ilvl w:val="0"/>
                <w:numId w:val="15"/>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职业病体检：职业病体检是集成于体检系统中的一个功能模块，用于对有毒有害作业劳动者进行上岗前、在岗期间和离岗时的职业健康体检。职业病体检不仅能共用体检系统中已维护的基础数据，具有一套职业健康体检中特殊的知识库，并且在业务流程及操作上与体检系统基本一致，能满足大多体检机构对职业健康体检的检查工作。具体功能要求包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（1）基础数据维护：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检查种类维护、目标疾病维护、诊断依据维护、工种维护、防护措施维护、危害因素维护、危害因素对应目标疾病、危害因素对应诊断依据、危害因素对应检查项目、检查结论维护、处理意见模板维护。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（2）个人预约职业病信息维护：</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个人预约职业病体检成功后，能直接填写职业病体检中需要的信息（检查种类、危害因素、总工龄、接害工龄、职业史、病史、职业病史等）。也可进行修改。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（3）团体人员职业病信息批量导入：</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团体人员导入职业病信息，如：检查种类、危害因素、总工龄、接害工龄等。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（4）快速选项：</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在个人加项、分组加项时，能根据维护的检查种类和危害因素快速选择对应的职业病体检项目。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（5）检查结论：</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总检时，查看检查结果，可单独选择检查结论、填写处理意见等。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（6）个人报告：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将个人体检中的基本信息、职业病信息、检查结果、检查结论等汇总，形成职业病体检报告。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（7）团体报告：</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将团体中属于职业病体检人员的体检结果汇总，包含各个检查种类，危害因素下的人员、项目、目标疾病、各个检查结论的人次等。根据国家规范及医院情况，使工作人员能采集受检者职业病相关信息，完成对职业健康体检的检查工作。</w:t>
            </w:r>
          </w:p>
          <w:p w14:paraId="3721EC8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16、提供体检数据设置，</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体检基础数据的设置与维护。包含但不限于体检项目维护、医生建议、住院体检设置、体检医嘱套维护、导检单顺序设置、客户VIP等级维护、体检医嘱扩展、体检医生权限管理、短信模板维护、体检配置、健康问卷等配置。</w:t>
            </w:r>
          </w:p>
        </w:tc>
        <w:tc>
          <w:tcPr>
            <w:tcW w:w="255" w:type="pct"/>
            <w:shd w:val="clear" w:color="auto" w:fill="auto"/>
            <w:vAlign w:val="center"/>
          </w:tcPr>
          <w:p w14:paraId="72B8665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72B84FB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140000</w:t>
            </w:r>
          </w:p>
        </w:tc>
        <w:tc>
          <w:tcPr>
            <w:tcW w:w="313" w:type="pct"/>
            <w:shd w:val="clear" w:color="auto" w:fill="auto"/>
            <w:vAlign w:val="center"/>
          </w:tcPr>
          <w:p w14:paraId="3D10A4B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140000</w:t>
            </w:r>
          </w:p>
        </w:tc>
      </w:tr>
      <w:tr w14:paraId="1678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630094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47</w:t>
            </w:r>
          </w:p>
        </w:tc>
        <w:tc>
          <w:tcPr>
            <w:tcW w:w="218" w:type="pct"/>
            <w:vMerge w:val="restart"/>
            <w:shd w:val="clear" w:color="auto" w:fill="auto"/>
            <w:vAlign w:val="center"/>
          </w:tcPr>
          <w:p w14:paraId="1FA3788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医院人财物运营管理平台</w:t>
            </w:r>
          </w:p>
        </w:tc>
        <w:tc>
          <w:tcPr>
            <w:tcW w:w="509" w:type="pct"/>
            <w:gridSpan w:val="2"/>
            <w:shd w:val="clear" w:color="auto" w:fill="auto"/>
            <w:vAlign w:val="center"/>
          </w:tcPr>
          <w:p w14:paraId="453C11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系统平台</w:t>
            </w:r>
          </w:p>
        </w:tc>
        <w:tc>
          <w:tcPr>
            <w:tcW w:w="3247" w:type="pct"/>
            <w:shd w:val="clear" w:color="auto" w:fill="auto"/>
            <w:vAlign w:val="center"/>
          </w:tcPr>
          <w:p w14:paraId="2DF740C9">
            <w:pPr>
              <w:widowControl/>
              <w:shd w:val="clea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1、组织架构：支持组织机构设置，灵活设定组织关系，并可对组织进行启用、关闭等状态设置。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2、登录设置：支持IP绑定</w:t>
            </w:r>
            <w:r>
              <w:rPr>
                <w:rFonts w:hint="eastAsia" w:ascii="宋体" w:hAnsi="宋体" w:cs="宋体"/>
                <w:color w:val="000000"/>
                <w:kern w:val="0"/>
                <w:sz w:val="18"/>
                <w:szCs w:val="18"/>
                <w:highlight w:val="none"/>
                <w:lang w:eastAsia="zh-CN"/>
              </w:rPr>
              <w:t>登录</w:t>
            </w:r>
            <w:r>
              <w:rPr>
                <w:rFonts w:hint="eastAsia" w:ascii="宋体" w:hAnsi="宋体" w:cs="宋体"/>
                <w:color w:val="000000"/>
                <w:kern w:val="0"/>
                <w:sz w:val="18"/>
                <w:szCs w:val="18"/>
                <w:highlight w:val="none"/>
              </w:rPr>
              <w:t>，非指定IP不能</w:t>
            </w:r>
            <w:r>
              <w:rPr>
                <w:rFonts w:hint="eastAsia" w:ascii="宋体" w:hAnsi="宋体" w:cs="宋体"/>
                <w:color w:val="000000"/>
                <w:kern w:val="0"/>
                <w:sz w:val="18"/>
                <w:szCs w:val="18"/>
                <w:highlight w:val="none"/>
                <w:lang w:eastAsia="zh-CN"/>
              </w:rPr>
              <w:t>登录</w:t>
            </w:r>
            <w:r>
              <w:rPr>
                <w:rFonts w:hint="eastAsia" w:ascii="宋体" w:hAnsi="宋体" w:cs="宋体"/>
                <w:color w:val="000000"/>
                <w:kern w:val="0"/>
                <w:sz w:val="18"/>
                <w:szCs w:val="18"/>
                <w:highlight w:val="none"/>
              </w:rPr>
              <w:t>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3、系统配置：支持各种类型的系统配置，包含：执行配置、表单配置、上传配置、页签配置、列表配置、流程配置、文件导入配置等。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4、消息管理：支持相关人员对消息进行催办，并显示消息状态、催办次数、催办时间等。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5、基础数据管理：包含公共档案、会计信息、往来单位信息、人员信息、物资基础信息、资产基础信息、结算信息、项目信息等，并可对以上信息进行自定义设置。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6、公告管理：公告标题、公告类型设置、发布状态、发布人、发布时间等。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7、流程设计：可通过在线工作流</w:t>
            </w:r>
            <w:r>
              <w:rPr>
                <w:rFonts w:hint="eastAsia" w:ascii="宋体" w:hAnsi="宋体" w:cs="宋体"/>
                <w:color w:val="000000"/>
                <w:kern w:val="0"/>
                <w:sz w:val="18"/>
                <w:szCs w:val="18"/>
                <w:highlight w:val="none"/>
                <w:lang w:val="en-US" w:eastAsia="zh-CN"/>
              </w:rPr>
              <w:t>程</w:t>
            </w:r>
            <w:r>
              <w:rPr>
                <w:rFonts w:hint="eastAsia" w:ascii="宋体" w:hAnsi="宋体" w:cs="宋体"/>
                <w:color w:val="000000"/>
                <w:kern w:val="0"/>
                <w:sz w:val="18"/>
                <w:szCs w:val="18"/>
                <w:highlight w:val="none"/>
              </w:rPr>
              <w:t>实现医院、科室的业务流程的重组和灵活设计，实现包括工作流程、审批流程的自定义设计；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8、日志管理：支持系统日志的应用。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9、报表平台：可以实现医院、科室业务表单的灵活设计，实现包括表单、报表的自定义设计，可自定义高级查询。有极高定制性和扩展性，另可根据需求量身定做。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数据分析引擎：数据可视化展示界面数据可钻取，可联动，数据中心接口开放可定制，数据更新间隔可定制，能根据服务器压力随意调整，节省数据库压力的同时兼顾数据稳定获取，另可定时发送邮件，及时获取数据分析结果。支持分布式任务调度。</w:t>
            </w:r>
          </w:p>
        </w:tc>
        <w:tc>
          <w:tcPr>
            <w:tcW w:w="255" w:type="pct"/>
            <w:shd w:val="clear" w:color="auto" w:fill="auto"/>
            <w:vAlign w:val="center"/>
          </w:tcPr>
          <w:p w14:paraId="5F97BE8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7D71D6B1">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313" w:type="pct"/>
            <w:shd w:val="clear" w:color="auto" w:fill="auto"/>
            <w:vAlign w:val="center"/>
          </w:tcPr>
          <w:p w14:paraId="7524B67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5BBB0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785B560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48</w:t>
            </w:r>
          </w:p>
        </w:tc>
        <w:tc>
          <w:tcPr>
            <w:tcW w:w="218" w:type="pct"/>
            <w:vMerge w:val="continue"/>
            <w:vAlign w:val="center"/>
          </w:tcPr>
          <w:p w14:paraId="2AB2FA15">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60EE847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财务核算系统</w:t>
            </w:r>
          </w:p>
        </w:tc>
        <w:tc>
          <w:tcPr>
            <w:tcW w:w="3247" w:type="pct"/>
            <w:shd w:val="clear" w:color="auto" w:fill="auto"/>
            <w:vAlign w:val="center"/>
          </w:tcPr>
          <w:p w14:paraId="769D13AD">
            <w:pPr>
              <w:widowControl/>
              <w:shd w:val="clea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财务核算系统功能主要包括总账管理、报表管理、总账接口、数据上报等功能。系统须符合财政部《政府会计制度——行政事业单位会计科目和报表》（财会[2017]25号）文件</w:t>
            </w:r>
            <w:r>
              <w:rPr>
                <w:rFonts w:hint="eastAsia" w:ascii="宋体" w:hAnsi="宋体" w:cs="宋体"/>
                <w:color w:val="000000"/>
                <w:kern w:val="0"/>
                <w:sz w:val="18"/>
                <w:szCs w:val="18"/>
                <w:highlight w:val="none"/>
                <w:lang w:val="en-US" w:eastAsia="zh-CN"/>
              </w:rPr>
              <w:t>或最新标准及其修订版</w:t>
            </w:r>
            <w:r>
              <w:rPr>
                <w:rFonts w:hint="eastAsia" w:ascii="宋体" w:hAnsi="宋体" w:cs="宋体"/>
                <w:color w:val="000000"/>
                <w:kern w:val="0"/>
                <w:sz w:val="18"/>
                <w:szCs w:val="18"/>
                <w:highlight w:val="none"/>
              </w:rPr>
              <w:t>的制度的科目、核算原则与报表要求。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1、总账管理：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总账管理用来记录医院发生的各种经济业务在账务上反映的全部内容；反映医院账务处理的全过程，从账务处理所需初始信息，到凭证录入、审核、记账，以及各种辅助核算账信息的输入和输出，包括部门核算、供应商核算、科研项目核算和往来核算等，产生各种会计账簿输出打印等内容。包括凭证制单、自动凭证、凭证审核、凭证记账、凭证打印、凭证模板、凭证统计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（2）按照政府会计制度的规范要求，支持平行记账。预置标准的财务会计科目和预算会计科目，支持在同一个凭证中处理财务凭证和预算。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（3）支持凭证处理过程中的财务预算差异校验、现金流量校验等。</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差异项智能指定，一键完成所有凭证差异项的自动指定，无需手工指定差异项，并自动生成符合新制度要求的差异项报表。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（4）提供财务会计期末结转和预算会计的期末结转功能，实现自动期末结转；期末结转中的费用摊销和费用预提自动结转：通过设置费用摊销和费用预提凭证模板，自动生成费用摊销凭证和费用预提凭证。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（5）预置现金流量项目，指定现金及现金等价物科目的现金流量项目；支持凭证录入时指定现金流量项目，同时支持现金流量拆分模板设置，系统可按模板规则自动指定。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（6）支持凭证查询时对明细账、总账、原始单据进行联查功能。提供查询账簿功能，并可查询包含未记账凭证的各种账表；支持财务多维度的辅助核算处理。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（7）支持凭证制单：包含凭证页面、凭证保存、凭证打印、凭证删除、出纳签字、凭证审核、冲销、查询、删除、作废、恢复、复制；可自定义多种凭证类型，并可对凭证打印模板进行自定义，支持凭证套打。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（8）提供对凭证及账表跨年度查询功能，同时可自定义账表的格式和可自定义查询条件。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（9）具备经济分类及功能分类的相关功能。凭证节点支持按一定规则分摊成本费用，凭证审核时，能够将填写审核批注；支持按制单人进行凭证整理。</w:t>
            </w:r>
          </w:p>
          <w:p w14:paraId="163B2419">
            <w:pPr>
              <w:widowControl/>
              <w:shd w:val="clea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2、自动凭证与总账接口：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（1）支持按照医院的业务，定义财务凭证的入账规则，并根据规则自动生成凭证，实现自动生成的凭证反查业务明细。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（2）对会计在医疗行业的应用有深刻理解，根据业务规则，在相关信息系统的支撑下，能与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收费系统、成本核算系统、业务系统等第三方系统高度集成，完成业务自动生成财务会计凭证和预算凭证。</w:t>
            </w:r>
          </w:p>
          <w:p w14:paraId="6252A866">
            <w:pPr>
              <w:widowControl/>
              <w:numPr>
                <w:ilvl w:val="0"/>
                <w:numId w:val="7"/>
              </w:numPr>
              <w:shd w:val="clea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数据上报：包含数据上报、外部档案、账簿信息、会计科目、凭证类别、核算类型、核算内容、财务票据、接口配置、凭证类别对照、会计科目对照、辅助核算对照、限定科目、上传财政、定时上传设置等功能。</w:t>
            </w:r>
          </w:p>
          <w:p w14:paraId="5017DF4E">
            <w:pPr>
              <w:widowControl/>
              <w:shd w:val="clea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4、报表管理：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（1）系统能自动出具政府会计制度要求的财务报表，包括资产负债表、收入费用表、净资产变动表、现金流量表等。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（2）能够根据常用的报表取数公式，直接获取账务中的数据。取数公式满足新制度中要求的财务报表和预算会计报表的取数要求，可按医院要求进行个性化报表的自定义。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（3）能按照财务会计科目体系和预算会计科目体系提供</w:t>
            </w:r>
            <w:r>
              <w:rPr>
                <w:rFonts w:hint="eastAsia" w:ascii="宋体" w:hAnsi="宋体" w:cs="宋体"/>
                <w:color w:val="000000"/>
                <w:kern w:val="0"/>
                <w:sz w:val="18"/>
                <w:szCs w:val="18"/>
                <w:highlight w:val="none"/>
                <w:lang w:val="en-US" w:eastAsia="zh-CN"/>
              </w:rPr>
              <w:t>不低于</w:t>
            </w:r>
            <w:r>
              <w:rPr>
                <w:rFonts w:hint="eastAsia" w:ascii="宋体" w:hAnsi="宋体" w:cs="宋体"/>
                <w:color w:val="000000"/>
                <w:kern w:val="0"/>
                <w:sz w:val="18"/>
                <w:szCs w:val="18"/>
                <w:highlight w:val="none"/>
              </w:rPr>
              <w:t>两套账册报表。</w:t>
            </w:r>
          </w:p>
        </w:tc>
        <w:tc>
          <w:tcPr>
            <w:tcW w:w="255" w:type="pct"/>
            <w:shd w:val="clear" w:color="auto" w:fill="auto"/>
            <w:vAlign w:val="center"/>
          </w:tcPr>
          <w:p w14:paraId="028D2E0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7A3A29A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1FC95A9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355D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3986D45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49</w:t>
            </w:r>
          </w:p>
        </w:tc>
        <w:tc>
          <w:tcPr>
            <w:tcW w:w="218" w:type="pct"/>
            <w:vMerge w:val="continue"/>
            <w:vAlign w:val="center"/>
          </w:tcPr>
          <w:p w14:paraId="6128609D">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33CB7A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固定资产管理系统</w:t>
            </w:r>
          </w:p>
        </w:tc>
        <w:tc>
          <w:tcPr>
            <w:tcW w:w="3247" w:type="pct"/>
            <w:shd w:val="clear" w:color="auto" w:fill="auto"/>
            <w:vAlign w:val="center"/>
          </w:tcPr>
          <w:p w14:paraId="59A8F64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满足《政府会计制度——行政事业单位会计科目和报表》改革相关文件对医院固定资产折旧方式，折旧年限等新要求。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1、资产卡片：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基于卡片的固定资产管理模块，自动计提折旧；进行固定资产、无形资产管理，完成原始卡片录入、新增资产卡片录入、资产变动、资产评估、资产减值、计提折旧、资产减少、资产拆分、资产合并、资产调拨、资产盘点、账表查询、资产处置情况查询等功能，支持可按不同的关键词进行综合查询并支持表格数据导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（2）可对多种资金来源形成的固定资产，进行单一资金来源或多种资金来源组合的分科室部门、分资产类别管理。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根据多种资金来源比例登记固定资产原值、按比例分别计提固定资产折旧，</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不同资金来源的固定资产核算管理的清晰完整。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（4）支持按照不同资金来源登记资产原值信息，并能够按照资金的来源进行折旧，生成按照新制度要求的会计凭证，提高资产折旧效率。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（5）支持建立固定资产总账、资产二级明细账和资产台账及其资产卡片，实现资产的“三账一卡”管理。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（6）支持以资产卡片为中心的档案管理，能够实现资产卡片的自定义，根据不同资产的管理要求定义资产卡片模板。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（7）支持资产档案管理，</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资产的电子档案管理，包括资产图片与各种电子资料。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（8）支持对资产折旧按实际使用科室拆分计算的功能，保证折旧成本的准确，资产折旧、维修等财务信息与财务成本核算系统紧密集成，自动生成财务成本凭证。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（9）支持资产二维码的管理，支持资产编码和资产二维码关键字段的自定义，能够提供资产二维码按需设计、条码打印、扫码功能，根据实际情况进行设置。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（10）支持各级资产管理人员可按权限查询资产明细、使用状态和折旧情况。</w:t>
            </w:r>
          </w:p>
          <w:p w14:paraId="296A707A">
            <w:pPr>
              <w:widowControl/>
              <w:numPr>
                <w:ilvl w:val="0"/>
                <w:numId w:val="1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资产变动：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（1）资产变动支持各类变动单据，包含使用科室变动、管理科室变动、原值变动、累计折旧变动、使用状态变动、使用年限变动、资金来源变动等。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（2）支持多种资产增加、内部调整、减少等变动的定义方式，并且这些变动完全与财务处理同步，保证资产的实际与资产的账面处理严格一致，明确资产的状态和责任人。</w:t>
            </w:r>
          </w:p>
          <w:p w14:paraId="3601AF47">
            <w:pPr>
              <w:widowControl/>
              <w:numPr>
                <w:ilvl w:val="0"/>
                <w:numId w:val="1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资产减少：资产的减少、回退、报废、盘亏等业务数据单据录入、审批、生效等。</w:t>
            </w:r>
          </w:p>
          <w:p w14:paraId="1E4F2F94">
            <w:pPr>
              <w:widowControl/>
              <w:numPr>
                <w:ilvl w:val="0"/>
                <w:numId w:val="16"/>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资产盘点：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（1）定期出具盘点表，进行盘盈资产、差异资产录入。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（2）支持资产条码盘点，能根据盘点结果自动生成盘盈、盘亏单据。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（3）支持资产按使用科室、按管理科室、按使用状态、按原值、按资金来源等多种方式进行盘点。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（4）支持资产条码盘点，支持资产的全程条码应用，包括出入库、调拨等业务场景。</w:t>
            </w:r>
          </w:p>
          <w:p w14:paraId="374CAA0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5、单位调动：资产单位内部、或跨组织调拨调出，调入单位可协同调入。业务单据录入、审批、生效等。</w:t>
            </w:r>
          </w:p>
          <w:p w14:paraId="0C229DD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6、资产处置：资产处置流程单据发起、审批、生效等。</w:t>
            </w:r>
          </w:p>
          <w:p w14:paraId="7103D26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7、月末处理：月末的资产自动折旧处理、结转处理。</w:t>
            </w:r>
          </w:p>
          <w:p w14:paraId="2F61C93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8、报表管理：出具各类资产大类报表、明细报表、折旧汇总表、折旧明细表等。</w:t>
            </w:r>
          </w:p>
        </w:tc>
        <w:tc>
          <w:tcPr>
            <w:tcW w:w="255" w:type="pct"/>
            <w:shd w:val="clear" w:color="auto" w:fill="auto"/>
            <w:vAlign w:val="center"/>
          </w:tcPr>
          <w:p w14:paraId="184EED9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F35E80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75000</w:t>
            </w:r>
          </w:p>
        </w:tc>
        <w:tc>
          <w:tcPr>
            <w:tcW w:w="313" w:type="pct"/>
            <w:shd w:val="clear" w:color="auto" w:fill="auto"/>
            <w:vAlign w:val="center"/>
          </w:tcPr>
          <w:p w14:paraId="2E5C389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75000</w:t>
            </w:r>
          </w:p>
        </w:tc>
      </w:tr>
      <w:tr w14:paraId="611E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DE3949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50</w:t>
            </w:r>
          </w:p>
        </w:tc>
        <w:tc>
          <w:tcPr>
            <w:tcW w:w="218" w:type="pct"/>
            <w:vMerge w:val="continue"/>
            <w:vAlign w:val="center"/>
          </w:tcPr>
          <w:p w14:paraId="1D34D006">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575D44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设备管理系统</w:t>
            </w:r>
          </w:p>
        </w:tc>
        <w:tc>
          <w:tcPr>
            <w:tcW w:w="3247" w:type="pct"/>
            <w:shd w:val="clear" w:color="auto" w:fill="auto"/>
            <w:vAlign w:val="center"/>
          </w:tcPr>
          <w:p w14:paraId="0176F0E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支持自制、采购到货、采购入库、调拨入库等多种建卡业务场景。此外，设备卡片拥有多个附属卡片，用来对设备发生的各种业务的跟踪，例如：子设备附卡、零部件附卡、调拨记录附卡、保修记录、维修记录、计量结果、保修合同、资金来源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2、支持设备的使用部门和管理部门分离。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3、支持在设备卡片页签查询设备相关信息，如：设备采购信息中的合同号、预算号、设备论证号；财务相关信息中的设备原值、净值、折旧月份、月折旧额等。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4、支持设备档案管理，管理到设备的基本信息、设备分类、设备附件、操作员的证件等，可以将设备的全周期信息全部归档到设备档案中。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5、支持设备过程管理，系统能够进行设备故障登记维修、按计划进行设备保养和维护保养，能够进行计量器具检测情况管理，并记录维修、维护、计量检测过程中产生的各种费用。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6、维修计划：在设备资产的维修维护管理中，支持医疗机构制定设备资产的维修维护计划，医疗机构可以制定年度计划，月度计划以及周计划等。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工单管理：要求所有的维修维护业务，包括日常维修维护、预防性维护、定修、大修理等。通过工单管理，可以实现对维修维护的全过程管理，包括从计划、审批、派工、准备、执行、完工、验收、报告以及最后关闭的全生命周期的过程。</w:t>
            </w:r>
          </w:p>
        </w:tc>
        <w:tc>
          <w:tcPr>
            <w:tcW w:w="255" w:type="pct"/>
            <w:shd w:val="clear" w:color="auto" w:fill="auto"/>
            <w:vAlign w:val="center"/>
          </w:tcPr>
          <w:p w14:paraId="1F307B7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303239AF">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313" w:type="pct"/>
            <w:shd w:val="clear" w:color="auto" w:fill="auto"/>
            <w:vAlign w:val="center"/>
          </w:tcPr>
          <w:p w14:paraId="09EB5F4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37E47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9DF30C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51</w:t>
            </w:r>
          </w:p>
        </w:tc>
        <w:tc>
          <w:tcPr>
            <w:tcW w:w="218" w:type="pct"/>
            <w:vMerge w:val="continue"/>
            <w:vAlign w:val="center"/>
          </w:tcPr>
          <w:p w14:paraId="16979EE1">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75B52B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物资管理系统</w:t>
            </w:r>
          </w:p>
        </w:tc>
        <w:tc>
          <w:tcPr>
            <w:tcW w:w="3247" w:type="pct"/>
            <w:shd w:val="clear" w:color="auto" w:fill="auto"/>
            <w:vAlign w:val="center"/>
          </w:tcPr>
          <w:p w14:paraId="1A404EC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将医院全部的物资全部纳入系统中进行统一管理，能够实现从采购申请--采购合同--采购订单--采购入库--科室申领--物资出库--成本归集--采购结算业务全流程管理。能够从业务的源头进行物资的追溯管理，并且能够与智能耗材柜、手术室机器人的新型的应用模式进行对接，实现物资管理的智能化。</w:t>
            </w:r>
          </w:p>
          <w:p w14:paraId="5A69624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1、基础设置：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（1）物资档案拥有耗材的基本信息如规格型号，品牌，是否高值，是否收费，是否资产，是否条码管理，是否批次管理等属性，以及全单位唯一的物资编码</w:t>
            </w:r>
            <w:r>
              <w:rPr>
                <w:rFonts w:hint="eastAsia" w:ascii="宋体" w:hAnsi="宋体" w:cs="宋体"/>
                <w:color w:val="000000"/>
                <w:kern w:val="0"/>
                <w:sz w:val="18"/>
                <w:szCs w:val="18"/>
                <w:highlight w:val="none"/>
                <w:lang w:eastAsia="zh-CN"/>
              </w:rPr>
              <w:t>实现</w:t>
            </w:r>
            <w:r>
              <w:rPr>
                <w:rFonts w:hint="eastAsia" w:ascii="宋体" w:hAnsi="宋体" w:cs="宋体"/>
                <w:color w:val="000000"/>
                <w:kern w:val="0"/>
                <w:sz w:val="18"/>
                <w:szCs w:val="18"/>
                <w:highlight w:val="none"/>
              </w:rPr>
              <w:t>一物一码，支持自定义物资属性。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（2）物资分类支持多维度的分类管理，例如管理维度，价值维度等。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（3）支持不同的物资分类设计不同的管理流程和管理权限。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（4）支持物资档案接口用以对接医保档案，OA审批单，</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收费项目档案。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（5）针对医疗耗材资质提供了资质的类型、编码、名称以及多版本的保存，实现物资资质随时封存，启用和更新。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（6）支持定义物资和收费项目之间的对应关系。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（7）与外系统对接时支持将本系统的部门和外系统的部门建立对应关系。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（8）将部门和仓库建立对应关系，或与外部系统对接时通过部门与部门对照，部门与仓库对照转换为外部系统与HRP仓库关联关系。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（9）支持物料在仓库中的安全库存、最高库存和订货量等库存模型。按照库存计划生成需求申请单或者请购单，进行采购流程。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（10）针对不同性质的物资建立不同的业务流程，实现全程闭环管理。</w:t>
            </w:r>
          </w:p>
          <w:p w14:paraId="6F945BE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2、条码管理：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（1）提供条码打印程序，支持条码标签的内容、大小、条码码制的自定义；物资条码的内容设计支持物资编码、物资批次、高值耗材序列号等。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（2）维护条码规则，按照单据类型设置，可以配置物资的主条码和唯一码的条码规则。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（3）自动生成每一个高值耗材的唯一条码。支持条码逐条打印，或批量打印。</w:t>
            </w:r>
          </w:p>
          <w:p w14:paraId="7AC0F854">
            <w:pPr>
              <w:widowControl/>
              <w:shd w:val="clea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3、物资管理基础数据：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（1）支持供应商基础档案维护，包括：往来单位分类、往来单位档案、资质证件等；实现资质证件基础信息维护和管理，资质图片上传，资质效期预警等功能。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（2）维护供应商物资的关系，记录供应商与物资的价格信息，是采购管理取价规则的重要信息。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（3）提供物资档案建立耗材的基本信息。如：规格、型号、品牌、是否高值、是否收费、是否条码管理、是否批次管理等属性。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（4）物资套餐设置：提供将不同数量的物料组合成一个套餐，在选择物料时选择套餐可带出物料明细进行操作，可以实现医院耗材整包申领、整包收费、耗材整包预留。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（5）资质类型设定：提供维护物资资质类型和往来单位资质类型，选择资质类型，系统会预置资质类型。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（6）物资资质：系统需提供维护物资资质明细，如：注册证号、证件名称、生效日期、失效日期、备注等。可与供应商平台的资质管理的资质信息数据同步。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（7）支持多级库房的应用。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（8）支持主计量单位和辅计量单位的应用，支持多计量单位的国家标准预置。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（9）预警管理：支持物资资质有效期提示预警功能；支持物资库存量安全数量预警，耗材有效期预警，供应商资质效期预警，超出预警条件自动将预警信息推送到登录界面或微信端。</w:t>
            </w:r>
          </w:p>
          <w:p w14:paraId="3B2DB53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4、准入管理：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（1）支持新供应商准入申请和新物资准入申请管理，对新供应商所有资质信息进行审查，</w:t>
            </w:r>
            <w:r>
              <w:rPr>
                <w:rFonts w:hint="eastAsia" w:ascii="宋体" w:hAnsi="宋体" w:cs="宋体"/>
                <w:color w:val="000000"/>
                <w:kern w:val="0"/>
                <w:sz w:val="18"/>
                <w:szCs w:val="18"/>
                <w:highlight w:val="none"/>
                <w:lang w:val="en-US" w:eastAsia="zh-CN"/>
              </w:rPr>
              <w:t>以</w:t>
            </w:r>
            <w:r>
              <w:rPr>
                <w:rFonts w:hint="eastAsia" w:ascii="宋体" w:hAnsi="宋体" w:cs="宋体"/>
                <w:color w:val="000000"/>
                <w:kern w:val="0"/>
                <w:sz w:val="18"/>
                <w:szCs w:val="18"/>
                <w:highlight w:val="none"/>
              </w:rPr>
              <w:t>及院内对新增物资准入进行多级部门审核。（提供功能截图证明材料）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（2）提供因停产或代理变更等某些原因，医院对已上架使用的物资发出的停用需求申请，并支持相关事项的审批。</w:t>
            </w:r>
          </w:p>
          <w:p w14:paraId="3CB3772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5、采购管理：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（1）提供价格审批单功能，可对价格变更进行维护、审批。并对现存的物资价格进行自动追溯调整。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（2）提供采购价目表的功能，可对物资的采购价格进行生效及失效日期管理。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（3）提供物资请购功能，能够在线提出物资请购需求，并由相关负责人进行审批。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（4）提供采购计划功能，帮助采购部门制定计划，审批计划，并根据业务的进展对计划进行调整。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（5）提供采购需求量自动计算功能，能够根据库存量、消耗情况、最大库存、最小库存、安全库存、订购批量、订货周期等因子自动生成采购计划量，实现最优化的采购管理。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（6）提供采购订单功能，对采购计划和采购申请进行执行，采购订单到货情况可以随时追踪。</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（7）提供物资采购入库功能，根据供应商资质、物资注册证有效期、最大库存情况进行自动预警，提高采购物资的质量。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（8）提供采购发票管理功能，能够进行票货同到、货到票未到、票到货未到多种情况的管理，货到票未到情况支持暂估入库，一张发票可以核销多张采购单、一张采购单也可以对应核销多张发票。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（9）可以在系统维护采购价格并设定采购价格的有效期间，后续入库存将以价格维护表上的数据作为出入库价格自动带出。当出现物资价格变动时，需要作价格变动审批单，并由相关领导进行审批。</w:t>
            </w:r>
          </w:p>
          <w:p w14:paraId="6189A23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6、库存管理：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（1）提供批次管理功能，能够进行批次规则定义，区分不同批次的物资属性，实现精细化物资出库控制。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（2）提供快捷出库功能，可以在入库单上直接点击出库按钮，一键出库提高库存管理效率。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（3）提供采购入库、自制入库、其他入库、盘盈入库等多种入库管理模式，适应医院实际库存业务情况。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（4）提供领用出库、其他出库、盘亏出库等多种出库管理模式，适应医院实际库存业务情况。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（5）支持对物资进行分类细化管理，设立科室二级库、引入条形码支持。依靠二级库与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医嘱收费联用自动记账逐步达到收费耗材的实耗实销，完成一个闭环的管理模式。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（6）提供高值耗材代管入库功能，进行代管的高值耗材入库手续办理。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（7）提供仓库对供应商到货的物资进行验收入库。</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（8）提供有现存量的物资，或对已入库尚未出库的物资进行退货处理。适用于因质量和有效期等问题，仓库需要将耗材退回供应商的业务处理流程。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（9）提供对已领用出库物料进行退回，记录领用退回物资的相关信息。适用于因质量有效期等问题，科室需要将耗材退回仓库的业务处理流程。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（10）提供对仓库现有库存量进行物资领用出库，记录领用出库物资的相关信息。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（11）支持物资实际盘点数量的自动导入，自动进行盘点处理，生成盘盈盘亏单，提高物资盘点效率；提供二级库盘点功能，实现二级库的定期盘存，明确管理责权；</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移动盘点设备的接入，能够与移动盘点设备进行数据交换，实现移动盘点、查询。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（12）提供库存月末关账及反关账功能。</w:t>
            </w:r>
          </w:p>
          <w:p w14:paraId="7549C22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7、追溯管理：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（1）能够与医嘱系统或者</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收费系统自动对接，高值耗材的收费、使用信息自动传递到系统内，实现高值耗材从入库、流转、到使用收费的全过程跟踪管理。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（2）提供高值耗材追踪表，能够追踪到每一个高值耗材的生产厂家、批次、入库、调拨、领用、使用、收费信息。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（3）提供对寄存业务模式的高值收费材料进行出库；数据来源可通过接口将系统外的数据传到该单据，自动形成收费出库单；也可进行手工录入收费出库信息。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（4）提供对寄存业务模式的高值收费材料进行退回；数据来源可通过接口将系统外的数据传到该单据，自动形成收费退回单；也可进行手工录入收费退回信息。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（5）提供对寄存业务的出库单按实际使用情况，按一定周期对各科室的消耗进行汇总后与供应商结算。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（6）提供对寄存业务模式的低值收费材料进行出库；数据来源可通过接口将系统外的数据传到该单据，自动形成收费出库单；也可进行手工录入收费出库信息。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（7）提供对寄存业务模式的低值收费材料进行退回；数据来源可通过接口将系统外的数据传到该单据，自动形成收费退回单；也可进行手工录入收费退回信息。</w:t>
            </w:r>
          </w:p>
          <w:p w14:paraId="648F155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统计分析：系统所提供的报表包括系统内置的报表及自定义报表两类。其中系统内置报表包括：出入库流水表、出入库汇总表、收发存明细及汇总表、现存量报表、条码现存量报表、请购单执行情况表、采购订单执行情况表、消耗汇总查询表、库存转移表、条码跟踪表等。</w:t>
            </w:r>
          </w:p>
        </w:tc>
        <w:tc>
          <w:tcPr>
            <w:tcW w:w="255" w:type="pct"/>
            <w:shd w:val="clear" w:color="auto" w:fill="auto"/>
            <w:vAlign w:val="center"/>
          </w:tcPr>
          <w:p w14:paraId="4B7866D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0783C647">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21B022C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0D0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3CBB18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52</w:t>
            </w:r>
          </w:p>
        </w:tc>
        <w:tc>
          <w:tcPr>
            <w:tcW w:w="218" w:type="pct"/>
            <w:vMerge w:val="continue"/>
            <w:vAlign w:val="center"/>
          </w:tcPr>
          <w:p w14:paraId="6DC373E1">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4C2C543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存货核算系统</w:t>
            </w:r>
          </w:p>
        </w:tc>
        <w:tc>
          <w:tcPr>
            <w:tcW w:w="3247" w:type="pct"/>
            <w:shd w:val="clear" w:color="auto" w:fill="auto"/>
            <w:vAlign w:val="center"/>
          </w:tcPr>
          <w:p w14:paraId="204D805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1、支持对物资入库成本、出库成本及库存物资进行价值核算。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2、支持存货按库存及库存+仓库的模式进行核算；支持存货计价方式的配置，包括：先进先出、个别计价、全月平均等。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3、支持暂估业务处理。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4、支持不同存货分类，选用不同的计价方式，且可以按批次进行核算。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5、支持库存期初数据的导入及库存期初记账。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6、支持按入库、出库单据自动计算存货出入库价格。</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7、支持月末存货成本的自动计算。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8、支持存货月结、取消结账。财务关账及取消关账等相关操作。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9、支持存货系统自动生成出入库、调拨、盘点等凭证，并传递到总账系统。</w:t>
            </w:r>
          </w:p>
        </w:tc>
        <w:tc>
          <w:tcPr>
            <w:tcW w:w="255" w:type="pct"/>
            <w:shd w:val="clear" w:color="auto" w:fill="auto"/>
            <w:vAlign w:val="center"/>
          </w:tcPr>
          <w:p w14:paraId="2B5FDC7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4926D5F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313" w:type="pct"/>
            <w:shd w:val="clear" w:color="auto" w:fill="auto"/>
            <w:vAlign w:val="center"/>
          </w:tcPr>
          <w:p w14:paraId="4AC25F6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51EF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Align w:val="center"/>
          </w:tcPr>
          <w:p w14:paraId="552B6B10">
            <w:pPr>
              <w:widowControl/>
              <w:shd w:val="clear"/>
              <w:jc w:val="left"/>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53</w:t>
            </w:r>
          </w:p>
        </w:tc>
        <w:tc>
          <w:tcPr>
            <w:tcW w:w="218" w:type="pct"/>
            <w:vMerge w:val="continue"/>
            <w:vAlign w:val="center"/>
          </w:tcPr>
          <w:p w14:paraId="35D30901">
            <w:pPr>
              <w:widowControl/>
              <w:shd w:val="clear"/>
              <w:jc w:val="left"/>
              <w:rPr>
                <w:rFonts w:ascii="宋体" w:hAnsi="宋体" w:cs="宋体"/>
                <w:color w:val="000000"/>
                <w:kern w:val="0"/>
                <w:sz w:val="18"/>
                <w:szCs w:val="18"/>
                <w:highlight w:val="none"/>
              </w:rPr>
            </w:pPr>
          </w:p>
        </w:tc>
        <w:tc>
          <w:tcPr>
            <w:tcW w:w="509" w:type="pct"/>
            <w:gridSpan w:val="2"/>
            <w:vAlign w:val="center"/>
          </w:tcPr>
          <w:p w14:paraId="1F9BC3D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人力资源管理系统</w:t>
            </w:r>
          </w:p>
        </w:tc>
        <w:tc>
          <w:tcPr>
            <w:tcW w:w="3247" w:type="pct"/>
            <w:shd w:val="clear" w:color="auto" w:fill="auto"/>
            <w:vAlign w:val="center"/>
          </w:tcPr>
          <w:p w14:paraId="3435A2A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人力资源管理系统应具备并满足组织管理、职位管理、人员管理、人员调配、薪资管理、保险管理、合同管理、报表管理、表格工具、考勤上报管理、科室自助等业务和功能的要求。在满足构建全院完整的信息化管理平台同时，应预留有与</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、财务等系统实现系统集成对接，满足信息系统互联互通需要。在满足构建全院完整的信息化管理平台同时，支持与医院</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等临床系统实现对接，获取医生手术量，手术等级、病种CMI值等信息，多维度反映人员信息。能够根据医院要求灵活设置人员信息项，实现人员的多维度管理。</w:t>
            </w:r>
          </w:p>
          <w:p w14:paraId="65BE510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1、人员管理：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按照管理权限，应满足医院及下属相关单位人员信息的全面管理，同时信息系统能够实现对在职员工、解聘员工、离退员工、调离员工等人事信息集中管理，可随时跟踪在职人员、解聘人员、离退人员人事信息的变化情况，对员工的各类经历（学习经历、培训经历、工作经历等）以及从进入医院到离职全生命周期的全面人力资源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（1）可以记录职工从入职到离职的全部信息，如基本信息、学习培训经历、历次职务职称变动、历次工资变动、岗位轮转信息、每月考勤信息、奖惩情况、考核情况等等，并支持附件上传。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（2）管理员或有权限的业务人员可根据需要对人员信息项目进行灵活的增加、修改、删除。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可从不同维度进行职工分类管理，如：按照用工形式分为在编人员、非在编人员、劳务派遣人员、返聘人员等；按照人员状态可分为在岗人员、离退休人员、进修培训人员，待岗人员、内退人员、待聘人员、调出人员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（4）能够对兼职人员进行管理。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（5）职工信息采集与维护中，支持对人员数据进行批量修改、增加、删除，支持表格的导入、导出功能。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（6）具有智能计算功能，如通过身份证自动计算出生日期、年龄、性别信息等。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（7）能自由调整单位或者科室的人员排列顺序。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（8）具有检索、查询功能，能够实现任意符合格式的组合条件查询。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（9）支持历史信息查询，例如查询曾经任职过人事专员的人员等。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提供表格设计工具，既可自动生成预定义的各种报表，也可自定义各类报表，轻松绘制或导入表样，取数条件定义简单，具有自动取数，自动校验，自动排版、打印输出等功能，业务用户可根据需要自行设计各种人事卡片，如职工履历表、干部任免表、各种证明等，并可根据需要导出表格、PDF、Word等多种格式，不需要二次开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（11）支持人员黑名单管理；支持院外人员管理。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能够对职工生日、转正、轮调、职称晋升、薪资晋档、退休、返聘等信息进行自动提醒，并且可以通过邮件、短信等方式提醒相关人员进行及时的处理。预警的内容、条件、时间等能由业务人员根据需要自行定义。预警信息能够直接与相关的业务模板进行关联，对预警出来的人员直接进行业务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（13）支持系统根据员工性别自动设置头像图标样式。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（14）支持在人员管理系统界面直接维护人员的各类信息。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（15）支持人力资源系统与其他业务模块的信息联动。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设置必填和非必填字段，类型配置以及修改方式如立即执行、到时间执行，返回。</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（17）支持自助信息配置，直批、审批流设置，支持按字段按子集设置。</w:t>
            </w:r>
          </w:p>
          <w:p w14:paraId="724267C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2、人员变动管理：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应满足员工通过招聘入职进入系统之后，所发生的一切调整变动的记录和过程管理，包括员工的岗位调整、部门调整、跨单位调动、职级变化以及不同类型的离职等等的业务处理。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（1）支持内部晋升、降职，辞职、调离、退休、交流、挂职、长期病假、脱产学习培训、待岗、停薪留职等人员异动的规范处理与结果自动归档。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（2）支持人员的调配、兼职、离职业务的申请、审批、执行，并将执行结果反馈到人员档案。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（3）能够由医院灵活自行设计各种人员调配业务表单，能够基于表单设计调配前后业务规则，自动计算关联项，数据结果自动归档，满足对人员调配业务的规范办理与数据归档。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（4）审批流程可采用自动流转、手工指派等规则进行处理，满足不同的审批工作需要。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（5）工作流程处理，一个人员调配业务办理结束后，可以根据业务的关联关系，自动引发接下来的业务处理。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（6）系统可以通过站内信、邮件、短信等多种形式发起待办通知，提示工作人员及时处理相应流程，并可以对流程的审批进度实时监控。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（7）具有表单的输出、打印等功能，能够配合线下审批或存档应用。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（8）业务办理结束后能够将人员异动信息自动归档到人员信息子集中，无需手工再次录入，避免由手工维护带来的信息维护不及时，信息维护错误等人为失误。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（9）支持拟录用员工的预入职管理，待入职员工在入职前，可自行进入系统填写个人信息，并创建临时用户，以个人身份证号作为临时用户编码，初始化密码为临时用户密码，并支持设置开始日期及生效天数。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（10）支持动态、实时统计临时账号数量等信息。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（11）支持人员离退管理与离退工作移交、退休工作移交，并提供附件上传及流程审批功能。</w:t>
            </w:r>
          </w:p>
          <w:p w14:paraId="571A5B2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3、薪资社保管理：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（1）医院在编人员、非在编职工、返聘人员执行不同的工资管理体系。系统能够满足多种不同的工资结构。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（2）具有明确工资标准的工资项目，可以在系统自动生成。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（3）能对工资项目及其计算公式进行新增、修改、删除等操作，便于对工资体系的调整和完善。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（4）能够进行工资数据的批量导入、导出，便于引入系统外数据参与工资计算。</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（5）对工资项目的运算结果要能够进行手工调整。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（6）可以维护职工银行账户信息，支持职工多账户的管理，可按工资、奖金等维护多套账户信息。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（7）工资发放支持多种形式，满足月薪制及一月多次发放等。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（8）满足医院保险项目的增减需求，包括基本养老保险、医疗保险、失业保险、工伤保险、生育保险、补充医疗、住房公积金等。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（9）能够记录社保个人缴纳部分和单位缴纳部分的详细数据。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（10）根据工资发放的实际情况，统计工资总额并与缴费基数联动，用于社保基数的年度调整；基数及缴费额和各种补缴等工作能够支持系统自动记录，同时支持手工记录与调整。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（11）能够分部门、分人员类别、分社保项目导出明细表及汇总表，满足财务记账及成本核算的要求。</w:t>
            </w:r>
          </w:p>
        </w:tc>
        <w:tc>
          <w:tcPr>
            <w:tcW w:w="255" w:type="pct"/>
            <w:shd w:val="clear" w:color="auto" w:fill="auto"/>
            <w:vAlign w:val="center"/>
          </w:tcPr>
          <w:p w14:paraId="2B5FD84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24BA182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0D3492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66D7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7C0F852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54</w:t>
            </w:r>
          </w:p>
        </w:tc>
        <w:tc>
          <w:tcPr>
            <w:tcW w:w="218" w:type="pct"/>
            <w:vMerge w:val="continue"/>
            <w:vAlign w:val="center"/>
          </w:tcPr>
          <w:p w14:paraId="235EE42D">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AF8293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薪酬管理系统</w:t>
            </w:r>
          </w:p>
        </w:tc>
        <w:tc>
          <w:tcPr>
            <w:tcW w:w="3247" w:type="pct"/>
            <w:shd w:val="clear" w:color="auto" w:fill="auto"/>
            <w:vAlign w:val="center"/>
          </w:tcPr>
          <w:p w14:paraId="1320D82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将各类人员的工资、奖金、津贴、劳务费统一纳入系统内管理，完成工资、津贴等核算以及各类发放业务的过程管理，其中劳务费包括院内劳务费、院外劳务费等，实现多次发放、统一计税。前端与人员信息、考勤数据等联动，后端与总账、成本等系统联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1、基础设置：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（1）实现薪资核算期间的定义。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（2）实现设定薪资类别名称、选核算币种、进行扣税设置及选定税率表。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（3）实现定义所得税项目名称、扣零设置定义、是否参与月末制单、是否复审、是否参与预算、薪资审核方式、薪资变动取值方式等。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（4）薪资发放单元：即薪资发放时费用归属发放的单位，每个单元都对应一个平台的科室。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（5）薪资发放项目：用于确定某个薪资类别下所要采用的薪资项，并提供针对薪资项目的数据来源、是否扣税、结转设置、预警条件设置的定义功能。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（6）税率表：用来计算员工个人所得税的税率表；可定义是按年计税还是按月计税；支持费用类型默认以及多选，默认则在转单环节自动带出，多选内容为转单环节候选项。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（7）专项扣除：六项专项扣除，每个月导入医院最新全部人员数据，使用身份证号+工号作为唯一标志。用于计税时专项扣除数。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薪资档案：从属于薪资类别的，每个薪资类别都有自己的薪资档案，如果要给某个员工发放工资，则必须将该员工加入到某个薪资类别的薪资档案中，薪资档案中存放的内容包括：员工编制类别（卫编、教编、非编、派遣）、员工薪资的发放状态、税率、代发银行及账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（9）薪资标准类别：</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在薪资标准类别下建立级别与档别，也可将薪资标准类别与人员属性相关联，自动匹配员工的人事属性值而给出应调整的薪资级等及金额。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（10）薪资标准表：定义薪资标准类别中各个薪资级别、档别对应的金额或系数，支持薪资标准表的多版本记录。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（11）定调资管理：对员工的定调资信息进行查看、维护；支持直接进行薪资普调业务的处理；支持期初导入功能。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（12）退休人员管理：对到法定年限退休人员设置提醒机制，及时停发退休人员工资薪酬。</w:t>
            </w:r>
          </w:p>
          <w:p w14:paraId="141713A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2、智能发放计税：</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（1）工资计算：完成薪资项目数据的录入、薪资的计算、发放、审核等操作。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（2）工资计税：工资审核后将应税额传输到计税系统进行和其他发放类别的统一计税。</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（3）一次分配：用于院到科室的一次绩效分配。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（4）科室余额：查看科室项目分类下的余额，数据来源于一次分配和二次分配，用于控制科室发放。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（5）税务系统税额：能与税务系统做接口，直接上传工资薪金算税，不用再后期进行税额比对。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（6）在完成本期发放后进行结账处理（根据成本进行自动归集，自动生成凭证），结账同时生成下个月该类别的薪资发放数据。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（7）在发放人员劳务报酬时，识别填报的人员身份证号码与人名是否相符，直接计算出应扣税金额。</w:t>
            </w:r>
          </w:p>
          <w:p w14:paraId="1C5E61E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3、查询管理：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（1）可按月按人、科室、类别等查询个人各项收入的明细情况。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（2）查询奖金发放明细，用于与银行对账使用的。</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（3）实现查询每人全年一次性收入。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（4）实现以科室的维度统计发放情况。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（5）可以查询所有人员的劳务报酬情况，用于上报税务局。</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（6）工资汇总表：工资按发放项目及科室分类进行汇总。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（7）公积金汇总表：查询公积金缴纳及汇总情况。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（8）工资科室汇总表：以科室及薪资项目的维度，灵活汇总工资发放情况。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（9）个税差异表：按月或按年查询HRP系统与税务局系统的个税差额。</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（10）五险一金汇总表：查询五险及职业年金的缴纳及汇总情况。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（11）工会会费汇总表：工会会费汇总情况及科室分类、人员类别等维度查询与汇总。</w:t>
            </w:r>
          </w:p>
        </w:tc>
        <w:tc>
          <w:tcPr>
            <w:tcW w:w="255" w:type="pct"/>
            <w:shd w:val="clear" w:color="auto" w:fill="auto"/>
            <w:vAlign w:val="center"/>
          </w:tcPr>
          <w:p w14:paraId="043CE72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8A1FA0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c>
          <w:tcPr>
            <w:tcW w:w="313" w:type="pct"/>
            <w:shd w:val="clear" w:color="auto" w:fill="auto"/>
            <w:vAlign w:val="center"/>
          </w:tcPr>
          <w:p w14:paraId="245E33C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60000</w:t>
            </w:r>
          </w:p>
        </w:tc>
      </w:tr>
      <w:tr w14:paraId="4E5E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4AA6D44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55</w:t>
            </w:r>
          </w:p>
        </w:tc>
        <w:tc>
          <w:tcPr>
            <w:tcW w:w="218" w:type="pct"/>
            <w:vMerge w:val="continue"/>
            <w:vAlign w:val="center"/>
          </w:tcPr>
          <w:p w14:paraId="4D661089">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FAD708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移动HRP</w:t>
            </w:r>
          </w:p>
        </w:tc>
        <w:tc>
          <w:tcPr>
            <w:tcW w:w="3247" w:type="pct"/>
            <w:shd w:val="clear" w:color="auto" w:fill="auto"/>
            <w:vAlign w:val="center"/>
          </w:tcPr>
          <w:p w14:paraId="3DDCB9A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1、通过移动服务端查看本人权限范围内职工信息，支持各类自助打印，包括在职证明等。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2、通过移动服务</w:t>
            </w:r>
            <w:r>
              <w:rPr>
                <w:rFonts w:hint="eastAsia" w:ascii="宋体" w:hAnsi="宋体" w:cs="宋体"/>
                <w:color w:val="000000"/>
                <w:kern w:val="0"/>
                <w:sz w:val="18"/>
                <w:szCs w:val="18"/>
                <w:highlight w:val="none"/>
                <w:lang w:val="en-US" w:eastAsia="zh-CN"/>
              </w:rPr>
              <w:t>端</w:t>
            </w:r>
            <w:r>
              <w:rPr>
                <w:rFonts w:hint="eastAsia" w:ascii="宋体" w:hAnsi="宋体" w:cs="宋体"/>
                <w:color w:val="000000"/>
                <w:kern w:val="0"/>
                <w:sz w:val="18"/>
                <w:szCs w:val="18"/>
                <w:highlight w:val="none"/>
              </w:rPr>
              <w:t>完成各项业务审批，查询审批进度。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3、提供职工薪资福利查询以及个税附加申报信息修改和调整。</w:t>
            </w:r>
          </w:p>
        </w:tc>
        <w:tc>
          <w:tcPr>
            <w:tcW w:w="255" w:type="pct"/>
            <w:shd w:val="clear" w:color="auto" w:fill="auto"/>
            <w:vAlign w:val="center"/>
          </w:tcPr>
          <w:p w14:paraId="09F65DA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4EFA01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24000</w:t>
            </w:r>
          </w:p>
        </w:tc>
        <w:tc>
          <w:tcPr>
            <w:tcW w:w="313" w:type="pct"/>
            <w:shd w:val="clear" w:color="auto" w:fill="auto"/>
            <w:vAlign w:val="center"/>
          </w:tcPr>
          <w:p w14:paraId="22414B8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24000</w:t>
            </w:r>
          </w:p>
        </w:tc>
      </w:tr>
      <w:tr w14:paraId="4751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E37672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56</w:t>
            </w:r>
          </w:p>
        </w:tc>
        <w:tc>
          <w:tcPr>
            <w:tcW w:w="218" w:type="pct"/>
            <w:vMerge w:val="restart"/>
            <w:shd w:val="clear" w:color="auto" w:fill="auto"/>
            <w:vAlign w:val="center"/>
          </w:tcPr>
          <w:p w14:paraId="41C65FF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OA管理系统</w:t>
            </w:r>
          </w:p>
        </w:tc>
        <w:tc>
          <w:tcPr>
            <w:tcW w:w="509" w:type="pct"/>
            <w:gridSpan w:val="2"/>
            <w:shd w:val="clear" w:color="auto" w:fill="auto"/>
            <w:vAlign w:val="center"/>
          </w:tcPr>
          <w:p w14:paraId="5D585C7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系统管理</w:t>
            </w:r>
          </w:p>
        </w:tc>
        <w:tc>
          <w:tcPr>
            <w:tcW w:w="3247" w:type="pct"/>
            <w:shd w:val="clear" w:color="auto" w:fill="auto"/>
            <w:vAlign w:val="center"/>
          </w:tcPr>
          <w:p w14:paraId="109C0A7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1、管理有域组织架构同步设置：将开发的文件设置进去，即可支持实现OA与第三方系统之间组织架构同步，OA中部门角色用户的新增、编辑、删除等操作，第三方系统部门角色用户也随之同步更新。</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2、提示语设置：设置多种提示语类别及对应提示语，在系统页面加载时随机获取展示。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3、系统标题设置：标题设置，设置单位文化、口号、价值观作为标题，显示在浏览器地址栏中。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4、组织架构设置：组织信息录入管理，人员、部门、角色组织三维。部门新增、删除、修改、部门负责人设置，用户新增、修改、删除、离职等、用户批量导入、批量导出等。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5、角色管理设置：新建、编辑、删除角色，角色菜单分配设置、角色之间菜单权限继承复制。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6、门户设置：新建、编辑、删除门户、设置门户布局元素、设置门户查看和编辑权限、设置默认门户。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7、菜单设置：系统菜单重命名、排序、分配权限，自定义一级二级三级菜单（将系统菜单重新组合或链接外部网址、页面、单点登录）、自定义菜单排序、分配权限。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8、提醒设置：设置各模块的提醒项是否提醒及提醒方式（内部消息、内部邮件、手机短信（另购买短信平台）、企业微信等）。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9、访问控制：设置ip地址访问区间、访问用户（全体或部分用户）、访问方式（登录、考勤）。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10、数据字典：下拉框配置，配置管理各模块下拉字段内容和自定义类型及下拉字段。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11、系统数据管理：系统日志（系统访问数量统计和流程文档组织架构操作日志查询）、数据库修复（服务器突然断电导致数据错乱时修复）。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12、性能安全设置：登录安全设置（密码定时过期、允许手机号登录、扫描二维码登录等）、性能安全设置、附件上传设置（各模块附件上传数量、单个附件大小、限制扩展名）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13、提醒日设置、生日贺卡设置：管理设置生日贺卡，员工生日时系统自动发送生日祝福。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14、系统用户：本次系统要求500个用户。</w:t>
            </w:r>
          </w:p>
        </w:tc>
        <w:tc>
          <w:tcPr>
            <w:tcW w:w="255" w:type="pct"/>
            <w:shd w:val="clear" w:color="auto" w:fill="auto"/>
            <w:vAlign w:val="center"/>
          </w:tcPr>
          <w:p w14:paraId="7675B5E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700D80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15000</w:t>
            </w:r>
          </w:p>
        </w:tc>
        <w:tc>
          <w:tcPr>
            <w:tcW w:w="313" w:type="pct"/>
            <w:shd w:val="clear" w:color="auto" w:fill="auto"/>
            <w:vAlign w:val="center"/>
          </w:tcPr>
          <w:p w14:paraId="499033A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15000</w:t>
            </w:r>
          </w:p>
        </w:tc>
      </w:tr>
      <w:tr w14:paraId="43F33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3FA9FFD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57</w:t>
            </w:r>
          </w:p>
        </w:tc>
        <w:tc>
          <w:tcPr>
            <w:tcW w:w="218" w:type="pct"/>
            <w:vMerge w:val="continue"/>
            <w:vAlign w:val="center"/>
          </w:tcPr>
          <w:p w14:paraId="3FBF4EF5">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2540B63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门户管理</w:t>
            </w:r>
          </w:p>
        </w:tc>
        <w:tc>
          <w:tcPr>
            <w:tcW w:w="3247" w:type="pct"/>
            <w:shd w:val="clear" w:color="auto" w:fill="auto"/>
            <w:vAlign w:val="center"/>
          </w:tcPr>
          <w:p w14:paraId="2B38EB9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1、自定义多级门户：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（1）自定义多门户：新建编辑门户、设置门户布局、门户上添加布局行、添加列及列宽度、从36个以上元素库中选择对应元素添加，理论上支持无限多门户拓展。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（2）门户权限管控：按用户、角色、部门方式设置门户查看权限和编辑权限。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丰富门户元素库：36个以上的门户元素使不同门户聚合不同OA内部信息和外部网站友商信息，工作流程、我的协作、我的文档、我的项目、我的任务、我的费用、查看新闻、查看公告、我的相册、我的邮件、客户中心、通讯录、我的日程、会议管理、待批车辆、收支方案、定义链接、RSS资讯、考勤中心、快捷菜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2、自定义元素：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（1）自定义门户元素属性：设置元素标题、边框、显示行数、文本颜色、字体大小、是否加粗、主题颜色、展示效果、展示字段、及元素高度、内容目录选择（流程、文档、新闻、公告）。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（2）门户中可刷新元素数据、元素中数据点击直接打开数据详情页面、元素中点击更多跳转对应模块、可拖动元素排序。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（3）主页顶部可隐藏左侧菜单、设置左上角logo、更换界面颜色、开启明暗模式、按关键字查询各模块数据、点开手机app二维码（扫码下载手机app）。</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内置搜索引擎：通过关键字检索，查询到相应客户、文档、公告、通知等，针对流程、文档、邮件、日程、考勤、假期、费控、客户、绩效、薪酬、收支、项目、新闻、公告、任务、用车、档案、报表、会议室、通讯录、协作办公、报表等功能进行模块化封装，搜索区分软件功能；软件需支持建模。必要时通过建模实现客户功能需求。支持查看个人上传的文件，支持多语言设置等功能，支持与SAP，ERP，HR，CRM，考勤机等软件对接，工作日报（周报），包含个人自己的工作日报、日报统计。</w:t>
            </w:r>
          </w:p>
        </w:tc>
        <w:tc>
          <w:tcPr>
            <w:tcW w:w="255" w:type="pct"/>
            <w:shd w:val="clear" w:color="auto" w:fill="auto"/>
            <w:vAlign w:val="center"/>
          </w:tcPr>
          <w:p w14:paraId="711D411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A87C49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18000</w:t>
            </w:r>
          </w:p>
        </w:tc>
        <w:tc>
          <w:tcPr>
            <w:tcW w:w="313" w:type="pct"/>
            <w:shd w:val="clear" w:color="auto" w:fill="auto"/>
            <w:vAlign w:val="center"/>
          </w:tcPr>
          <w:p w14:paraId="39F2198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18000</w:t>
            </w:r>
          </w:p>
        </w:tc>
      </w:tr>
      <w:tr w14:paraId="2CBE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3C02BA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58</w:t>
            </w:r>
          </w:p>
        </w:tc>
        <w:tc>
          <w:tcPr>
            <w:tcW w:w="218" w:type="pct"/>
            <w:vMerge w:val="continue"/>
            <w:vAlign w:val="center"/>
          </w:tcPr>
          <w:p w14:paraId="3065E28B">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22FA692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流程模块</w:t>
            </w:r>
          </w:p>
        </w:tc>
        <w:tc>
          <w:tcPr>
            <w:tcW w:w="3247" w:type="pct"/>
            <w:shd w:val="clear" w:color="auto" w:fill="auto"/>
            <w:vAlign w:val="center"/>
          </w:tcPr>
          <w:p w14:paraId="63CB475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1、表单设计：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支持表单智能设计、自定义多种样式表单、添加表格、统一设置表格样式、统一设置单元格样式、统一设置控件样式、插入图片、分隔线、查看源码，表单导入导出、历史版本预览恢复、编辑删除表单、表单预览（PC端预览、移动版预览）、表单保存时系统自动检测各个控件基本信息必要属性完整准确，并显示检测结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（2）表单控件支持明细布局：明细项设置可由多种控件类型组合，明细合计项可作为计算公式项。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文本框：多种格式有文本、日期时间、时期时间计算、手机号码、邮箱、数值格式可保留小数、四舍五入、金额大写转换、多行文本框、单选框、复选框、下拉框、编辑器，可设置只读，关联系统模块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系统数据：获取用户、部门、角色、办公用品、客户列表、设置内容单选或多选、签名图片、领导审批签名、附件上传、在表单上上传一个或多个附件、会签控件、领导会签审批，可设置审批意见样式、动态信息控件、链接外部开发文件，根据开发内容动态获取外部系统信息、控件字段多种数据源获取途径：当前数据：当前用户、部门、角色、时间智能获取。</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控件计算：表单控件字段之间可设置多种运算公式进行计算，系统数据：通过父级控件可联动获取数据信息，如选择不同假期类型，获取该假期类型剩余假期天数，外部系统：通过配置外部系统数据库链接，获取外部系统数据库表中字段信息，SQL语句：通过写SQL语句来查询获取数据信息，来自文件：通过外部开发文件，联动获取数据信息。流程支持电子签章（非传统的加盖印章功能），支持打通外部用户的在线签章，同时支持物理印章的在线。</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（6）丰富表单控件需支持多种数据源获取，使得表单能动态智能获取OA内部各模块数据，同时动态智能获取外部系统数据，与外部系统数据进行交互。</w:t>
            </w:r>
          </w:p>
          <w:p w14:paraId="61E9061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2、流程设计：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（1）自定义固定流程或自由流程，通过模版引用快速复制或新建方式。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（2）流程图形化设置搭建，搭建节点更方便，随意拖动节点、连接。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（3）流程节点办理人设置：设置办理人范围、设置智能获取办理人。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（4）设置默认办理人，根据企业需要选择不同设置方式，从而实现流程智能流转，流程办理人员或离职人员批量统一替换。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（5）流程节点字段控制设置：设置不同节点对不同字段编辑填写权限，同时可设置必填、智能获取信息。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（6）流程多种办理方式设置实现一个节点多人办理和部门会签需求。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（7）流程抄送：对应节点设置默认抄送人员、部门、角色，流程提交时智能抄送，抄送人收到推送提醒。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（8）流程子流程设置：对应节点可设置一个或多个子流程，通过配置子流程智能获取主流程表单字段信息。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9）数据外发：内部系统外发（通过配置流程表单信息可以发送到系统其他模块进行统计汇总）：考勤模块（请假、出差、外出、加班、调休）新闻模块（新闻发布流程），公告模块（公告发布审批流程），费控模块（费用申请流程或费用报销流程），收支模块（收支上报流程），客户模块（客户信息、联系记录、合同、商机、供应商、销售记录），通过流程外发，实现流程与各个模块数据之间关联，数据进行融合交互。（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（10）数据外发：外部系统外发通过配置外部系统数据库链接，实现流程数据发送到外部系统中，从而达到流程与外部系统数据融合交互。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（11）流程出口条件支持且和或混合出口条件设置，实现节点智能跳转，达到智能流转需求。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（12）流程节点路径设置使流程退回与流程往前流传逻辑清晰，退回和提交分别为两个方向流转。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（13）流程转发、本节点结束流程、流程启用停用、邮件外发等设置。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（14）流程流水号、节点说明备注、流程类别、流程排序号设置。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（15）流程办理时效统一设置、流程监控人员设置。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（16）流程委托设置：设置委托人/被委托人，选择委托流程及委托时间范围。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（17）流程办理页面默认显示项设置（签办反馈、公共附件、相关文档、流程图、办理步骤、子流程）。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（18）流程开启表单自动保存、流程结束归档及归档目录设置、流程发起默认标题为空等设置。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（19）通过数据源，实现流程表单获取外部系统数据，通过流程外发，实现流程数据发送到外部系统。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（20）发起流程填写表单信息、必填字段、上传本地附件、关联文档、上传图片等。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（21）流程审批可在线打开pdf、图片，查看相关文档、查看流程图、查看流转步骤信息、查看子流程信息、填写签办反馈（关联系统数据、@用户分享或提醒用户）。</w:t>
            </w:r>
          </w:p>
          <w:p w14:paraId="54CA93B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3、流程管理：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（1）流程审批填写审批意见、往前提交或点击退回。</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（2）流程审批页面可结束流程，可将流程转发他人、手动抄送他人、将表单通过邮件外发出去。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（3）流程待办、已办、办结、我的请求列表可自定义显示字段及每页显示条数，系统记忆并保存设置。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（4）流程列表可按照流程类别显示并统计数量，点击数量展示流程列表，流程列表根据“未读”、“我主办”、“我经办”，更多筛选中按照创建时间、紧急程度、催办到期筛选。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（5）待办流程可以委托他人审批办理、已办事宜列表可收回流程、可单个催办、批量催办。</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（6）流程委托：流程委托可收回、包括收回运行中流程、可查看委托记录。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流程超时：系统按照设置的流程办理时效自动触发催办提醒，超过办理时效系统视为超时流程、显示在“超时查询”菜单，用户在“超时查询”菜单只能查看自己超时流程，系统管理员在“超时查询”菜单中可查看所有超时流程，超时流程列表会显示流程超时时间、催办时间，超时流程列表可导出表格。</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流程监控：监控人员在流程监控中只能监控对应流程，且只监控运行中流程，对于监控的流程可批量删除、批量催办、可监控提交、监控退回、催办、结束、删除等，且监控流程列表中图标展示当前节点办理人是否查看了流程，监控人员对监控的流程权限比较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（9）流程查询：流程查询菜单中用户只能查询自己参与办理和监控的流程，而系统管理员可以查询所有流程，且查询页面可选择多个表单字段查询并选择导出字段，导出表格。</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（10）流程高级查询中选择多项查询条件并组合，保存为自定义搜索，作为快捷筛选方便后期重复应用。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（11）流程表单查看页面，可复制表单、打印表单和打印页面，打印页面时打印内容可选择（流程标题、紧急程度、流水号、表单、签办反馈、相关附件、相关文档、流程办理步骤、子流程）。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（12）查看流程办理步骤：步骤、节点名称、办理人员、办理状态、接收时间、提交时间、用时等。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流程归档：流程结束时归档可手动选择归档目录（或定义流程中设置归档后流程结束自动归档），或自动生成归档目录，归档后在文档中形成文档，流程表单作为文档正文、流程签办反馈作为文档回复、流程公共附件作为文档附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（14）已结束的流程页面会有“已完成”标识。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待办、已办、抄送、办结、超时、转发系统会自动触发消息推送提醒、推送电脑端即时通讯图标声音提醒、推送移动版app、微信公众号、微信企业号、企业微信、钉钉等流程申请，包含流程分组，行政类流程，财务类流程，人事类流程等。</w:t>
            </w:r>
          </w:p>
        </w:tc>
        <w:tc>
          <w:tcPr>
            <w:tcW w:w="255" w:type="pct"/>
            <w:shd w:val="clear" w:color="auto" w:fill="auto"/>
            <w:vAlign w:val="center"/>
          </w:tcPr>
          <w:p w14:paraId="75C6472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4160A49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24000</w:t>
            </w:r>
          </w:p>
        </w:tc>
        <w:tc>
          <w:tcPr>
            <w:tcW w:w="313" w:type="pct"/>
            <w:shd w:val="clear" w:color="auto" w:fill="auto"/>
            <w:vAlign w:val="center"/>
          </w:tcPr>
          <w:p w14:paraId="0393CB1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24000</w:t>
            </w:r>
          </w:p>
        </w:tc>
      </w:tr>
      <w:tr w14:paraId="2EFA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restart"/>
            <w:shd w:val="clear" w:color="auto" w:fill="auto"/>
            <w:vAlign w:val="center"/>
          </w:tcPr>
          <w:p w14:paraId="11116CF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59</w:t>
            </w:r>
          </w:p>
        </w:tc>
        <w:tc>
          <w:tcPr>
            <w:tcW w:w="218" w:type="pct"/>
            <w:vMerge w:val="continue"/>
            <w:vAlign w:val="center"/>
          </w:tcPr>
          <w:p w14:paraId="6EFF4525">
            <w:pPr>
              <w:widowControl/>
              <w:shd w:val="clear"/>
              <w:jc w:val="left"/>
              <w:rPr>
                <w:rFonts w:ascii="宋体" w:hAnsi="宋体" w:cs="宋体"/>
                <w:color w:val="000000"/>
                <w:kern w:val="0"/>
                <w:sz w:val="18"/>
                <w:szCs w:val="18"/>
                <w:highlight w:val="none"/>
              </w:rPr>
            </w:pPr>
          </w:p>
        </w:tc>
        <w:tc>
          <w:tcPr>
            <w:tcW w:w="218" w:type="pct"/>
            <w:vMerge w:val="restart"/>
            <w:shd w:val="clear" w:color="auto" w:fill="auto"/>
            <w:vAlign w:val="center"/>
          </w:tcPr>
          <w:p w14:paraId="28CD62C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公文管理</w:t>
            </w:r>
          </w:p>
        </w:tc>
        <w:tc>
          <w:tcPr>
            <w:tcW w:w="290" w:type="pct"/>
            <w:shd w:val="clear" w:color="auto" w:fill="auto"/>
            <w:vAlign w:val="center"/>
          </w:tcPr>
          <w:p w14:paraId="7B4A258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公文查阅</w:t>
            </w:r>
          </w:p>
        </w:tc>
        <w:tc>
          <w:tcPr>
            <w:tcW w:w="3247" w:type="pct"/>
            <w:shd w:val="clear" w:color="auto" w:fill="auto"/>
            <w:vAlign w:val="center"/>
          </w:tcPr>
          <w:p w14:paraId="1A66156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1、公文查阅可以通过搜索查询当前需要当前用户阅读的公文和未查阅公文等。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2、公文管理发文按规定的流程进行外来文件登记及其流转过程，并可以对工作流程进行监控、跟踪、催办。</w:t>
            </w:r>
          </w:p>
        </w:tc>
        <w:tc>
          <w:tcPr>
            <w:tcW w:w="255" w:type="pct"/>
            <w:shd w:val="clear" w:color="auto" w:fill="auto"/>
            <w:vAlign w:val="center"/>
          </w:tcPr>
          <w:p w14:paraId="6645B6B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vMerge w:val="restart"/>
            <w:shd w:val="clear" w:color="auto" w:fill="auto"/>
            <w:vAlign w:val="center"/>
          </w:tcPr>
          <w:p w14:paraId="666FE96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44000</w:t>
            </w:r>
          </w:p>
        </w:tc>
        <w:tc>
          <w:tcPr>
            <w:tcW w:w="313" w:type="pct"/>
            <w:vMerge w:val="restart"/>
            <w:shd w:val="clear" w:color="auto" w:fill="auto"/>
            <w:vAlign w:val="center"/>
          </w:tcPr>
          <w:p w14:paraId="482E5D2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44000</w:t>
            </w:r>
          </w:p>
        </w:tc>
      </w:tr>
      <w:tr w14:paraId="6649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continue"/>
            <w:vAlign w:val="center"/>
          </w:tcPr>
          <w:p w14:paraId="22B33840">
            <w:pPr>
              <w:widowControl/>
              <w:shd w:val="clear"/>
              <w:jc w:val="left"/>
              <w:rPr>
                <w:rFonts w:ascii="宋体" w:hAnsi="宋体" w:cs="宋体"/>
                <w:color w:val="000000"/>
                <w:kern w:val="0"/>
                <w:sz w:val="18"/>
                <w:szCs w:val="18"/>
                <w:highlight w:val="none"/>
              </w:rPr>
            </w:pPr>
          </w:p>
        </w:tc>
        <w:tc>
          <w:tcPr>
            <w:tcW w:w="218" w:type="pct"/>
            <w:vMerge w:val="continue"/>
            <w:vAlign w:val="center"/>
          </w:tcPr>
          <w:p w14:paraId="38C03094">
            <w:pPr>
              <w:widowControl/>
              <w:shd w:val="clear"/>
              <w:jc w:val="left"/>
              <w:rPr>
                <w:rFonts w:ascii="宋体" w:hAnsi="宋体" w:cs="宋体"/>
                <w:color w:val="000000"/>
                <w:kern w:val="0"/>
                <w:sz w:val="18"/>
                <w:szCs w:val="18"/>
                <w:highlight w:val="none"/>
              </w:rPr>
            </w:pPr>
          </w:p>
        </w:tc>
        <w:tc>
          <w:tcPr>
            <w:tcW w:w="218" w:type="pct"/>
            <w:vMerge w:val="continue"/>
            <w:vAlign w:val="center"/>
          </w:tcPr>
          <w:p w14:paraId="0CA6B086">
            <w:pPr>
              <w:widowControl/>
              <w:shd w:val="clear"/>
              <w:jc w:val="left"/>
              <w:rPr>
                <w:rFonts w:ascii="宋体" w:hAnsi="宋体" w:cs="宋体"/>
                <w:color w:val="000000"/>
                <w:kern w:val="0"/>
                <w:sz w:val="18"/>
                <w:szCs w:val="18"/>
                <w:highlight w:val="none"/>
              </w:rPr>
            </w:pPr>
          </w:p>
        </w:tc>
        <w:tc>
          <w:tcPr>
            <w:tcW w:w="290" w:type="pct"/>
            <w:shd w:val="clear" w:color="auto" w:fill="auto"/>
            <w:vAlign w:val="center"/>
          </w:tcPr>
          <w:p w14:paraId="287A1C6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发文管理</w:t>
            </w:r>
          </w:p>
        </w:tc>
        <w:tc>
          <w:tcPr>
            <w:tcW w:w="3247" w:type="pct"/>
            <w:shd w:val="clear" w:color="auto" w:fill="auto"/>
            <w:vAlign w:val="center"/>
          </w:tcPr>
          <w:p w14:paraId="26BF9B1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1、拟办发文，包含发文字号、公文编号、公文等级、公文类型、标题、副标题、发文单位、接收单位、文件、内容等基本信息。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2、个人发文管理，包含个人已经发文列表，发文状态，对已发文件进行操作，含追加说明、作废申请、催办、提醒等功能。</w:t>
            </w:r>
          </w:p>
        </w:tc>
        <w:tc>
          <w:tcPr>
            <w:tcW w:w="255" w:type="pct"/>
            <w:shd w:val="clear" w:color="auto" w:fill="auto"/>
            <w:vAlign w:val="center"/>
          </w:tcPr>
          <w:p w14:paraId="1472E96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vMerge w:val="continue"/>
            <w:shd w:val="clear" w:color="auto" w:fill="auto"/>
            <w:vAlign w:val="center"/>
          </w:tcPr>
          <w:p w14:paraId="162641D2">
            <w:pPr>
              <w:widowControl/>
              <w:shd w:val="clear"/>
              <w:jc w:val="center"/>
              <w:rPr>
                <w:rFonts w:ascii="宋体" w:hAnsi="宋体" w:cs="宋体"/>
                <w:color w:val="000000"/>
                <w:kern w:val="0"/>
                <w:sz w:val="18"/>
                <w:szCs w:val="18"/>
                <w:highlight w:val="none"/>
              </w:rPr>
            </w:pPr>
          </w:p>
        </w:tc>
        <w:tc>
          <w:tcPr>
            <w:tcW w:w="313" w:type="pct"/>
            <w:vMerge w:val="continue"/>
            <w:shd w:val="clear" w:color="auto" w:fill="auto"/>
            <w:vAlign w:val="center"/>
          </w:tcPr>
          <w:p w14:paraId="324E11DC">
            <w:pPr>
              <w:widowControl/>
              <w:shd w:val="clear"/>
              <w:jc w:val="center"/>
              <w:rPr>
                <w:rFonts w:ascii="宋体" w:hAnsi="宋体" w:cs="宋体"/>
                <w:color w:val="000000"/>
                <w:kern w:val="0"/>
                <w:sz w:val="18"/>
                <w:szCs w:val="18"/>
                <w:highlight w:val="none"/>
              </w:rPr>
            </w:pPr>
          </w:p>
        </w:tc>
      </w:tr>
      <w:tr w14:paraId="31FF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continue"/>
            <w:vAlign w:val="center"/>
          </w:tcPr>
          <w:p w14:paraId="350FE627">
            <w:pPr>
              <w:widowControl/>
              <w:shd w:val="clear"/>
              <w:jc w:val="left"/>
              <w:rPr>
                <w:rFonts w:ascii="宋体" w:hAnsi="宋体" w:cs="宋体"/>
                <w:color w:val="000000"/>
                <w:kern w:val="0"/>
                <w:sz w:val="18"/>
                <w:szCs w:val="18"/>
                <w:highlight w:val="none"/>
              </w:rPr>
            </w:pPr>
          </w:p>
        </w:tc>
        <w:tc>
          <w:tcPr>
            <w:tcW w:w="218" w:type="pct"/>
            <w:vMerge w:val="continue"/>
            <w:vAlign w:val="center"/>
          </w:tcPr>
          <w:p w14:paraId="052F24B0">
            <w:pPr>
              <w:widowControl/>
              <w:shd w:val="clear"/>
              <w:jc w:val="left"/>
              <w:rPr>
                <w:rFonts w:ascii="宋体" w:hAnsi="宋体" w:cs="宋体"/>
                <w:color w:val="000000"/>
                <w:kern w:val="0"/>
                <w:sz w:val="18"/>
                <w:szCs w:val="18"/>
                <w:highlight w:val="none"/>
              </w:rPr>
            </w:pPr>
          </w:p>
        </w:tc>
        <w:tc>
          <w:tcPr>
            <w:tcW w:w="218" w:type="pct"/>
            <w:vMerge w:val="continue"/>
            <w:vAlign w:val="center"/>
          </w:tcPr>
          <w:p w14:paraId="35D36832">
            <w:pPr>
              <w:widowControl/>
              <w:shd w:val="clear"/>
              <w:jc w:val="left"/>
              <w:rPr>
                <w:rFonts w:ascii="宋体" w:hAnsi="宋体" w:cs="宋体"/>
                <w:color w:val="000000"/>
                <w:kern w:val="0"/>
                <w:sz w:val="18"/>
                <w:szCs w:val="18"/>
                <w:highlight w:val="none"/>
              </w:rPr>
            </w:pPr>
          </w:p>
        </w:tc>
        <w:tc>
          <w:tcPr>
            <w:tcW w:w="290" w:type="pct"/>
            <w:shd w:val="clear" w:color="auto" w:fill="auto"/>
            <w:vAlign w:val="center"/>
          </w:tcPr>
          <w:p w14:paraId="544523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收文管理</w:t>
            </w:r>
          </w:p>
        </w:tc>
        <w:tc>
          <w:tcPr>
            <w:tcW w:w="3247" w:type="pct"/>
            <w:shd w:val="clear" w:color="auto" w:fill="auto"/>
            <w:vAlign w:val="center"/>
          </w:tcPr>
          <w:p w14:paraId="621FB08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1、收文管理拟办收文信息，包含收文字号、公文编号、公文等级、公文类型、标题、副标题、发文单位、接收单位、文件、内容等基本信息。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2、个人收文管理，包含个人已经收文列表，收文状态，对已收文件进行操作，含详情、评论、提醒等功能。收文按照列表进行管理，便于收文管理员有针对性的跟踪和催办。</w:t>
            </w:r>
          </w:p>
        </w:tc>
        <w:tc>
          <w:tcPr>
            <w:tcW w:w="255" w:type="pct"/>
            <w:shd w:val="clear" w:color="auto" w:fill="auto"/>
            <w:vAlign w:val="center"/>
          </w:tcPr>
          <w:p w14:paraId="20E1100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vMerge w:val="continue"/>
            <w:shd w:val="clear" w:color="auto" w:fill="auto"/>
            <w:vAlign w:val="center"/>
          </w:tcPr>
          <w:p w14:paraId="01CE18D1">
            <w:pPr>
              <w:widowControl/>
              <w:shd w:val="clear"/>
              <w:jc w:val="center"/>
              <w:rPr>
                <w:rFonts w:ascii="宋体" w:hAnsi="宋体" w:cs="宋体"/>
                <w:color w:val="000000"/>
                <w:kern w:val="0"/>
                <w:sz w:val="18"/>
                <w:szCs w:val="18"/>
                <w:highlight w:val="none"/>
              </w:rPr>
            </w:pPr>
          </w:p>
        </w:tc>
        <w:tc>
          <w:tcPr>
            <w:tcW w:w="313" w:type="pct"/>
            <w:vMerge w:val="continue"/>
            <w:shd w:val="clear" w:color="auto" w:fill="auto"/>
            <w:vAlign w:val="center"/>
          </w:tcPr>
          <w:p w14:paraId="724F8AFA">
            <w:pPr>
              <w:widowControl/>
              <w:shd w:val="clear"/>
              <w:jc w:val="center"/>
              <w:rPr>
                <w:rFonts w:ascii="宋体" w:hAnsi="宋体" w:cs="宋体"/>
                <w:color w:val="000000"/>
                <w:kern w:val="0"/>
                <w:sz w:val="18"/>
                <w:szCs w:val="18"/>
                <w:highlight w:val="none"/>
              </w:rPr>
            </w:pPr>
          </w:p>
        </w:tc>
      </w:tr>
      <w:tr w14:paraId="1BEB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3489F18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60</w:t>
            </w:r>
          </w:p>
        </w:tc>
        <w:tc>
          <w:tcPr>
            <w:tcW w:w="218" w:type="pct"/>
            <w:vMerge w:val="continue"/>
            <w:vAlign w:val="center"/>
          </w:tcPr>
          <w:p w14:paraId="0D181E70">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439FD07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文档管理</w:t>
            </w:r>
          </w:p>
        </w:tc>
        <w:tc>
          <w:tcPr>
            <w:tcW w:w="3247" w:type="pct"/>
            <w:shd w:val="clear" w:color="auto" w:fill="auto"/>
            <w:vAlign w:val="center"/>
          </w:tcPr>
          <w:p w14:paraId="41BA4A8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文档样式：自定义多种文档显示样式，设置样式时可插入组织logo、插入分隔线、插入图片、插入网址、表格、组织文化、价值观等，另有插入元素供选择，元素有文档内容、文档标题、文档附件、文档创建人、文档创建时间等，可设置出多种多样符合企业需求的文档显示样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2、文档目录设置：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（1）批量快速创建文件目录/子目录、文档目录全选、反选、文档目录批量删除、批量转移、批量设置文档样式和文档模版、文档目录拖动排序、单个目录转移、复制、文档样式和文档模版设置、权限设置。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（2）设置文档目录权限：权限分管理、新建（新建文档权限）、编辑（编辑文档权限）、下载/打印（针对文档）、回复等权限，分别按用户、角色、部门设置相应权限。或一键设置“开放全部权限”。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（3）目录权限继承：子目录继承主目录权限，共享设置共享时下载权限默认开放。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3、文档模版设置：如工作日志模版、销售工作日报模版、月报模版、公文模版等可自定义多种类型模版；为文档目录选择文档模版，创建文档时，选择文档目录，文档目录自动加载显示。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4、文档创建需求：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（1）创建文档格式：可选HTML、word、表格（word和表格格式在</w:t>
            </w:r>
            <w:r>
              <w:rPr>
                <w:rFonts w:hint="eastAsia" w:ascii="宋体" w:hAnsi="宋体" w:cs="宋体"/>
                <w:color w:val="000000"/>
                <w:kern w:val="0"/>
                <w:sz w:val="18"/>
                <w:szCs w:val="18"/>
                <w:highlight w:val="none"/>
                <w:lang w:val="en-US" w:eastAsia="zh-CN"/>
              </w:rPr>
              <w:t>主流</w:t>
            </w:r>
            <w:r>
              <w:rPr>
                <w:rFonts w:hint="eastAsia" w:ascii="宋体" w:hAnsi="宋体" w:cs="宋体"/>
                <w:color w:val="000000"/>
                <w:kern w:val="0"/>
                <w:sz w:val="18"/>
                <w:szCs w:val="18"/>
                <w:highlight w:val="none"/>
              </w:rPr>
              <w:t>浏览</w:t>
            </w:r>
            <w:r>
              <w:rPr>
                <w:rFonts w:hint="eastAsia" w:ascii="宋体" w:hAnsi="宋体" w:cs="宋体"/>
                <w:color w:val="000000"/>
                <w:kern w:val="0"/>
                <w:sz w:val="18"/>
                <w:szCs w:val="18"/>
                <w:highlight w:val="none"/>
                <w:lang w:val="en-US" w:eastAsia="zh-CN"/>
              </w:rPr>
              <w:t>器</w:t>
            </w:r>
            <w:r>
              <w:rPr>
                <w:rFonts w:hint="eastAsia" w:ascii="宋体" w:hAnsi="宋体" w:cs="宋体"/>
                <w:color w:val="000000"/>
                <w:kern w:val="0"/>
                <w:sz w:val="18"/>
                <w:szCs w:val="18"/>
                <w:highlight w:val="none"/>
              </w:rPr>
              <w:t>可创建）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（2）上传文档附件：附件格式为word、表格、PDF、RAR、ZIP、TXT、图片格式，上传单个附件大小及一次上传附件个数可设置。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文档正文：可插入文字、编辑字体、样式、插入表格、图片、链接、表情符号、OA模块数据等，制作图文并茂文档，创建知识地图：创建文档时可插入别的文档、流程、新闻、公告、协作区、客户、项目等数据链接，将不同模块数据或多篇文档按照一定数据逻辑关系关联在一篇文档中，就形成知识地图，如新员工入职知识地图、销售岗位知识地图、资料知识地图、客服岗位知识地图。</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5、文档查看：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文档列表：可选择目录筛选查看文档，文档列表显示字段可自定义选项、列表中显示文档附件数量、回复数量、日志数量，数据可穿透、点击数量显示数据详情，列表中文档可批量转移、批量共享、批量删除、单个文档可共享、编辑、删除、查看文档日志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文档详情页面：详情页面点击“上一篇”“下一篇”，快速切换浏览文档，打印文档、编辑文档、查看文档日志、详情页面下方可回复评论文档并@用户进行分享提醒，评论内容中可编辑文字样式、插入OA模块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（3）文档附件可下载、阅读、编辑文档高级搜索可自定义搜索并保存，作为快捷筛选项，以重复应用；附件在线阅读编辑。</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6、文档搜索：按照关键词、关键词位置、文档目录、创建人、修改时间、流水号等多种条件组合查询具体文档。</w:t>
            </w:r>
          </w:p>
        </w:tc>
        <w:tc>
          <w:tcPr>
            <w:tcW w:w="255" w:type="pct"/>
            <w:shd w:val="clear" w:color="auto" w:fill="auto"/>
            <w:vAlign w:val="center"/>
          </w:tcPr>
          <w:p w14:paraId="426CDD5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57CC0257">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12000</w:t>
            </w:r>
          </w:p>
        </w:tc>
        <w:tc>
          <w:tcPr>
            <w:tcW w:w="313" w:type="pct"/>
            <w:shd w:val="clear" w:color="auto" w:fill="auto"/>
            <w:vAlign w:val="center"/>
          </w:tcPr>
          <w:p w14:paraId="68678FC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w:t>
            </w:r>
          </w:p>
        </w:tc>
      </w:tr>
      <w:tr w14:paraId="00C5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5B5D5EA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61</w:t>
            </w:r>
          </w:p>
        </w:tc>
        <w:tc>
          <w:tcPr>
            <w:tcW w:w="218" w:type="pct"/>
            <w:vMerge w:val="continue"/>
            <w:vAlign w:val="center"/>
          </w:tcPr>
          <w:p w14:paraId="27E971CC">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0F1419B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会议管理</w:t>
            </w:r>
          </w:p>
        </w:tc>
        <w:tc>
          <w:tcPr>
            <w:tcW w:w="3247" w:type="pct"/>
            <w:shd w:val="clear" w:color="auto" w:fill="auto"/>
            <w:vAlign w:val="center"/>
          </w:tcPr>
          <w:p w14:paraId="56B8C90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1、会议管理：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（1）实现会议室资源和会议安排信息一目了然，会议事项与相关人员个人待办事项的关联。会议申请、审批，会议室预约、会议统计情况的实时发布，会议人员通知、会议资料传递等功能。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议审批有两种方式：一种是简单一级审批，即发起申请—会议审批，（会议模块内完成），另一种是多级审批，发起会议申请—上级审批—行政审批，这种是两级以上审批，需要在流程中定义【会议申请流程】，再配置【会议申请流程】数据发送到会议模块（结合流程应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2、会议申请：</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会议预约申请发起，应实现选定时间、地点、主题、会议参会人员，会议主办单位、分管单位领导等信息，其中参会人员应可选定。同时可提交议题相关材料，并明确公开范围。会议安排表生成集中展现我单位所有的会议安排，并根据要求可实现会议报表，如周工作安排等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3、会议室管理：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（1）集中展现所有会议室的情况，会议室可用资源、使用情况。能够在线申请会议室，并支持申请审批。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（2）会议室使用情况统计，统计各会议室使用情况、使用频率，可快速切换日、周、月进行统计查看。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4、会议通知：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会议管理员或发起人可根据会议参会人员要求进行相应人员通知，可选择对应的提醒方式，如：邮件、微信等，通知人员可选系统OA秘书或具体参会人员，若具体到人，需可选具体人员类别，如中层干部、中层正职人员等具体分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（2）我的会议显示所有参与的会议、发起的会议，手动开始会议、手动结束会议、并填写会议纪要。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（3）对应会议中可填写会议纪要，可上传附件、关联OA模块数据，会议纪要可编辑、增加内容。</w:t>
            </w:r>
          </w:p>
        </w:tc>
        <w:tc>
          <w:tcPr>
            <w:tcW w:w="255" w:type="pct"/>
            <w:shd w:val="clear" w:color="auto" w:fill="auto"/>
            <w:vAlign w:val="center"/>
          </w:tcPr>
          <w:p w14:paraId="2DF426F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067BAB3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w:t>
            </w:r>
          </w:p>
        </w:tc>
        <w:tc>
          <w:tcPr>
            <w:tcW w:w="313" w:type="pct"/>
            <w:shd w:val="clear" w:color="auto" w:fill="auto"/>
            <w:vAlign w:val="center"/>
          </w:tcPr>
          <w:p w14:paraId="4699CCC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w:t>
            </w:r>
          </w:p>
        </w:tc>
      </w:tr>
      <w:tr w14:paraId="3283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restart"/>
            <w:shd w:val="clear" w:color="auto" w:fill="auto"/>
            <w:vAlign w:val="center"/>
          </w:tcPr>
          <w:p w14:paraId="7603309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62</w:t>
            </w:r>
          </w:p>
        </w:tc>
        <w:tc>
          <w:tcPr>
            <w:tcW w:w="218" w:type="pct"/>
            <w:vMerge w:val="continue"/>
            <w:vAlign w:val="center"/>
          </w:tcPr>
          <w:p w14:paraId="2D5A189D">
            <w:pPr>
              <w:widowControl/>
              <w:shd w:val="clear"/>
              <w:jc w:val="left"/>
              <w:rPr>
                <w:rFonts w:ascii="宋体" w:hAnsi="宋体" w:cs="宋体"/>
                <w:color w:val="000000"/>
                <w:kern w:val="0"/>
                <w:sz w:val="18"/>
                <w:szCs w:val="18"/>
                <w:highlight w:val="none"/>
              </w:rPr>
            </w:pPr>
          </w:p>
        </w:tc>
        <w:tc>
          <w:tcPr>
            <w:tcW w:w="218" w:type="pct"/>
            <w:vMerge w:val="restart"/>
            <w:shd w:val="clear" w:color="auto" w:fill="auto"/>
            <w:vAlign w:val="center"/>
          </w:tcPr>
          <w:p w14:paraId="01560C9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日程管理</w:t>
            </w:r>
          </w:p>
        </w:tc>
        <w:tc>
          <w:tcPr>
            <w:tcW w:w="290" w:type="pct"/>
            <w:shd w:val="clear" w:color="auto" w:fill="auto"/>
            <w:vAlign w:val="center"/>
          </w:tcPr>
          <w:p w14:paraId="73CF9CD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日程需求</w:t>
            </w:r>
          </w:p>
        </w:tc>
        <w:tc>
          <w:tcPr>
            <w:tcW w:w="3247" w:type="pct"/>
            <w:shd w:val="clear" w:color="auto" w:fill="auto"/>
            <w:vAlign w:val="center"/>
          </w:tcPr>
          <w:p w14:paraId="7BAEA6B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创建日程：日程时间、消息提醒时机、办理人、分享人、紧急程度，创建重复日程，每天每周每月重复，可以为他人创建日程、上级为下级安排日程、助理为领导安排日程等、日程列表以日历模式展示，可切换当天、当周、当月，并通过颜色区分是我办理的，共享的、任务转化的日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2、实现日程录入、日程提醒，日程汇总等功能。并可以与其他办公模块同步，如与会议管理、督查督办任务、收发文管理等。日程可与移动端同步，移动端可实现日程的创建、通知提醒、汇总等。</w:t>
            </w:r>
          </w:p>
        </w:tc>
        <w:tc>
          <w:tcPr>
            <w:tcW w:w="255" w:type="pct"/>
            <w:shd w:val="clear" w:color="auto" w:fill="auto"/>
            <w:vAlign w:val="center"/>
          </w:tcPr>
          <w:p w14:paraId="50C81EB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vMerge w:val="restart"/>
            <w:shd w:val="clear" w:color="auto" w:fill="auto"/>
            <w:vAlign w:val="center"/>
          </w:tcPr>
          <w:p w14:paraId="58FB5C4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24000</w:t>
            </w:r>
          </w:p>
        </w:tc>
        <w:tc>
          <w:tcPr>
            <w:tcW w:w="313" w:type="pct"/>
            <w:vMerge w:val="restart"/>
            <w:shd w:val="clear" w:color="auto" w:fill="auto"/>
            <w:vAlign w:val="center"/>
          </w:tcPr>
          <w:p w14:paraId="24B09D6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24000</w:t>
            </w:r>
          </w:p>
        </w:tc>
      </w:tr>
      <w:tr w14:paraId="4580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continue"/>
            <w:vAlign w:val="center"/>
          </w:tcPr>
          <w:p w14:paraId="3EE9D3AD">
            <w:pPr>
              <w:widowControl/>
              <w:shd w:val="clear"/>
              <w:jc w:val="left"/>
              <w:rPr>
                <w:rFonts w:ascii="宋体" w:hAnsi="宋体" w:cs="宋体"/>
                <w:color w:val="000000"/>
                <w:kern w:val="0"/>
                <w:sz w:val="18"/>
                <w:szCs w:val="18"/>
                <w:highlight w:val="none"/>
              </w:rPr>
            </w:pPr>
          </w:p>
        </w:tc>
        <w:tc>
          <w:tcPr>
            <w:tcW w:w="218" w:type="pct"/>
            <w:vMerge w:val="continue"/>
            <w:vAlign w:val="center"/>
          </w:tcPr>
          <w:p w14:paraId="4BB217DF">
            <w:pPr>
              <w:widowControl/>
              <w:shd w:val="clear"/>
              <w:jc w:val="left"/>
              <w:rPr>
                <w:rFonts w:ascii="宋体" w:hAnsi="宋体" w:cs="宋体"/>
                <w:color w:val="000000"/>
                <w:kern w:val="0"/>
                <w:sz w:val="18"/>
                <w:szCs w:val="18"/>
                <w:highlight w:val="none"/>
              </w:rPr>
            </w:pPr>
          </w:p>
        </w:tc>
        <w:tc>
          <w:tcPr>
            <w:tcW w:w="218" w:type="pct"/>
            <w:vMerge w:val="continue"/>
            <w:vAlign w:val="center"/>
          </w:tcPr>
          <w:p w14:paraId="0CE83149">
            <w:pPr>
              <w:widowControl/>
              <w:shd w:val="clear"/>
              <w:jc w:val="left"/>
              <w:rPr>
                <w:rFonts w:ascii="宋体" w:hAnsi="宋体" w:cs="宋体"/>
                <w:color w:val="000000"/>
                <w:kern w:val="0"/>
                <w:sz w:val="18"/>
                <w:szCs w:val="18"/>
                <w:highlight w:val="none"/>
              </w:rPr>
            </w:pPr>
          </w:p>
        </w:tc>
        <w:tc>
          <w:tcPr>
            <w:tcW w:w="290" w:type="pct"/>
            <w:shd w:val="clear" w:color="auto" w:fill="auto"/>
            <w:vAlign w:val="center"/>
          </w:tcPr>
          <w:p w14:paraId="6577384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个人日程</w:t>
            </w:r>
          </w:p>
        </w:tc>
        <w:tc>
          <w:tcPr>
            <w:tcW w:w="3247" w:type="pct"/>
            <w:shd w:val="clear" w:color="auto" w:fill="auto"/>
            <w:vAlign w:val="center"/>
          </w:tcPr>
          <w:p w14:paraId="6F442AA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日程设定、日程修改、日程检索、日程跟踪、日程的提醒等。</w:t>
            </w:r>
          </w:p>
        </w:tc>
        <w:tc>
          <w:tcPr>
            <w:tcW w:w="255" w:type="pct"/>
            <w:shd w:val="clear" w:color="auto" w:fill="auto"/>
            <w:vAlign w:val="center"/>
          </w:tcPr>
          <w:p w14:paraId="6B8D966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vMerge w:val="continue"/>
            <w:shd w:val="clear" w:color="auto" w:fill="auto"/>
            <w:vAlign w:val="center"/>
          </w:tcPr>
          <w:p w14:paraId="43872609">
            <w:pPr>
              <w:widowControl/>
              <w:shd w:val="clear"/>
              <w:jc w:val="center"/>
              <w:rPr>
                <w:rFonts w:ascii="宋体" w:hAnsi="宋体" w:cs="宋体"/>
                <w:color w:val="000000"/>
                <w:kern w:val="0"/>
                <w:sz w:val="18"/>
                <w:szCs w:val="18"/>
                <w:highlight w:val="none"/>
              </w:rPr>
            </w:pPr>
          </w:p>
        </w:tc>
        <w:tc>
          <w:tcPr>
            <w:tcW w:w="313" w:type="pct"/>
            <w:vMerge w:val="continue"/>
            <w:shd w:val="clear" w:color="auto" w:fill="auto"/>
            <w:vAlign w:val="center"/>
          </w:tcPr>
          <w:p w14:paraId="3A33D848">
            <w:pPr>
              <w:widowControl/>
              <w:shd w:val="clear"/>
              <w:jc w:val="center"/>
              <w:rPr>
                <w:rFonts w:ascii="宋体" w:hAnsi="宋体" w:cs="宋体"/>
                <w:color w:val="000000"/>
                <w:kern w:val="0"/>
                <w:sz w:val="18"/>
                <w:szCs w:val="18"/>
                <w:highlight w:val="none"/>
              </w:rPr>
            </w:pPr>
          </w:p>
        </w:tc>
      </w:tr>
      <w:tr w14:paraId="79E6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2495666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63</w:t>
            </w:r>
          </w:p>
        </w:tc>
        <w:tc>
          <w:tcPr>
            <w:tcW w:w="218" w:type="pct"/>
            <w:vMerge w:val="continue"/>
            <w:vAlign w:val="center"/>
          </w:tcPr>
          <w:p w14:paraId="4D234DE4">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6252A33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任务管理</w:t>
            </w:r>
          </w:p>
        </w:tc>
        <w:tc>
          <w:tcPr>
            <w:tcW w:w="3247" w:type="pct"/>
            <w:shd w:val="clear" w:color="auto" w:fill="auto"/>
            <w:vAlign w:val="center"/>
          </w:tcPr>
          <w:p w14:paraId="072ECC3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1、任务需求总览：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（1）主任务：任务主题、任务到期日期、任务详情、任务负责人、参与人、共享人、任务紧急程度、及上传附件。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（2）子任务：主任务可分解为多个子任务，安排不同员工负责不同子任务处理。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（3）任务看板：分门别类展示任务列表，可随意拖动任务归类，任务快捷筛选、排序、更直观展示所有分类的任务、任务</w:t>
            </w:r>
            <w:r>
              <w:rPr>
                <w:rFonts w:hint="eastAsia" w:ascii="宋体" w:hAnsi="宋体" w:cs="宋体"/>
                <w:color w:val="000000"/>
                <w:kern w:val="0"/>
                <w:sz w:val="18"/>
                <w:szCs w:val="18"/>
                <w:highlight w:val="none"/>
                <w:lang w:val="en-US" w:eastAsia="zh-CN"/>
              </w:rPr>
              <w:t>截止</w:t>
            </w:r>
            <w:r>
              <w:rPr>
                <w:rFonts w:hint="eastAsia" w:ascii="宋体" w:hAnsi="宋体" w:cs="宋体"/>
                <w:color w:val="000000"/>
                <w:kern w:val="0"/>
                <w:sz w:val="18"/>
                <w:szCs w:val="18"/>
                <w:highlight w:val="none"/>
              </w:rPr>
              <w:t>日期、进度、子任务等。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（4）任务详情页：设置任务提醒、上级催办下级、任务锁定、任务关注、任务标记完成。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（5）任务反馈：任务完成情况描述、任务进度修改、领导回复评论、@用户分享提醒。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（6）下属任务：上级查看下属任务列表，可催办下属、为下属评分、关注任务。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（7）任务分析：图形化展示任务报表和任务趋势且数据可穿透。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（8）任务报表：整体统计以部门或以人员为主线的任务数量、完成数量、完成率等情况。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（9）任务转日程：创建任务自动转化为日程。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2、任务发起、分解、执行、监控：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（1）任务发起针对任务事项的建立，包括任务工作的基本情况、时间、内容等。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（2）任务分解针对应负责人（部门），确定分解的任务内容和完成的时间等。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（3）任务执行针对负责任务的部门（人）反馈执行的任务进展、状态、完成度、推迟原因等情况反馈。</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（4）任务监控</w:t>
            </w:r>
            <w:r>
              <w:rPr>
                <w:rFonts w:hint="eastAsia" w:ascii="宋体" w:hAnsi="宋体" w:cs="宋体"/>
                <w:color w:val="000000"/>
                <w:kern w:val="0"/>
                <w:sz w:val="18"/>
                <w:szCs w:val="18"/>
                <w:highlight w:val="none"/>
                <w:lang w:val="en-US" w:eastAsia="zh-CN"/>
              </w:rPr>
              <w:t>监控</w:t>
            </w:r>
            <w:r>
              <w:rPr>
                <w:rFonts w:hint="eastAsia" w:ascii="宋体" w:hAnsi="宋体" w:cs="宋体"/>
                <w:color w:val="000000"/>
                <w:kern w:val="0"/>
                <w:sz w:val="18"/>
                <w:szCs w:val="18"/>
                <w:highlight w:val="none"/>
              </w:rPr>
              <w:t>每个任务事项和分解的任务执行过程，针对未按照规定时间完成的任务发催办单，催办流程可自行定义，催办单按设置好的流程正常流转。</w:t>
            </w:r>
          </w:p>
        </w:tc>
        <w:tc>
          <w:tcPr>
            <w:tcW w:w="255" w:type="pct"/>
            <w:shd w:val="clear" w:color="auto" w:fill="auto"/>
            <w:vAlign w:val="center"/>
          </w:tcPr>
          <w:p w14:paraId="095FF54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4D61C83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18000</w:t>
            </w:r>
          </w:p>
        </w:tc>
        <w:tc>
          <w:tcPr>
            <w:tcW w:w="313" w:type="pct"/>
            <w:shd w:val="clear" w:color="auto" w:fill="auto"/>
            <w:vAlign w:val="center"/>
          </w:tcPr>
          <w:p w14:paraId="79DF71D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18000</w:t>
            </w:r>
          </w:p>
        </w:tc>
      </w:tr>
      <w:tr w14:paraId="0BB3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0006045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64</w:t>
            </w:r>
          </w:p>
        </w:tc>
        <w:tc>
          <w:tcPr>
            <w:tcW w:w="218" w:type="pct"/>
            <w:vMerge w:val="continue"/>
            <w:vAlign w:val="center"/>
          </w:tcPr>
          <w:p w14:paraId="4866D538">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40F7C73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信息交互</w:t>
            </w:r>
          </w:p>
        </w:tc>
        <w:tc>
          <w:tcPr>
            <w:tcW w:w="3247" w:type="pct"/>
            <w:shd w:val="clear" w:color="auto" w:fill="auto"/>
            <w:vAlign w:val="center"/>
          </w:tcPr>
          <w:p w14:paraId="4E31BB5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1、即时通讯：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（1）系统各模块消息提醒推送集散地、消息提醒中点击链接打开数据详情页处理查看。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（2）从组织架构或群组中选择人员进行单聊交流、选择多人随意组建群组进行群聊沟通。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（3）支持发送文字、丰富表情、本地图片、本地附件及OA模块数据，Enter键快速发送。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（4）历史聊天记录保存、多项查询条件查询历史记录。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（5）方便团队或群组高效便捷地沟通协作，随时随地、沟通零距离。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2、通讯录：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通讯录分为个人通讯录和公共通讯录，个人通讯录和公共通讯录可创建主分组及下面创建子分组、分组拖动排序、分组转移，个人通讯录属于个人，只有当前用户查看，而公共通讯录可以进行权限管控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（2）公共通讯录进行权限管控设置：设置每个分组设置查看权限或子分组继承主分组权限设置。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（3）通讯录可单个添加、批量导入（下载导入模版）、批量导出，导入方式有：新增、更新数据、新增数据并更新已有数据、新增数据并清除原有数据。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（4）通讯录中除系统原有字段外，还可以根据需要自定义字段。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（5）通讯录列表选择显示字段及字段排序显示、快捷筛选、查询。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（6）移动版通讯录可直接打电话、发短信、发消息、获取二维码名片、扫码快速添加手机通讯录。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3、内部邮件：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（1）发邮件：群发、抄送、密送等。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（2）邮件正文：输入文字、插入表格、链接、图片、表情、OA模块数据、上传附件。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（3）收件查阅正文：可回复、全部回复、打印预览、导出、转发，群发邮件中收件人为红色代表未读、蓝色代表已读。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（4）我的邮件分为：收件箱、草稿箱、已删除、已发送、自定义文件夹。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（5）已发送：已发送邮件在对方未查看情况下可以“撤回”,邮件可以编辑后再发送。</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（6）邮件回收站：删除的邮件会显示在“已删除”文件夹中，误删可以恢复还原，若再次删除即彻底删除。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（7）邮件列表可批量删除、批量标识为已读、可批量转到自定义文件夹。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（8）自定义邮件文件夹，并将收件箱中的重要邮件批量转移到自定义文件夹，进行归类、保存。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（9）邮件查询：根据邮箱、邮件状态、发件人、收件人、日期、主题、内容等多项查询条件组合查询。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4、协作区：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（1）管理创建协作类别及设置协作类别下创建协作区的权限：按部门、角色、用户设置。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（2）创建协作区：设置协作区成员范围、管理人员、协作区有效时间范围、协作区主题、附件、协作区类别等。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5、我的协作：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（1）协作列表中当协作有新内容时列表主题显示粗体，以示提醒。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（2）可将列表中协作标记为关注。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（3）有协作区管理权限的用户协作列表中可删除、编辑协作区。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（4）列表快捷筛选：常用筛选（关注、未读、紧急、我创建的、我管理的）、协作类别筛选、创建时间筛选。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（5）已结束协作区筛选协作交流：交流内容可输入文字、上传本地附件、添加OA模块数据。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（6）对他人交流进行回复、引用，回复时可输入文字、上传附件、关联OA其他模块数据、@用户，提醒用户或分享内容。</w:t>
            </w:r>
          </w:p>
        </w:tc>
        <w:tc>
          <w:tcPr>
            <w:tcW w:w="255" w:type="pct"/>
            <w:shd w:val="clear" w:color="auto" w:fill="auto"/>
            <w:vAlign w:val="center"/>
          </w:tcPr>
          <w:p w14:paraId="20E813C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11CCA89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w:t>
            </w:r>
          </w:p>
        </w:tc>
        <w:tc>
          <w:tcPr>
            <w:tcW w:w="313" w:type="pct"/>
            <w:shd w:val="clear" w:color="auto" w:fill="auto"/>
            <w:vAlign w:val="center"/>
          </w:tcPr>
          <w:p w14:paraId="66E5DF3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w:t>
            </w:r>
          </w:p>
        </w:tc>
      </w:tr>
      <w:tr w14:paraId="691C1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36570C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65</w:t>
            </w:r>
          </w:p>
        </w:tc>
        <w:tc>
          <w:tcPr>
            <w:tcW w:w="218" w:type="pct"/>
            <w:vMerge w:val="continue"/>
            <w:vAlign w:val="center"/>
          </w:tcPr>
          <w:p w14:paraId="0E62986D">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3D83E21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督查督办</w:t>
            </w:r>
          </w:p>
        </w:tc>
        <w:tc>
          <w:tcPr>
            <w:tcW w:w="3247" w:type="pct"/>
            <w:shd w:val="clear" w:color="auto" w:fill="auto"/>
            <w:vAlign w:val="center"/>
          </w:tcPr>
          <w:p w14:paraId="576706B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督办台账任务下达、任务审批、任务办理、任务查询、任务分析、任务报表。</w:t>
            </w:r>
          </w:p>
        </w:tc>
        <w:tc>
          <w:tcPr>
            <w:tcW w:w="255" w:type="pct"/>
            <w:shd w:val="clear" w:color="auto" w:fill="auto"/>
            <w:vAlign w:val="center"/>
          </w:tcPr>
          <w:p w14:paraId="3F22752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0F00D44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w:t>
            </w:r>
          </w:p>
        </w:tc>
        <w:tc>
          <w:tcPr>
            <w:tcW w:w="313" w:type="pct"/>
            <w:shd w:val="clear" w:color="auto" w:fill="auto"/>
            <w:vAlign w:val="center"/>
          </w:tcPr>
          <w:p w14:paraId="79A3CE8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12000</w:t>
            </w:r>
          </w:p>
        </w:tc>
      </w:tr>
      <w:tr w14:paraId="4DB9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6D71890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66</w:t>
            </w:r>
          </w:p>
        </w:tc>
        <w:tc>
          <w:tcPr>
            <w:tcW w:w="218" w:type="pct"/>
            <w:vMerge w:val="restart"/>
            <w:shd w:val="clear" w:color="auto" w:fill="auto"/>
            <w:vAlign w:val="center"/>
          </w:tcPr>
          <w:p w14:paraId="73B2CAE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身份认证系统</w:t>
            </w:r>
          </w:p>
        </w:tc>
        <w:tc>
          <w:tcPr>
            <w:tcW w:w="509" w:type="pct"/>
            <w:gridSpan w:val="2"/>
            <w:shd w:val="clear" w:color="auto" w:fill="auto"/>
            <w:vAlign w:val="center"/>
          </w:tcPr>
          <w:p w14:paraId="075A6EC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协同签名系统</w:t>
            </w:r>
          </w:p>
        </w:tc>
        <w:tc>
          <w:tcPr>
            <w:tcW w:w="3247" w:type="pct"/>
            <w:shd w:val="clear" w:color="auto" w:fill="auto"/>
            <w:vAlign w:val="center"/>
          </w:tcPr>
          <w:p w14:paraId="075DF30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1、证书服务：支持连接第三方CA，为用户申请签发数字证书。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2、身份认证：提供认证服务接口，支持基于数字证书的身份认证方式。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3、数据签名：提供数据签名服务接口，支持业务系统发起签名请求，服务器与用户手机完成协同签名。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4、签名验证：基于标准PKI验证过程，支持验证PKCS1/PKCS7标准格式的电子签名，包括验证签名及证书有效性等。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5、二维码推送：支持对PC桌面业务下的认证或签名，将待认证/签名任务信息通过二维码的方式推送到个人移动终端。</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6、APP直接签名：支持在协同签名APP中获取待签名任务直接完成签名。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7、个人签章图片管理：支持签章图片自动生成、修改、批量导入。</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8、个人电子签章：支持基于数字证书的个人移动端电子签章和PC端扫码签章。</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9、PDF电子签章：对PDF文档进行电子签章，并且在电子文档上显示签章图片。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10、PDF电子签章验证：验证PDF签名文档有效性、完整性。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11、应用管理：管理接入的业务应用，支持对业务应用的添加、编辑、冻结、解冻、注销等。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12、用户管理：管理证书用户，支持用户变更手机号、冻结、解冻、注销等操作。</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13、设备管理：支持用户在多个移动终端设备上使用同一个用户身份，支持对用户终端设备的绑定、解绑等。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14、密钥管理：支持基于SM2算法的密钥拆分技术，保证用户私钥在生成、存储、使用、更新、销毁密钥全生命周期的管理和安全。</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15、系统管理：支持对系统配置及对系统管理员进行管理。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16、统计分析：提供对数据签名、PDF签章等数据的统计查询功能。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17、日志审计：提供业务操作日志、管理员操作日志等审计功能。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18、SM2协同签名效率≥500次/秒。</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19、硬件要求：1000BASE-T接口≥2个。</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20、电源指标：冗余电源。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21、信息管理：支持</w:t>
            </w:r>
            <w:r>
              <w:rPr>
                <w:rFonts w:hint="eastAsia" w:ascii="宋体" w:hAnsi="宋体" w:cs="宋体"/>
                <w:color w:val="000000"/>
                <w:kern w:val="0"/>
                <w:sz w:val="18"/>
                <w:szCs w:val="18"/>
                <w:highlight w:val="none"/>
                <w:lang w:val="en-US" w:eastAsia="zh-CN"/>
              </w:rPr>
              <w:t>信息</w:t>
            </w:r>
            <w:r>
              <w:rPr>
                <w:rFonts w:hint="eastAsia" w:ascii="宋体" w:hAnsi="宋体" w:cs="宋体"/>
                <w:color w:val="000000"/>
                <w:kern w:val="0"/>
                <w:sz w:val="18"/>
                <w:szCs w:val="18"/>
                <w:highlight w:val="none"/>
              </w:rPr>
              <w:t>查看、检索、新增、删除、编辑、导入/批量导入、导出/批量导出、冻结/批量冻结、解冻/批量解冻、签章样式自定义操作功能。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22、支持RFC1981，2460，2474，3168，4191等标准协议。</w:t>
            </w:r>
          </w:p>
        </w:tc>
        <w:tc>
          <w:tcPr>
            <w:tcW w:w="255" w:type="pct"/>
            <w:shd w:val="clear" w:color="auto" w:fill="auto"/>
            <w:vAlign w:val="center"/>
          </w:tcPr>
          <w:p w14:paraId="1D8FFC5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44446CB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140000</w:t>
            </w:r>
          </w:p>
        </w:tc>
        <w:tc>
          <w:tcPr>
            <w:tcW w:w="313" w:type="pct"/>
            <w:shd w:val="clear" w:color="auto" w:fill="auto"/>
            <w:vAlign w:val="center"/>
          </w:tcPr>
          <w:p w14:paraId="308B3C9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140000</w:t>
            </w:r>
          </w:p>
        </w:tc>
      </w:tr>
      <w:tr w14:paraId="365D7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512FBE2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67</w:t>
            </w:r>
          </w:p>
        </w:tc>
        <w:tc>
          <w:tcPr>
            <w:tcW w:w="218" w:type="pct"/>
            <w:vMerge w:val="continue"/>
            <w:vAlign w:val="center"/>
          </w:tcPr>
          <w:p w14:paraId="162D9F9C">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3CBBB9B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电子印章系统</w:t>
            </w:r>
          </w:p>
        </w:tc>
        <w:tc>
          <w:tcPr>
            <w:tcW w:w="3247" w:type="pct"/>
            <w:shd w:val="clear" w:color="auto" w:fill="auto"/>
            <w:vAlign w:val="center"/>
          </w:tcPr>
          <w:p w14:paraId="13E0505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1、支持第三方CA机构签发的数字证书。</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2、支持电子印章图片写入证书存储介质中，并与证书绑定。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3、支持自动生成电子印章图片，或支持采集的手写签名。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4、支持对多种文档格式如word\表格\html等的电子签章，实现数据完整性保护，确认签章者身份。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5、提供电子签章中间件，满足C/S环境的电子签章集成。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6、支持原文、印章图片、数字签名的绑定，能够防止篡改。</w:t>
            </w:r>
          </w:p>
        </w:tc>
        <w:tc>
          <w:tcPr>
            <w:tcW w:w="255" w:type="pct"/>
            <w:shd w:val="clear" w:color="auto" w:fill="auto"/>
            <w:vAlign w:val="center"/>
          </w:tcPr>
          <w:p w14:paraId="5A94C6B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shd w:val="clear" w:color="auto" w:fill="auto"/>
            <w:vAlign w:val="center"/>
          </w:tcPr>
          <w:p w14:paraId="39AF26E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30000</w:t>
            </w:r>
          </w:p>
        </w:tc>
        <w:tc>
          <w:tcPr>
            <w:tcW w:w="313" w:type="pct"/>
            <w:shd w:val="clear" w:color="auto" w:fill="auto"/>
            <w:vAlign w:val="center"/>
          </w:tcPr>
          <w:p w14:paraId="534C0D0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30000</w:t>
            </w:r>
          </w:p>
        </w:tc>
      </w:tr>
      <w:tr w14:paraId="2EB4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5452A8E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68</w:t>
            </w:r>
          </w:p>
        </w:tc>
        <w:tc>
          <w:tcPr>
            <w:tcW w:w="218" w:type="pct"/>
            <w:vMerge w:val="continue"/>
            <w:vAlign w:val="center"/>
          </w:tcPr>
          <w:p w14:paraId="6EABFE56">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16AF442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个人数字证书</w:t>
            </w:r>
          </w:p>
        </w:tc>
        <w:tc>
          <w:tcPr>
            <w:tcW w:w="3247" w:type="pct"/>
            <w:shd w:val="clear" w:color="auto" w:fill="auto"/>
            <w:vAlign w:val="center"/>
          </w:tcPr>
          <w:p w14:paraId="73427A0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1、标识个人用户网络身份。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2、证书格式标准遵循x．509v3标准。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3、支持自定义证书扩展域管理。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4、支持标准的国产SM2商用密码算法。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5、包含5年数字证书。</w:t>
            </w:r>
          </w:p>
        </w:tc>
        <w:tc>
          <w:tcPr>
            <w:tcW w:w="255" w:type="pct"/>
            <w:shd w:val="clear" w:color="auto" w:fill="auto"/>
            <w:vAlign w:val="center"/>
          </w:tcPr>
          <w:p w14:paraId="701B2C74">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600</w:t>
            </w:r>
            <w:r>
              <w:rPr>
                <w:rFonts w:hint="eastAsia" w:ascii="宋体" w:hAnsi="宋体" w:cs="宋体"/>
                <w:color w:val="000000"/>
                <w:kern w:val="0"/>
                <w:sz w:val="18"/>
                <w:szCs w:val="18"/>
                <w:highlight w:val="none"/>
                <w:lang w:val="en-US" w:eastAsia="zh-CN"/>
              </w:rPr>
              <w:t>个</w:t>
            </w:r>
          </w:p>
        </w:tc>
        <w:tc>
          <w:tcPr>
            <w:tcW w:w="276" w:type="pct"/>
            <w:shd w:val="clear" w:color="auto" w:fill="auto"/>
            <w:vAlign w:val="center"/>
          </w:tcPr>
          <w:p w14:paraId="163EEE08">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240</w:t>
            </w:r>
          </w:p>
        </w:tc>
        <w:tc>
          <w:tcPr>
            <w:tcW w:w="313" w:type="pct"/>
            <w:shd w:val="clear" w:color="auto" w:fill="auto"/>
            <w:vAlign w:val="center"/>
          </w:tcPr>
          <w:p w14:paraId="0AA9661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144000</w:t>
            </w:r>
          </w:p>
        </w:tc>
      </w:tr>
      <w:tr w14:paraId="7735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37192A3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69</w:t>
            </w:r>
          </w:p>
        </w:tc>
        <w:tc>
          <w:tcPr>
            <w:tcW w:w="218" w:type="pct"/>
            <w:vMerge w:val="continue"/>
            <w:vAlign w:val="center"/>
          </w:tcPr>
          <w:p w14:paraId="557CCA30">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242F639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单位数字证书</w:t>
            </w:r>
          </w:p>
        </w:tc>
        <w:tc>
          <w:tcPr>
            <w:tcW w:w="3247" w:type="pct"/>
            <w:shd w:val="clear" w:color="auto" w:fill="auto"/>
            <w:vAlign w:val="center"/>
          </w:tcPr>
          <w:p w14:paraId="71765CC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1、标识单位用户网络身份。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2、证书格式标准遵循x．509v3标准。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3、支持自定义证书扩展域管理。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4、支持标准的国产SM2商用密码算法。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5、包含5年数字证书。</w:t>
            </w:r>
          </w:p>
        </w:tc>
        <w:tc>
          <w:tcPr>
            <w:tcW w:w="255" w:type="pct"/>
            <w:shd w:val="clear" w:color="auto" w:fill="auto"/>
            <w:vAlign w:val="center"/>
          </w:tcPr>
          <w:p w14:paraId="748AE54D">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个</w:t>
            </w:r>
          </w:p>
        </w:tc>
        <w:tc>
          <w:tcPr>
            <w:tcW w:w="276" w:type="pct"/>
            <w:shd w:val="clear" w:color="auto" w:fill="auto"/>
            <w:vAlign w:val="center"/>
          </w:tcPr>
          <w:p w14:paraId="5BA9A64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2000</w:t>
            </w:r>
          </w:p>
        </w:tc>
        <w:tc>
          <w:tcPr>
            <w:tcW w:w="313" w:type="pct"/>
            <w:shd w:val="clear" w:color="auto" w:fill="auto"/>
            <w:vAlign w:val="center"/>
          </w:tcPr>
          <w:p w14:paraId="1A2EA37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2000</w:t>
            </w:r>
          </w:p>
        </w:tc>
      </w:tr>
      <w:tr w14:paraId="6D98D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76AE15C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70</w:t>
            </w:r>
          </w:p>
        </w:tc>
        <w:tc>
          <w:tcPr>
            <w:tcW w:w="218" w:type="pct"/>
            <w:vMerge w:val="continue"/>
            <w:vAlign w:val="center"/>
          </w:tcPr>
          <w:p w14:paraId="404A895D">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7F51A6D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设备证书</w:t>
            </w:r>
          </w:p>
        </w:tc>
        <w:tc>
          <w:tcPr>
            <w:tcW w:w="3247" w:type="pct"/>
            <w:shd w:val="clear" w:color="auto" w:fill="auto"/>
            <w:vAlign w:val="center"/>
          </w:tcPr>
          <w:p w14:paraId="1BDA7D7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1、标识单位设备网络身份。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2、证书格式标准遵循x．509v3标准。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3、支持自定义证书扩展域管理。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4、支持标准的国产SM2商用密码算法。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5、包含5年设备证书。</w:t>
            </w:r>
          </w:p>
        </w:tc>
        <w:tc>
          <w:tcPr>
            <w:tcW w:w="255" w:type="pct"/>
            <w:shd w:val="clear" w:color="auto" w:fill="auto"/>
            <w:vAlign w:val="center"/>
          </w:tcPr>
          <w:p w14:paraId="4EF738B7">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个</w:t>
            </w:r>
          </w:p>
        </w:tc>
        <w:tc>
          <w:tcPr>
            <w:tcW w:w="276" w:type="pct"/>
            <w:shd w:val="clear" w:color="auto" w:fill="auto"/>
            <w:vAlign w:val="center"/>
          </w:tcPr>
          <w:p w14:paraId="51C554D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w:t>
            </w:r>
          </w:p>
        </w:tc>
        <w:tc>
          <w:tcPr>
            <w:tcW w:w="313" w:type="pct"/>
            <w:shd w:val="clear" w:color="auto" w:fill="auto"/>
            <w:vAlign w:val="center"/>
          </w:tcPr>
          <w:p w14:paraId="2832F94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5000</w:t>
            </w:r>
          </w:p>
        </w:tc>
      </w:tr>
      <w:tr w14:paraId="0A4D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78" w:type="pct"/>
            <w:vMerge w:val="restart"/>
            <w:shd w:val="clear" w:color="auto" w:fill="auto"/>
            <w:vAlign w:val="center"/>
          </w:tcPr>
          <w:p w14:paraId="46F33A8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71</w:t>
            </w:r>
          </w:p>
        </w:tc>
        <w:tc>
          <w:tcPr>
            <w:tcW w:w="218" w:type="pct"/>
            <w:vMerge w:val="restart"/>
            <w:vAlign w:val="center"/>
          </w:tcPr>
          <w:p w14:paraId="58424C6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肺结节CT影像智能辅助检测系统</w:t>
            </w:r>
          </w:p>
        </w:tc>
        <w:tc>
          <w:tcPr>
            <w:tcW w:w="509" w:type="pct"/>
            <w:gridSpan w:val="2"/>
            <w:shd w:val="clear" w:color="auto" w:fill="auto"/>
            <w:vAlign w:val="center"/>
          </w:tcPr>
          <w:p w14:paraId="586B79E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系统升级服务和授权服务</w:t>
            </w:r>
          </w:p>
        </w:tc>
        <w:tc>
          <w:tcPr>
            <w:tcW w:w="3247" w:type="pct"/>
            <w:shd w:val="clear" w:color="auto" w:fill="auto"/>
            <w:vAlign w:val="center"/>
          </w:tcPr>
          <w:p w14:paraId="2C922E4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对医院现有肺结节CT影像智能辅助检测系统进行升级服务和购买授权服务。</w:t>
            </w:r>
          </w:p>
        </w:tc>
        <w:tc>
          <w:tcPr>
            <w:tcW w:w="255" w:type="pct"/>
            <w:vMerge w:val="restart"/>
            <w:shd w:val="clear" w:color="auto" w:fill="auto"/>
            <w:vAlign w:val="center"/>
          </w:tcPr>
          <w:p w14:paraId="0394C1F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276" w:type="pct"/>
            <w:vMerge w:val="restart"/>
            <w:shd w:val="clear" w:color="auto" w:fill="auto"/>
            <w:vAlign w:val="center"/>
          </w:tcPr>
          <w:p w14:paraId="41B0411C">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150000</w:t>
            </w:r>
          </w:p>
        </w:tc>
        <w:tc>
          <w:tcPr>
            <w:tcW w:w="313" w:type="pct"/>
            <w:vMerge w:val="restart"/>
            <w:shd w:val="clear" w:color="auto" w:fill="auto"/>
            <w:vAlign w:val="center"/>
          </w:tcPr>
          <w:p w14:paraId="517A5D1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150000</w:t>
            </w:r>
          </w:p>
        </w:tc>
      </w:tr>
      <w:tr w14:paraId="1D6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continue"/>
            <w:shd w:val="clear" w:color="auto" w:fill="auto"/>
            <w:vAlign w:val="center"/>
          </w:tcPr>
          <w:p w14:paraId="48ECD8D2">
            <w:pPr>
              <w:widowControl/>
              <w:shd w:val="clear"/>
              <w:jc w:val="center"/>
              <w:rPr>
                <w:rFonts w:ascii="宋体" w:hAnsi="宋体" w:cs="宋体"/>
                <w:color w:val="000000"/>
                <w:kern w:val="0"/>
                <w:sz w:val="18"/>
                <w:szCs w:val="18"/>
                <w:highlight w:val="none"/>
              </w:rPr>
            </w:pPr>
          </w:p>
        </w:tc>
        <w:tc>
          <w:tcPr>
            <w:tcW w:w="218" w:type="pct"/>
            <w:vMerge w:val="continue"/>
            <w:vAlign w:val="center"/>
          </w:tcPr>
          <w:p w14:paraId="037F9F12">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4007355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结节整体风险评估</w:t>
            </w:r>
          </w:p>
        </w:tc>
        <w:tc>
          <w:tcPr>
            <w:tcW w:w="3247" w:type="pct"/>
            <w:shd w:val="clear" w:color="auto" w:fill="auto"/>
            <w:vAlign w:val="center"/>
          </w:tcPr>
          <w:p w14:paraId="6CFB4FB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提供全部结节的风险分析列表，列表包含结节的良恶性预测风险值、浸润性预测、基于C-Lung-RADS模型的等级评估及随访建议、基于Lung-RADS指南的等级评估及随访建议。</w:t>
            </w:r>
          </w:p>
        </w:tc>
        <w:tc>
          <w:tcPr>
            <w:tcW w:w="255" w:type="pct"/>
            <w:vMerge w:val="continue"/>
            <w:shd w:val="clear" w:color="auto" w:fill="auto"/>
            <w:vAlign w:val="center"/>
          </w:tcPr>
          <w:p w14:paraId="74AAE4F3">
            <w:pPr>
              <w:widowControl/>
              <w:shd w:val="clear"/>
              <w:jc w:val="center"/>
              <w:rPr>
                <w:rFonts w:ascii="宋体" w:hAnsi="宋体" w:cs="宋体"/>
                <w:color w:val="000000"/>
                <w:kern w:val="0"/>
                <w:sz w:val="18"/>
                <w:szCs w:val="18"/>
                <w:highlight w:val="none"/>
              </w:rPr>
            </w:pPr>
          </w:p>
        </w:tc>
        <w:tc>
          <w:tcPr>
            <w:tcW w:w="276" w:type="pct"/>
            <w:vMerge w:val="continue"/>
            <w:shd w:val="clear" w:color="auto" w:fill="auto"/>
            <w:vAlign w:val="center"/>
          </w:tcPr>
          <w:p w14:paraId="5758ED32">
            <w:pPr>
              <w:widowControl/>
              <w:shd w:val="clear"/>
              <w:jc w:val="center"/>
              <w:rPr>
                <w:rFonts w:ascii="宋体" w:hAnsi="宋体" w:cs="宋体"/>
                <w:color w:val="000000"/>
                <w:kern w:val="0"/>
                <w:sz w:val="18"/>
                <w:szCs w:val="18"/>
                <w:highlight w:val="none"/>
              </w:rPr>
            </w:pPr>
          </w:p>
        </w:tc>
        <w:tc>
          <w:tcPr>
            <w:tcW w:w="313" w:type="pct"/>
            <w:vMerge w:val="continue"/>
            <w:shd w:val="clear" w:color="auto" w:fill="auto"/>
            <w:vAlign w:val="center"/>
          </w:tcPr>
          <w:p w14:paraId="694B5CA4">
            <w:pPr>
              <w:widowControl/>
              <w:shd w:val="clear"/>
              <w:jc w:val="center"/>
              <w:rPr>
                <w:rFonts w:ascii="宋体" w:hAnsi="宋体" w:cs="宋体"/>
                <w:color w:val="000000"/>
                <w:kern w:val="0"/>
                <w:sz w:val="18"/>
                <w:szCs w:val="18"/>
                <w:highlight w:val="none"/>
              </w:rPr>
            </w:pPr>
          </w:p>
        </w:tc>
      </w:tr>
      <w:tr w14:paraId="0F769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continue"/>
            <w:shd w:val="clear" w:color="auto" w:fill="auto"/>
            <w:vAlign w:val="center"/>
          </w:tcPr>
          <w:p w14:paraId="2EF2B09E">
            <w:pPr>
              <w:widowControl/>
              <w:shd w:val="clear"/>
              <w:jc w:val="center"/>
              <w:rPr>
                <w:rFonts w:ascii="宋体" w:hAnsi="宋体" w:cs="宋体"/>
                <w:color w:val="000000"/>
                <w:kern w:val="0"/>
                <w:sz w:val="18"/>
                <w:szCs w:val="18"/>
                <w:highlight w:val="none"/>
              </w:rPr>
            </w:pPr>
          </w:p>
        </w:tc>
        <w:tc>
          <w:tcPr>
            <w:tcW w:w="218" w:type="pct"/>
            <w:vMerge w:val="continue"/>
            <w:vAlign w:val="center"/>
          </w:tcPr>
          <w:p w14:paraId="4210993C">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76F6117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结节C-Lung-RADS等级风险评估</w:t>
            </w:r>
          </w:p>
        </w:tc>
        <w:tc>
          <w:tcPr>
            <w:tcW w:w="3247" w:type="pct"/>
            <w:shd w:val="clear" w:color="auto" w:fill="auto"/>
            <w:vAlign w:val="center"/>
          </w:tcPr>
          <w:p w14:paraId="22EB93C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支持用户输入临床信息（年龄、性别、吸烟史、恶性肿瘤史、家族恶性肿瘤史），更新C-Lung-RADS分级结果。</w:t>
            </w:r>
          </w:p>
        </w:tc>
        <w:tc>
          <w:tcPr>
            <w:tcW w:w="255" w:type="pct"/>
            <w:vMerge w:val="continue"/>
            <w:shd w:val="clear" w:color="auto" w:fill="auto"/>
            <w:vAlign w:val="center"/>
          </w:tcPr>
          <w:p w14:paraId="2183C813">
            <w:pPr>
              <w:widowControl/>
              <w:shd w:val="clear"/>
              <w:jc w:val="center"/>
              <w:rPr>
                <w:rFonts w:ascii="宋体" w:hAnsi="宋体" w:cs="宋体"/>
                <w:color w:val="000000"/>
                <w:kern w:val="0"/>
                <w:sz w:val="18"/>
                <w:szCs w:val="18"/>
                <w:highlight w:val="none"/>
              </w:rPr>
            </w:pPr>
          </w:p>
        </w:tc>
        <w:tc>
          <w:tcPr>
            <w:tcW w:w="276" w:type="pct"/>
            <w:vMerge w:val="continue"/>
            <w:shd w:val="clear" w:color="auto" w:fill="auto"/>
            <w:vAlign w:val="center"/>
          </w:tcPr>
          <w:p w14:paraId="449A7342">
            <w:pPr>
              <w:widowControl/>
              <w:shd w:val="clear"/>
              <w:jc w:val="center"/>
              <w:rPr>
                <w:rFonts w:ascii="宋体" w:hAnsi="宋体" w:cs="宋体"/>
                <w:color w:val="000000"/>
                <w:kern w:val="0"/>
                <w:sz w:val="18"/>
                <w:szCs w:val="18"/>
                <w:highlight w:val="none"/>
              </w:rPr>
            </w:pPr>
          </w:p>
        </w:tc>
        <w:tc>
          <w:tcPr>
            <w:tcW w:w="313" w:type="pct"/>
            <w:vMerge w:val="continue"/>
            <w:shd w:val="clear" w:color="auto" w:fill="auto"/>
            <w:vAlign w:val="center"/>
          </w:tcPr>
          <w:p w14:paraId="418F77A3">
            <w:pPr>
              <w:widowControl/>
              <w:shd w:val="clear"/>
              <w:jc w:val="center"/>
              <w:rPr>
                <w:rFonts w:ascii="宋体" w:hAnsi="宋体" w:cs="宋体"/>
                <w:color w:val="000000"/>
                <w:kern w:val="0"/>
                <w:sz w:val="18"/>
                <w:szCs w:val="18"/>
                <w:highlight w:val="none"/>
              </w:rPr>
            </w:pPr>
          </w:p>
        </w:tc>
      </w:tr>
      <w:tr w14:paraId="5375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continue"/>
            <w:shd w:val="clear" w:color="auto" w:fill="auto"/>
            <w:vAlign w:val="center"/>
          </w:tcPr>
          <w:p w14:paraId="7EE1128C">
            <w:pPr>
              <w:widowControl/>
              <w:shd w:val="clear"/>
              <w:jc w:val="center"/>
              <w:rPr>
                <w:rFonts w:ascii="宋体" w:hAnsi="宋体" w:cs="宋体"/>
                <w:color w:val="000000"/>
                <w:kern w:val="0"/>
                <w:sz w:val="18"/>
                <w:szCs w:val="18"/>
                <w:highlight w:val="none"/>
              </w:rPr>
            </w:pPr>
          </w:p>
        </w:tc>
        <w:tc>
          <w:tcPr>
            <w:tcW w:w="218" w:type="pct"/>
            <w:vMerge w:val="continue"/>
            <w:vAlign w:val="center"/>
          </w:tcPr>
          <w:p w14:paraId="419005A9">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7426ADB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腺癌风险评估</w:t>
            </w:r>
          </w:p>
        </w:tc>
        <w:tc>
          <w:tcPr>
            <w:tcW w:w="3247" w:type="pct"/>
            <w:shd w:val="clear" w:color="auto" w:fill="auto"/>
            <w:vAlign w:val="center"/>
          </w:tcPr>
          <w:p w14:paraId="14E0AED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提供浸润性分类，提供腺癌结节的浸润性风险、气道内播散(STAS)风险、胸膜侵犯 (VPI) 风险、淋巴结转移风险、远端转移风险的风险概率值和风险等级预测结果。</w:t>
            </w:r>
          </w:p>
        </w:tc>
        <w:tc>
          <w:tcPr>
            <w:tcW w:w="255" w:type="pct"/>
            <w:vMerge w:val="continue"/>
            <w:shd w:val="clear" w:color="auto" w:fill="auto"/>
            <w:vAlign w:val="center"/>
          </w:tcPr>
          <w:p w14:paraId="378F5108">
            <w:pPr>
              <w:widowControl/>
              <w:shd w:val="clear"/>
              <w:jc w:val="center"/>
              <w:rPr>
                <w:rFonts w:ascii="宋体" w:hAnsi="宋体" w:cs="宋体"/>
                <w:color w:val="000000"/>
                <w:kern w:val="0"/>
                <w:sz w:val="18"/>
                <w:szCs w:val="18"/>
                <w:highlight w:val="none"/>
              </w:rPr>
            </w:pPr>
          </w:p>
        </w:tc>
        <w:tc>
          <w:tcPr>
            <w:tcW w:w="276" w:type="pct"/>
            <w:vMerge w:val="continue"/>
            <w:shd w:val="clear" w:color="auto" w:fill="auto"/>
            <w:vAlign w:val="center"/>
          </w:tcPr>
          <w:p w14:paraId="19DAB300">
            <w:pPr>
              <w:widowControl/>
              <w:shd w:val="clear"/>
              <w:jc w:val="center"/>
              <w:rPr>
                <w:rFonts w:ascii="宋体" w:hAnsi="宋体" w:cs="宋体"/>
                <w:color w:val="000000"/>
                <w:kern w:val="0"/>
                <w:sz w:val="18"/>
                <w:szCs w:val="18"/>
                <w:highlight w:val="none"/>
              </w:rPr>
            </w:pPr>
          </w:p>
        </w:tc>
        <w:tc>
          <w:tcPr>
            <w:tcW w:w="313" w:type="pct"/>
            <w:vMerge w:val="continue"/>
            <w:shd w:val="clear" w:color="auto" w:fill="auto"/>
            <w:vAlign w:val="center"/>
          </w:tcPr>
          <w:p w14:paraId="3832458F">
            <w:pPr>
              <w:widowControl/>
              <w:shd w:val="clear"/>
              <w:jc w:val="center"/>
              <w:rPr>
                <w:rFonts w:ascii="宋体" w:hAnsi="宋体" w:cs="宋体"/>
                <w:color w:val="000000"/>
                <w:kern w:val="0"/>
                <w:sz w:val="18"/>
                <w:szCs w:val="18"/>
                <w:highlight w:val="none"/>
              </w:rPr>
            </w:pPr>
          </w:p>
        </w:tc>
      </w:tr>
      <w:tr w14:paraId="3A5A7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continue"/>
            <w:shd w:val="clear" w:color="auto" w:fill="auto"/>
            <w:vAlign w:val="center"/>
          </w:tcPr>
          <w:p w14:paraId="5EFEEE7F">
            <w:pPr>
              <w:widowControl/>
              <w:shd w:val="clear"/>
              <w:jc w:val="center"/>
              <w:rPr>
                <w:rFonts w:ascii="宋体" w:hAnsi="宋体" w:cs="宋体"/>
                <w:color w:val="000000"/>
                <w:kern w:val="0"/>
                <w:sz w:val="18"/>
                <w:szCs w:val="18"/>
                <w:highlight w:val="none"/>
              </w:rPr>
            </w:pPr>
          </w:p>
        </w:tc>
        <w:tc>
          <w:tcPr>
            <w:tcW w:w="218" w:type="pct"/>
            <w:vMerge w:val="continue"/>
            <w:vAlign w:val="center"/>
          </w:tcPr>
          <w:p w14:paraId="5FA5371D">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76999F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门诊随访管理模块</w:t>
            </w:r>
          </w:p>
        </w:tc>
        <w:tc>
          <w:tcPr>
            <w:tcW w:w="3247" w:type="pct"/>
            <w:shd w:val="clear" w:color="auto" w:fill="auto"/>
            <w:vAlign w:val="center"/>
          </w:tcPr>
          <w:p w14:paraId="11CE6C6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1、汇总展示肺结节算法计算成功的所有病例，支持通过结节大小、随访状态等至少12种条件对数据进行筛选、添加至随访操作，并提供csv导出功能。</w:t>
            </w:r>
          </w:p>
          <w:p w14:paraId="2600FDA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2、系统根据国际标准指南提供默认的随访时间建议，支持给每个病例添加随访管理计划，并且可以在随访管理模块对有随访计划的病例进行筛选、查询以进行随访状态的追踪。</w:t>
            </w:r>
          </w:p>
        </w:tc>
        <w:tc>
          <w:tcPr>
            <w:tcW w:w="255" w:type="pct"/>
            <w:vMerge w:val="continue"/>
            <w:shd w:val="clear" w:color="auto" w:fill="auto"/>
            <w:vAlign w:val="center"/>
          </w:tcPr>
          <w:p w14:paraId="63299C53">
            <w:pPr>
              <w:widowControl/>
              <w:shd w:val="clear"/>
              <w:jc w:val="center"/>
              <w:rPr>
                <w:rFonts w:ascii="宋体" w:hAnsi="宋体" w:cs="宋体"/>
                <w:color w:val="000000"/>
                <w:kern w:val="0"/>
                <w:sz w:val="18"/>
                <w:szCs w:val="18"/>
                <w:highlight w:val="none"/>
              </w:rPr>
            </w:pPr>
          </w:p>
        </w:tc>
        <w:tc>
          <w:tcPr>
            <w:tcW w:w="276" w:type="pct"/>
            <w:vMerge w:val="continue"/>
            <w:shd w:val="clear" w:color="auto" w:fill="auto"/>
            <w:vAlign w:val="center"/>
          </w:tcPr>
          <w:p w14:paraId="13C0F8E2">
            <w:pPr>
              <w:widowControl/>
              <w:shd w:val="clear"/>
              <w:jc w:val="center"/>
              <w:rPr>
                <w:rFonts w:ascii="宋体" w:hAnsi="宋体" w:cs="宋体"/>
                <w:color w:val="000000"/>
                <w:kern w:val="0"/>
                <w:sz w:val="18"/>
                <w:szCs w:val="18"/>
                <w:highlight w:val="none"/>
              </w:rPr>
            </w:pPr>
          </w:p>
        </w:tc>
        <w:tc>
          <w:tcPr>
            <w:tcW w:w="313" w:type="pct"/>
            <w:vMerge w:val="continue"/>
            <w:shd w:val="clear" w:color="auto" w:fill="auto"/>
            <w:vAlign w:val="center"/>
          </w:tcPr>
          <w:p w14:paraId="7C5FACB7">
            <w:pPr>
              <w:widowControl/>
              <w:shd w:val="clear"/>
              <w:jc w:val="center"/>
              <w:rPr>
                <w:rFonts w:ascii="宋体" w:hAnsi="宋体" w:cs="宋体"/>
                <w:color w:val="000000"/>
                <w:kern w:val="0"/>
                <w:sz w:val="18"/>
                <w:szCs w:val="18"/>
                <w:highlight w:val="none"/>
              </w:rPr>
            </w:pPr>
          </w:p>
        </w:tc>
      </w:tr>
      <w:tr w14:paraId="30A0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vMerge w:val="continue"/>
            <w:shd w:val="clear" w:color="auto" w:fill="auto"/>
            <w:vAlign w:val="center"/>
          </w:tcPr>
          <w:p w14:paraId="5C1DA740">
            <w:pPr>
              <w:widowControl/>
              <w:shd w:val="clear"/>
              <w:jc w:val="center"/>
              <w:rPr>
                <w:rFonts w:ascii="宋体" w:hAnsi="宋体" w:cs="宋体"/>
                <w:color w:val="000000"/>
                <w:kern w:val="0"/>
                <w:sz w:val="18"/>
                <w:szCs w:val="18"/>
                <w:highlight w:val="none"/>
              </w:rPr>
            </w:pPr>
          </w:p>
        </w:tc>
        <w:tc>
          <w:tcPr>
            <w:tcW w:w="218" w:type="pct"/>
            <w:vMerge w:val="continue"/>
            <w:vAlign w:val="center"/>
          </w:tcPr>
          <w:p w14:paraId="296775B3">
            <w:pPr>
              <w:widowControl/>
              <w:shd w:val="clear"/>
              <w:jc w:val="left"/>
              <w:rPr>
                <w:rFonts w:ascii="宋体" w:hAnsi="宋体" w:cs="宋体"/>
                <w:color w:val="000000"/>
                <w:kern w:val="0"/>
                <w:sz w:val="18"/>
                <w:szCs w:val="18"/>
                <w:highlight w:val="none"/>
              </w:rPr>
            </w:pPr>
          </w:p>
        </w:tc>
        <w:tc>
          <w:tcPr>
            <w:tcW w:w="509" w:type="pct"/>
            <w:gridSpan w:val="2"/>
            <w:shd w:val="clear" w:color="auto" w:fill="auto"/>
            <w:vAlign w:val="center"/>
          </w:tcPr>
          <w:p w14:paraId="050CB47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肺叶、病灶配准性能</w:t>
            </w:r>
          </w:p>
        </w:tc>
        <w:tc>
          <w:tcPr>
            <w:tcW w:w="3247" w:type="pct"/>
            <w:shd w:val="clear" w:color="auto" w:fill="auto"/>
            <w:vAlign w:val="center"/>
          </w:tcPr>
          <w:p w14:paraId="37FD83A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肺叶、病灶配准性能需达到临床应用指标：肺叶配准后平均Dice值≥0.95，随访关联病灶配准后距离≤3mm。</w:t>
            </w:r>
          </w:p>
        </w:tc>
        <w:tc>
          <w:tcPr>
            <w:tcW w:w="255" w:type="pct"/>
            <w:vMerge w:val="continue"/>
            <w:shd w:val="clear" w:color="auto" w:fill="auto"/>
            <w:vAlign w:val="center"/>
          </w:tcPr>
          <w:p w14:paraId="6342B1F3">
            <w:pPr>
              <w:widowControl/>
              <w:shd w:val="clear"/>
              <w:jc w:val="center"/>
              <w:rPr>
                <w:rFonts w:ascii="宋体" w:hAnsi="宋体" w:cs="宋体"/>
                <w:color w:val="000000"/>
                <w:kern w:val="0"/>
                <w:sz w:val="18"/>
                <w:szCs w:val="18"/>
                <w:highlight w:val="none"/>
              </w:rPr>
            </w:pPr>
          </w:p>
        </w:tc>
        <w:tc>
          <w:tcPr>
            <w:tcW w:w="276" w:type="pct"/>
            <w:vMerge w:val="continue"/>
            <w:shd w:val="clear" w:color="auto" w:fill="auto"/>
            <w:vAlign w:val="center"/>
          </w:tcPr>
          <w:p w14:paraId="2E2ED816">
            <w:pPr>
              <w:widowControl/>
              <w:shd w:val="clear"/>
              <w:jc w:val="center"/>
              <w:rPr>
                <w:rFonts w:ascii="宋体" w:hAnsi="宋体" w:cs="宋体"/>
                <w:color w:val="000000"/>
                <w:kern w:val="0"/>
                <w:sz w:val="18"/>
                <w:szCs w:val="18"/>
                <w:highlight w:val="none"/>
              </w:rPr>
            </w:pPr>
          </w:p>
        </w:tc>
        <w:tc>
          <w:tcPr>
            <w:tcW w:w="313" w:type="pct"/>
            <w:vMerge w:val="continue"/>
            <w:shd w:val="clear" w:color="auto" w:fill="auto"/>
            <w:vAlign w:val="center"/>
          </w:tcPr>
          <w:p w14:paraId="5E4CC93E">
            <w:pPr>
              <w:widowControl/>
              <w:shd w:val="clear"/>
              <w:jc w:val="center"/>
              <w:rPr>
                <w:rFonts w:ascii="宋体" w:hAnsi="宋体" w:cs="宋体"/>
                <w:color w:val="000000"/>
                <w:kern w:val="0"/>
                <w:sz w:val="18"/>
                <w:szCs w:val="18"/>
                <w:highlight w:val="none"/>
              </w:rPr>
            </w:pPr>
          </w:p>
        </w:tc>
      </w:tr>
      <w:tr w14:paraId="37759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8" w:type="pct"/>
            <w:shd w:val="clear" w:color="auto" w:fill="auto"/>
            <w:vAlign w:val="center"/>
          </w:tcPr>
          <w:p w14:paraId="7D119300">
            <w:pPr>
              <w:widowControl/>
              <w:shd w:val="clear"/>
              <w:jc w:val="center"/>
              <w:rPr>
                <w:rFonts w:ascii="宋体" w:hAnsi="宋体" w:cs="宋体"/>
                <w:color w:val="000000"/>
                <w:kern w:val="0"/>
                <w:sz w:val="18"/>
                <w:szCs w:val="18"/>
                <w:highlight w:val="none"/>
              </w:rPr>
            </w:pPr>
            <w:bookmarkStart w:id="7" w:name="_Toc30535"/>
            <w:r>
              <w:rPr>
                <w:rFonts w:hint="eastAsia" w:ascii="宋体" w:hAnsi="宋体" w:cs="宋体"/>
                <w:color w:val="000000"/>
                <w:kern w:val="0"/>
                <w:sz w:val="18"/>
                <w:szCs w:val="18"/>
                <w:highlight w:val="none"/>
              </w:rPr>
              <w:t>72</w:t>
            </w:r>
          </w:p>
        </w:tc>
        <w:tc>
          <w:tcPr>
            <w:tcW w:w="4508" w:type="pct"/>
            <w:gridSpan w:val="6"/>
            <w:vAlign w:val="center"/>
          </w:tcPr>
          <w:p w14:paraId="3D486F0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合计</w:t>
            </w:r>
          </w:p>
        </w:tc>
        <w:tc>
          <w:tcPr>
            <w:tcW w:w="313" w:type="pct"/>
            <w:shd w:val="clear" w:color="auto" w:fill="auto"/>
            <w:vAlign w:val="center"/>
          </w:tcPr>
          <w:p w14:paraId="2319A1CA">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3661000</w:t>
            </w:r>
          </w:p>
        </w:tc>
      </w:tr>
    </w:tbl>
    <w:p w14:paraId="44566390">
      <w:pPr>
        <w:shd w:val="clear"/>
        <w:rPr>
          <w:highlight w:val="none"/>
        </w:rPr>
      </w:pPr>
      <w:r>
        <w:rPr>
          <w:rFonts w:hint="eastAsia"/>
          <w:highlight w:val="none"/>
        </w:rPr>
        <w:br w:type="page"/>
      </w:r>
    </w:p>
    <w:p w14:paraId="0B91D9EB">
      <w:pPr>
        <w:pStyle w:val="5"/>
        <w:numPr>
          <w:ilvl w:val="2"/>
          <w:numId w:val="0"/>
        </w:numPr>
        <w:shd w:val="clear"/>
        <w:rPr>
          <w:highlight w:val="none"/>
        </w:rPr>
      </w:pPr>
      <w:r>
        <w:rPr>
          <w:rFonts w:hint="eastAsia"/>
          <w:highlight w:val="none"/>
          <w:lang w:val="en-US" w:eastAsia="zh-CN"/>
        </w:rPr>
        <w:t>4</w:t>
      </w:r>
      <w:r>
        <w:rPr>
          <w:rFonts w:hint="eastAsia"/>
          <w:highlight w:val="none"/>
        </w:rPr>
        <w:t>、喀喇沁旗医院配套设备</w:t>
      </w:r>
      <w:bookmarkEnd w:id="7"/>
    </w:p>
    <w:tbl>
      <w:tblPr>
        <w:tblStyle w:val="48"/>
        <w:tblW w:w="4965" w:type="pct"/>
        <w:tblInd w:w="91" w:type="dxa"/>
        <w:tblLayout w:type="fixed"/>
        <w:tblCellMar>
          <w:top w:w="0" w:type="dxa"/>
          <w:left w:w="108" w:type="dxa"/>
          <w:bottom w:w="0" w:type="dxa"/>
          <w:right w:w="108" w:type="dxa"/>
        </w:tblCellMar>
      </w:tblPr>
      <w:tblGrid>
        <w:gridCol w:w="494"/>
        <w:gridCol w:w="978"/>
        <w:gridCol w:w="968"/>
        <w:gridCol w:w="9176"/>
        <w:gridCol w:w="761"/>
        <w:gridCol w:w="833"/>
        <w:gridCol w:w="866"/>
      </w:tblGrid>
      <w:tr w14:paraId="3099B882">
        <w:tblPrEx>
          <w:tblCellMar>
            <w:top w:w="0" w:type="dxa"/>
            <w:left w:w="108" w:type="dxa"/>
            <w:bottom w:w="0" w:type="dxa"/>
            <w:right w:w="108" w:type="dxa"/>
          </w:tblCellMar>
        </w:tblPrEx>
        <w:trPr>
          <w:trHeight w:val="57" w:hRule="atLeast"/>
          <w:tblHeader/>
        </w:trPr>
        <w:tc>
          <w:tcPr>
            <w:tcW w:w="175" w:type="pct"/>
            <w:tcBorders>
              <w:top w:val="single" w:color="auto" w:sz="4" w:space="0"/>
              <w:left w:val="single" w:color="auto" w:sz="4" w:space="0"/>
              <w:bottom w:val="single" w:color="auto" w:sz="4" w:space="0"/>
              <w:right w:val="single" w:color="auto" w:sz="4" w:space="0"/>
            </w:tcBorders>
            <w:shd w:val="clear" w:color="auto" w:fill="auto"/>
            <w:vAlign w:val="center"/>
          </w:tcPr>
          <w:p w14:paraId="1A7E2B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347" w:type="pct"/>
            <w:tcBorders>
              <w:top w:val="single" w:color="auto" w:sz="4" w:space="0"/>
              <w:left w:val="nil"/>
              <w:bottom w:val="single" w:color="auto" w:sz="4" w:space="0"/>
              <w:right w:val="single" w:color="auto" w:sz="4" w:space="0"/>
            </w:tcBorders>
            <w:vAlign w:val="center"/>
          </w:tcPr>
          <w:p w14:paraId="15E25F2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设备分类</w:t>
            </w: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3AEAB0E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设备名称</w:t>
            </w:r>
          </w:p>
        </w:tc>
        <w:tc>
          <w:tcPr>
            <w:tcW w:w="3259" w:type="pct"/>
            <w:tcBorders>
              <w:top w:val="single" w:color="auto" w:sz="4" w:space="0"/>
              <w:left w:val="nil"/>
              <w:bottom w:val="single" w:color="auto" w:sz="4" w:space="0"/>
              <w:right w:val="single" w:color="auto" w:sz="4" w:space="0"/>
            </w:tcBorders>
            <w:shd w:val="clear" w:color="auto" w:fill="auto"/>
            <w:vAlign w:val="center"/>
          </w:tcPr>
          <w:p w14:paraId="2CC765A4">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技术要求（参数具体要求）</w:t>
            </w:r>
          </w:p>
        </w:tc>
        <w:tc>
          <w:tcPr>
            <w:tcW w:w="270" w:type="pct"/>
            <w:tcBorders>
              <w:top w:val="single" w:color="auto" w:sz="4" w:space="0"/>
              <w:left w:val="nil"/>
              <w:bottom w:val="single" w:color="auto" w:sz="4" w:space="0"/>
              <w:right w:val="single" w:color="auto" w:sz="4" w:space="0"/>
            </w:tcBorders>
            <w:shd w:val="clear" w:color="auto" w:fill="auto"/>
            <w:vAlign w:val="center"/>
          </w:tcPr>
          <w:p w14:paraId="24ED7B91">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295" w:type="pct"/>
            <w:tcBorders>
              <w:top w:val="single" w:color="auto" w:sz="4" w:space="0"/>
              <w:left w:val="nil"/>
              <w:bottom w:val="single" w:color="auto" w:sz="4" w:space="0"/>
              <w:right w:val="single" w:color="auto" w:sz="4" w:space="0"/>
            </w:tcBorders>
            <w:shd w:val="clear" w:color="auto" w:fill="auto"/>
            <w:vAlign w:val="center"/>
          </w:tcPr>
          <w:p w14:paraId="7D4C704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单价（元）</w:t>
            </w:r>
          </w:p>
        </w:tc>
        <w:tc>
          <w:tcPr>
            <w:tcW w:w="307" w:type="pct"/>
            <w:tcBorders>
              <w:top w:val="single" w:color="auto" w:sz="4" w:space="0"/>
              <w:left w:val="nil"/>
              <w:bottom w:val="single" w:color="auto" w:sz="4" w:space="0"/>
              <w:right w:val="single" w:color="auto" w:sz="4" w:space="0"/>
            </w:tcBorders>
            <w:shd w:val="clear" w:color="auto" w:fill="auto"/>
            <w:vAlign w:val="center"/>
          </w:tcPr>
          <w:p w14:paraId="604F03F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6C24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5" w:type="pct"/>
            <w:shd w:val="clear" w:color="auto" w:fill="auto"/>
            <w:vAlign w:val="center"/>
          </w:tcPr>
          <w:p w14:paraId="2DC70BA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347" w:type="pct"/>
            <w:vMerge w:val="restart"/>
            <w:vAlign w:val="center"/>
          </w:tcPr>
          <w:p w14:paraId="31AF226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医院配套设备部分</w:t>
            </w:r>
          </w:p>
        </w:tc>
        <w:tc>
          <w:tcPr>
            <w:tcW w:w="343" w:type="pct"/>
            <w:shd w:val="clear" w:color="auto" w:fill="auto"/>
            <w:vAlign w:val="center"/>
          </w:tcPr>
          <w:p w14:paraId="4A2BF0F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超融合平台</w:t>
            </w:r>
          </w:p>
        </w:tc>
        <w:tc>
          <w:tcPr>
            <w:tcW w:w="3259" w:type="pct"/>
            <w:shd w:val="clear" w:color="auto" w:fill="auto"/>
            <w:vAlign w:val="center"/>
          </w:tcPr>
          <w:p w14:paraId="1C26C5E0">
            <w:pPr>
              <w:widowControl/>
              <w:numPr>
                <w:ilvl w:val="0"/>
                <w:numId w:val="17"/>
              </w:numPr>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超融合平台硬件要求：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（1）本次配置5台</w:t>
            </w:r>
            <w:r>
              <w:rPr>
                <w:rFonts w:hint="eastAsia" w:ascii="宋体" w:hAnsi="宋体" w:cs="宋体"/>
                <w:color w:val="000000"/>
                <w:kern w:val="0"/>
                <w:sz w:val="18"/>
                <w:szCs w:val="18"/>
                <w:highlight w:val="none"/>
                <w:lang w:eastAsia="zh-CN"/>
              </w:rPr>
              <w:t>平台硬件</w:t>
            </w:r>
            <w:r>
              <w:rPr>
                <w:rFonts w:hint="eastAsia" w:ascii="宋体" w:hAnsi="宋体" w:cs="宋体"/>
                <w:color w:val="000000"/>
                <w:kern w:val="0"/>
                <w:sz w:val="18"/>
                <w:szCs w:val="18"/>
                <w:highlight w:val="none"/>
              </w:rPr>
              <w:t>，单台</w:t>
            </w:r>
            <w:r>
              <w:rPr>
                <w:rFonts w:hint="eastAsia" w:ascii="宋体" w:hAnsi="宋体" w:cs="宋体"/>
                <w:color w:val="000000"/>
                <w:kern w:val="0"/>
                <w:sz w:val="18"/>
                <w:szCs w:val="18"/>
                <w:highlight w:val="none"/>
                <w:lang w:eastAsia="zh-CN"/>
              </w:rPr>
              <w:t>平台硬件</w:t>
            </w:r>
            <w:r>
              <w:rPr>
                <w:rFonts w:hint="eastAsia" w:ascii="宋体" w:hAnsi="宋体" w:cs="宋体"/>
                <w:color w:val="000000"/>
                <w:kern w:val="0"/>
                <w:sz w:val="18"/>
                <w:szCs w:val="18"/>
                <w:highlight w:val="none"/>
              </w:rPr>
              <w:t>配置需满足下列要求：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（2）处理器：≥2颗物理CPU，主频≥2.8Ghz，核心数≥32。</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（3）内  存：≥768GB DDR4内存。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（4）系统盘：≥2块480GB SSD固态硬盘。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（5）缓存盘：≥2块7.68TB SSD固态硬盘。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（6）数据盘：≥4块16T SATA机械硬盘。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（7）接  口：≥4个1000BASE-T接口，≥4个SFP+万兆光口。</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（8）电  源：冗余电源。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2、超融合平台软件要求：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（1）本次配置10套超融合软件，软件需满足下列要求：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（2）节点退役：支持</w:t>
            </w:r>
            <w:r>
              <w:rPr>
                <w:rFonts w:hint="eastAsia" w:ascii="宋体" w:hAnsi="宋体" w:cs="宋体"/>
                <w:color w:val="000000"/>
                <w:kern w:val="0"/>
                <w:sz w:val="18"/>
                <w:szCs w:val="18"/>
                <w:highlight w:val="none"/>
                <w:lang w:eastAsia="zh-CN"/>
              </w:rPr>
              <w:t>平台硬件</w:t>
            </w:r>
            <w:r>
              <w:rPr>
                <w:rFonts w:hint="eastAsia" w:ascii="宋体" w:hAnsi="宋体" w:cs="宋体"/>
                <w:color w:val="000000"/>
                <w:kern w:val="0"/>
                <w:sz w:val="18"/>
                <w:szCs w:val="18"/>
                <w:highlight w:val="none"/>
              </w:rPr>
              <w:t>节点退役功能，退役主机的数据自动迁移至其它正常</w:t>
            </w:r>
            <w:r>
              <w:rPr>
                <w:rFonts w:hint="eastAsia" w:ascii="宋体" w:hAnsi="宋体" w:cs="宋体"/>
                <w:color w:val="000000"/>
                <w:kern w:val="0"/>
                <w:sz w:val="18"/>
                <w:szCs w:val="18"/>
                <w:highlight w:val="none"/>
                <w:lang w:eastAsia="zh-CN"/>
              </w:rPr>
              <w:t>平台硬件</w:t>
            </w:r>
            <w:r>
              <w:rPr>
                <w:rFonts w:hint="eastAsia" w:ascii="宋体" w:hAnsi="宋体" w:cs="宋体"/>
                <w:color w:val="000000"/>
                <w:kern w:val="0"/>
                <w:sz w:val="18"/>
                <w:szCs w:val="18"/>
                <w:highlight w:val="none"/>
              </w:rPr>
              <w:t>节点。</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（3）自主可控：超融合平台软件应为国产品牌，软件完全自主研发，非代工或贴牌其他厂商产品，支持对集群资源、</w:t>
            </w:r>
            <w:r>
              <w:rPr>
                <w:rFonts w:hint="eastAsia" w:ascii="宋体" w:hAnsi="宋体" w:cs="宋体"/>
                <w:color w:val="000000"/>
                <w:kern w:val="0"/>
                <w:sz w:val="18"/>
                <w:szCs w:val="18"/>
                <w:highlight w:val="none"/>
                <w:lang w:eastAsia="zh-CN"/>
              </w:rPr>
              <w:t>平台硬件</w:t>
            </w:r>
            <w:r>
              <w:rPr>
                <w:rFonts w:hint="eastAsia" w:ascii="宋体" w:hAnsi="宋体" w:cs="宋体"/>
                <w:color w:val="000000"/>
                <w:kern w:val="0"/>
                <w:sz w:val="18"/>
                <w:szCs w:val="18"/>
                <w:highlight w:val="none"/>
              </w:rPr>
              <w:t>、云</w:t>
            </w:r>
            <w:r>
              <w:rPr>
                <w:rFonts w:hint="eastAsia" w:ascii="宋体" w:hAnsi="宋体" w:cs="宋体"/>
                <w:color w:val="000000"/>
                <w:kern w:val="0"/>
                <w:sz w:val="18"/>
                <w:szCs w:val="18"/>
                <w:highlight w:val="none"/>
                <w:lang w:eastAsia="zh-CN"/>
              </w:rPr>
              <w:t>平台</w:t>
            </w:r>
            <w:r>
              <w:rPr>
                <w:rFonts w:hint="eastAsia" w:ascii="宋体" w:hAnsi="宋体" w:cs="宋体"/>
                <w:color w:val="000000"/>
                <w:kern w:val="0"/>
                <w:sz w:val="18"/>
                <w:szCs w:val="18"/>
                <w:highlight w:val="none"/>
              </w:rPr>
              <w:t>的性能进行监控。</w:t>
            </w:r>
          </w:p>
          <w:p w14:paraId="54C9A080">
            <w:pPr>
              <w:widowControl/>
              <w:numPr>
                <w:ilvl w:val="0"/>
                <w:numId w:val="0"/>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（4）系统架构：采用去中心化的分布式架构，登录到任何一个节点的管理VM可以对整个集群进行管理。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（5）快速部署：支持基于Web界面方式快速初始化集群，通过向导式操作即可完成集群部署工作，实现平台快速交付。</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（6）节点维护：支持</w:t>
            </w:r>
            <w:r>
              <w:rPr>
                <w:rFonts w:hint="eastAsia" w:ascii="宋体" w:hAnsi="宋体" w:cs="宋体"/>
                <w:color w:val="000000"/>
                <w:kern w:val="0"/>
                <w:sz w:val="18"/>
                <w:szCs w:val="18"/>
                <w:highlight w:val="none"/>
                <w:lang w:eastAsia="zh-CN"/>
              </w:rPr>
              <w:t>平台硬件</w:t>
            </w:r>
            <w:r>
              <w:rPr>
                <w:rFonts w:hint="eastAsia" w:ascii="宋体" w:hAnsi="宋体" w:cs="宋体"/>
                <w:color w:val="000000"/>
                <w:kern w:val="0"/>
                <w:sz w:val="18"/>
                <w:szCs w:val="18"/>
                <w:highlight w:val="none"/>
              </w:rPr>
              <w:t>节点维护模式，维护过程中不会触发数据重构机制。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租户隔离：支持原生多租户功能，租户之间实现计算、存储、网络及安全资源隔离，每个租户可拥有管理员和普通用户。管理员可以对租户配额资源进行修改，资源包括CPU核数、内存配额、存储配额等，并且支持实时扩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（8）动态扩展：支持基于Web界面快速扩容计算和存储节点，通过扫描主机或者手动添加的方式增加主机，扩大集群功能，可基于界面自定义物理主机角色，角色包括计算角色、数据角色、接入角色、共享角色。</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：云</w:t>
            </w:r>
            <w:r>
              <w:rPr>
                <w:rFonts w:hint="eastAsia" w:ascii="宋体" w:hAnsi="宋体" w:cs="宋体"/>
                <w:color w:val="000000"/>
                <w:kern w:val="0"/>
                <w:sz w:val="18"/>
                <w:szCs w:val="18"/>
                <w:highlight w:val="none"/>
                <w:lang w:eastAsia="zh-CN"/>
              </w:rPr>
              <w:t>平台</w:t>
            </w:r>
            <w:r>
              <w:rPr>
                <w:rFonts w:hint="eastAsia" w:ascii="宋体" w:hAnsi="宋体" w:cs="宋体"/>
                <w:color w:val="000000"/>
                <w:kern w:val="0"/>
                <w:sz w:val="18"/>
                <w:szCs w:val="18"/>
                <w:highlight w:val="none"/>
              </w:rPr>
              <w:t>可以安装独立的操作系统，支持Windows操作系统，包括WindowsXP、Windows7、WindowsServer2003</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2008R2、2012R2、2016及以上版本</w:t>
            </w:r>
            <w:r>
              <w:rPr>
                <w:rFonts w:hint="eastAsia" w:ascii="宋体" w:hAnsi="宋体" w:cs="宋体"/>
                <w:color w:val="000000"/>
                <w:kern w:val="0"/>
                <w:sz w:val="18"/>
                <w:szCs w:val="18"/>
                <w:highlight w:val="none"/>
                <w:lang w:eastAsia="zh-CN"/>
              </w:rPr>
              <w:t>平台硬件</w:t>
            </w:r>
            <w:r>
              <w:rPr>
                <w:rFonts w:hint="eastAsia" w:ascii="宋体" w:hAnsi="宋体" w:cs="宋体"/>
                <w:color w:val="000000"/>
                <w:kern w:val="0"/>
                <w:sz w:val="18"/>
                <w:szCs w:val="18"/>
                <w:highlight w:val="none"/>
              </w:rPr>
              <w:t>操作系统，支持Linux操作系统，包括CentOS、Ubuntu、RedHat、SUSE等多个发行版本，支持国产操作系统，包括红旗linux、中标麒麟、银河麒麟、统信UOS、中标普华、中科方德、一铭、万里红、新支点等。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（10）批量修改：支持批量修改云</w:t>
            </w:r>
            <w:r>
              <w:rPr>
                <w:rFonts w:hint="eastAsia" w:ascii="宋体" w:hAnsi="宋体" w:cs="宋体"/>
                <w:color w:val="000000"/>
                <w:kern w:val="0"/>
                <w:sz w:val="18"/>
                <w:szCs w:val="18"/>
                <w:highlight w:val="none"/>
                <w:lang w:eastAsia="zh-CN"/>
              </w:rPr>
              <w:t>平台</w:t>
            </w:r>
            <w:r>
              <w:rPr>
                <w:rFonts w:hint="eastAsia" w:ascii="宋体" w:hAnsi="宋体" w:cs="宋体"/>
                <w:color w:val="000000"/>
                <w:kern w:val="0"/>
                <w:sz w:val="18"/>
                <w:szCs w:val="18"/>
                <w:highlight w:val="none"/>
              </w:rPr>
              <w:t>的配置参数，包括：CPU基准类型、CPU自动扩展、内存自动扩展、HA、是否双活、是否绑定主资源池、是否开启数据本地化、是否开启异常监测、是否启用内存安全等。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（11）基准配置：支持CPU基准配置，实现同一集群内的异构CPU配置，集群中云</w:t>
            </w:r>
            <w:r>
              <w:rPr>
                <w:rFonts w:hint="eastAsia" w:ascii="宋体" w:hAnsi="宋体" w:cs="宋体"/>
                <w:color w:val="000000"/>
                <w:kern w:val="0"/>
                <w:sz w:val="18"/>
                <w:szCs w:val="18"/>
                <w:highlight w:val="none"/>
                <w:lang w:eastAsia="zh-CN"/>
              </w:rPr>
              <w:t>平台</w:t>
            </w:r>
            <w:r>
              <w:rPr>
                <w:rFonts w:hint="eastAsia" w:ascii="宋体" w:hAnsi="宋体" w:cs="宋体"/>
                <w:color w:val="000000"/>
                <w:kern w:val="0"/>
                <w:sz w:val="18"/>
                <w:szCs w:val="18"/>
                <w:highlight w:val="none"/>
              </w:rPr>
              <w:t>可以在不同配置CPU的</w:t>
            </w:r>
            <w:r>
              <w:rPr>
                <w:rFonts w:hint="eastAsia" w:ascii="宋体" w:hAnsi="宋体" w:cs="宋体"/>
                <w:color w:val="000000"/>
                <w:kern w:val="0"/>
                <w:sz w:val="18"/>
                <w:szCs w:val="18"/>
                <w:highlight w:val="none"/>
                <w:lang w:eastAsia="zh-CN"/>
              </w:rPr>
              <w:t>平台硬件</w:t>
            </w:r>
            <w:r>
              <w:rPr>
                <w:rFonts w:hint="eastAsia" w:ascii="宋体" w:hAnsi="宋体" w:cs="宋体"/>
                <w:color w:val="000000"/>
                <w:kern w:val="0"/>
                <w:sz w:val="18"/>
                <w:szCs w:val="18"/>
                <w:highlight w:val="none"/>
              </w:rPr>
              <w:t>上实现在线的迁移，同时支持资源池的CPU基准统一配置</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（12）副本设置：支持云</w:t>
            </w:r>
            <w:r>
              <w:rPr>
                <w:rFonts w:hint="eastAsia" w:ascii="宋体" w:hAnsi="宋体" w:cs="宋体"/>
                <w:color w:val="000000"/>
                <w:kern w:val="0"/>
                <w:sz w:val="18"/>
                <w:szCs w:val="18"/>
                <w:highlight w:val="none"/>
                <w:lang w:eastAsia="zh-CN"/>
              </w:rPr>
              <w:t>平台</w:t>
            </w:r>
            <w:r>
              <w:rPr>
                <w:rFonts w:hint="eastAsia" w:ascii="宋体" w:hAnsi="宋体" w:cs="宋体"/>
                <w:color w:val="000000"/>
                <w:kern w:val="0"/>
                <w:sz w:val="18"/>
                <w:szCs w:val="18"/>
                <w:highlight w:val="none"/>
              </w:rPr>
              <w:t>级别副本设置，可以针对不同场景给不同云</w:t>
            </w:r>
            <w:r>
              <w:rPr>
                <w:rFonts w:hint="eastAsia" w:ascii="宋体" w:hAnsi="宋体" w:cs="宋体"/>
                <w:color w:val="000000"/>
                <w:kern w:val="0"/>
                <w:sz w:val="18"/>
                <w:szCs w:val="18"/>
                <w:highlight w:val="none"/>
                <w:lang w:eastAsia="zh-CN"/>
              </w:rPr>
              <w:t>平台</w:t>
            </w:r>
            <w:r>
              <w:rPr>
                <w:rFonts w:hint="eastAsia" w:ascii="宋体" w:hAnsi="宋体" w:cs="宋体"/>
                <w:color w:val="000000"/>
                <w:kern w:val="0"/>
                <w:sz w:val="18"/>
                <w:szCs w:val="18"/>
                <w:highlight w:val="none"/>
              </w:rPr>
              <w:t>设置不同数量副本，并可以支持动态在线增加和删除副本。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（13）资源监控：支持主流Linux/Windows以及国产操作系统云</w:t>
            </w:r>
            <w:r>
              <w:rPr>
                <w:rFonts w:hint="eastAsia" w:ascii="宋体" w:hAnsi="宋体" w:cs="宋体"/>
                <w:color w:val="000000"/>
                <w:kern w:val="0"/>
                <w:sz w:val="18"/>
                <w:szCs w:val="18"/>
                <w:highlight w:val="none"/>
                <w:lang w:eastAsia="zh-CN"/>
              </w:rPr>
              <w:t>平台</w:t>
            </w:r>
            <w:r>
              <w:rPr>
                <w:rFonts w:hint="eastAsia" w:ascii="宋体" w:hAnsi="宋体" w:cs="宋体"/>
                <w:color w:val="000000"/>
                <w:kern w:val="0"/>
                <w:sz w:val="18"/>
                <w:szCs w:val="18"/>
                <w:highlight w:val="none"/>
              </w:rPr>
              <w:t>的内部负载实时监控，包括操作系统版本、CPU使用率、内存使用情况、网络流量、系统磁盘数量、磁盘分区、磁盘使用率、系统进程及系统连接数量。</w:t>
            </w:r>
            <w:r>
              <w:rPr>
                <w:rFonts w:hint="eastAsia" w:ascii="宋体" w:hAnsi="宋体" w:cs="宋体"/>
                <w:color w:val="auto"/>
                <w:kern w:val="0"/>
                <w:sz w:val="18"/>
                <w:szCs w:val="18"/>
                <w:highlight w:val="none"/>
                <w:lang w:eastAsia="zh-CN"/>
              </w:rPr>
              <w:t>（提供</w:t>
            </w:r>
            <w:r>
              <w:rPr>
                <w:rFonts w:hint="eastAsia" w:ascii="宋体" w:hAnsi="宋体" w:cs="宋体"/>
                <w:color w:val="auto"/>
                <w:kern w:val="0"/>
                <w:sz w:val="18"/>
                <w:szCs w:val="18"/>
                <w:highlight w:val="none"/>
                <w:lang w:val="en-US" w:eastAsia="zh-CN"/>
              </w:rPr>
              <w:t>国家认可</w:t>
            </w:r>
            <w:r>
              <w:rPr>
                <w:rFonts w:hint="eastAsia" w:ascii="宋体" w:hAnsi="宋体" w:cs="宋体"/>
                <w:color w:val="auto"/>
                <w:kern w:val="0"/>
                <w:sz w:val="18"/>
                <w:szCs w:val="18"/>
                <w:highlight w:val="none"/>
                <w:lang w:eastAsia="zh-CN"/>
              </w:rPr>
              <w:t>的第三方检测机构出具的有效检测报告，至少包含报告首页，对应功能测试页和报告盖章页）</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（14）统一存储：支持提供统一存储服务，包括块存储，文件存储和对象存储，一个集群即可同时提供虚拟化、分布式块、对象、文件存储服务。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（15）磁盘退役：支持磁盘退役功能，被设置为退役的硬盘，数据自动迁移到集群其它</w:t>
            </w:r>
            <w:r>
              <w:rPr>
                <w:rFonts w:hint="eastAsia" w:ascii="宋体" w:hAnsi="宋体" w:cs="宋体"/>
                <w:color w:val="000000"/>
                <w:kern w:val="0"/>
                <w:sz w:val="18"/>
                <w:szCs w:val="18"/>
                <w:highlight w:val="none"/>
                <w:lang w:eastAsia="zh-CN"/>
              </w:rPr>
              <w:t>平台硬件</w:t>
            </w:r>
            <w:r>
              <w:rPr>
                <w:rFonts w:hint="eastAsia" w:ascii="宋体" w:hAnsi="宋体" w:cs="宋体"/>
                <w:color w:val="000000"/>
                <w:kern w:val="0"/>
                <w:sz w:val="18"/>
                <w:szCs w:val="18"/>
                <w:highlight w:val="none"/>
              </w:rPr>
              <w:t>节点磁盘中；支持磁盘维护功能，被设置为维护的硬盘，新数据会自动使用其他磁盘，原数据不受影响。</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（16）数据可见：支持快照数据在线可见，可随时查看和读取快照数据，当VM内文件发生误操作、误删、中毒、系统配置文件更改时，可以通过</w:t>
            </w:r>
            <w:r>
              <w:rPr>
                <w:rFonts w:hint="eastAsia" w:ascii="宋体" w:hAnsi="宋体" w:cs="宋体"/>
                <w:color w:val="auto"/>
                <w:kern w:val="0"/>
                <w:sz w:val="18"/>
                <w:szCs w:val="18"/>
                <w:highlight w:val="none"/>
              </w:rPr>
              <w:t>该功能</w:t>
            </w:r>
            <w:r>
              <w:rPr>
                <w:rFonts w:hint="eastAsia" w:ascii="宋体" w:hAnsi="宋体" w:cs="宋体"/>
                <w:color w:val="000000"/>
                <w:kern w:val="0"/>
                <w:sz w:val="18"/>
                <w:szCs w:val="18"/>
                <w:highlight w:val="none"/>
              </w:rPr>
              <w:t>对比查看快照时刻VM内的文件，而无需执行VM快照回滚或者恢复</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（17）数据纠删：支持纠删码数据分布技术而非采用其他分布式存储产品提供此功能。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（18）网络拓扑：支持本地网络和VPC网络，支持通过鼠标拖拽网元及连线的方式构建可视化网络，实现网络环境的快速化构建。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（19）虚拟网络：支持配置Geneve、vlan、vxlan、local等主流虚拟化网络，满足大二层网络需求。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（20）流量监控：支持分布式流量镜像功能，实现跨宿主机的虚拟机之间进行流量镜像的功能。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（21）网络隔离：支持存储网络隔离，可以设置独立的私有网络，保持与其他物理网络隔离，仅作为集群内存储节点间的数据交换使用，避免受到病毒攻击、ARP攻击，保证虚拟存储集群的稳定性。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（22）网络微分：支持网络微分段URL黑白名单功能，实现针对HTTP和HTTPS进行管理限制，实现安全访问控制。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（23）网络防护：可基于IPv4、IPv6、端口号、协议、优先级、TCPflag、ICMPType等设置访问规则，支持1-4层的安全防护。</w:t>
            </w:r>
          </w:p>
        </w:tc>
        <w:tc>
          <w:tcPr>
            <w:tcW w:w="270" w:type="pct"/>
            <w:shd w:val="clear" w:color="auto" w:fill="auto"/>
            <w:vAlign w:val="center"/>
          </w:tcPr>
          <w:p w14:paraId="500538F1">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5" w:type="pct"/>
            <w:shd w:val="clear" w:color="auto" w:fill="auto"/>
            <w:vAlign w:val="center"/>
          </w:tcPr>
          <w:p w14:paraId="03A56EA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645000</w:t>
            </w:r>
          </w:p>
        </w:tc>
        <w:tc>
          <w:tcPr>
            <w:tcW w:w="307" w:type="pct"/>
            <w:shd w:val="clear" w:color="auto" w:fill="auto"/>
            <w:vAlign w:val="center"/>
          </w:tcPr>
          <w:p w14:paraId="47C974A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645000</w:t>
            </w:r>
          </w:p>
        </w:tc>
      </w:tr>
      <w:tr w14:paraId="3431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5" w:type="pct"/>
            <w:shd w:val="clear" w:color="auto" w:fill="auto"/>
            <w:vAlign w:val="center"/>
          </w:tcPr>
          <w:p w14:paraId="64FE192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347" w:type="pct"/>
            <w:vMerge w:val="continue"/>
            <w:vAlign w:val="center"/>
          </w:tcPr>
          <w:p w14:paraId="3DB22DA7">
            <w:pPr>
              <w:widowControl/>
              <w:shd w:val="clear"/>
              <w:jc w:val="center"/>
              <w:rPr>
                <w:rFonts w:ascii="宋体" w:hAnsi="宋体" w:cs="宋体"/>
                <w:color w:val="000000"/>
                <w:kern w:val="0"/>
                <w:sz w:val="18"/>
                <w:szCs w:val="18"/>
                <w:highlight w:val="none"/>
              </w:rPr>
            </w:pPr>
          </w:p>
        </w:tc>
        <w:tc>
          <w:tcPr>
            <w:tcW w:w="343" w:type="pct"/>
            <w:shd w:val="clear" w:color="auto" w:fill="auto"/>
            <w:vAlign w:val="center"/>
          </w:tcPr>
          <w:p w14:paraId="3BF7668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超融合交换机</w:t>
            </w:r>
          </w:p>
        </w:tc>
        <w:tc>
          <w:tcPr>
            <w:tcW w:w="3259" w:type="pct"/>
            <w:shd w:val="clear" w:color="auto" w:fill="auto"/>
            <w:vAlign w:val="center"/>
          </w:tcPr>
          <w:p w14:paraId="1C2DD57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1、接口属性：万兆光口≥24。</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2、性能要求：背板带宽≥2.56T</w:t>
            </w:r>
            <w:r>
              <w:rPr>
                <w:rFonts w:hint="eastAsia" w:ascii="宋体" w:hAnsi="宋体" w:cs="宋体"/>
                <w:color w:val="000000"/>
                <w:kern w:val="0"/>
                <w:sz w:val="18"/>
                <w:szCs w:val="18"/>
                <w:highlight w:val="none"/>
                <w:lang w:val="en-US" w:eastAsia="zh-CN"/>
              </w:rPr>
              <w:t>bps</w:t>
            </w:r>
            <w:r>
              <w:rPr>
                <w:rFonts w:hint="eastAsia" w:ascii="宋体" w:hAnsi="宋体" w:cs="宋体"/>
                <w:color w:val="000000"/>
                <w:kern w:val="0"/>
                <w:sz w:val="18"/>
                <w:szCs w:val="18"/>
                <w:highlight w:val="none"/>
              </w:rPr>
              <w:t>，包转发率≥360M</w:t>
            </w:r>
            <w:r>
              <w:rPr>
                <w:rFonts w:hint="eastAsia" w:ascii="宋体" w:hAnsi="宋体" w:cs="宋体"/>
                <w:color w:val="000000"/>
                <w:kern w:val="0"/>
                <w:sz w:val="18"/>
                <w:szCs w:val="18"/>
                <w:highlight w:val="none"/>
                <w:lang w:val="en-US" w:eastAsia="zh-CN"/>
              </w:rPr>
              <w:t>pps</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3、功能要求：支持ICMPv6、支持ICMPv6重定向、支持DHCPv6、支持ACLv6、支持OSPFv3支持RIPng、支持BGP4+、支持IS-ISv6、支持手工隧道、支持ISATAP、支持6to4隧道、支持IPv6和IPv4双栈、支持SAVI功能。</w:t>
            </w:r>
          </w:p>
        </w:tc>
        <w:tc>
          <w:tcPr>
            <w:tcW w:w="270" w:type="pct"/>
            <w:shd w:val="clear" w:color="auto" w:fill="auto"/>
            <w:vAlign w:val="center"/>
          </w:tcPr>
          <w:p w14:paraId="2840A8CE">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4</w:t>
            </w:r>
            <w:r>
              <w:rPr>
                <w:rFonts w:hint="eastAsia" w:ascii="宋体" w:hAnsi="宋体" w:cs="宋体"/>
                <w:color w:val="000000"/>
                <w:kern w:val="0"/>
                <w:sz w:val="18"/>
                <w:szCs w:val="18"/>
                <w:highlight w:val="none"/>
                <w:lang w:val="en-US" w:eastAsia="zh-CN"/>
              </w:rPr>
              <w:t>台</w:t>
            </w:r>
          </w:p>
        </w:tc>
        <w:tc>
          <w:tcPr>
            <w:tcW w:w="295" w:type="pct"/>
            <w:shd w:val="clear" w:color="auto" w:fill="auto"/>
            <w:vAlign w:val="center"/>
          </w:tcPr>
          <w:p w14:paraId="22BA9EA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5880</w:t>
            </w:r>
          </w:p>
        </w:tc>
        <w:tc>
          <w:tcPr>
            <w:tcW w:w="307" w:type="pct"/>
            <w:shd w:val="clear" w:color="auto" w:fill="auto"/>
            <w:vAlign w:val="center"/>
          </w:tcPr>
          <w:p w14:paraId="5F766997">
            <w:pPr>
              <w:widowControl/>
              <w:shd w:val="clear"/>
              <w:jc w:val="center"/>
              <w:rPr>
                <w:rFonts w:hint="default" w:ascii="宋体" w:hAnsi="宋体" w:cs="宋体"/>
                <w:color w:val="000000"/>
                <w:kern w:val="0"/>
                <w:sz w:val="18"/>
                <w:szCs w:val="18"/>
                <w:highlight w:val="none"/>
                <w:lang w:val="en-US"/>
              </w:rPr>
            </w:pPr>
            <w:r>
              <w:rPr>
                <w:rFonts w:hint="eastAsia" w:ascii="宋体" w:hAnsi="宋体" w:cs="宋体"/>
                <w:color w:val="000000"/>
                <w:kern w:val="0"/>
                <w:sz w:val="18"/>
                <w:szCs w:val="18"/>
                <w:highlight w:val="none"/>
                <w:lang w:val="en-US" w:eastAsia="zh-CN"/>
              </w:rPr>
              <w:t>23520</w:t>
            </w:r>
          </w:p>
        </w:tc>
      </w:tr>
      <w:tr w14:paraId="6466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5" w:type="pct"/>
            <w:shd w:val="clear" w:color="auto" w:fill="auto"/>
            <w:vAlign w:val="center"/>
          </w:tcPr>
          <w:p w14:paraId="5313F4C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347" w:type="pct"/>
            <w:vMerge w:val="continue"/>
            <w:vAlign w:val="center"/>
          </w:tcPr>
          <w:p w14:paraId="0900D5B2">
            <w:pPr>
              <w:widowControl/>
              <w:shd w:val="clear"/>
              <w:jc w:val="center"/>
              <w:rPr>
                <w:rFonts w:ascii="宋体" w:hAnsi="宋体" w:cs="宋体"/>
                <w:color w:val="000000"/>
                <w:kern w:val="0"/>
                <w:sz w:val="18"/>
                <w:szCs w:val="18"/>
                <w:highlight w:val="none"/>
              </w:rPr>
            </w:pPr>
          </w:p>
        </w:tc>
        <w:tc>
          <w:tcPr>
            <w:tcW w:w="343" w:type="pct"/>
            <w:shd w:val="clear" w:color="auto" w:fill="auto"/>
            <w:vAlign w:val="center"/>
          </w:tcPr>
          <w:p w14:paraId="7A03DC5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超融合光模块</w:t>
            </w:r>
          </w:p>
        </w:tc>
        <w:tc>
          <w:tcPr>
            <w:tcW w:w="3259" w:type="pct"/>
            <w:shd w:val="clear" w:color="auto" w:fill="auto"/>
            <w:vAlign w:val="center"/>
          </w:tcPr>
          <w:p w14:paraId="16C7D8C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超融合万兆光模块，与超融合平台配合使用。</w:t>
            </w:r>
          </w:p>
        </w:tc>
        <w:tc>
          <w:tcPr>
            <w:tcW w:w="270" w:type="pct"/>
            <w:shd w:val="clear" w:color="auto" w:fill="auto"/>
            <w:vAlign w:val="center"/>
          </w:tcPr>
          <w:p w14:paraId="446AE93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60</w:t>
            </w:r>
            <w:r>
              <w:rPr>
                <w:rFonts w:hint="eastAsia" w:ascii="宋体" w:hAnsi="宋体" w:cs="宋体"/>
                <w:color w:val="000000"/>
                <w:kern w:val="0"/>
                <w:sz w:val="18"/>
                <w:szCs w:val="18"/>
                <w:highlight w:val="none"/>
                <w:lang w:val="en-US" w:eastAsia="zh-CN"/>
              </w:rPr>
              <w:t>个</w:t>
            </w:r>
          </w:p>
        </w:tc>
        <w:tc>
          <w:tcPr>
            <w:tcW w:w="295" w:type="pct"/>
            <w:shd w:val="clear" w:color="auto" w:fill="auto"/>
            <w:vAlign w:val="center"/>
          </w:tcPr>
          <w:p w14:paraId="5984E66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240</w:t>
            </w:r>
          </w:p>
        </w:tc>
        <w:tc>
          <w:tcPr>
            <w:tcW w:w="307" w:type="pct"/>
            <w:shd w:val="clear" w:color="auto" w:fill="auto"/>
            <w:vAlign w:val="center"/>
          </w:tcPr>
          <w:p w14:paraId="09A41D9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14400</w:t>
            </w:r>
          </w:p>
        </w:tc>
      </w:tr>
      <w:tr w14:paraId="00387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5" w:type="pct"/>
            <w:shd w:val="clear" w:color="auto" w:fill="auto"/>
            <w:vAlign w:val="center"/>
          </w:tcPr>
          <w:p w14:paraId="328C2C7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347" w:type="pct"/>
            <w:vMerge w:val="continue"/>
            <w:vAlign w:val="center"/>
          </w:tcPr>
          <w:p w14:paraId="414FA0CB">
            <w:pPr>
              <w:widowControl/>
              <w:shd w:val="clear"/>
              <w:jc w:val="center"/>
              <w:rPr>
                <w:rFonts w:ascii="宋体" w:hAnsi="宋体" w:cs="宋体"/>
                <w:color w:val="000000"/>
                <w:kern w:val="0"/>
                <w:sz w:val="18"/>
                <w:szCs w:val="18"/>
                <w:highlight w:val="none"/>
              </w:rPr>
            </w:pPr>
          </w:p>
        </w:tc>
        <w:tc>
          <w:tcPr>
            <w:tcW w:w="343" w:type="pct"/>
            <w:shd w:val="clear" w:color="auto" w:fill="auto"/>
            <w:vAlign w:val="center"/>
          </w:tcPr>
          <w:p w14:paraId="08557B0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内网防火墙</w:t>
            </w:r>
          </w:p>
        </w:tc>
        <w:tc>
          <w:tcPr>
            <w:tcW w:w="3259" w:type="pct"/>
            <w:shd w:val="clear" w:color="auto" w:fill="auto"/>
            <w:vAlign w:val="center"/>
          </w:tcPr>
          <w:p w14:paraId="58A4223A">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1、系统架构：采用自主知识产权的安全操作系统，采用多核多平台并行处理。</w:t>
            </w:r>
          </w:p>
          <w:p w14:paraId="547A2BEA">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2、硬件要求：1000BASE-T接口≥16，SFP千兆光口≥10，SFP+万兆光口≥4，</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≥2，冗余电源。</w:t>
            </w:r>
          </w:p>
          <w:p w14:paraId="1514C62C">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★3、性能要求：吞吐量≥35Gbps，并发连接数≥1200万。含5年IDP攻击规则特征库升级授权，5年病毒库升级授权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所有授权时间自验收合格之日起计算</w:t>
            </w:r>
            <w:r>
              <w:rPr>
                <w:rFonts w:hint="eastAsia" w:ascii="宋体" w:hAnsi="宋体" w:cs="宋体"/>
                <w:color w:val="000000"/>
                <w:kern w:val="0"/>
                <w:sz w:val="18"/>
                <w:szCs w:val="18"/>
                <w:highlight w:val="none"/>
              </w:rPr>
              <w:t>。</w:t>
            </w:r>
          </w:p>
          <w:p w14:paraId="6526E142">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4、工作模式：支持路由、交换、虚拟线、Listening、混合工作模式。</w:t>
            </w:r>
          </w:p>
          <w:p w14:paraId="1EA1E138">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5、路由模式：支持静态路由、策略路由及动态路由。如RIP、OSPF、BGP、QinQ、PIM-SM、PIM-DM。</w:t>
            </w:r>
          </w:p>
          <w:p w14:paraId="7C6D196D">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6、链路聚合：为提高链路可靠性，设备需支持手工链路聚合及LACP链路聚合，提供不少于8种的负载分担算法，灵活实现对聚合组内业务流量的负载分担。</w:t>
            </w:r>
          </w:p>
          <w:p w14:paraId="5B6DDBB5">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7、访问控制：可以通过一条策略实现五元组、源MAC、源地区、目的地区、域名、应用、服务、时间、长连接、并发会话、IPS、AV、邮件安全、数据过滤、文件过滤、防代理、APT等功能配置。（提供功能截图证明材料）</w:t>
            </w:r>
          </w:p>
          <w:p w14:paraId="00377C15">
            <w:pPr>
              <w:pStyle w:val="18"/>
              <w:shd w:val="clea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8、策略分析：提供智能策略分析功能，支持策略命中分析、策略冗余分析、策略冲突检查，并且可在WEB界面显示检测结果：冗余策略</w:t>
            </w:r>
            <w:r>
              <w:rPr>
                <w:rFonts w:hint="eastAsia" w:ascii="宋体" w:hAnsi="宋体" w:cs="宋体"/>
                <w:color w:val="000000"/>
                <w:kern w:val="0"/>
                <w:sz w:val="18"/>
                <w:szCs w:val="18"/>
                <w:highlight w:val="none"/>
                <w:lang w:val="en-US" w:eastAsia="zh-CN"/>
              </w:rPr>
              <w:t>和</w:t>
            </w:r>
            <w:r>
              <w:rPr>
                <w:rFonts w:hint="eastAsia" w:ascii="宋体" w:hAnsi="宋体" w:cs="宋体"/>
                <w:color w:val="000000"/>
                <w:kern w:val="0"/>
                <w:sz w:val="18"/>
                <w:szCs w:val="18"/>
                <w:highlight w:val="none"/>
              </w:rPr>
              <w:t>冲突策略</w:t>
            </w:r>
            <w:r>
              <w:rPr>
                <w:rFonts w:hint="eastAsia" w:ascii="宋体" w:hAnsi="宋体" w:cs="宋体"/>
                <w:color w:val="000000"/>
                <w:kern w:val="0"/>
                <w:sz w:val="18"/>
                <w:szCs w:val="18"/>
                <w:highlight w:val="none"/>
                <w:lang w:val="en-US" w:eastAsia="zh-CN"/>
              </w:rPr>
              <w:t>可用不同颜色区分</w:t>
            </w:r>
            <w:r>
              <w:rPr>
                <w:rFonts w:hint="eastAsia" w:ascii="宋体" w:hAnsi="宋体" w:cs="宋体"/>
                <w:color w:val="000000"/>
                <w:kern w:val="0"/>
                <w:sz w:val="18"/>
                <w:szCs w:val="18"/>
                <w:highlight w:val="none"/>
              </w:rPr>
              <w:t>。</w:t>
            </w:r>
          </w:p>
          <w:p w14:paraId="4E88E3C0">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9、入侵防御：支持独立的入侵防护规则特征库，特征总数≥5000条，规则库支持根据攻击类型、风险等级、流行程度、操作系统等进行分类，防护动作包括告警、阻断、记录攻击报文。</w:t>
            </w:r>
          </w:p>
          <w:p w14:paraId="5DB22F65">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10、病毒过滤：支持对HTTP/SMTP/POP3/FTP/IMAP/IM等协议进行病毒防御，可对5级以上的压缩文件进行解压查杀。</w:t>
            </w:r>
          </w:p>
          <w:p w14:paraId="1BC00A2A">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11、资产管理：支持基于NTP协议的检测清洗，包括NTPREQUESTFLOOD、NTPREPLYFLOOD等攻击检测，支持基于NTP请求限速、NTP响应限速、源认证、会话认证的防御策略。</w:t>
            </w:r>
          </w:p>
          <w:p w14:paraId="0A10A6DA">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12、资源监控：在WEB界面提供资源监控开关，可对cpu占用率、内存占用率、磁盘占用率设置阈值。</w:t>
            </w:r>
          </w:p>
          <w:p w14:paraId="682A5FFC">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13、KPI系统：支持本地CA和第三方CA，支持作为CA认证中心为其他人签发证书，也可采用第三方CA为其他人签发证书；支持标准CRL列表，支持CRL手工更新，同时支持CRL自动下载，通过HTTP或者LDAP方式定时自动下载更新CRL文件。</w:t>
            </w:r>
          </w:p>
          <w:p w14:paraId="547FF8DF">
            <w:pPr>
              <w:widowControl/>
              <w:shd w:val="clear"/>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14、日志存储：支持日志本地存储，可对不同类型日志设置存储空间；同时支持外发至SYSLOG服务器，可将多条日志合并成一条日志传送到日志服务器中，可选择对日志传输是否加密，设定8位的加密密钥。</w:t>
            </w:r>
          </w:p>
          <w:p w14:paraId="45CA9D5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15、双栈模式：支持IPv4/IPv6双栈工作模式，支持IPv6安全控制策略设置，能针对IPv6的目的/源地址、目的/源服务端口、区域、服务、时间、扩展头属性等条件进行安全访问规则的设置。</w:t>
            </w:r>
          </w:p>
        </w:tc>
        <w:tc>
          <w:tcPr>
            <w:tcW w:w="270" w:type="pct"/>
            <w:shd w:val="clear" w:color="auto" w:fill="auto"/>
            <w:vAlign w:val="center"/>
          </w:tcPr>
          <w:p w14:paraId="34FC578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5" w:type="pct"/>
            <w:shd w:val="clear" w:color="auto" w:fill="auto"/>
            <w:vAlign w:val="center"/>
          </w:tcPr>
          <w:p w14:paraId="206FEF4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137000</w:t>
            </w:r>
          </w:p>
        </w:tc>
        <w:tc>
          <w:tcPr>
            <w:tcW w:w="307" w:type="pct"/>
            <w:shd w:val="clear" w:color="auto" w:fill="auto"/>
            <w:vAlign w:val="center"/>
          </w:tcPr>
          <w:p w14:paraId="1B03920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137000</w:t>
            </w:r>
          </w:p>
        </w:tc>
      </w:tr>
      <w:tr w14:paraId="038A1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5" w:type="pct"/>
            <w:shd w:val="clear" w:color="auto" w:fill="auto"/>
            <w:vAlign w:val="center"/>
          </w:tcPr>
          <w:p w14:paraId="2BA9EBC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347" w:type="pct"/>
            <w:vMerge w:val="continue"/>
            <w:vAlign w:val="center"/>
          </w:tcPr>
          <w:p w14:paraId="18BEDBFB">
            <w:pPr>
              <w:widowControl/>
              <w:shd w:val="clear"/>
              <w:jc w:val="center"/>
              <w:rPr>
                <w:rFonts w:ascii="宋体" w:hAnsi="宋体" w:cs="宋体"/>
                <w:color w:val="000000"/>
                <w:kern w:val="0"/>
                <w:sz w:val="18"/>
                <w:szCs w:val="18"/>
                <w:highlight w:val="none"/>
              </w:rPr>
            </w:pPr>
          </w:p>
        </w:tc>
        <w:tc>
          <w:tcPr>
            <w:tcW w:w="343" w:type="pct"/>
            <w:shd w:val="clear" w:color="auto" w:fill="auto"/>
            <w:vAlign w:val="center"/>
          </w:tcPr>
          <w:p w14:paraId="7CF735A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外网防火墙</w:t>
            </w:r>
          </w:p>
        </w:tc>
        <w:tc>
          <w:tcPr>
            <w:tcW w:w="3259" w:type="pct"/>
            <w:shd w:val="clear" w:color="auto" w:fill="auto"/>
            <w:vAlign w:val="center"/>
          </w:tcPr>
          <w:p w14:paraId="78723D2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1、系统架构：采用自主知识产权的安全操作系统，采用多核多平台并行处理。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2、硬件要求：1000BASE-T接口≥16，SFP千兆光口≥4，SFP+万兆光口≥4，</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≥1，冗余电源。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★3、性能要求：吞吐量≥10Gbps，并发数≥220万。含5年攻击检测规则库升级授权、5年病毒特征库升级授权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所有授权时间自验收合格之日起计算</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4、接入模式：支持路由、透明以及混合接入模式，满足复杂应用环境的接入需求。</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5、路由模式：支持静态路由、OSPF\OSPFv3\BGP\RIP\RIPNG等动态路由、SD-WAN路由、MPLS路由。</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6、ADSL拨号：至少支持8路ADSL拨号接入，可对各ADSL链路之间通过WCMP与ECMP方式进行路由均衡；支持ISP路由，至少内置8个不同运营商的地址库，并可进行升级。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7、访问控制：支持多元组的访问控制规则，至少支持基于源MAC、源端口、目的端口、时间、域名、URL等多个元素进行访问控制。</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8、MAC绑定：具有IP/MAC绑定功能，保证IP地址唯一性；支持手动绑定和自动探测两种方式进行IP/MAC绑定。</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9、地址转换：支持NAT64,支持静态转换和前缀转换方式；支持NAT66地址转换，支持源地址转换。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带宽管理：支持基于链路和多层通道嵌套的流量控制功能，提供至少四层通道嵌套，支持基于接口/区域的上下行带宽管理，可基于应用/应用组、角色、地址、服务\服务组和时间等带宽策略，支持带宽策略优先级和针对IP、应用设置白名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11、恶意代码：支持恶意代码防护功能，可针对HTTP、SMTP、POP3FTP协议进行动态阻断；恶意代码特征库总数大于200万，包含蠕虫病毒、后门木马等。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12、应用识别：内置超过1000万的智能特征库，至少提供87种精细分类，如钓鱼网站、成人网站、娱乐视频、新闻报道、门户网站等；支持挂马网站过滤，且内置挂马网站特征库，支持自动升级。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13、僵木蠕防御：支持独立的僵木蠕检测防御引擎，支持预定义僵木蠕规则库，特征总数在1000条以上，可对僵尸、木马、蠕虫、勒索软件进行防护。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14、入侵防御：支持规则库数量大于5000条，符合CVE标准规范，每条规则都注有中文名称，点击规则编号可显示出对应的详细规则描述，CVEID、风险等级、应用类型、漏洞描述、解决办法等。（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15、加密流量：支持SSL代理和TCP代理，可对HTTPS加密流量进行安全检测，同时通过URL过滤、关键字过滤等安全引擎的防护，有效阻止恶意网络攻击。</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16、SD-WAN：支持完善的SD-WAN链路健康检查功能，可基于HTTP、ICMP、HTTPS、DNS等协议探测链路的连通性、抖动以及丢包率等，同时支持自定义探测周期、链路不可用的失败次数、恢复链路可用的成功次数等。</w:t>
            </w:r>
          </w:p>
        </w:tc>
        <w:tc>
          <w:tcPr>
            <w:tcW w:w="270" w:type="pct"/>
            <w:shd w:val="clear" w:color="auto" w:fill="auto"/>
            <w:vAlign w:val="center"/>
          </w:tcPr>
          <w:p w14:paraId="53B64DA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5" w:type="pct"/>
            <w:shd w:val="clear" w:color="auto" w:fill="auto"/>
            <w:vAlign w:val="center"/>
          </w:tcPr>
          <w:p w14:paraId="33C34E5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40000</w:t>
            </w:r>
          </w:p>
        </w:tc>
        <w:tc>
          <w:tcPr>
            <w:tcW w:w="307" w:type="pct"/>
            <w:shd w:val="clear" w:color="auto" w:fill="auto"/>
            <w:vAlign w:val="center"/>
          </w:tcPr>
          <w:p w14:paraId="7D1F47D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40000</w:t>
            </w:r>
          </w:p>
        </w:tc>
      </w:tr>
      <w:tr w14:paraId="16F5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5" w:type="pct"/>
            <w:shd w:val="clear" w:color="auto" w:fill="auto"/>
            <w:vAlign w:val="center"/>
          </w:tcPr>
          <w:p w14:paraId="76042C0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347" w:type="pct"/>
            <w:vMerge w:val="continue"/>
            <w:vAlign w:val="center"/>
          </w:tcPr>
          <w:p w14:paraId="28BFACDD">
            <w:pPr>
              <w:widowControl/>
              <w:shd w:val="clear"/>
              <w:jc w:val="center"/>
              <w:rPr>
                <w:rFonts w:ascii="宋体" w:hAnsi="宋体" w:cs="宋体"/>
                <w:color w:val="000000"/>
                <w:kern w:val="0"/>
                <w:sz w:val="18"/>
                <w:szCs w:val="18"/>
                <w:highlight w:val="none"/>
              </w:rPr>
            </w:pPr>
          </w:p>
        </w:tc>
        <w:tc>
          <w:tcPr>
            <w:tcW w:w="343" w:type="pct"/>
            <w:shd w:val="clear" w:color="auto" w:fill="auto"/>
            <w:vAlign w:val="center"/>
          </w:tcPr>
          <w:p w14:paraId="440A3A5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终端威胁防御系统</w:t>
            </w:r>
          </w:p>
        </w:tc>
        <w:tc>
          <w:tcPr>
            <w:tcW w:w="3259" w:type="pct"/>
            <w:shd w:val="clear" w:color="auto" w:fill="auto"/>
            <w:vAlign w:val="center"/>
          </w:tcPr>
          <w:p w14:paraId="61D55E6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1、系统架构：</w:t>
            </w:r>
            <w:r>
              <w:rPr>
                <w:rFonts w:hint="eastAsia" w:ascii="宋体" w:hAnsi="宋体" w:cs="宋体"/>
                <w:color w:val="000000"/>
                <w:kern w:val="0"/>
                <w:sz w:val="18"/>
                <w:szCs w:val="18"/>
                <w:highlight w:val="none"/>
                <w:lang w:eastAsia="zh-CN"/>
              </w:rPr>
              <w:t>支持</w:t>
            </w:r>
            <w:r>
              <w:rPr>
                <w:rFonts w:hint="eastAsia" w:ascii="宋体" w:hAnsi="宋体" w:cs="宋体"/>
                <w:color w:val="000000"/>
                <w:kern w:val="0"/>
                <w:sz w:val="18"/>
                <w:szCs w:val="18"/>
                <w:highlight w:val="none"/>
              </w:rPr>
              <w:t>中/英文界面，系统部署采用客户端/服务器架构，管理采用浏览器/服务器模式架构，管理员只需通过浏览器登录控制中心，即可对系统进行管理,支持虚拟机、主流虚拟化终端环境。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★2、配置数量：含软件管理中心1套，包含500点电脑终端授权、100点服务器授权，5年升级授权</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所有授权时间自验收合格之日起计算</w:t>
            </w:r>
            <w:r>
              <w:rPr>
                <w:rFonts w:hint="eastAsia" w:ascii="宋体" w:hAnsi="宋体" w:cs="宋体"/>
                <w:color w:val="000000"/>
                <w:kern w:val="0"/>
                <w:sz w:val="18"/>
                <w:szCs w:val="18"/>
                <w:highlight w:val="none"/>
              </w:rPr>
              <w:t>。</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3、Windows兼容：客户端至少支持WindowsXP/7/8/10等32位/64位终端操作系统，支持Windowsserver2003/2008/2012/2016/2019等32位/64位服务器操作系统。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4、其他系统兼容：客户端至少支持WindowsXP、Windows7、Windows8、Windows10、Windows11等32位/64位终端操作系统、linuxRedHatLinux、UbuntuLinux、SuSELinux、CentOS、Debian等服务器操作系统。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5、级联部署：支持级联部署及管理，可实时查看下级终端威胁及在线情况，上级可对下级灵活分配授权，同时可实现分级管理中心能够通过上级管理中心升级病毒库和客户端版本。</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安全防护：支持定制安全防护策略：包括病毒防御（病毒查杀、文件实时监控、恶意行为监控、U盘保护、下载保护、邮件监控）；系统防御（浏览器保护、软件安装拦截、系统加固）；网络防御（黑客入侵拦截、IP协议控制、恶意网站拦截、IP黑名单）；文档安全（文档检测、文档跟踪、USB存储）；系统监控（设备监控、进程监控、软件监控、服务监控、账号监控、外联监控）；其他设置（心跳配置、管理员配置、升级配置、白名单、补丁配置、弹窗配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7、部门管理：支持部门架构的导入，包含部门规则、部门与IP规则、LDAP规则导入，并可根据IP规则一键整理。</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8、远程控制：支持远程控制，通过管理中心实现对客户端的远程运维。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9、浏览器保护：支持对浏览器主页进行锁定保护，对篡改浏览器设置的恶意行为进行有效防御。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10、WEB访问：支持管理中心访问控制，包含WEB访问控制定制超时时间、登录重试次数等。</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11、系统加固：支持系统加固，从系统文件保护、病毒免疫、进程保护、注册表保护、危险动作拦截、执行防护等多个维度对系统进行防护。</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 xml:space="preserve"> 12、勒索诱捕：设置诱饵文件并实时监控，当勒索病毒对该文件进行加密操作时进行拦截。（提供功能截图证明材料）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13、安装拦截：支持对软件安装进行拦截，在安装软件时会弹窗提示，可以根据需要选择是否安装此软件。</w:t>
            </w:r>
          </w:p>
        </w:tc>
        <w:tc>
          <w:tcPr>
            <w:tcW w:w="270" w:type="pct"/>
            <w:shd w:val="clear" w:color="auto" w:fill="auto"/>
            <w:vAlign w:val="center"/>
          </w:tcPr>
          <w:p w14:paraId="68C405E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5" w:type="pct"/>
            <w:shd w:val="clear" w:color="auto" w:fill="auto"/>
            <w:vAlign w:val="center"/>
          </w:tcPr>
          <w:p w14:paraId="5F7046A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104000</w:t>
            </w:r>
          </w:p>
        </w:tc>
        <w:tc>
          <w:tcPr>
            <w:tcW w:w="307" w:type="pct"/>
            <w:shd w:val="clear" w:color="auto" w:fill="auto"/>
            <w:vAlign w:val="center"/>
          </w:tcPr>
          <w:p w14:paraId="3364C6A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104000</w:t>
            </w:r>
          </w:p>
        </w:tc>
      </w:tr>
      <w:tr w14:paraId="07BC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5" w:type="pct"/>
            <w:shd w:val="clear" w:color="auto" w:fill="auto"/>
            <w:vAlign w:val="center"/>
          </w:tcPr>
          <w:p w14:paraId="4828795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w:t>
            </w:r>
          </w:p>
        </w:tc>
        <w:tc>
          <w:tcPr>
            <w:tcW w:w="347" w:type="pct"/>
            <w:vMerge w:val="continue"/>
            <w:vAlign w:val="center"/>
          </w:tcPr>
          <w:p w14:paraId="6380DAC5">
            <w:pPr>
              <w:widowControl/>
              <w:shd w:val="clear"/>
              <w:jc w:val="center"/>
              <w:rPr>
                <w:rFonts w:ascii="宋体" w:hAnsi="宋体" w:cs="宋体"/>
                <w:color w:val="000000"/>
                <w:kern w:val="0"/>
                <w:sz w:val="18"/>
                <w:szCs w:val="18"/>
                <w:highlight w:val="none"/>
              </w:rPr>
            </w:pPr>
          </w:p>
        </w:tc>
        <w:tc>
          <w:tcPr>
            <w:tcW w:w="343" w:type="pct"/>
            <w:shd w:val="clear" w:color="auto" w:fill="auto"/>
            <w:vAlign w:val="center"/>
          </w:tcPr>
          <w:p w14:paraId="207B2F3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数据安全管理系统</w:t>
            </w:r>
          </w:p>
        </w:tc>
        <w:tc>
          <w:tcPr>
            <w:tcW w:w="3259" w:type="pct"/>
            <w:shd w:val="clear" w:color="auto" w:fill="auto"/>
            <w:vAlign w:val="center"/>
          </w:tcPr>
          <w:p w14:paraId="3932BF2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1、硬件架构：设备的系统基于备份系统专用的嵌入式系统，非商业版的Windows或Linux内核，存储系统及软件出厂预装在独立的存储介质中，不占用RAID硬盘组的存储空间。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2、硬件要求：处理器≥12核CPU，内存≥64G，系统盘≥2块480G SSD固态硬盘，1000BASE-T接口≥4个，SFP+万兆光口≥2个，冗余电源。</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3、性能要求：包含8块8T SATA硬盘，配置CDM合成备份功能模块，配置Windows/linux版本文件代理模块无数量限制，配置Windows/linux版本操作系统代理模块无数量限制，Windows/linux版本数据库代理模块无数量限制，配置VMware、CAS、FusionSphere虚拟化备份代理模块无数量限制，具备重复数据删除功能，远程复制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4、数据库兼容：支持Oracle、Oracle-rac、SQLserver、MySQL、Sybase、PostgreSQL、MongoDB、SAPHANA数据库的备份与恢复。恒辉、人大金仓、武汉达梦、南大通用、神州通用、瀚高等国内外数据库的定时备份。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5、多通道备份：针对Oracle、OracleRAC、OracleHA的备份，支持多节点、多通道并发备份方式，最大发挥高速网络（万兆）和存储性能，最大通道数量大于250个。</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6、CDM快照技术：支持CDM快照技术，CDM快照技术在一体机内实现，不接受外挂存储设备的方式实现快照功能。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7、数据副本：支持将备份快照转换为数据副本，并提供使用，且该副本独立于备份数据，对副本的修改不影响原有备份数据。</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8、LAN-free备份：支持以虚拟磁带库（VTL）或者物理磁带库作为LAN-Free的备份目标，不接受采用基于磁盘预先划分固定分区方式实现。支持</w:t>
            </w:r>
            <w:r>
              <w:rPr>
                <w:rFonts w:hint="eastAsia" w:ascii="宋体" w:hAnsi="宋体" w:cs="宋体"/>
                <w:color w:val="auto"/>
                <w:kern w:val="0"/>
                <w:sz w:val="18"/>
                <w:szCs w:val="18"/>
                <w:highlight w:val="none"/>
              </w:rPr>
              <w:t>同一</w:t>
            </w:r>
            <w:r>
              <w:rPr>
                <w:rFonts w:hint="eastAsia" w:ascii="宋体" w:hAnsi="宋体" w:cs="宋体"/>
                <w:color w:val="000000"/>
                <w:kern w:val="0"/>
                <w:sz w:val="18"/>
                <w:szCs w:val="18"/>
                <w:highlight w:val="none"/>
              </w:rPr>
              <w:t>存储空间（虚拟/物理磁带介质）被Windows、Linux和Unix主机共享使用。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9、Vmware备份：支持Vmware的vCenter、ESXi环境的备份及恢复，支持VMware多种级别的备份，包括：数据中心、ESXi/Cluster、vApp（文件夹）虚拟机、虚拟磁盘等方式。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10、虚拟机挂载恢复：支持虚拟机的挂载恢复功能，在原有虚拟机故障后，无需数据恢复过程，可将任意备份快照点挂载启动。（提供功能截图证明材料）</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11、文件过滤：支持文件过滤，可实现针对目录的排除与包含，文件的排除与文件包含，可针对文件扩展名实现文件过滤提高备份效率，节省备份空间。</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12、备份策略：支持数据库的增量备份、差异备份、完全备份、永久增量备份等多种备份方式，永久备份无需单独授权。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13、文件并发：支持文件并发备份，并可在线设置并发数，同时支持断点续备功能。</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14、文件属性备份：支持文件属性备份，保留原有的文件属性。</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15、自定义备份：支持自定义脚本方式备份恢复应用，完全备份脚本、增量备份脚本、差异备份脚本按需添加脚本文件或脚本内容即可。</w:t>
            </w:r>
          </w:p>
        </w:tc>
        <w:tc>
          <w:tcPr>
            <w:tcW w:w="270" w:type="pct"/>
            <w:shd w:val="clear" w:color="auto" w:fill="auto"/>
            <w:vAlign w:val="center"/>
          </w:tcPr>
          <w:p w14:paraId="1D0DA5EC">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5" w:type="pct"/>
            <w:shd w:val="clear" w:color="auto" w:fill="auto"/>
            <w:vAlign w:val="center"/>
          </w:tcPr>
          <w:p w14:paraId="0DDCE71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123800</w:t>
            </w:r>
          </w:p>
        </w:tc>
        <w:tc>
          <w:tcPr>
            <w:tcW w:w="307" w:type="pct"/>
            <w:shd w:val="clear" w:color="auto" w:fill="auto"/>
            <w:vAlign w:val="center"/>
          </w:tcPr>
          <w:p w14:paraId="60A7FA4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123800</w:t>
            </w:r>
          </w:p>
        </w:tc>
      </w:tr>
      <w:tr w14:paraId="336CA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5" w:type="pct"/>
            <w:shd w:val="clear" w:color="auto" w:fill="auto"/>
            <w:vAlign w:val="center"/>
          </w:tcPr>
          <w:p w14:paraId="2544E98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347" w:type="pct"/>
            <w:vMerge w:val="continue"/>
            <w:vAlign w:val="center"/>
          </w:tcPr>
          <w:p w14:paraId="4D340B5F">
            <w:pPr>
              <w:widowControl/>
              <w:shd w:val="clear"/>
              <w:jc w:val="center"/>
              <w:rPr>
                <w:rFonts w:ascii="宋体" w:hAnsi="宋体" w:cs="宋体"/>
                <w:color w:val="000000"/>
                <w:kern w:val="0"/>
                <w:sz w:val="18"/>
                <w:szCs w:val="18"/>
                <w:highlight w:val="none"/>
              </w:rPr>
            </w:pPr>
          </w:p>
        </w:tc>
        <w:tc>
          <w:tcPr>
            <w:tcW w:w="343" w:type="pct"/>
            <w:shd w:val="clear" w:color="auto" w:fill="auto"/>
            <w:vAlign w:val="center"/>
          </w:tcPr>
          <w:p w14:paraId="7ADF7F3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负载均衡</w:t>
            </w:r>
          </w:p>
        </w:tc>
        <w:tc>
          <w:tcPr>
            <w:tcW w:w="3259" w:type="pct"/>
            <w:shd w:val="clear" w:color="auto" w:fill="auto"/>
            <w:vAlign w:val="center"/>
          </w:tcPr>
          <w:p w14:paraId="3A9FC5A7">
            <w:pPr>
              <w:widowControl/>
              <w:numPr>
                <w:ilvl w:val="0"/>
                <w:numId w:val="18"/>
              </w:numPr>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硬件架构：机架式独立硬件平台，多核系统架构，非任何插卡扩展形态的负载均衡设备。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2、硬件要求：1000BASE-T接口≥8，SFP千兆光口≥2，SFP+万兆光口≥2，</w:t>
            </w:r>
            <w:r>
              <w:rPr>
                <w:rFonts w:hint="eastAsia" w:ascii="宋体" w:hAnsi="宋体" w:cs="宋体"/>
                <w:color w:val="000000"/>
                <w:kern w:val="0"/>
                <w:sz w:val="18"/>
                <w:szCs w:val="18"/>
                <w:highlight w:val="none"/>
                <w:lang w:eastAsia="zh-CN"/>
              </w:rPr>
              <w:t>可插拔扩展槽</w:t>
            </w:r>
            <w:r>
              <w:rPr>
                <w:rFonts w:hint="eastAsia" w:ascii="宋体" w:hAnsi="宋体" w:cs="宋体"/>
                <w:color w:val="000000"/>
                <w:kern w:val="0"/>
                <w:sz w:val="18"/>
                <w:szCs w:val="18"/>
                <w:highlight w:val="none"/>
              </w:rPr>
              <w:t>≥2，内存≥16G，存储空间≥4T，冗余电源。</w:t>
            </w:r>
          </w:p>
          <w:p w14:paraId="1AFC7C5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3、性能要求：吞吐量≥20Gbps，并发数≥1000万。</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4、部署方式：同时支持链路负载均衡、服务器负载均衡和全局负载均衡的功能,无需额外购买相应授权。</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5、双栈接入：支持IPV6/IPV4双栈，支持NAT66、NAT64、NAT46、DNS64可对过渡型网络进行负载均衡。</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6、链路负载：支持入向链路负载均衡算法包括：轮询算法、比率算法、拓扑算法、备用地址算法、丢包算法、最小连接数算法、最小延时算法、最小新建连接算法、跳数算法、包速率算法、实时带宽算法、可用带宽算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7、链路负载：支持出向链路负载均衡算法包括：轮询算法、加权轮询算法、带宽比率算法、首个有效算法、随机算法、加权随机算法、丢包算法、最小连接数算法、加权最小连接数算法、最小流量算法、加权最小流量算法、观察者算法、包速率算法、实时带宽算法、最小新建连接数算法、静态就近算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8、链路检查：支持ICMP、ARP、DNS、TCP、HTTP、HTTPS等链路检查，可自定义逻辑组合条件判断链路健康状态，当某一条链路故障时，将访问流量自动切换到其它链路，保障网络访问不中断。</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9、DNSserver：DNSserver支持A记录,AAAA记录，CNAME记录，MX记录、NS记录、TXT记录、CAA记录、SRV记录。</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10、地址库：地址库包含国内ISP地址库、全国地址库和全球地址库，支持地址库手动导入，支持地址库查询。</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11、智能DNS：支持智能DNS功能，单域名对应多个运营商地址，自动识别互联网用户访问请求返回对应的运营商链路，引导最优路径的线路访问业务系统。</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12、服务器检查：支持主动健康检查和被动健康检查相结合的方式。</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13、SSL卸载：内置SSL卸载模块，减轻服务器负担。支持服务器CA证书导入，提供证书单向和双向认证，双向认证支持透传客户端证书给后台服务器。</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14、DDoS防护：支持四到七层抗DDoS攻击功能。支持IP、ICMP、TCP、UDP、DNS、HTTP、HTTPS、NTP、SIP。</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15、安全防护：支持网络防火墙功能，支持基于源地址、源区域、源端口、目的地址、目的区域、服务、时间进行访问控制。（提供功能截图证明材料）</w:t>
            </w:r>
          </w:p>
        </w:tc>
        <w:tc>
          <w:tcPr>
            <w:tcW w:w="270" w:type="pct"/>
            <w:shd w:val="clear" w:color="auto" w:fill="auto"/>
            <w:vAlign w:val="center"/>
          </w:tcPr>
          <w:p w14:paraId="717F8DC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台</w:t>
            </w:r>
          </w:p>
        </w:tc>
        <w:tc>
          <w:tcPr>
            <w:tcW w:w="295" w:type="pct"/>
            <w:shd w:val="clear" w:color="auto" w:fill="auto"/>
            <w:vAlign w:val="center"/>
          </w:tcPr>
          <w:p w14:paraId="214893A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39000</w:t>
            </w:r>
          </w:p>
        </w:tc>
        <w:tc>
          <w:tcPr>
            <w:tcW w:w="307" w:type="pct"/>
            <w:shd w:val="clear" w:color="auto" w:fill="auto"/>
            <w:vAlign w:val="center"/>
          </w:tcPr>
          <w:p w14:paraId="28D3828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39000</w:t>
            </w:r>
          </w:p>
        </w:tc>
      </w:tr>
      <w:tr w14:paraId="19A9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75" w:type="pct"/>
            <w:shd w:val="clear" w:color="auto" w:fill="auto"/>
            <w:vAlign w:val="center"/>
          </w:tcPr>
          <w:p w14:paraId="788536D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w:t>
            </w:r>
          </w:p>
        </w:tc>
        <w:tc>
          <w:tcPr>
            <w:tcW w:w="347" w:type="pct"/>
            <w:vMerge w:val="continue"/>
            <w:vAlign w:val="center"/>
          </w:tcPr>
          <w:p w14:paraId="77C759A3">
            <w:pPr>
              <w:widowControl/>
              <w:shd w:val="clear"/>
              <w:jc w:val="center"/>
              <w:rPr>
                <w:rFonts w:ascii="宋体" w:hAnsi="宋体" w:cs="宋体"/>
                <w:color w:val="000000"/>
                <w:kern w:val="0"/>
                <w:sz w:val="18"/>
                <w:szCs w:val="18"/>
                <w:highlight w:val="none"/>
              </w:rPr>
            </w:pPr>
          </w:p>
        </w:tc>
        <w:tc>
          <w:tcPr>
            <w:tcW w:w="343" w:type="pct"/>
            <w:shd w:val="clear" w:color="auto" w:fill="auto"/>
            <w:vAlign w:val="center"/>
          </w:tcPr>
          <w:p w14:paraId="35CA377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定制化正版软件</w:t>
            </w:r>
          </w:p>
        </w:tc>
        <w:tc>
          <w:tcPr>
            <w:tcW w:w="3259" w:type="pct"/>
            <w:shd w:val="clear" w:color="auto" w:fill="auto"/>
            <w:vAlign w:val="center"/>
          </w:tcPr>
          <w:p w14:paraId="44AE722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本项目超融合平台虚拟机所需正版软件，随系统和虚拟化系统需要匹配相应数量的正版软件，满足本项目要求。</w:t>
            </w:r>
          </w:p>
        </w:tc>
        <w:tc>
          <w:tcPr>
            <w:tcW w:w="270" w:type="pct"/>
            <w:shd w:val="clear" w:color="auto" w:fill="auto"/>
            <w:vAlign w:val="center"/>
          </w:tcPr>
          <w:p w14:paraId="1CA6ED1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套</w:t>
            </w:r>
          </w:p>
        </w:tc>
        <w:tc>
          <w:tcPr>
            <w:tcW w:w="295" w:type="pct"/>
            <w:shd w:val="clear" w:color="auto" w:fill="auto"/>
            <w:vAlign w:val="center"/>
          </w:tcPr>
          <w:p w14:paraId="6E327D5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c>
          <w:tcPr>
            <w:tcW w:w="307" w:type="pct"/>
            <w:shd w:val="clear" w:color="auto" w:fill="auto"/>
            <w:vAlign w:val="center"/>
          </w:tcPr>
          <w:p w14:paraId="3DA87AC4">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50000</w:t>
            </w:r>
          </w:p>
        </w:tc>
      </w:tr>
      <w:tr w14:paraId="6FEA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 w:type="pct"/>
            <w:shd w:val="clear" w:color="auto" w:fill="auto"/>
            <w:vAlign w:val="center"/>
          </w:tcPr>
          <w:p w14:paraId="0F63509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4516" w:type="pct"/>
            <w:gridSpan w:val="5"/>
            <w:vAlign w:val="center"/>
          </w:tcPr>
          <w:p w14:paraId="5011ED57">
            <w:pPr>
              <w:widowControl/>
              <w:shd w:val="clear"/>
              <w:jc w:val="center"/>
              <w:rPr>
                <w:rFonts w:ascii="宋体" w:hAnsi="宋体" w:cs="宋体"/>
                <w:kern w:val="0"/>
                <w:sz w:val="18"/>
                <w:szCs w:val="18"/>
                <w:highlight w:val="none"/>
              </w:rPr>
            </w:pPr>
            <w:r>
              <w:rPr>
                <w:rFonts w:hint="eastAsia" w:ascii="宋体" w:hAnsi="宋体" w:cs="宋体"/>
                <w:kern w:val="0"/>
                <w:sz w:val="18"/>
                <w:szCs w:val="18"/>
                <w:highlight w:val="none"/>
              </w:rPr>
              <w:t>合计</w:t>
            </w:r>
          </w:p>
        </w:tc>
        <w:tc>
          <w:tcPr>
            <w:tcW w:w="307" w:type="pct"/>
            <w:shd w:val="clear" w:color="auto" w:fill="auto"/>
            <w:vAlign w:val="center"/>
          </w:tcPr>
          <w:p w14:paraId="2E47D75A">
            <w:pPr>
              <w:widowControl/>
              <w:shd w:val="clea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1176720</w:t>
            </w:r>
          </w:p>
        </w:tc>
      </w:tr>
    </w:tbl>
    <w:p w14:paraId="2517838A">
      <w:pPr>
        <w:shd w:val="clear"/>
        <w:spacing w:line="360" w:lineRule="auto"/>
        <w:ind w:firstLine="480" w:firstLineChars="200"/>
        <w:rPr>
          <w:rFonts w:ascii="宋体" w:hAnsi="宋体"/>
          <w:sz w:val="24"/>
          <w:highlight w:val="none"/>
        </w:rPr>
      </w:pPr>
    </w:p>
    <w:p w14:paraId="3CC22DEE">
      <w:pPr>
        <w:shd w:val="clear"/>
        <w:spacing w:line="360" w:lineRule="auto"/>
        <w:ind w:firstLine="480" w:firstLineChars="200"/>
        <w:rPr>
          <w:rFonts w:ascii="宋体" w:hAnsi="宋体"/>
          <w:sz w:val="24"/>
          <w:highlight w:val="none"/>
        </w:rPr>
      </w:pPr>
    </w:p>
    <w:p w14:paraId="55BAC0BC">
      <w:pPr>
        <w:pStyle w:val="4"/>
        <w:shd w:val="clear"/>
        <w:rPr>
          <w:highlight w:val="none"/>
        </w:rPr>
        <w:sectPr>
          <w:pgSz w:w="16839" w:h="11907" w:orient="landscape"/>
          <w:pgMar w:top="1077" w:right="1440" w:bottom="1077" w:left="1440" w:header="851" w:footer="992" w:gutter="0"/>
          <w:pgNumType w:fmt="numberInDash"/>
          <w:cols w:space="720" w:num="1"/>
          <w:docGrid w:type="lines" w:linePitch="312" w:charSpace="0"/>
        </w:sectPr>
      </w:pPr>
    </w:p>
    <w:p w14:paraId="5F15F368">
      <w:pPr>
        <w:pStyle w:val="5"/>
        <w:numPr>
          <w:ilvl w:val="2"/>
          <w:numId w:val="0"/>
        </w:numPr>
        <w:shd w:val="clear"/>
        <w:rPr>
          <w:highlight w:val="none"/>
        </w:rPr>
      </w:pPr>
      <w:bookmarkStart w:id="8" w:name="_Toc16005"/>
      <w:r>
        <w:rPr>
          <w:rFonts w:hint="eastAsia"/>
          <w:highlight w:val="none"/>
          <w:lang w:val="en-US" w:eastAsia="zh-CN"/>
        </w:rPr>
        <w:t>5</w:t>
      </w:r>
      <w:r>
        <w:rPr>
          <w:rFonts w:hint="eastAsia"/>
          <w:highlight w:val="none"/>
        </w:rPr>
        <w:t>、喀喇沁旗医院医共体接口对接服务</w:t>
      </w:r>
      <w:bookmarkEnd w:id="8"/>
    </w:p>
    <w:tbl>
      <w:tblPr>
        <w:tblStyle w:val="48"/>
        <w:tblW w:w="4960" w:type="pct"/>
        <w:tblInd w:w="0" w:type="dxa"/>
        <w:tblLayout w:type="autofit"/>
        <w:tblCellMar>
          <w:top w:w="0" w:type="dxa"/>
          <w:left w:w="108" w:type="dxa"/>
          <w:bottom w:w="0" w:type="dxa"/>
          <w:right w:w="108" w:type="dxa"/>
        </w:tblCellMar>
      </w:tblPr>
      <w:tblGrid>
        <w:gridCol w:w="804"/>
        <w:gridCol w:w="2473"/>
        <w:gridCol w:w="4135"/>
        <w:gridCol w:w="3589"/>
        <w:gridCol w:w="880"/>
        <w:gridCol w:w="1120"/>
        <w:gridCol w:w="1061"/>
      </w:tblGrid>
      <w:tr w14:paraId="26697867">
        <w:tblPrEx>
          <w:tblCellMar>
            <w:top w:w="0" w:type="dxa"/>
            <w:left w:w="108" w:type="dxa"/>
            <w:bottom w:w="0" w:type="dxa"/>
            <w:right w:w="108" w:type="dxa"/>
          </w:tblCellMar>
        </w:tblPrEx>
        <w:trPr>
          <w:trHeight w:val="57" w:hRule="atLeast"/>
          <w:tblHeader/>
        </w:trPr>
        <w:tc>
          <w:tcPr>
            <w:tcW w:w="286" w:type="pct"/>
            <w:tcBorders>
              <w:top w:val="single" w:color="auto" w:sz="4" w:space="0"/>
              <w:left w:val="single" w:color="auto" w:sz="4" w:space="0"/>
              <w:bottom w:val="single" w:color="auto" w:sz="4" w:space="0"/>
              <w:right w:val="single" w:color="auto" w:sz="4" w:space="0"/>
            </w:tcBorders>
            <w:shd w:val="clear" w:color="auto" w:fill="auto"/>
            <w:vAlign w:val="center"/>
          </w:tcPr>
          <w:p w14:paraId="7643F13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879" w:type="pct"/>
            <w:tcBorders>
              <w:top w:val="single" w:color="auto" w:sz="4" w:space="0"/>
              <w:left w:val="nil"/>
              <w:bottom w:val="single" w:color="auto" w:sz="4" w:space="0"/>
              <w:right w:val="single" w:color="auto" w:sz="4" w:space="0"/>
            </w:tcBorders>
            <w:shd w:val="clear" w:color="auto" w:fill="auto"/>
            <w:vAlign w:val="center"/>
          </w:tcPr>
          <w:p w14:paraId="45A905C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系统分类</w:t>
            </w:r>
          </w:p>
        </w:tc>
        <w:tc>
          <w:tcPr>
            <w:tcW w:w="1470" w:type="pct"/>
            <w:tcBorders>
              <w:top w:val="single" w:color="auto" w:sz="4" w:space="0"/>
              <w:left w:val="nil"/>
              <w:bottom w:val="single" w:color="auto" w:sz="4" w:space="0"/>
              <w:right w:val="single" w:color="auto" w:sz="4" w:space="0"/>
            </w:tcBorders>
            <w:shd w:val="clear" w:color="auto" w:fill="auto"/>
            <w:vAlign w:val="center"/>
          </w:tcPr>
          <w:p w14:paraId="7E62E0F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系统名称</w:t>
            </w:r>
          </w:p>
        </w:tc>
        <w:tc>
          <w:tcPr>
            <w:tcW w:w="1276" w:type="pct"/>
            <w:tcBorders>
              <w:top w:val="single" w:color="auto" w:sz="4" w:space="0"/>
              <w:left w:val="nil"/>
              <w:bottom w:val="single" w:color="auto" w:sz="4" w:space="0"/>
              <w:right w:val="single" w:color="auto" w:sz="4" w:space="0"/>
            </w:tcBorders>
            <w:shd w:val="clear" w:color="auto" w:fill="auto"/>
            <w:vAlign w:val="center"/>
          </w:tcPr>
          <w:p w14:paraId="5CF91484">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技术要求（参数具体要求）</w:t>
            </w:r>
          </w:p>
        </w:tc>
        <w:tc>
          <w:tcPr>
            <w:tcW w:w="313" w:type="pct"/>
            <w:tcBorders>
              <w:top w:val="single" w:color="auto" w:sz="4" w:space="0"/>
              <w:left w:val="nil"/>
              <w:bottom w:val="single" w:color="auto" w:sz="4" w:space="0"/>
              <w:right w:val="single" w:color="auto" w:sz="4" w:space="0"/>
            </w:tcBorders>
            <w:shd w:val="clear" w:color="auto" w:fill="auto"/>
            <w:vAlign w:val="center"/>
          </w:tcPr>
          <w:p w14:paraId="06AE00E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397" w:type="pct"/>
            <w:tcBorders>
              <w:top w:val="single" w:color="auto" w:sz="4" w:space="0"/>
              <w:left w:val="nil"/>
              <w:bottom w:val="single" w:color="auto" w:sz="4" w:space="0"/>
              <w:right w:val="single" w:color="auto" w:sz="4" w:space="0"/>
            </w:tcBorders>
            <w:shd w:val="clear" w:color="auto" w:fill="auto"/>
            <w:vAlign w:val="center"/>
          </w:tcPr>
          <w:p w14:paraId="0660C9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单价（元）</w:t>
            </w:r>
          </w:p>
        </w:tc>
        <w:tc>
          <w:tcPr>
            <w:tcW w:w="377" w:type="pct"/>
            <w:tcBorders>
              <w:top w:val="single" w:color="auto" w:sz="4" w:space="0"/>
              <w:left w:val="nil"/>
              <w:bottom w:val="single" w:color="auto" w:sz="4" w:space="0"/>
              <w:right w:val="single" w:color="auto" w:sz="4" w:space="0"/>
            </w:tcBorders>
            <w:shd w:val="clear" w:color="auto" w:fill="auto"/>
            <w:vAlign w:val="center"/>
          </w:tcPr>
          <w:p w14:paraId="4DB3C73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2C3F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357F7E3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879" w:type="pct"/>
            <w:shd w:val="clear" w:color="auto" w:fill="auto"/>
            <w:vAlign w:val="center"/>
          </w:tcPr>
          <w:p w14:paraId="7272A63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主索引</w:t>
            </w:r>
          </w:p>
        </w:tc>
        <w:tc>
          <w:tcPr>
            <w:tcW w:w="1470" w:type="pct"/>
            <w:shd w:val="clear" w:color="auto" w:fill="auto"/>
            <w:vAlign w:val="center"/>
          </w:tcPr>
          <w:p w14:paraId="5E3CE26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患者主索引接口</w:t>
            </w:r>
          </w:p>
        </w:tc>
        <w:tc>
          <w:tcPr>
            <w:tcW w:w="1276" w:type="pct"/>
            <w:shd w:val="clear" w:color="auto" w:fill="auto"/>
            <w:vAlign w:val="center"/>
          </w:tcPr>
          <w:p w14:paraId="5997BA1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2A604452">
            <w:pPr>
              <w:widowControl/>
              <w:shd w:val="clear"/>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restart"/>
            <w:shd w:val="clear" w:color="auto" w:fill="auto"/>
            <w:vAlign w:val="center"/>
          </w:tcPr>
          <w:p w14:paraId="28A8BAD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170000</w:t>
            </w:r>
          </w:p>
        </w:tc>
        <w:tc>
          <w:tcPr>
            <w:tcW w:w="377" w:type="pct"/>
            <w:vMerge w:val="restart"/>
            <w:shd w:val="clear" w:color="auto" w:fill="auto"/>
            <w:vAlign w:val="center"/>
          </w:tcPr>
          <w:p w14:paraId="3B57562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170000</w:t>
            </w:r>
          </w:p>
        </w:tc>
      </w:tr>
      <w:tr w14:paraId="189D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01EF56B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879" w:type="pct"/>
            <w:shd w:val="clear" w:color="auto" w:fill="auto"/>
            <w:vAlign w:val="center"/>
          </w:tcPr>
          <w:p w14:paraId="3B9AEB6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健康浏览器</w:t>
            </w:r>
          </w:p>
        </w:tc>
        <w:tc>
          <w:tcPr>
            <w:tcW w:w="1470" w:type="pct"/>
            <w:shd w:val="clear" w:color="auto" w:fill="auto"/>
            <w:vAlign w:val="center"/>
          </w:tcPr>
          <w:p w14:paraId="5145E01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电子病历及健康档案记录和信息共享</w:t>
            </w:r>
          </w:p>
        </w:tc>
        <w:tc>
          <w:tcPr>
            <w:tcW w:w="1276" w:type="pct"/>
            <w:shd w:val="clear" w:color="auto" w:fill="auto"/>
            <w:vAlign w:val="center"/>
          </w:tcPr>
          <w:p w14:paraId="7E42DE2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5435CDB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22B122E2">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3946885">
            <w:pPr>
              <w:widowControl/>
              <w:shd w:val="clear"/>
              <w:jc w:val="center"/>
              <w:rPr>
                <w:rFonts w:ascii="宋体" w:hAnsi="宋体" w:cs="宋体"/>
                <w:color w:val="000000"/>
                <w:kern w:val="0"/>
                <w:sz w:val="18"/>
                <w:szCs w:val="18"/>
                <w:highlight w:val="none"/>
              </w:rPr>
            </w:pPr>
          </w:p>
        </w:tc>
      </w:tr>
      <w:tr w14:paraId="5039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5FB15D1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879" w:type="pct"/>
            <w:vMerge w:val="restart"/>
            <w:shd w:val="clear" w:color="auto" w:fill="auto"/>
            <w:vAlign w:val="center"/>
          </w:tcPr>
          <w:p w14:paraId="6504143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区域检验检查中心</w:t>
            </w:r>
          </w:p>
        </w:tc>
        <w:tc>
          <w:tcPr>
            <w:tcW w:w="1470" w:type="pct"/>
            <w:shd w:val="clear" w:color="auto" w:fill="auto"/>
            <w:vAlign w:val="center"/>
          </w:tcPr>
          <w:p w14:paraId="0C62ED0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统一资源管理接口</w:t>
            </w:r>
          </w:p>
        </w:tc>
        <w:tc>
          <w:tcPr>
            <w:tcW w:w="1276" w:type="pct"/>
            <w:shd w:val="clear" w:color="auto" w:fill="auto"/>
            <w:vAlign w:val="center"/>
          </w:tcPr>
          <w:p w14:paraId="4AE0AC0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2558F1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6CC6D00B">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D5FA35E">
            <w:pPr>
              <w:widowControl/>
              <w:shd w:val="clear"/>
              <w:jc w:val="center"/>
              <w:rPr>
                <w:rFonts w:ascii="宋体" w:hAnsi="宋体" w:cs="宋体"/>
                <w:color w:val="000000"/>
                <w:kern w:val="0"/>
                <w:sz w:val="18"/>
                <w:szCs w:val="18"/>
                <w:highlight w:val="none"/>
              </w:rPr>
            </w:pPr>
          </w:p>
        </w:tc>
      </w:tr>
      <w:tr w14:paraId="4E44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6353D99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879" w:type="pct"/>
            <w:vMerge w:val="continue"/>
            <w:vAlign w:val="center"/>
          </w:tcPr>
          <w:p w14:paraId="52799A79">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1958B6E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区域检验中心接口说明</w:t>
            </w:r>
          </w:p>
        </w:tc>
        <w:tc>
          <w:tcPr>
            <w:tcW w:w="1276" w:type="pct"/>
            <w:shd w:val="clear" w:color="auto" w:fill="auto"/>
            <w:vAlign w:val="center"/>
          </w:tcPr>
          <w:p w14:paraId="36D3DBF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69DC2FF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2D4A5C38">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50ABC901">
            <w:pPr>
              <w:widowControl/>
              <w:shd w:val="clear"/>
              <w:jc w:val="center"/>
              <w:rPr>
                <w:rFonts w:ascii="宋体" w:hAnsi="宋体" w:cs="宋体"/>
                <w:color w:val="000000"/>
                <w:kern w:val="0"/>
                <w:sz w:val="18"/>
                <w:szCs w:val="18"/>
                <w:highlight w:val="none"/>
              </w:rPr>
            </w:pPr>
          </w:p>
        </w:tc>
      </w:tr>
      <w:tr w14:paraId="2D57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0BC1FF7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879" w:type="pct"/>
            <w:vMerge w:val="continue"/>
            <w:vAlign w:val="center"/>
          </w:tcPr>
          <w:p w14:paraId="5E6745EB">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27C86D8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区域检查中心接口</w:t>
            </w:r>
          </w:p>
        </w:tc>
        <w:tc>
          <w:tcPr>
            <w:tcW w:w="1276" w:type="pct"/>
            <w:shd w:val="clear" w:color="auto" w:fill="auto"/>
            <w:vAlign w:val="center"/>
          </w:tcPr>
          <w:p w14:paraId="768C62E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0ACD7D0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551B4632">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17CB7E42">
            <w:pPr>
              <w:widowControl/>
              <w:shd w:val="clear"/>
              <w:jc w:val="center"/>
              <w:rPr>
                <w:rFonts w:ascii="宋体" w:hAnsi="宋体" w:cs="宋体"/>
                <w:color w:val="000000"/>
                <w:kern w:val="0"/>
                <w:sz w:val="18"/>
                <w:szCs w:val="18"/>
                <w:highlight w:val="none"/>
              </w:rPr>
            </w:pPr>
          </w:p>
        </w:tc>
      </w:tr>
      <w:tr w14:paraId="35D7D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102C8B3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879" w:type="pct"/>
            <w:vMerge w:val="restart"/>
            <w:shd w:val="clear" w:color="auto" w:fill="auto"/>
            <w:vAlign w:val="center"/>
          </w:tcPr>
          <w:p w14:paraId="7EADBEB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w:t>
            </w:r>
          </w:p>
        </w:tc>
        <w:tc>
          <w:tcPr>
            <w:tcW w:w="1470" w:type="pct"/>
            <w:shd w:val="clear" w:color="auto" w:fill="auto"/>
            <w:vAlign w:val="center"/>
          </w:tcPr>
          <w:p w14:paraId="1DE4726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患者注册接口</w:t>
            </w:r>
          </w:p>
        </w:tc>
        <w:tc>
          <w:tcPr>
            <w:tcW w:w="1276" w:type="pct"/>
            <w:shd w:val="clear" w:color="auto" w:fill="auto"/>
            <w:vAlign w:val="center"/>
          </w:tcPr>
          <w:p w14:paraId="46A5320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4E2F57D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63495DBB">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17B3DFA6">
            <w:pPr>
              <w:widowControl/>
              <w:shd w:val="clear"/>
              <w:jc w:val="center"/>
              <w:rPr>
                <w:rFonts w:ascii="宋体" w:hAnsi="宋体" w:cs="宋体"/>
                <w:color w:val="000000"/>
                <w:kern w:val="0"/>
                <w:sz w:val="18"/>
                <w:szCs w:val="18"/>
                <w:highlight w:val="none"/>
              </w:rPr>
            </w:pPr>
          </w:p>
        </w:tc>
      </w:tr>
      <w:tr w14:paraId="0E6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3B2EB1E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w:t>
            </w:r>
          </w:p>
        </w:tc>
        <w:tc>
          <w:tcPr>
            <w:tcW w:w="879" w:type="pct"/>
            <w:vMerge w:val="continue"/>
            <w:vAlign w:val="center"/>
          </w:tcPr>
          <w:p w14:paraId="1DD463E5">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46A546E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系统登录接口</w:t>
            </w:r>
          </w:p>
        </w:tc>
        <w:tc>
          <w:tcPr>
            <w:tcW w:w="1276" w:type="pct"/>
            <w:shd w:val="clear" w:color="auto" w:fill="auto"/>
            <w:vAlign w:val="center"/>
          </w:tcPr>
          <w:p w14:paraId="7D6CC33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76DC538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5E4D4B0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5A2CCEFD">
            <w:pPr>
              <w:widowControl/>
              <w:shd w:val="clear"/>
              <w:jc w:val="center"/>
              <w:rPr>
                <w:rFonts w:ascii="宋体" w:hAnsi="宋体" w:cs="宋体"/>
                <w:color w:val="000000"/>
                <w:kern w:val="0"/>
                <w:sz w:val="18"/>
                <w:szCs w:val="18"/>
                <w:highlight w:val="none"/>
              </w:rPr>
            </w:pPr>
          </w:p>
        </w:tc>
      </w:tr>
      <w:tr w14:paraId="5523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62711D4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879" w:type="pct"/>
            <w:vMerge w:val="continue"/>
            <w:vAlign w:val="center"/>
          </w:tcPr>
          <w:p w14:paraId="1276A5BC">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4D646A1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基础数据同步接口</w:t>
            </w:r>
          </w:p>
        </w:tc>
        <w:tc>
          <w:tcPr>
            <w:tcW w:w="1276" w:type="pct"/>
            <w:shd w:val="clear" w:color="auto" w:fill="auto"/>
            <w:vAlign w:val="center"/>
          </w:tcPr>
          <w:p w14:paraId="64EB2A5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1B49A27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2493FA86">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414F1CC1">
            <w:pPr>
              <w:widowControl/>
              <w:shd w:val="clear"/>
              <w:jc w:val="center"/>
              <w:rPr>
                <w:rFonts w:ascii="宋体" w:hAnsi="宋体" w:cs="宋体"/>
                <w:color w:val="000000"/>
                <w:kern w:val="0"/>
                <w:sz w:val="18"/>
                <w:szCs w:val="18"/>
                <w:highlight w:val="none"/>
              </w:rPr>
            </w:pPr>
          </w:p>
        </w:tc>
      </w:tr>
      <w:tr w14:paraId="5629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286" w:type="pct"/>
            <w:shd w:val="clear" w:color="auto" w:fill="auto"/>
            <w:vAlign w:val="center"/>
          </w:tcPr>
          <w:p w14:paraId="3561590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w:t>
            </w:r>
          </w:p>
        </w:tc>
        <w:tc>
          <w:tcPr>
            <w:tcW w:w="879" w:type="pct"/>
            <w:vMerge w:val="continue"/>
            <w:vAlign w:val="center"/>
          </w:tcPr>
          <w:p w14:paraId="17C9F07F">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1EA7D35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分级诊疗获取患者信息</w:t>
            </w:r>
          </w:p>
        </w:tc>
        <w:tc>
          <w:tcPr>
            <w:tcW w:w="1276" w:type="pct"/>
            <w:shd w:val="clear" w:color="auto" w:fill="auto"/>
            <w:vAlign w:val="center"/>
          </w:tcPr>
          <w:p w14:paraId="6F402B7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517D14E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589C3452">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42C6D6B9">
            <w:pPr>
              <w:widowControl/>
              <w:shd w:val="clear"/>
              <w:jc w:val="center"/>
              <w:rPr>
                <w:rFonts w:ascii="宋体" w:hAnsi="宋体" w:cs="宋体"/>
                <w:color w:val="000000"/>
                <w:kern w:val="0"/>
                <w:sz w:val="18"/>
                <w:szCs w:val="18"/>
                <w:highlight w:val="none"/>
              </w:rPr>
            </w:pPr>
          </w:p>
        </w:tc>
      </w:tr>
      <w:tr w14:paraId="5DFB9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6C9FCF7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879" w:type="pct"/>
            <w:vMerge w:val="continue"/>
            <w:vAlign w:val="center"/>
          </w:tcPr>
          <w:p w14:paraId="2838A27B">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16115F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分级诊疗转诊单号查询接口</w:t>
            </w:r>
          </w:p>
        </w:tc>
        <w:tc>
          <w:tcPr>
            <w:tcW w:w="1276" w:type="pct"/>
            <w:shd w:val="clear" w:color="auto" w:fill="auto"/>
            <w:vAlign w:val="center"/>
          </w:tcPr>
          <w:p w14:paraId="002BE89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1389A57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5BDB67C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6606BA2">
            <w:pPr>
              <w:widowControl/>
              <w:shd w:val="clear"/>
              <w:jc w:val="center"/>
              <w:rPr>
                <w:rFonts w:ascii="宋体" w:hAnsi="宋体" w:cs="宋体"/>
                <w:color w:val="000000"/>
                <w:kern w:val="0"/>
                <w:sz w:val="18"/>
                <w:szCs w:val="18"/>
                <w:highlight w:val="none"/>
              </w:rPr>
            </w:pPr>
          </w:p>
        </w:tc>
      </w:tr>
      <w:tr w14:paraId="1874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5AF929D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879" w:type="pct"/>
            <w:vMerge w:val="continue"/>
            <w:vAlign w:val="center"/>
          </w:tcPr>
          <w:p w14:paraId="7179AAB2">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20CC375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查询转诊申请单接口</w:t>
            </w:r>
          </w:p>
        </w:tc>
        <w:tc>
          <w:tcPr>
            <w:tcW w:w="1276" w:type="pct"/>
            <w:shd w:val="clear" w:color="auto" w:fill="auto"/>
            <w:vAlign w:val="center"/>
          </w:tcPr>
          <w:p w14:paraId="298D574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54EFB88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03BFB07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5C4AA7BA">
            <w:pPr>
              <w:widowControl/>
              <w:shd w:val="clear"/>
              <w:jc w:val="center"/>
              <w:rPr>
                <w:rFonts w:ascii="宋体" w:hAnsi="宋体" w:cs="宋体"/>
                <w:color w:val="000000"/>
                <w:kern w:val="0"/>
                <w:sz w:val="18"/>
                <w:szCs w:val="18"/>
                <w:highlight w:val="none"/>
              </w:rPr>
            </w:pPr>
          </w:p>
        </w:tc>
      </w:tr>
      <w:tr w14:paraId="66A1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41349B3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879" w:type="pct"/>
            <w:vMerge w:val="continue"/>
            <w:vAlign w:val="center"/>
          </w:tcPr>
          <w:p w14:paraId="7592820B">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5E4EDB1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电子病历接口</w:t>
            </w:r>
          </w:p>
        </w:tc>
        <w:tc>
          <w:tcPr>
            <w:tcW w:w="1276" w:type="pct"/>
            <w:shd w:val="clear" w:color="auto" w:fill="auto"/>
            <w:vAlign w:val="center"/>
          </w:tcPr>
          <w:p w14:paraId="0E94E19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3551F5F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56119D43">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827465F">
            <w:pPr>
              <w:widowControl/>
              <w:shd w:val="clear"/>
              <w:jc w:val="center"/>
              <w:rPr>
                <w:rFonts w:ascii="宋体" w:hAnsi="宋体" w:cs="宋体"/>
                <w:color w:val="000000"/>
                <w:kern w:val="0"/>
                <w:sz w:val="18"/>
                <w:szCs w:val="18"/>
                <w:highlight w:val="none"/>
              </w:rPr>
            </w:pPr>
          </w:p>
        </w:tc>
      </w:tr>
      <w:tr w14:paraId="4F096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01E8251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13</w:t>
            </w:r>
          </w:p>
        </w:tc>
        <w:tc>
          <w:tcPr>
            <w:tcW w:w="879" w:type="pct"/>
            <w:vMerge w:val="continue"/>
            <w:vAlign w:val="center"/>
          </w:tcPr>
          <w:p w14:paraId="083D48EB">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7680511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预约检查接口</w:t>
            </w:r>
          </w:p>
        </w:tc>
        <w:tc>
          <w:tcPr>
            <w:tcW w:w="1276" w:type="pct"/>
            <w:shd w:val="clear" w:color="auto" w:fill="auto"/>
            <w:vAlign w:val="center"/>
          </w:tcPr>
          <w:p w14:paraId="491FABB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6CFEBA7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651B4314">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878BED6">
            <w:pPr>
              <w:widowControl/>
              <w:shd w:val="clear"/>
              <w:jc w:val="center"/>
              <w:rPr>
                <w:rFonts w:ascii="宋体" w:hAnsi="宋体" w:cs="宋体"/>
                <w:color w:val="000000"/>
                <w:kern w:val="0"/>
                <w:sz w:val="18"/>
                <w:szCs w:val="18"/>
                <w:highlight w:val="none"/>
              </w:rPr>
            </w:pPr>
          </w:p>
        </w:tc>
      </w:tr>
      <w:tr w14:paraId="45A4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78E8C5E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14</w:t>
            </w:r>
          </w:p>
        </w:tc>
        <w:tc>
          <w:tcPr>
            <w:tcW w:w="879" w:type="pct"/>
            <w:vMerge w:val="continue"/>
            <w:vAlign w:val="center"/>
          </w:tcPr>
          <w:p w14:paraId="7F64A70D">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5A93792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预约检验接口</w:t>
            </w:r>
          </w:p>
        </w:tc>
        <w:tc>
          <w:tcPr>
            <w:tcW w:w="1276" w:type="pct"/>
            <w:shd w:val="clear" w:color="auto" w:fill="auto"/>
            <w:vAlign w:val="center"/>
          </w:tcPr>
          <w:p w14:paraId="05ACFD2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73D44D5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499A684A">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F56D0CD">
            <w:pPr>
              <w:widowControl/>
              <w:shd w:val="clear"/>
              <w:jc w:val="center"/>
              <w:rPr>
                <w:rFonts w:ascii="宋体" w:hAnsi="宋体" w:cs="宋体"/>
                <w:color w:val="000000"/>
                <w:kern w:val="0"/>
                <w:sz w:val="18"/>
                <w:szCs w:val="18"/>
                <w:highlight w:val="none"/>
              </w:rPr>
            </w:pPr>
          </w:p>
        </w:tc>
      </w:tr>
      <w:tr w14:paraId="5BB8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276E1A4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879" w:type="pct"/>
            <w:vMerge w:val="continue"/>
            <w:vAlign w:val="center"/>
          </w:tcPr>
          <w:p w14:paraId="14FD37DF">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184A3FF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标本送检</w:t>
            </w:r>
          </w:p>
        </w:tc>
        <w:tc>
          <w:tcPr>
            <w:tcW w:w="1276" w:type="pct"/>
            <w:shd w:val="clear" w:color="auto" w:fill="auto"/>
            <w:vAlign w:val="center"/>
          </w:tcPr>
          <w:p w14:paraId="577FC3C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3DCC1BC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0AFE28DF">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129C56A">
            <w:pPr>
              <w:widowControl/>
              <w:shd w:val="clear"/>
              <w:jc w:val="center"/>
              <w:rPr>
                <w:rFonts w:ascii="宋体" w:hAnsi="宋体" w:cs="宋体"/>
                <w:color w:val="000000"/>
                <w:kern w:val="0"/>
                <w:sz w:val="18"/>
                <w:szCs w:val="18"/>
                <w:highlight w:val="none"/>
              </w:rPr>
            </w:pPr>
          </w:p>
        </w:tc>
      </w:tr>
      <w:tr w14:paraId="1BF1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047FF18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p>
        </w:tc>
        <w:tc>
          <w:tcPr>
            <w:tcW w:w="879" w:type="pct"/>
            <w:vMerge w:val="continue"/>
            <w:vAlign w:val="center"/>
          </w:tcPr>
          <w:p w14:paraId="00B792EB">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5635E84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开具</w:t>
            </w:r>
            <w:r>
              <w:rPr>
                <w:rFonts w:hint="eastAsia" w:ascii="宋体" w:hAnsi="宋体" w:cs="宋体"/>
                <w:color w:val="000000"/>
                <w:kern w:val="0"/>
                <w:sz w:val="18"/>
                <w:szCs w:val="18"/>
                <w:highlight w:val="none"/>
              </w:rPr>
              <w:t>住院证</w:t>
            </w:r>
          </w:p>
        </w:tc>
        <w:tc>
          <w:tcPr>
            <w:tcW w:w="1276" w:type="pct"/>
            <w:shd w:val="clear" w:color="auto" w:fill="auto"/>
            <w:vAlign w:val="center"/>
          </w:tcPr>
          <w:p w14:paraId="72180B0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7A0B5FF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0DE5599F">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5D45C03">
            <w:pPr>
              <w:widowControl/>
              <w:shd w:val="clear"/>
              <w:jc w:val="center"/>
              <w:rPr>
                <w:rFonts w:ascii="宋体" w:hAnsi="宋体" w:cs="宋体"/>
                <w:color w:val="000000"/>
                <w:kern w:val="0"/>
                <w:sz w:val="18"/>
                <w:szCs w:val="18"/>
                <w:highlight w:val="none"/>
              </w:rPr>
            </w:pPr>
          </w:p>
        </w:tc>
      </w:tr>
      <w:tr w14:paraId="4315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3442F84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17</w:t>
            </w:r>
          </w:p>
        </w:tc>
        <w:tc>
          <w:tcPr>
            <w:tcW w:w="879" w:type="pct"/>
            <w:vMerge w:val="continue"/>
            <w:vAlign w:val="center"/>
          </w:tcPr>
          <w:p w14:paraId="3D113F72">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5361314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获取</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患者列表</w:t>
            </w:r>
          </w:p>
        </w:tc>
        <w:tc>
          <w:tcPr>
            <w:tcW w:w="1276" w:type="pct"/>
            <w:shd w:val="clear" w:color="auto" w:fill="auto"/>
            <w:vAlign w:val="center"/>
          </w:tcPr>
          <w:p w14:paraId="0090510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7F55996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18421A03">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E0C4849">
            <w:pPr>
              <w:widowControl/>
              <w:shd w:val="clear"/>
              <w:jc w:val="center"/>
              <w:rPr>
                <w:rFonts w:ascii="宋体" w:hAnsi="宋体" w:cs="宋体"/>
                <w:color w:val="000000"/>
                <w:kern w:val="0"/>
                <w:sz w:val="18"/>
                <w:szCs w:val="18"/>
                <w:highlight w:val="none"/>
              </w:rPr>
            </w:pPr>
          </w:p>
        </w:tc>
      </w:tr>
      <w:tr w14:paraId="4A97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58B893F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18</w:t>
            </w:r>
          </w:p>
        </w:tc>
        <w:tc>
          <w:tcPr>
            <w:tcW w:w="879" w:type="pct"/>
            <w:vMerge w:val="continue"/>
            <w:vAlign w:val="center"/>
          </w:tcPr>
          <w:p w14:paraId="04953286">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173DB85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预约挂号接口</w:t>
            </w:r>
          </w:p>
        </w:tc>
        <w:tc>
          <w:tcPr>
            <w:tcW w:w="1276" w:type="pct"/>
            <w:shd w:val="clear" w:color="auto" w:fill="auto"/>
            <w:vAlign w:val="center"/>
          </w:tcPr>
          <w:p w14:paraId="791C215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73E43AA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51CD0E6C">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767FAC6">
            <w:pPr>
              <w:widowControl/>
              <w:shd w:val="clear"/>
              <w:jc w:val="center"/>
              <w:rPr>
                <w:rFonts w:ascii="宋体" w:hAnsi="宋体" w:cs="宋体"/>
                <w:color w:val="000000"/>
                <w:kern w:val="0"/>
                <w:sz w:val="18"/>
                <w:szCs w:val="18"/>
                <w:highlight w:val="none"/>
              </w:rPr>
            </w:pPr>
          </w:p>
        </w:tc>
      </w:tr>
      <w:tr w14:paraId="5D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144E01F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19</w:t>
            </w:r>
          </w:p>
        </w:tc>
        <w:tc>
          <w:tcPr>
            <w:tcW w:w="879" w:type="pct"/>
            <w:vMerge w:val="continue"/>
            <w:vAlign w:val="center"/>
          </w:tcPr>
          <w:p w14:paraId="4358105B">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3300C7C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插入远程会诊医嘱</w:t>
            </w:r>
          </w:p>
        </w:tc>
        <w:tc>
          <w:tcPr>
            <w:tcW w:w="1276" w:type="pct"/>
            <w:shd w:val="clear" w:color="auto" w:fill="auto"/>
            <w:vAlign w:val="center"/>
          </w:tcPr>
          <w:p w14:paraId="70C6B8B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7735CE2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11F510F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64FBDC8C">
            <w:pPr>
              <w:widowControl/>
              <w:shd w:val="clear"/>
              <w:jc w:val="center"/>
              <w:rPr>
                <w:rFonts w:ascii="宋体" w:hAnsi="宋体" w:cs="宋体"/>
                <w:color w:val="000000"/>
                <w:kern w:val="0"/>
                <w:sz w:val="18"/>
                <w:szCs w:val="18"/>
                <w:highlight w:val="none"/>
              </w:rPr>
            </w:pPr>
          </w:p>
        </w:tc>
      </w:tr>
      <w:tr w14:paraId="43E4B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0A028C7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879" w:type="pct"/>
            <w:vMerge w:val="restart"/>
            <w:shd w:val="clear" w:color="auto" w:fill="auto"/>
            <w:vAlign w:val="center"/>
          </w:tcPr>
          <w:p w14:paraId="2D1ACFC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预约挂号管理平台</w:t>
            </w:r>
          </w:p>
        </w:tc>
        <w:tc>
          <w:tcPr>
            <w:tcW w:w="1470" w:type="pct"/>
            <w:shd w:val="clear" w:color="auto" w:fill="auto"/>
            <w:vAlign w:val="center"/>
          </w:tcPr>
          <w:p w14:paraId="40FD048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预约挂号发起到医院的交易</w:t>
            </w:r>
          </w:p>
        </w:tc>
        <w:tc>
          <w:tcPr>
            <w:tcW w:w="1276" w:type="pct"/>
            <w:shd w:val="clear" w:color="auto" w:fill="auto"/>
            <w:vAlign w:val="center"/>
          </w:tcPr>
          <w:p w14:paraId="1A305B5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15579AB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53B716E4">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7077E3E">
            <w:pPr>
              <w:widowControl/>
              <w:shd w:val="clear"/>
              <w:jc w:val="center"/>
              <w:rPr>
                <w:rFonts w:ascii="宋体" w:hAnsi="宋体" w:cs="宋体"/>
                <w:color w:val="000000"/>
                <w:kern w:val="0"/>
                <w:sz w:val="18"/>
                <w:szCs w:val="18"/>
                <w:highlight w:val="none"/>
              </w:rPr>
            </w:pPr>
          </w:p>
        </w:tc>
      </w:tr>
      <w:tr w14:paraId="5BDBB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5C9FE63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879" w:type="pct"/>
            <w:vMerge w:val="continue"/>
            <w:vAlign w:val="center"/>
          </w:tcPr>
          <w:p w14:paraId="3A3F6824">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4F570C4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医院发起到预约挂号平台的交易接口</w:t>
            </w:r>
          </w:p>
        </w:tc>
        <w:tc>
          <w:tcPr>
            <w:tcW w:w="1276" w:type="pct"/>
            <w:shd w:val="clear" w:color="auto" w:fill="auto"/>
            <w:vAlign w:val="center"/>
          </w:tcPr>
          <w:p w14:paraId="6702FD1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5A9E4FB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4692C88A">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F4D85A0">
            <w:pPr>
              <w:widowControl/>
              <w:shd w:val="clear"/>
              <w:jc w:val="center"/>
              <w:rPr>
                <w:rFonts w:ascii="宋体" w:hAnsi="宋体" w:cs="宋体"/>
                <w:color w:val="000000"/>
                <w:kern w:val="0"/>
                <w:sz w:val="18"/>
                <w:szCs w:val="18"/>
                <w:highlight w:val="none"/>
              </w:rPr>
            </w:pPr>
          </w:p>
        </w:tc>
      </w:tr>
      <w:tr w14:paraId="3B714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4D7CEF7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879" w:type="pct"/>
            <w:vMerge w:val="restart"/>
            <w:shd w:val="clear" w:color="auto" w:fill="auto"/>
            <w:vAlign w:val="center"/>
          </w:tcPr>
          <w:p w14:paraId="5BE695B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医共体平台数据采集共享</w:t>
            </w:r>
          </w:p>
        </w:tc>
        <w:tc>
          <w:tcPr>
            <w:tcW w:w="1470" w:type="pct"/>
            <w:shd w:val="clear" w:color="auto" w:fill="auto"/>
            <w:vAlign w:val="center"/>
          </w:tcPr>
          <w:p w14:paraId="753B2B5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患者信息</w:t>
            </w:r>
          </w:p>
        </w:tc>
        <w:tc>
          <w:tcPr>
            <w:tcW w:w="1276" w:type="pct"/>
            <w:shd w:val="clear" w:color="auto" w:fill="auto"/>
            <w:vAlign w:val="center"/>
          </w:tcPr>
          <w:p w14:paraId="2FEF8CE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36809A6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5A435602">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6A9B473">
            <w:pPr>
              <w:widowControl/>
              <w:shd w:val="clear"/>
              <w:jc w:val="center"/>
              <w:rPr>
                <w:rFonts w:ascii="宋体" w:hAnsi="宋体" w:cs="宋体"/>
                <w:color w:val="000000"/>
                <w:kern w:val="0"/>
                <w:sz w:val="18"/>
                <w:szCs w:val="18"/>
                <w:highlight w:val="none"/>
              </w:rPr>
            </w:pPr>
          </w:p>
        </w:tc>
      </w:tr>
      <w:tr w14:paraId="1CF40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53E9823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23</w:t>
            </w:r>
          </w:p>
        </w:tc>
        <w:tc>
          <w:tcPr>
            <w:tcW w:w="879" w:type="pct"/>
            <w:vMerge w:val="continue"/>
            <w:vAlign w:val="center"/>
          </w:tcPr>
          <w:p w14:paraId="30AF60C6">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27DBD14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门急诊诊疗类数据</w:t>
            </w:r>
          </w:p>
        </w:tc>
        <w:tc>
          <w:tcPr>
            <w:tcW w:w="1276" w:type="pct"/>
            <w:shd w:val="clear" w:color="auto" w:fill="auto"/>
            <w:vAlign w:val="center"/>
          </w:tcPr>
          <w:p w14:paraId="358530B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415F181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2860B863">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5578DD08">
            <w:pPr>
              <w:widowControl/>
              <w:shd w:val="clear"/>
              <w:jc w:val="center"/>
              <w:rPr>
                <w:rFonts w:ascii="宋体" w:hAnsi="宋体" w:cs="宋体"/>
                <w:color w:val="000000"/>
                <w:kern w:val="0"/>
                <w:sz w:val="18"/>
                <w:szCs w:val="18"/>
                <w:highlight w:val="none"/>
              </w:rPr>
            </w:pPr>
          </w:p>
        </w:tc>
      </w:tr>
      <w:tr w14:paraId="0BF8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645A00E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24</w:t>
            </w:r>
          </w:p>
        </w:tc>
        <w:tc>
          <w:tcPr>
            <w:tcW w:w="879" w:type="pct"/>
            <w:vMerge w:val="continue"/>
            <w:vAlign w:val="center"/>
          </w:tcPr>
          <w:p w14:paraId="0CD5BAC2">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25DA5ED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住院诊疗类数据</w:t>
            </w:r>
          </w:p>
        </w:tc>
        <w:tc>
          <w:tcPr>
            <w:tcW w:w="1276" w:type="pct"/>
            <w:shd w:val="clear" w:color="auto" w:fill="auto"/>
            <w:vAlign w:val="center"/>
          </w:tcPr>
          <w:p w14:paraId="235E3B6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488BEF8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17F1B172">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28DDD1C">
            <w:pPr>
              <w:widowControl/>
              <w:shd w:val="clear"/>
              <w:jc w:val="center"/>
              <w:rPr>
                <w:rFonts w:ascii="宋体" w:hAnsi="宋体" w:cs="宋体"/>
                <w:color w:val="000000"/>
                <w:kern w:val="0"/>
                <w:sz w:val="18"/>
                <w:szCs w:val="18"/>
                <w:highlight w:val="none"/>
              </w:rPr>
            </w:pPr>
          </w:p>
        </w:tc>
      </w:tr>
      <w:tr w14:paraId="4E21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63CD315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25</w:t>
            </w:r>
          </w:p>
        </w:tc>
        <w:tc>
          <w:tcPr>
            <w:tcW w:w="879" w:type="pct"/>
            <w:vMerge w:val="continue"/>
            <w:vAlign w:val="center"/>
          </w:tcPr>
          <w:p w14:paraId="34669617">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4FEFEBD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医学影像检查记录</w:t>
            </w:r>
          </w:p>
        </w:tc>
        <w:tc>
          <w:tcPr>
            <w:tcW w:w="1276" w:type="pct"/>
            <w:shd w:val="clear" w:color="auto" w:fill="auto"/>
            <w:vAlign w:val="center"/>
          </w:tcPr>
          <w:p w14:paraId="28DA7B0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6BC2780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6B1B7313">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427E0E8">
            <w:pPr>
              <w:widowControl/>
              <w:shd w:val="clear"/>
              <w:jc w:val="center"/>
              <w:rPr>
                <w:rFonts w:ascii="宋体" w:hAnsi="宋体" w:cs="宋体"/>
                <w:color w:val="000000"/>
                <w:kern w:val="0"/>
                <w:sz w:val="18"/>
                <w:szCs w:val="18"/>
                <w:highlight w:val="none"/>
              </w:rPr>
            </w:pPr>
          </w:p>
        </w:tc>
      </w:tr>
      <w:tr w14:paraId="61908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68031E7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26</w:t>
            </w:r>
          </w:p>
        </w:tc>
        <w:tc>
          <w:tcPr>
            <w:tcW w:w="879" w:type="pct"/>
            <w:vMerge w:val="continue"/>
            <w:vAlign w:val="center"/>
          </w:tcPr>
          <w:p w14:paraId="6D5D35C7">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383769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实验室检验记录</w:t>
            </w:r>
          </w:p>
        </w:tc>
        <w:tc>
          <w:tcPr>
            <w:tcW w:w="1276" w:type="pct"/>
            <w:shd w:val="clear" w:color="auto" w:fill="auto"/>
            <w:vAlign w:val="center"/>
          </w:tcPr>
          <w:p w14:paraId="6EB9FA3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75C7F76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6DDC346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36CA8CD4">
            <w:pPr>
              <w:widowControl/>
              <w:shd w:val="clear"/>
              <w:jc w:val="center"/>
              <w:rPr>
                <w:rFonts w:ascii="宋体" w:hAnsi="宋体" w:cs="宋体"/>
                <w:color w:val="000000"/>
                <w:kern w:val="0"/>
                <w:sz w:val="18"/>
                <w:szCs w:val="18"/>
                <w:highlight w:val="none"/>
              </w:rPr>
            </w:pPr>
          </w:p>
        </w:tc>
      </w:tr>
      <w:tr w14:paraId="0AD0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0E243AE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27</w:t>
            </w:r>
          </w:p>
        </w:tc>
        <w:tc>
          <w:tcPr>
            <w:tcW w:w="879" w:type="pct"/>
            <w:vMerge w:val="continue"/>
            <w:vAlign w:val="center"/>
          </w:tcPr>
          <w:p w14:paraId="5E17A0E6">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0ABFF0F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w:t>
            </w:r>
          </w:p>
        </w:tc>
        <w:tc>
          <w:tcPr>
            <w:tcW w:w="1276" w:type="pct"/>
            <w:shd w:val="clear" w:color="auto" w:fill="auto"/>
            <w:vAlign w:val="center"/>
          </w:tcPr>
          <w:p w14:paraId="467B595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3FE50A0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0ABBED48">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6A67ECA2">
            <w:pPr>
              <w:widowControl/>
              <w:shd w:val="clear"/>
              <w:jc w:val="center"/>
              <w:rPr>
                <w:rFonts w:ascii="宋体" w:hAnsi="宋体" w:cs="宋体"/>
                <w:color w:val="000000"/>
                <w:kern w:val="0"/>
                <w:sz w:val="18"/>
                <w:szCs w:val="18"/>
                <w:highlight w:val="none"/>
              </w:rPr>
            </w:pPr>
          </w:p>
        </w:tc>
      </w:tr>
      <w:tr w14:paraId="49248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6E216F6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28</w:t>
            </w:r>
          </w:p>
        </w:tc>
        <w:tc>
          <w:tcPr>
            <w:tcW w:w="879" w:type="pct"/>
            <w:vMerge w:val="continue"/>
            <w:vAlign w:val="center"/>
          </w:tcPr>
          <w:p w14:paraId="09D83B8B">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4797EAF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转诊（院）记录</w:t>
            </w:r>
          </w:p>
        </w:tc>
        <w:tc>
          <w:tcPr>
            <w:tcW w:w="1276" w:type="pct"/>
            <w:shd w:val="clear" w:color="auto" w:fill="auto"/>
            <w:vAlign w:val="center"/>
          </w:tcPr>
          <w:p w14:paraId="316C869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4CD99B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7695F9C5">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E46FC30">
            <w:pPr>
              <w:widowControl/>
              <w:shd w:val="clear"/>
              <w:jc w:val="center"/>
              <w:rPr>
                <w:rFonts w:ascii="宋体" w:hAnsi="宋体" w:cs="宋体"/>
                <w:color w:val="000000"/>
                <w:kern w:val="0"/>
                <w:sz w:val="18"/>
                <w:szCs w:val="18"/>
                <w:highlight w:val="none"/>
              </w:rPr>
            </w:pPr>
          </w:p>
        </w:tc>
      </w:tr>
      <w:tr w14:paraId="7DF5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44F7452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29</w:t>
            </w:r>
          </w:p>
        </w:tc>
        <w:tc>
          <w:tcPr>
            <w:tcW w:w="879" w:type="pct"/>
            <w:vMerge w:val="continue"/>
            <w:vAlign w:val="center"/>
          </w:tcPr>
          <w:p w14:paraId="388729E0">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209F33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医院体检记录</w:t>
            </w:r>
          </w:p>
        </w:tc>
        <w:tc>
          <w:tcPr>
            <w:tcW w:w="1276" w:type="pct"/>
            <w:shd w:val="clear" w:color="auto" w:fill="auto"/>
            <w:vAlign w:val="center"/>
          </w:tcPr>
          <w:p w14:paraId="53DCA5C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6FEBBE3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2C1B6BCD">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05082B6">
            <w:pPr>
              <w:widowControl/>
              <w:shd w:val="clear"/>
              <w:jc w:val="center"/>
              <w:rPr>
                <w:rFonts w:ascii="宋体" w:hAnsi="宋体" w:cs="宋体"/>
                <w:color w:val="000000"/>
                <w:kern w:val="0"/>
                <w:sz w:val="18"/>
                <w:szCs w:val="18"/>
                <w:highlight w:val="none"/>
              </w:rPr>
            </w:pPr>
          </w:p>
        </w:tc>
      </w:tr>
      <w:tr w14:paraId="2C5E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1A61E1F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30</w:t>
            </w:r>
          </w:p>
        </w:tc>
        <w:tc>
          <w:tcPr>
            <w:tcW w:w="879" w:type="pct"/>
            <w:vMerge w:val="continue"/>
            <w:vAlign w:val="center"/>
          </w:tcPr>
          <w:p w14:paraId="61F19350">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65B6C6C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医院感染</w:t>
            </w:r>
          </w:p>
        </w:tc>
        <w:tc>
          <w:tcPr>
            <w:tcW w:w="1276" w:type="pct"/>
            <w:shd w:val="clear" w:color="auto" w:fill="auto"/>
            <w:vAlign w:val="center"/>
          </w:tcPr>
          <w:p w14:paraId="2BE9DCA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66BA384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2C4C421F">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4EE981D1">
            <w:pPr>
              <w:widowControl/>
              <w:shd w:val="clear"/>
              <w:jc w:val="center"/>
              <w:rPr>
                <w:rFonts w:ascii="宋体" w:hAnsi="宋体" w:cs="宋体"/>
                <w:color w:val="000000"/>
                <w:kern w:val="0"/>
                <w:sz w:val="18"/>
                <w:szCs w:val="18"/>
                <w:highlight w:val="none"/>
              </w:rPr>
            </w:pPr>
          </w:p>
        </w:tc>
      </w:tr>
      <w:tr w14:paraId="584EB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368611B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879" w:type="pct"/>
            <w:vMerge w:val="continue"/>
            <w:vAlign w:val="center"/>
          </w:tcPr>
          <w:p w14:paraId="6342E857">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7ED3F8A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不良事件</w:t>
            </w:r>
          </w:p>
        </w:tc>
        <w:tc>
          <w:tcPr>
            <w:tcW w:w="1276" w:type="pct"/>
            <w:shd w:val="clear" w:color="auto" w:fill="auto"/>
            <w:vAlign w:val="center"/>
          </w:tcPr>
          <w:p w14:paraId="685F827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08A05CA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0966E0CD">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4D2E28D8">
            <w:pPr>
              <w:widowControl/>
              <w:shd w:val="clear"/>
              <w:jc w:val="center"/>
              <w:rPr>
                <w:rFonts w:ascii="宋体" w:hAnsi="宋体" w:cs="宋体"/>
                <w:color w:val="000000"/>
                <w:kern w:val="0"/>
                <w:sz w:val="18"/>
                <w:szCs w:val="18"/>
                <w:highlight w:val="none"/>
              </w:rPr>
            </w:pPr>
          </w:p>
        </w:tc>
      </w:tr>
      <w:tr w14:paraId="7082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55E04AD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879" w:type="pct"/>
            <w:vMerge w:val="continue"/>
            <w:vAlign w:val="center"/>
          </w:tcPr>
          <w:p w14:paraId="5077C9F7">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25FCC3C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传染病上报</w:t>
            </w:r>
          </w:p>
        </w:tc>
        <w:tc>
          <w:tcPr>
            <w:tcW w:w="1276" w:type="pct"/>
            <w:shd w:val="clear" w:color="auto" w:fill="auto"/>
            <w:vAlign w:val="center"/>
          </w:tcPr>
          <w:p w14:paraId="33A7EB4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113DF06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631AF95A">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36B3F2E4">
            <w:pPr>
              <w:widowControl/>
              <w:shd w:val="clear"/>
              <w:jc w:val="center"/>
              <w:rPr>
                <w:rFonts w:ascii="宋体" w:hAnsi="宋体" w:cs="宋体"/>
                <w:color w:val="000000"/>
                <w:kern w:val="0"/>
                <w:sz w:val="18"/>
                <w:szCs w:val="18"/>
                <w:highlight w:val="none"/>
              </w:rPr>
            </w:pPr>
          </w:p>
        </w:tc>
      </w:tr>
      <w:tr w14:paraId="3AFDD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3AB8942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879" w:type="pct"/>
            <w:vMerge w:val="continue"/>
            <w:vAlign w:val="center"/>
          </w:tcPr>
          <w:p w14:paraId="60EEA07B">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08081E9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临床用血信息</w:t>
            </w:r>
          </w:p>
        </w:tc>
        <w:tc>
          <w:tcPr>
            <w:tcW w:w="1276" w:type="pct"/>
            <w:shd w:val="clear" w:color="auto" w:fill="auto"/>
            <w:vAlign w:val="center"/>
          </w:tcPr>
          <w:p w14:paraId="0D296C1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09C8F00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6AE6040C">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16A5D24">
            <w:pPr>
              <w:widowControl/>
              <w:shd w:val="clear"/>
              <w:jc w:val="center"/>
              <w:rPr>
                <w:rFonts w:ascii="宋体" w:hAnsi="宋体" w:cs="宋体"/>
                <w:color w:val="000000"/>
                <w:kern w:val="0"/>
                <w:sz w:val="18"/>
                <w:szCs w:val="18"/>
                <w:highlight w:val="none"/>
              </w:rPr>
            </w:pPr>
          </w:p>
        </w:tc>
      </w:tr>
      <w:tr w14:paraId="6ED6C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2991283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879" w:type="pct"/>
            <w:vMerge w:val="continue"/>
            <w:vAlign w:val="center"/>
          </w:tcPr>
          <w:p w14:paraId="3422F879">
            <w:pPr>
              <w:widowControl/>
              <w:shd w:val="clear"/>
              <w:jc w:val="left"/>
              <w:rPr>
                <w:rFonts w:ascii="宋体" w:hAnsi="宋体" w:cs="宋体"/>
                <w:color w:val="000000"/>
                <w:kern w:val="0"/>
                <w:sz w:val="18"/>
                <w:szCs w:val="18"/>
                <w:highlight w:val="none"/>
              </w:rPr>
            </w:pPr>
          </w:p>
        </w:tc>
        <w:tc>
          <w:tcPr>
            <w:tcW w:w="1470" w:type="pct"/>
            <w:shd w:val="clear" w:color="auto" w:fill="auto"/>
            <w:vAlign w:val="center"/>
          </w:tcPr>
          <w:p w14:paraId="4F5568A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运营业务监管</w:t>
            </w:r>
          </w:p>
        </w:tc>
        <w:tc>
          <w:tcPr>
            <w:tcW w:w="1276" w:type="pct"/>
            <w:shd w:val="clear" w:color="auto" w:fill="auto"/>
            <w:vAlign w:val="center"/>
          </w:tcPr>
          <w:p w14:paraId="6C79BC6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313" w:type="pct"/>
            <w:shd w:val="clear" w:color="auto" w:fill="auto"/>
            <w:vAlign w:val="center"/>
          </w:tcPr>
          <w:p w14:paraId="73EE7E9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7" w:type="pct"/>
            <w:vMerge w:val="continue"/>
            <w:shd w:val="clear" w:color="auto" w:fill="auto"/>
            <w:vAlign w:val="center"/>
          </w:tcPr>
          <w:p w14:paraId="0DF6C6B8">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8C387C0">
            <w:pPr>
              <w:widowControl/>
              <w:shd w:val="clear"/>
              <w:jc w:val="center"/>
              <w:rPr>
                <w:rFonts w:ascii="宋体" w:hAnsi="宋体" w:cs="宋体"/>
                <w:color w:val="000000"/>
                <w:kern w:val="0"/>
                <w:sz w:val="18"/>
                <w:szCs w:val="18"/>
                <w:highlight w:val="none"/>
              </w:rPr>
            </w:pPr>
          </w:p>
        </w:tc>
      </w:tr>
      <w:tr w14:paraId="114A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6" w:type="pct"/>
            <w:shd w:val="clear" w:color="auto" w:fill="auto"/>
            <w:vAlign w:val="center"/>
          </w:tcPr>
          <w:p w14:paraId="6CD7FCFF">
            <w:pPr>
              <w:widowControl/>
              <w:shd w:val="clear"/>
              <w:jc w:val="center"/>
              <w:rPr>
                <w:rFonts w:ascii="宋体" w:hAnsi="宋体" w:cs="宋体"/>
                <w:color w:val="000000"/>
                <w:kern w:val="0"/>
                <w:sz w:val="18"/>
                <w:szCs w:val="18"/>
                <w:highlight w:val="none"/>
              </w:rPr>
            </w:pPr>
            <w:bookmarkStart w:id="9" w:name="_Toc9104"/>
            <w:r>
              <w:rPr>
                <w:rFonts w:hint="eastAsia" w:ascii="宋体" w:hAnsi="宋体" w:cs="宋体"/>
                <w:color w:val="000000"/>
                <w:kern w:val="0"/>
                <w:sz w:val="18"/>
                <w:szCs w:val="18"/>
                <w:highlight w:val="none"/>
              </w:rPr>
              <w:t>35</w:t>
            </w:r>
          </w:p>
        </w:tc>
        <w:tc>
          <w:tcPr>
            <w:tcW w:w="4336" w:type="pct"/>
            <w:gridSpan w:val="5"/>
            <w:vAlign w:val="center"/>
          </w:tcPr>
          <w:p w14:paraId="23471CB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合计</w:t>
            </w:r>
          </w:p>
        </w:tc>
        <w:tc>
          <w:tcPr>
            <w:tcW w:w="377" w:type="pct"/>
            <w:shd w:val="clear" w:color="auto" w:fill="auto"/>
            <w:vAlign w:val="center"/>
          </w:tcPr>
          <w:p w14:paraId="03227942">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170000</w:t>
            </w:r>
          </w:p>
        </w:tc>
      </w:tr>
    </w:tbl>
    <w:p w14:paraId="43CE857C">
      <w:pPr>
        <w:shd w:val="clear"/>
        <w:rPr>
          <w:highlight w:val="none"/>
        </w:rPr>
      </w:pPr>
      <w:r>
        <w:rPr>
          <w:rFonts w:hint="eastAsia"/>
          <w:highlight w:val="none"/>
        </w:rPr>
        <w:br w:type="page"/>
      </w:r>
    </w:p>
    <w:p w14:paraId="7491D9C5">
      <w:pPr>
        <w:pStyle w:val="5"/>
        <w:numPr>
          <w:ilvl w:val="2"/>
          <w:numId w:val="0"/>
        </w:numPr>
        <w:shd w:val="clear"/>
        <w:rPr>
          <w:highlight w:val="none"/>
        </w:rPr>
      </w:pPr>
      <w:r>
        <w:rPr>
          <w:rFonts w:hint="eastAsia"/>
          <w:highlight w:val="none"/>
          <w:lang w:val="en-US" w:eastAsia="zh-CN"/>
        </w:rPr>
        <w:t>6</w:t>
      </w:r>
      <w:r>
        <w:rPr>
          <w:rFonts w:hint="eastAsia"/>
          <w:highlight w:val="none"/>
        </w:rPr>
        <w:t>、喀喇沁旗中医蒙医医院医共体接口对接服务</w:t>
      </w:r>
      <w:bookmarkEnd w:id="9"/>
    </w:p>
    <w:tbl>
      <w:tblPr>
        <w:tblStyle w:val="48"/>
        <w:tblW w:w="4960" w:type="pct"/>
        <w:tblInd w:w="0" w:type="dxa"/>
        <w:tblLayout w:type="autofit"/>
        <w:tblCellMar>
          <w:top w:w="0" w:type="dxa"/>
          <w:left w:w="108" w:type="dxa"/>
          <w:bottom w:w="0" w:type="dxa"/>
          <w:right w:w="108" w:type="dxa"/>
        </w:tblCellMar>
      </w:tblPr>
      <w:tblGrid>
        <w:gridCol w:w="801"/>
        <w:gridCol w:w="2468"/>
        <w:gridCol w:w="4130"/>
        <w:gridCol w:w="3697"/>
        <w:gridCol w:w="782"/>
        <w:gridCol w:w="1123"/>
        <w:gridCol w:w="1061"/>
      </w:tblGrid>
      <w:tr w14:paraId="19C09541">
        <w:tblPrEx>
          <w:tblCellMar>
            <w:top w:w="0" w:type="dxa"/>
            <w:left w:w="108" w:type="dxa"/>
            <w:bottom w:w="0" w:type="dxa"/>
            <w:right w:w="108" w:type="dxa"/>
          </w:tblCellMar>
        </w:tblPrEx>
        <w:trPr>
          <w:trHeight w:val="57" w:hRule="atLeast"/>
          <w:tblHeader/>
        </w:trPr>
        <w:tc>
          <w:tcPr>
            <w:tcW w:w="285" w:type="pct"/>
            <w:tcBorders>
              <w:top w:val="single" w:color="auto" w:sz="4" w:space="0"/>
              <w:left w:val="single" w:color="auto" w:sz="4" w:space="0"/>
              <w:bottom w:val="single" w:color="auto" w:sz="4" w:space="0"/>
              <w:right w:val="single" w:color="auto" w:sz="4" w:space="0"/>
            </w:tcBorders>
            <w:shd w:val="clear" w:color="auto" w:fill="auto"/>
            <w:vAlign w:val="center"/>
          </w:tcPr>
          <w:p w14:paraId="5808860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877" w:type="pct"/>
            <w:tcBorders>
              <w:top w:val="single" w:color="auto" w:sz="4" w:space="0"/>
              <w:left w:val="nil"/>
              <w:bottom w:val="single" w:color="auto" w:sz="4" w:space="0"/>
              <w:right w:val="single" w:color="auto" w:sz="4" w:space="0"/>
            </w:tcBorders>
            <w:shd w:val="clear" w:color="auto" w:fill="auto"/>
            <w:vAlign w:val="center"/>
          </w:tcPr>
          <w:p w14:paraId="46E1094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系统分类</w:t>
            </w:r>
          </w:p>
        </w:tc>
        <w:tc>
          <w:tcPr>
            <w:tcW w:w="1468" w:type="pct"/>
            <w:tcBorders>
              <w:top w:val="single" w:color="auto" w:sz="4" w:space="0"/>
              <w:left w:val="nil"/>
              <w:bottom w:val="single" w:color="auto" w:sz="4" w:space="0"/>
              <w:right w:val="single" w:color="auto" w:sz="4" w:space="0"/>
            </w:tcBorders>
            <w:shd w:val="clear" w:color="auto" w:fill="auto"/>
            <w:vAlign w:val="center"/>
          </w:tcPr>
          <w:p w14:paraId="19C30E6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系统名称</w:t>
            </w:r>
          </w:p>
        </w:tc>
        <w:tc>
          <w:tcPr>
            <w:tcW w:w="1314" w:type="pct"/>
            <w:tcBorders>
              <w:top w:val="single" w:color="auto" w:sz="4" w:space="0"/>
              <w:left w:val="nil"/>
              <w:bottom w:val="single" w:color="auto" w:sz="4" w:space="0"/>
              <w:right w:val="single" w:color="auto" w:sz="4" w:space="0"/>
            </w:tcBorders>
            <w:shd w:val="clear" w:color="auto" w:fill="auto"/>
            <w:vAlign w:val="center"/>
          </w:tcPr>
          <w:p w14:paraId="072E5395">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技术要求（参数具体要求）</w:t>
            </w:r>
          </w:p>
        </w:tc>
        <w:tc>
          <w:tcPr>
            <w:tcW w:w="278" w:type="pct"/>
            <w:tcBorders>
              <w:top w:val="single" w:color="auto" w:sz="4" w:space="0"/>
              <w:left w:val="nil"/>
              <w:bottom w:val="single" w:color="auto" w:sz="4" w:space="0"/>
              <w:right w:val="single" w:color="auto" w:sz="4" w:space="0"/>
            </w:tcBorders>
            <w:shd w:val="clear" w:color="auto" w:fill="auto"/>
            <w:vAlign w:val="center"/>
          </w:tcPr>
          <w:p w14:paraId="45D1726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398" w:type="pct"/>
            <w:tcBorders>
              <w:top w:val="single" w:color="auto" w:sz="4" w:space="0"/>
              <w:left w:val="nil"/>
              <w:bottom w:val="single" w:color="auto" w:sz="4" w:space="0"/>
              <w:right w:val="single" w:color="auto" w:sz="4" w:space="0"/>
            </w:tcBorders>
            <w:shd w:val="clear" w:color="auto" w:fill="auto"/>
            <w:vAlign w:val="center"/>
          </w:tcPr>
          <w:p w14:paraId="2FB3016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单价（元）</w:t>
            </w:r>
          </w:p>
        </w:tc>
        <w:tc>
          <w:tcPr>
            <w:tcW w:w="377" w:type="pct"/>
            <w:tcBorders>
              <w:top w:val="single" w:color="auto" w:sz="4" w:space="0"/>
              <w:left w:val="nil"/>
              <w:bottom w:val="single" w:color="auto" w:sz="4" w:space="0"/>
              <w:right w:val="single" w:color="auto" w:sz="4" w:space="0"/>
            </w:tcBorders>
            <w:shd w:val="clear" w:color="auto" w:fill="auto"/>
            <w:vAlign w:val="center"/>
          </w:tcPr>
          <w:p w14:paraId="2A0FD54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4B5F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639C8E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877" w:type="pct"/>
            <w:shd w:val="clear" w:color="auto" w:fill="auto"/>
            <w:vAlign w:val="center"/>
          </w:tcPr>
          <w:p w14:paraId="70054B9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主索引</w:t>
            </w:r>
          </w:p>
        </w:tc>
        <w:tc>
          <w:tcPr>
            <w:tcW w:w="1468" w:type="pct"/>
            <w:shd w:val="clear" w:color="auto" w:fill="auto"/>
            <w:vAlign w:val="center"/>
          </w:tcPr>
          <w:p w14:paraId="3D4C508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患者主索引接口</w:t>
            </w:r>
          </w:p>
        </w:tc>
        <w:tc>
          <w:tcPr>
            <w:tcW w:w="1314" w:type="pct"/>
            <w:shd w:val="clear" w:color="auto" w:fill="auto"/>
            <w:vAlign w:val="center"/>
          </w:tcPr>
          <w:p w14:paraId="3AE8868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1FE7ADE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restart"/>
            <w:shd w:val="clear" w:color="auto" w:fill="auto"/>
            <w:vAlign w:val="center"/>
          </w:tcPr>
          <w:p w14:paraId="7F001BA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170000</w:t>
            </w:r>
          </w:p>
        </w:tc>
        <w:tc>
          <w:tcPr>
            <w:tcW w:w="377" w:type="pct"/>
            <w:vMerge w:val="restart"/>
            <w:shd w:val="clear" w:color="auto" w:fill="auto"/>
            <w:vAlign w:val="center"/>
          </w:tcPr>
          <w:p w14:paraId="400701A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170000</w:t>
            </w:r>
          </w:p>
        </w:tc>
      </w:tr>
      <w:tr w14:paraId="6CC2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7EA7F89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877" w:type="pct"/>
            <w:shd w:val="clear" w:color="auto" w:fill="auto"/>
            <w:vAlign w:val="center"/>
          </w:tcPr>
          <w:p w14:paraId="5B35C3F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健康浏览器</w:t>
            </w:r>
          </w:p>
        </w:tc>
        <w:tc>
          <w:tcPr>
            <w:tcW w:w="1468" w:type="pct"/>
            <w:shd w:val="clear" w:color="auto" w:fill="auto"/>
            <w:vAlign w:val="center"/>
          </w:tcPr>
          <w:p w14:paraId="457829F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电子病历及健康档案记录和信息共享</w:t>
            </w:r>
          </w:p>
        </w:tc>
        <w:tc>
          <w:tcPr>
            <w:tcW w:w="1314" w:type="pct"/>
            <w:shd w:val="clear" w:color="auto" w:fill="auto"/>
            <w:vAlign w:val="center"/>
          </w:tcPr>
          <w:p w14:paraId="10B68C1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7F9E3A4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62CF8BF6">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13364D54">
            <w:pPr>
              <w:widowControl/>
              <w:shd w:val="clear"/>
              <w:jc w:val="center"/>
              <w:rPr>
                <w:rFonts w:ascii="宋体" w:hAnsi="宋体" w:cs="宋体"/>
                <w:color w:val="000000"/>
                <w:kern w:val="0"/>
                <w:sz w:val="18"/>
                <w:szCs w:val="18"/>
                <w:highlight w:val="none"/>
              </w:rPr>
            </w:pPr>
          </w:p>
        </w:tc>
      </w:tr>
      <w:tr w14:paraId="797E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3C9E12D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877" w:type="pct"/>
            <w:vMerge w:val="restart"/>
            <w:shd w:val="clear" w:color="auto" w:fill="auto"/>
            <w:vAlign w:val="center"/>
          </w:tcPr>
          <w:p w14:paraId="2667402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区域检验检查中心</w:t>
            </w:r>
          </w:p>
        </w:tc>
        <w:tc>
          <w:tcPr>
            <w:tcW w:w="1468" w:type="pct"/>
            <w:shd w:val="clear" w:color="auto" w:fill="auto"/>
            <w:vAlign w:val="center"/>
          </w:tcPr>
          <w:p w14:paraId="571F95C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统一资源管理接口</w:t>
            </w:r>
          </w:p>
        </w:tc>
        <w:tc>
          <w:tcPr>
            <w:tcW w:w="1314" w:type="pct"/>
            <w:shd w:val="clear" w:color="auto" w:fill="auto"/>
            <w:vAlign w:val="center"/>
          </w:tcPr>
          <w:p w14:paraId="4285CEF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6132E1F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5B1E239A">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44F2B85">
            <w:pPr>
              <w:widowControl/>
              <w:shd w:val="clear"/>
              <w:jc w:val="center"/>
              <w:rPr>
                <w:rFonts w:ascii="宋体" w:hAnsi="宋体" w:cs="宋体"/>
                <w:color w:val="000000"/>
                <w:kern w:val="0"/>
                <w:sz w:val="18"/>
                <w:szCs w:val="18"/>
                <w:highlight w:val="none"/>
              </w:rPr>
            </w:pPr>
          </w:p>
        </w:tc>
      </w:tr>
      <w:tr w14:paraId="06C3B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D8D8E0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877" w:type="pct"/>
            <w:vMerge w:val="continue"/>
            <w:vAlign w:val="center"/>
          </w:tcPr>
          <w:p w14:paraId="4F8ABDBE">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6BA8E8F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区域检验中心接口说明</w:t>
            </w:r>
          </w:p>
        </w:tc>
        <w:tc>
          <w:tcPr>
            <w:tcW w:w="1314" w:type="pct"/>
            <w:shd w:val="clear" w:color="auto" w:fill="auto"/>
            <w:vAlign w:val="center"/>
          </w:tcPr>
          <w:p w14:paraId="043B74E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7D76B5A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63B8FE83">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6D5BBEE7">
            <w:pPr>
              <w:widowControl/>
              <w:shd w:val="clear"/>
              <w:jc w:val="center"/>
              <w:rPr>
                <w:rFonts w:ascii="宋体" w:hAnsi="宋体" w:cs="宋体"/>
                <w:color w:val="000000"/>
                <w:kern w:val="0"/>
                <w:sz w:val="18"/>
                <w:szCs w:val="18"/>
                <w:highlight w:val="none"/>
              </w:rPr>
            </w:pPr>
          </w:p>
        </w:tc>
      </w:tr>
      <w:tr w14:paraId="3FC6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677911A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877" w:type="pct"/>
            <w:vMerge w:val="continue"/>
            <w:vAlign w:val="center"/>
          </w:tcPr>
          <w:p w14:paraId="6B3B90CA">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67FBEF0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区域检查中心接口</w:t>
            </w:r>
          </w:p>
        </w:tc>
        <w:tc>
          <w:tcPr>
            <w:tcW w:w="1314" w:type="pct"/>
            <w:shd w:val="clear" w:color="auto" w:fill="auto"/>
            <w:vAlign w:val="center"/>
          </w:tcPr>
          <w:p w14:paraId="659013C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3232F58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703FF383">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1E642624">
            <w:pPr>
              <w:widowControl/>
              <w:shd w:val="clear"/>
              <w:jc w:val="center"/>
              <w:rPr>
                <w:rFonts w:ascii="宋体" w:hAnsi="宋体" w:cs="宋体"/>
                <w:color w:val="000000"/>
                <w:kern w:val="0"/>
                <w:sz w:val="18"/>
                <w:szCs w:val="18"/>
                <w:highlight w:val="none"/>
              </w:rPr>
            </w:pPr>
          </w:p>
        </w:tc>
      </w:tr>
      <w:tr w14:paraId="6CF3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0C2176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877" w:type="pct"/>
            <w:vMerge w:val="restart"/>
            <w:shd w:val="clear" w:color="auto" w:fill="auto"/>
            <w:vAlign w:val="center"/>
          </w:tcPr>
          <w:p w14:paraId="2FC72C4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w:t>
            </w:r>
          </w:p>
        </w:tc>
        <w:tc>
          <w:tcPr>
            <w:tcW w:w="1468" w:type="pct"/>
            <w:shd w:val="clear" w:color="auto" w:fill="auto"/>
            <w:vAlign w:val="center"/>
          </w:tcPr>
          <w:p w14:paraId="288E010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患者注册接口</w:t>
            </w:r>
          </w:p>
        </w:tc>
        <w:tc>
          <w:tcPr>
            <w:tcW w:w="1314" w:type="pct"/>
            <w:shd w:val="clear" w:color="auto" w:fill="auto"/>
            <w:vAlign w:val="center"/>
          </w:tcPr>
          <w:p w14:paraId="5EC9BD1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5CEAC93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620DA6AD">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00A15C4">
            <w:pPr>
              <w:widowControl/>
              <w:shd w:val="clear"/>
              <w:jc w:val="center"/>
              <w:rPr>
                <w:rFonts w:ascii="宋体" w:hAnsi="宋体" w:cs="宋体"/>
                <w:color w:val="000000"/>
                <w:kern w:val="0"/>
                <w:sz w:val="18"/>
                <w:szCs w:val="18"/>
                <w:highlight w:val="none"/>
              </w:rPr>
            </w:pPr>
          </w:p>
        </w:tc>
      </w:tr>
      <w:tr w14:paraId="2E883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2CB63B1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w:t>
            </w:r>
          </w:p>
        </w:tc>
        <w:tc>
          <w:tcPr>
            <w:tcW w:w="877" w:type="pct"/>
            <w:vMerge w:val="continue"/>
            <w:vAlign w:val="center"/>
          </w:tcPr>
          <w:p w14:paraId="340E4CEA">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3216181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系统登录接口</w:t>
            </w:r>
          </w:p>
        </w:tc>
        <w:tc>
          <w:tcPr>
            <w:tcW w:w="1314" w:type="pct"/>
            <w:shd w:val="clear" w:color="auto" w:fill="auto"/>
            <w:vAlign w:val="center"/>
          </w:tcPr>
          <w:p w14:paraId="2E2E9AF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45F04CF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6522D4BC">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5FACED2">
            <w:pPr>
              <w:widowControl/>
              <w:shd w:val="clear"/>
              <w:jc w:val="center"/>
              <w:rPr>
                <w:rFonts w:ascii="宋体" w:hAnsi="宋体" w:cs="宋体"/>
                <w:color w:val="000000"/>
                <w:kern w:val="0"/>
                <w:sz w:val="18"/>
                <w:szCs w:val="18"/>
                <w:highlight w:val="none"/>
              </w:rPr>
            </w:pPr>
          </w:p>
        </w:tc>
      </w:tr>
      <w:tr w14:paraId="077A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66F0F4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877" w:type="pct"/>
            <w:vMerge w:val="continue"/>
            <w:vAlign w:val="center"/>
          </w:tcPr>
          <w:p w14:paraId="211C0D23">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097DB72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基础数据同步接口</w:t>
            </w:r>
          </w:p>
        </w:tc>
        <w:tc>
          <w:tcPr>
            <w:tcW w:w="1314" w:type="pct"/>
            <w:shd w:val="clear" w:color="auto" w:fill="auto"/>
            <w:vAlign w:val="center"/>
          </w:tcPr>
          <w:p w14:paraId="48E255B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361A58A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11FDD2C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71BE4C8">
            <w:pPr>
              <w:widowControl/>
              <w:shd w:val="clear"/>
              <w:jc w:val="center"/>
              <w:rPr>
                <w:rFonts w:ascii="宋体" w:hAnsi="宋体" w:cs="宋体"/>
                <w:color w:val="000000"/>
                <w:kern w:val="0"/>
                <w:sz w:val="18"/>
                <w:szCs w:val="18"/>
                <w:highlight w:val="none"/>
              </w:rPr>
            </w:pPr>
          </w:p>
        </w:tc>
      </w:tr>
      <w:tr w14:paraId="40C7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2A7AE37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w:t>
            </w:r>
          </w:p>
        </w:tc>
        <w:tc>
          <w:tcPr>
            <w:tcW w:w="877" w:type="pct"/>
            <w:vMerge w:val="continue"/>
            <w:vAlign w:val="center"/>
          </w:tcPr>
          <w:p w14:paraId="46040FAC">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4E79B78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分级诊疗获取患者信息</w:t>
            </w:r>
          </w:p>
        </w:tc>
        <w:tc>
          <w:tcPr>
            <w:tcW w:w="1314" w:type="pct"/>
            <w:shd w:val="clear" w:color="auto" w:fill="auto"/>
            <w:vAlign w:val="center"/>
          </w:tcPr>
          <w:p w14:paraId="0271849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0FFB5BC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6B47A25E">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C9B2C7B">
            <w:pPr>
              <w:widowControl/>
              <w:shd w:val="clear"/>
              <w:jc w:val="center"/>
              <w:rPr>
                <w:rFonts w:ascii="宋体" w:hAnsi="宋体" w:cs="宋体"/>
                <w:color w:val="000000"/>
                <w:kern w:val="0"/>
                <w:sz w:val="18"/>
                <w:szCs w:val="18"/>
                <w:highlight w:val="none"/>
              </w:rPr>
            </w:pPr>
          </w:p>
        </w:tc>
      </w:tr>
      <w:tr w14:paraId="6039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47FCE0B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877" w:type="pct"/>
            <w:vMerge w:val="continue"/>
            <w:vAlign w:val="center"/>
          </w:tcPr>
          <w:p w14:paraId="7FDACECA">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4617B00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分级诊疗转诊单号查询接口</w:t>
            </w:r>
          </w:p>
        </w:tc>
        <w:tc>
          <w:tcPr>
            <w:tcW w:w="1314" w:type="pct"/>
            <w:shd w:val="clear" w:color="auto" w:fill="auto"/>
            <w:vAlign w:val="center"/>
          </w:tcPr>
          <w:p w14:paraId="7E5C5E2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6A0BE62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79CF89E7">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5DB2B2F6">
            <w:pPr>
              <w:widowControl/>
              <w:shd w:val="clear"/>
              <w:jc w:val="center"/>
              <w:rPr>
                <w:rFonts w:ascii="宋体" w:hAnsi="宋体" w:cs="宋体"/>
                <w:color w:val="000000"/>
                <w:kern w:val="0"/>
                <w:sz w:val="18"/>
                <w:szCs w:val="18"/>
                <w:highlight w:val="none"/>
              </w:rPr>
            </w:pPr>
          </w:p>
        </w:tc>
      </w:tr>
      <w:tr w14:paraId="101B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607CCD9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877" w:type="pct"/>
            <w:vMerge w:val="continue"/>
            <w:vAlign w:val="center"/>
          </w:tcPr>
          <w:p w14:paraId="6F93A872">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4D9CEAF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查询转诊申请单接口</w:t>
            </w:r>
          </w:p>
        </w:tc>
        <w:tc>
          <w:tcPr>
            <w:tcW w:w="1314" w:type="pct"/>
            <w:shd w:val="clear" w:color="auto" w:fill="auto"/>
            <w:vAlign w:val="center"/>
          </w:tcPr>
          <w:p w14:paraId="68A4AC5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0230FD7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31E8D87D">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927579B">
            <w:pPr>
              <w:widowControl/>
              <w:shd w:val="clear"/>
              <w:jc w:val="center"/>
              <w:rPr>
                <w:rFonts w:ascii="宋体" w:hAnsi="宋体" w:cs="宋体"/>
                <w:color w:val="000000"/>
                <w:kern w:val="0"/>
                <w:sz w:val="18"/>
                <w:szCs w:val="18"/>
                <w:highlight w:val="none"/>
              </w:rPr>
            </w:pPr>
          </w:p>
        </w:tc>
      </w:tr>
      <w:tr w14:paraId="49E7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7E10A06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877" w:type="pct"/>
            <w:vMerge w:val="continue"/>
            <w:vAlign w:val="center"/>
          </w:tcPr>
          <w:p w14:paraId="0E5197A3">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54AC776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电子病历接口</w:t>
            </w:r>
          </w:p>
        </w:tc>
        <w:tc>
          <w:tcPr>
            <w:tcW w:w="1314" w:type="pct"/>
            <w:shd w:val="clear" w:color="auto" w:fill="auto"/>
            <w:vAlign w:val="center"/>
          </w:tcPr>
          <w:p w14:paraId="088CB82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16CA82F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32167BF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4CF08667">
            <w:pPr>
              <w:widowControl/>
              <w:shd w:val="clear"/>
              <w:jc w:val="center"/>
              <w:rPr>
                <w:rFonts w:ascii="宋体" w:hAnsi="宋体" w:cs="宋体"/>
                <w:color w:val="000000"/>
                <w:kern w:val="0"/>
                <w:sz w:val="18"/>
                <w:szCs w:val="18"/>
                <w:highlight w:val="none"/>
              </w:rPr>
            </w:pPr>
          </w:p>
        </w:tc>
      </w:tr>
      <w:tr w14:paraId="3041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B6F909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13</w:t>
            </w:r>
          </w:p>
        </w:tc>
        <w:tc>
          <w:tcPr>
            <w:tcW w:w="877" w:type="pct"/>
            <w:vMerge w:val="continue"/>
            <w:vAlign w:val="center"/>
          </w:tcPr>
          <w:p w14:paraId="4287F271">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63F01C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预约检查接口</w:t>
            </w:r>
          </w:p>
        </w:tc>
        <w:tc>
          <w:tcPr>
            <w:tcW w:w="1314" w:type="pct"/>
            <w:shd w:val="clear" w:color="auto" w:fill="auto"/>
            <w:vAlign w:val="center"/>
          </w:tcPr>
          <w:p w14:paraId="72E1C05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796FD6D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5D4B6BF6">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48DB1CE">
            <w:pPr>
              <w:widowControl/>
              <w:shd w:val="clear"/>
              <w:jc w:val="center"/>
              <w:rPr>
                <w:rFonts w:ascii="宋体" w:hAnsi="宋体" w:cs="宋体"/>
                <w:color w:val="000000"/>
                <w:kern w:val="0"/>
                <w:sz w:val="18"/>
                <w:szCs w:val="18"/>
                <w:highlight w:val="none"/>
              </w:rPr>
            </w:pPr>
          </w:p>
        </w:tc>
      </w:tr>
      <w:tr w14:paraId="64415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69CBBAE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14</w:t>
            </w:r>
          </w:p>
        </w:tc>
        <w:tc>
          <w:tcPr>
            <w:tcW w:w="877" w:type="pct"/>
            <w:vMerge w:val="continue"/>
            <w:vAlign w:val="center"/>
          </w:tcPr>
          <w:p w14:paraId="2B5BDE4D">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15174FF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预约检验接口</w:t>
            </w:r>
          </w:p>
        </w:tc>
        <w:tc>
          <w:tcPr>
            <w:tcW w:w="1314" w:type="pct"/>
            <w:shd w:val="clear" w:color="auto" w:fill="auto"/>
            <w:vAlign w:val="center"/>
          </w:tcPr>
          <w:p w14:paraId="7036D4C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73EDF41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7913F71F">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5781C3C4">
            <w:pPr>
              <w:widowControl/>
              <w:shd w:val="clear"/>
              <w:jc w:val="center"/>
              <w:rPr>
                <w:rFonts w:ascii="宋体" w:hAnsi="宋体" w:cs="宋体"/>
                <w:color w:val="000000"/>
                <w:kern w:val="0"/>
                <w:sz w:val="18"/>
                <w:szCs w:val="18"/>
                <w:highlight w:val="none"/>
              </w:rPr>
            </w:pPr>
          </w:p>
        </w:tc>
      </w:tr>
      <w:tr w14:paraId="62DE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893871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877" w:type="pct"/>
            <w:vMerge w:val="continue"/>
            <w:vAlign w:val="center"/>
          </w:tcPr>
          <w:p w14:paraId="72750514">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38EA494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标本送检</w:t>
            </w:r>
          </w:p>
        </w:tc>
        <w:tc>
          <w:tcPr>
            <w:tcW w:w="1314" w:type="pct"/>
            <w:shd w:val="clear" w:color="auto" w:fill="auto"/>
            <w:vAlign w:val="center"/>
          </w:tcPr>
          <w:p w14:paraId="32A48D6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56F09AA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3F2E24A2">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3D91FDB9">
            <w:pPr>
              <w:widowControl/>
              <w:shd w:val="clear"/>
              <w:jc w:val="center"/>
              <w:rPr>
                <w:rFonts w:ascii="宋体" w:hAnsi="宋体" w:cs="宋体"/>
                <w:color w:val="000000"/>
                <w:kern w:val="0"/>
                <w:sz w:val="18"/>
                <w:szCs w:val="18"/>
                <w:highlight w:val="none"/>
              </w:rPr>
            </w:pPr>
          </w:p>
        </w:tc>
      </w:tr>
      <w:tr w14:paraId="74AA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73C7F2E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p>
        </w:tc>
        <w:tc>
          <w:tcPr>
            <w:tcW w:w="877" w:type="pct"/>
            <w:vMerge w:val="continue"/>
            <w:vAlign w:val="center"/>
          </w:tcPr>
          <w:p w14:paraId="2BD00063">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797F401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开具</w:t>
            </w:r>
            <w:r>
              <w:rPr>
                <w:rFonts w:hint="eastAsia" w:ascii="宋体" w:hAnsi="宋体" w:cs="宋体"/>
                <w:color w:val="000000"/>
                <w:kern w:val="0"/>
                <w:sz w:val="18"/>
                <w:szCs w:val="18"/>
                <w:highlight w:val="none"/>
              </w:rPr>
              <w:t>住院证</w:t>
            </w:r>
          </w:p>
        </w:tc>
        <w:tc>
          <w:tcPr>
            <w:tcW w:w="1314" w:type="pct"/>
            <w:shd w:val="clear" w:color="auto" w:fill="auto"/>
            <w:vAlign w:val="center"/>
          </w:tcPr>
          <w:p w14:paraId="2F760C2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6F6CC19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05FF4725">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D3B0CC0">
            <w:pPr>
              <w:widowControl/>
              <w:shd w:val="clear"/>
              <w:jc w:val="center"/>
              <w:rPr>
                <w:rFonts w:ascii="宋体" w:hAnsi="宋体" w:cs="宋体"/>
                <w:color w:val="000000"/>
                <w:kern w:val="0"/>
                <w:sz w:val="18"/>
                <w:szCs w:val="18"/>
                <w:highlight w:val="none"/>
              </w:rPr>
            </w:pPr>
          </w:p>
        </w:tc>
      </w:tr>
      <w:tr w14:paraId="6349D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37A8199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17</w:t>
            </w:r>
          </w:p>
        </w:tc>
        <w:tc>
          <w:tcPr>
            <w:tcW w:w="877" w:type="pct"/>
            <w:vMerge w:val="continue"/>
            <w:vAlign w:val="center"/>
          </w:tcPr>
          <w:p w14:paraId="6C6EF2EE">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7E099C2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获取</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患者列表</w:t>
            </w:r>
          </w:p>
        </w:tc>
        <w:tc>
          <w:tcPr>
            <w:tcW w:w="1314" w:type="pct"/>
            <w:shd w:val="clear" w:color="auto" w:fill="auto"/>
            <w:vAlign w:val="center"/>
          </w:tcPr>
          <w:p w14:paraId="69EB667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6822B63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009AB269">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4BA84B8A">
            <w:pPr>
              <w:widowControl/>
              <w:shd w:val="clear"/>
              <w:jc w:val="center"/>
              <w:rPr>
                <w:rFonts w:ascii="宋体" w:hAnsi="宋体" w:cs="宋体"/>
                <w:color w:val="000000"/>
                <w:kern w:val="0"/>
                <w:sz w:val="18"/>
                <w:szCs w:val="18"/>
                <w:highlight w:val="none"/>
              </w:rPr>
            </w:pPr>
          </w:p>
        </w:tc>
      </w:tr>
      <w:tr w14:paraId="062E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266357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18</w:t>
            </w:r>
          </w:p>
        </w:tc>
        <w:tc>
          <w:tcPr>
            <w:tcW w:w="877" w:type="pct"/>
            <w:vMerge w:val="continue"/>
            <w:vAlign w:val="center"/>
          </w:tcPr>
          <w:p w14:paraId="2CC41C2A">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2EE81B9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预约挂号接口</w:t>
            </w:r>
          </w:p>
        </w:tc>
        <w:tc>
          <w:tcPr>
            <w:tcW w:w="1314" w:type="pct"/>
            <w:shd w:val="clear" w:color="auto" w:fill="auto"/>
            <w:vAlign w:val="center"/>
          </w:tcPr>
          <w:p w14:paraId="2699B9F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6E9F21D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3F1CD0F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36EF78E5">
            <w:pPr>
              <w:widowControl/>
              <w:shd w:val="clear"/>
              <w:jc w:val="center"/>
              <w:rPr>
                <w:rFonts w:ascii="宋体" w:hAnsi="宋体" w:cs="宋体"/>
                <w:color w:val="000000"/>
                <w:kern w:val="0"/>
                <w:sz w:val="18"/>
                <w:szCs w:val="18"/>
                <w:highlight w:val="none"/>
              </w:rPr>
            </w:pPr>
          </w:p>
        </w:tc>
      </w:tr>
      <w:tr w14:paraId="0772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3883448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19</w:t>
            </w:r>
          </w:p>
        </w:tc>
        <w:tc>
          <w:tcPr>
            <w:tcW w:w="877" w:type="pct"/>
            <w:vMerge w:val="continue"/>
            <w:vAlign w:val="center"/>
          </w:tcPr>
          <w:p w14:paraId="285C8800">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46D691B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插入远程会诊医嘱</w:t>
            </w:r>
          </w:p>
        </w:tc>
        <w:tc>
          <w:tcPr>
            <w:tcW w:w="1314" w:type="pct"/>
            <w:shd w:val="clear" w:color="auto" w:fill="auto"/>
            <w:vAlign w:val="center"/>
          </w:tcPr>
          <w:p w14:paraId="1009C76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42AD82C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4ADD780F">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07182886">
            <w:pPr>
              <w:widowControl/>
              <w:shd w:val="clear"/>
              <w:jc w:val="center"/>
              <w:rPr>
                <w:rFonts w:ascii="宋体" w:hAnsi="宋体" w:cs="宋体"/>
                <w:color w:val="000000"/>
                <w:kern w:val="0"/>
                <w:sz w:val="18"/>
                <w:szCs w:val="18"/>
                <w:highlight w:val="none"/>
              </w:rPr>
            </w:pPr>
          </w:p>
        </w:tc>
      </w:tr>
      <w:tr w14:paraId="141D7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643B8A5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877" w:type="pct"/>
            <w:vMerge w:val="restart"/>
            <w:shd w:val="clear" w:color="auto" w:fill="auto"/>
            <w:vAlign w:val="center"/>
          </w:tcPr>
          <w:p w14:paraId="4CF305C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预约挂号管理平台</w:t>
            </w:r>
          </w:p>
        </w:tc>
        <w:tc>
          <w:tcPr>
            <w:tcW w:w="1468" w:type="pct"/>
            <w:shd w:val="clear" w:color="auto" w:fill="auto"/>
            <w:vAlign w:val="center"/>
          </w:tcPr>
          <w:p w14:paraId="7EBDD7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预约挂号发起到医院的交易</w:t>
            </w:r>
          </w:p>
        </w:tc>
        <w:tc>
          <w:tcPr>
            <w:tcW w:w="1314" w:type="pct"/>
            <w:shd w:val="clear" w:color="auto" w:fill="auto"/>
            <w:vAlign w:val="center"/>
          </w:tcPr>
          <w:p w14:paraId="1BA57D1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1BB2470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11BB95AB">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138BEC93">
            <w:pPr>
              <w:widowControl/>
              <w:shd w:val="clear"/>
              <w:jc w:val="center"/>
              <w:rPr>
                <w:rFonts w:ascii="宋体" w:hAnsi="宋体" w:cs="宋体"/>
                <w:color w:val="000000"/>
                <w:kern w:val="0"/>
                <w:sz w:val="18"/>
                <w:szCs w:val="18"/>
                <w:highlight w:val="none"/>
              </w:rPr>
            </w:pPr>
          </w:p>
        </w:tc>
      </w:tr>
      <w:tr w14:paraId="32ACD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0FF0F7F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877" w:type="pct"/>
            <w:vMerge w:val="continue"/>
            <w:vAlign w:val="center"/>
          </w:tcPr>
          <w:p w14:paraId="67A7094F">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75AB8B8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医院发起到预约挂号平台的交易接口</w:t>
            </w:r>
          </w:p>
        </w:tc>
        <w:tc>
          <w:tcPr>
            <w:tcW w:w="1314" w:type="pct"/>
            <w:shd w:val="clear" w:color="auto" w:fill="auto"/>
            <w:vAlign w:val="center"/>
          </w:tcPr>
          <w:p w14:paraId="525BAD9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2E0637A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0AD0B2F3">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5B6D4B47">
            <w:pPr>
              <w:widowControl/>
              <w:shd w:val="clear"/>
              <w:jc w:val="center"/>
              <w:rPr>
                <w:rFonts w:ascii="宋体" w:hAnsi="宋体" w:cs="宋体"/>
                <w:color w:val="000000"/>
                <w:kern w:val="0"/>
                <w:sz w:val="18"/>
                <w:szCs w:val="18"/>
                <w:highlight w:val="none"/>
              </w:rPr>
            </w:pPr>
          </w:p>
        </w:tc>
      </w:tr>
      <w:tr w14:paraId="5814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D63E30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877" w:type="pct"/>
            <w:vMerge w:val="restart"/>
            <w:shd w:val="clear" w:color="auto" w:fill="auto"/>
            <w:vAlign w:val="center"/>
          </w:tcPr>
          <w:p w14:paraId="3F29CB1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医共体平台数据采集共享</w:t>
            </w:r>
          </w:p>
        </w:tc>
        <w:tc>
          <w:tcPr>
            <w:tcW w:w="1468" w:type="pct"/>
            <w:shd w:val="clear" w:color="auto" w:fill="auto"/>
            <w:vAlign w:val="center"/>
          </w:tcPr>
          <w:p w14:paraId="37109E6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患者信息</w:t>
            </w:r>
          </w:p>
        </w:tc>
        <w:tc>
          <w:tcPr>
            <w:tcW w:w="1314" w:type="pct"/>
            <w:shd w:val="clear" w:color="auto" w:fill="auto"/>
            <w:vAlign w:val="center"/>
          </w:tcPr>
          <w:p w14:paraId="4630EE0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795E2A2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56D242B7">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58837C80">
            <w:pPr>
              <w:widowControl/>
              <w:shd w:val="clear"/>
              <w:jc w:val="center"/>
              <w:rPr>
                <w:rFonts w:ascii="宋体" w:hAnsi="宋体" w:cs="宋体"/>
                <w:color w:val="000000"/>
                <w:kern w:val="0"/>
                <w:sz w:val="18"/>
                <w:szCs w:val="18"/>
                <w:highlight w:val="none"/>
              </w:rPr>
            </w:pPr>
          </w:p>
        </w:tc>
      </w:tr>
      <w:tr w14:paraId="7756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2365AAB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23</w:t>
            </w:r>
          </w:p>
        </w:tc>
        <w:tc>
          <w:tcPr>
            <w:tcW w:w="877" w:type="pct"/>
            <w:vMerge w:val="continue"/>
            <w:vAlign w:val="center"/>
          </w:tcPr>
          <w:p w14:paraId="1E27BD28">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2BCEC83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门急诊诊疗类数据</w:t>
            </w:r>
          </w:p>
        </w:tc>
        <w:tc>
          <w:tcPr>
            <w:tcW w:w="1314" w:type="pct"/>
            <w:shd w:val="clear" w:color="auto" w:fill="auto"/>
            <w:vAlign w:val="center"/>
          </w:tcPr>
          <w:p w14:paraId="2B75B1A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5E89FB9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22DF2F6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3C92C5DE">
            <w:pPr>
              <w:widowControl/>
              <w:shd w:val="clear"/>
              <w:jc w:val="center"/>
              <w:rPr>
                <w:rFonts w:ascii="宋体" w:hAnsi="宋体" w:cs="宋体"/>
                <w:color w:val="000000"/>
                <w:kern w:val="0"/>
                <w:sz w:val="18"/>
                <w:szCs w:val="18"/>
                <w:highlight w:val="none"/>
              </w:rPr>
            </w:pPr>
          </w:p>
        </w:tc>
      </w:tr>
      <w:tr w14:paraId="39F3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6A335A7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24</w:t>
            </w:r>
          </w:p>
        </w:tc>
        <w:tc>
          <w:tcPr>
            <w:tcW w:w="877" w:type="pct"/>
            <w:vMerge w:val="continue"/>
            <w:vAlign w:val="center"/>
          </w:tcPr>
          <w:p w14:paraId="2F26762C">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2CAF8B7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住院诊疗类数据</w:t>
            </w:r>
          </w:p>
        </w:tc>
        <w:tc>
          <w:tcPr>
            <w:tcW w:w="1314" w:type="pct"/>
            <w:shd w:val="clear" w:color="auto" w:fill="auto"/>
            <w:vAlign w:val="center"/>
          </w:tcPr>
          <w:p w14:paraId="03290B5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65F3639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31783F6D">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6B4CE543">
            <w:pPr>
              <w:widowControl/>
              <w:shd w:val="clear"/>
              <w:jc w:val="center"/>
              <w:rPr>
                <w:rFonts w:ascii="宋体" w:hAnsi="宋体" w:cs="宋体"/>
                <w:color w:val="000000"/>
                <w:kern w:val="0"/>
                <w:sz w:val="18"/>
                <w:szCs w:val="18"/>
                <w:highlight w:val="none"/>
              </w:rPr>
            </w:pPr>
          </w:p>
        </w:tc>
      </w:tr>
      <w:tr w14:paraId="62FEB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377DF48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25</w:t>
            </w:r>
          </w:p>
        </w:tc>
        <w:tc>
          <w:tcPr>
            <w:tcW w:w="877" w:type="pct"/>
            <w:vMerge w:val="continue"/>
            <w:vAlign w:val="center"/>
          </w:tcPr>
          <w:p w14:paraId="7B68E83E">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6A32BFD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医学影像检查记录</w:t>
            </w:r>
          </w:p>
        </w:tc>
        <w:tc>
          <w:tcPr>
            <w:tcW w:w="1314" w:type="pct"/>
            <w:shd w:val="clear" w:color="auto" w:fill="auto"/>
            <w:vAlign w:val="center"/>
          </w:tcPr>
          <w:p w14:paraId="2F3FCE6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3E73CF5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725DDD6C">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31556C2A">
            <w:pPr>
              <w:widowControl/>
              <w:shd w:val="clear"/>
              <w:jc w:val="center"/>
              <w:rPr>
                <w:rFonts w:ascii="宋体" w:hAnsi="宋体" w:cs="宋体"/>
                <w:color w:val="000000"/>
                <w:kern w:val="0"/>
                <w:sz w:val="18"/>
                <w:szCs w:val="18"/>
                <w:highlight w:val="none"/>
              </w:rPr>
            </w:pPr>
          </w:p>
        </w:tc>
      </w:tr>
      <w:tr w14:paraId="1FF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DF6674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26</w:t>
            </w:r>
          </w:p>
        </w:tc>
        <w:tc>
          <w:tcPr>
            <w:tcW w:w="877" w:type="pct"/>
            <w:vMerge w:val="continue"/>
            <w:vAlign w:val="center"/>
          </w:tcPr>
          <w:p w14:paraId="7585DF45">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26D9D61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实验室检验记录</w:t>
            </w:r>
          </w:p>
        </w:tc>
        <w:tc>
          <w:tcPr>
            <w:tcW w:w="1314" w:type="pct"/>
            <w:shd w:val="clear" w:color="auto" w:fill="auto"/>
            <w:vAlign w:val="center"/>
          </w:tcPr>
          <w:p w14:paraId="1F56461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31716F1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20FDC636">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1E3B1FD9">
            <w:pPr>
              <w:widowControl/>
              <w:shd w:val="clear"/>
              <w:jc w:val="center"/>
              <w:rPr>
                <w:rFonts w:ascii="宋体" w:hAnsi="宋体" w:cs="宋体"/>
                <w:color w:val="000000"/>
                <w:kern w:val="0"/>
                <w:sz w:val="18"/>
                <w:szCs w:val="18"/>
                <w:highlight w:val="none"/>
              </w:rPr>
            </w:pPr>
          </w:p>
        </w:tc>
      </w:tr>
      <w:tr w14:paraId="3DE6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3C313E6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27</w:t>
            </w:r>
          </w:p>
        </w:tc>
        <w:tc>
          <w:tcPr>
            <w:tcW w:w="877" w:type="pct"/>
            <w:vMerge w:val="continue"/>
            <w:vAlign w:val="center"/>
          </w:tcPr>
          <w:p w14:paraId="17909A02">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6435219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w:t>
            </w:r>
          </w:p>
        </w:tc>
        <w:tc>
          <w:tcPr>
            <w:tcW w:w="1314" w:type="pct"/>
            <w:shd w:val="clear" w:color="auto" w:fill="auto"/>
            <w:vAlign w:val="center"/>
          </w:tcPr>
          <w:p w14:paraId="2B9AE33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01AE8AA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6E97353F">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48D9799C">
            <w:pPr>
              <w:widowControl/>
              <w:shd w:val="clear"/>
              <w:jc w:val="center"/>
              <w:rPr>
                <w:rFonts w:ascii="宋体" w:hAnsi="宋体" w:cs="宋体"/>
                <w:color w:val="000000"/>
                <w:kern w:val="0"/>
                <w:sz w:val="18"/>
                <w:szCs w:val="18"/>
                <w:highlight w:val="none"/>
              </w:rPr>
            </w:pPr>
          </w:p>
        </w:tc>
      </w:tr>
      <w:tr w14:paraId="61E7A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09D54AC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28</w:t>
            </w:r>
          </w:p>
        </w:tc>
        <w:tc>
          <w:tcPr>
            <w:tcW w:w="877" w:type="pct"/>
            <w:vMerge w:val="continue"/>
            <w:vAlign w:val="center"/>
          </w:tcPr>
          <w:p w14:paraId="11F43251">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50DA1A0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转诊（院）记录</w:t>
            </w:r>
          </w:p>
        </w:tc>
        <w:tc>
          <w:tcPr>
            <w:tcW w:w="1314" w:type="pct"/>
            <w:shd w:val="clear" w:color="auto" w:fill="auto"/>
            <w:vAlign w:val="center"/>
          </w:tcPr>
          <w:p w14:paraId="7D7528B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6CF8036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13203EC6">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A0D4478">
            <w:pPr>
              <w:widowControl/>
              <w:shd w:val="clear"/>
              <w:jc w:val="center"/>
              <w:rPr>
                <w:rFonts w:ascii="宋体" w:hAnsi="宋体" w:cs="宋体"/>
                <w:color w:val="000000"/>
                <w:kern w:val="0"/>
                <w:sz w:val="18"/>
                <w:szCs w:val="18"/>
                <w:highlight w:val="none"/>
              </w:rPr>
            </w:pPr>
          </w:p>
        </w:tc>
      </w:tr>
      <w:tr w14:paraId="7DE6D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2230C5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29</w:t>
            </w:r>
          </w:p>
        </w:tc>
        <w:tc>
          <w:tcPr>
            <w:tcW w:w="877" w:type="pct"/>
            <w:vMerge w:val="continue"/>
            <w:vAlign w:val="center"/>
          </w:tcPr>
          <w:p w14:paraId="3E4E9385">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2B38D3A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医院体检记录</w:t>
            </w:r>
          </w:p>
        </w:tc>
        <w:tc>
          <w:tcPr>
            <w:tcW w:w="1314" w:type="pct"/>
            <w:shd w:val="clear" w:color="auto" w:fill="auto"/>
            <w:vAlign w:val="center"/>
          </w:tcPr>
          <w:p w14:paraId="7623F00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03B74FF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0B4C2110">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38B9DC33">
            <w:pPr>
              <w:widowControl/>
              <w:shd w:val="clear"/>
              <w:jc w:val="center"/>
              <w:rPr>
                <w:rFonts w:ascii="宋体" w:hAnsi="宋体" w:cs="宋体"/>
                <w:color w:val="000000"/>
                <w:kern w:val="0"/>
                <w:sz w:val="18"/>
                <w:szCs w:val="18"/>
                <w:highlight w:val="none"/>
              </w:rPr>
            </w:pPr>
          </w:p>
        </w:tc>
      </w:tr>
      <w:tr w14:paraId="5AE03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886EEE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30</w:t>
            </w:r>
          </w:p>
        </w:tc>
        <w:tc>
          <w:tcPr>
            <w:tcW w:w="877" w:type="pct"/>
            <w:vMerge w:val="continue"/>
            <w:vAlign w:val="center"/>
          </w:tcPr>
          <w:p w14:paraId="49E0178B">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5A0C8D2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医院感染</w:t>
            </w:r>
          </w:p>
        </w:tc>
        <w:tc>
          <w:tcPr>
            <w:tcW w:w="1314" w:type="pct"/>
            <w:shd w:val="clear" w:color="auto" w:fill="auto"/>
            <w:vAlign w:val="center"/>
          </w:tcPr>
          <w:p w14:paraId="016BE88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07CE511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70F21402">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69EB3F82">
            <w:pPr>
              <w:widowControl/>
              <w:shd w:val="clear"/>
              <w:jc w:val="center"/>
              <w:rPr>
                <w:rFonts w:ascii="宋体" w:hAnsi="宋体" w:cs="宋体"/>
                <w:color w:val="000000"/>
                <w:kern w:val="0"/>
                <w:sz w:val="18"/>
                <w:szCs w:val="18"/>
                <w:highlight w:val="none"/>
              </w:rPr>
            </w:pPr>
          </w:p>
        </w:tc>
      </w:tr>
      <w:tr w14:paraId="11B5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2D90303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877" w:type="pct"/>
            <w:vMerge w:val="continue"/>
            <w:vAlign w:val="center"/>
          </w:tcPr>
          <w:p w14:paraId="1AA2EEAF">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75BB86E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不良事件</w:t>
            </w:r>
          </w:p>
        </w:tc>
        <w:tc>
          <w:tcPr>
            <w:tcW w:w="1314" w:type="pct"/>
            <w:shd w:val="clear" w:color="auto" w:fill="auto"/>
            <w:vAlign w:val="center"/>
          </w:tcPr>
          <w:p w14:paraId="6A2D9A4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7A21BAE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1C4C0AFD">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52132725">
            <w:pPr>
              <w:widowControl/>
              <w:shd w:val="clear"/>
              <w:jc w:val="center"/>
              <w:rPr>
                <w:rFonts w:ascii="宋体" w:hAnsi="宋体" w:cs="宋体"/>
                <w:color w:val="000000"/>
                <w:kern w:val="0"/>
                <w:sz w:val="18"/>
                <w:szCs w:val="18"/>
                <w:highlight w:val="none"/>
              </w:rPr>
            </w:pPr>
          </w:p>
        </w:tc>
      </w:tr>
      <w:tr w14:paraId="3FD1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7B4E5E1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877" w:type="pct"/>
            <w:vMerge w:val="continue"/>
            <w:vAlign w:val="center"/>
          </w:tcPr>
          <w:p w14:paraId="263D6CB5">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0612A05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传染病上报</w:t>
            </w:r>
          </w:p>
        </w:tc>
        <w:tc>
          <w:tcPr>
            <w:tcW w:w="1314" w:type="pct"/>
            <w:shd w:val="clear" w:color="auto" w:fill="auto"/>
            <w:vAlign w:val="center"/>
          </w:tcPr>
          <w:p w14:paraId="4BC5173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25656E4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3B3B4236">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625D7381">
            <w:pPr>
              <w:widowControl/>
              <w:shd w:val="clear"/>
              <w:jc w:val="center"/>
              <w:rPr>
                <w:rFonts w:ascii="宋体" w:hAnsi="宋体" w:cs="宋体"/>
                <w:color w:val="000000"/>
                <w:kern w:val="0"/>
                <w:sz w:val="18"/>
                <w:szCs w:val="18"/>
                <w:highlight w:val="none"/>
              </w:rPr>
            </w:pPr>
          </w:p>
        </w:tc>
      </w:tr>
      <w:tr w14:paraId="62B4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674096F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877" w:type="pct"/>
            <w:vMerge w:val="continue"/>
            <w:vAlign w:val="center"/>
          </w:tcPr>
          <w:p w14:paraId="25F599CE">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122B753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临床用血信息</w:t>
            </w:r>
          </w:p>
        </w:tc>
        <w:tc>
          <w:tcPr>
            <w:tcW w:w="1314" w:type="pct"/>
            <w:shd w:val="clear" w:color="auto" w:fill="auto"/>
            <w:vAlign w:val="center"/>
          </w:tcPr>
          <w:p w14:paraId="430BCDB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13B58AA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25F352E8">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7E3C5036">
            <w:pPr>
              <w:widowControl/>
              <w:shd w:val="clear"/>
              <w:jc w:val="center"/>
              <w:rPr>
                <w:rFonts w:ascii="宋体" w:hAnsi="宋体" w:cs="宋体"/>
                <w:color w:val="000000"/>
                <w:kern w:val="0"/>
                <w:sz w:val="18"/>
                <w:szCs w:val="18"/>
                <w:highlight w:val="none"/>
              </w:rPr>
            </w:pPr>
          </w:p>
        </w:tc>
      </w:tr>
      <w:tr w14:paraId="372E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31E13D1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877" w:type="pct"/>
            <w:vMerge w:val="continue"/>
            <w:vAlign w:val="center"/>
          </w:tcPr>
          <w:p w14:paraId="72876F08">
            <w:pPr>
              <w:widowControl/>
              <w:shd w:val="clear"/>
              <w:jc w:val="left"/>
              <w:rPr>
                <w:rFonts w:ascii="宋体" w:hAnsi="宋体" w:cs="宋体"/>
                <w:color w:val="000000"/>
                <w:kern w:val="0"/>
                <w:sz w:val="18"/>
                <w:szCs w:val="18"/>
                <w:highlight w:val="none"/>
              </w:rPr>
            </w:pPr>
          </w:p>
        </w:tc>
        <w:tc>
          <w:tcPr>
            <w:tcW w:w="1468" w:type="pct"/>
            <w:shd w:val="clear" w:color="auto" w:fill="auto"/>
            <w:vAlign w:val="center"/>
          </w:tcPr>
          <w:p w14:paraId="602033C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运营业务监管</w:t>
            </w:r>
          </w:p>
        </w:tc>
        <w:tc>
          <w:tcPr>
            <w:tcW w:w="1314" w:type="pct"/>
            <w:shd w:val="clear" w:color="auto" w:fill="auto"/>
            <w:vAlign w:val="center"/>
          </w:tcPr>
          <w:p w14:paraId="7F0107C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8" w:type="pct"/>
            <w:shd w:val="clear" w:color="auto" w:fill="auto"/>
            <w:vAlign w:val="center"/>
          </w:tcPr>
          <w:p w14:paraId="36E4F93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98" w:type="pct"/>
            <w:vMerge w:val="continue"/>
            <w:shd w:val="clear" w:color="auto" w:fill="auto"/>
            <w:vAlign w:val="center"/>
          </w:tcPr>
          <w:p w14:paraId="4713CCE4">
            <w:pPr>
              <w:widowControl/>
              <w:shd w:val="clear"/>
              <w:jc w:val="center"/>
              <w:rPr>
                <w:rFonts w:ascii="宋体" w:hAnsi="宋体" w:cs="宋体"/>
                <w:color w:val="000000"/>
                <w:kern w:val="0"/>
                <w:sz w:val="18"/>
                <w:szCs w:val="18"/>
                <w:highlight w:val="none"/>
              </w:rPr>
            </w:pPr>
          </w:p>
        </w:tc>
        <w:tc>
          <w:tcPr>
            <w:tcW w:w="377" w:type="pct"/>
            <w:vMerge w:val="continue"/>
            <w:shd w:val="clear" w:color="auto" w:fill="auto"/>
            <w:vAlign w:val="center"/>
          </w:tcPr>
          <w:p w14:paraId="22D3C42D">
            <w:pPr>
              <w:widowControl/>
              <w:shd w:val="clear"/>
              <w:jc w:val="center"/>
              <w:rPr>
                <w:rFonts w:ascii="宋体" w:hAnsi="宋体" w:cs="宋体"/>
                <w:color w:val="000000"/>
                <w:kern w:val="0"/>
                <w:sz w:val="18"/>
                <w:szCs w:val="18"/>
                <w:highlight w:val="none"/>
              </w:rPr>
            </w:pPr>
          </w:p>
        </w:tc>
      </w:tr>
      <w:tr w14:paraId="7523D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0EFF9F3">
            <w:pPr>
              <w:widowControl/>
              <w:shd w:val="clear"/>
              <w:jc w:val="center"/>
              <w:rPr>
                <w:rFonts w:ascii="宋体" w:hAnsi="宋体" w:cs="宋体"/>
                <w:color w:val="000000"/>
                <w:kern w:val="0"/>
                <w:sz w:val="18"/>
                <w:szCs w:val="18"/>
                <w:highlight w:val="none"/>
              </w:rPr>
            </w:pPr>
            <w:bookmarkStart w:id="10" w:name="_Toc31863"/>
            <w:r>
              <w:rPr>
                <w:rFonts w:hint="eastAsia" w:ascii="宋体" w:hAnsi="宋体" w:cs="宋体"/>
                <w:color w:val="000000"/>
                <w:kern w:val="0"/>
                <w:sz w:val="18"/>
                <w:szCs w:val="18"/>
                <w:highlight w:val="none"/>
              </w:rPr>
              <w:t>35</w:t>
            </w:r>
          </w:p>
        </w:tc>
        <w:tc>
          <w:tcPr>
            <w:tcW w:w="4336" w:type="pct"/>
            <w:gridSpan w:val="5"/>
            <w:vAlign w:val="center"/>
          </w:tcPr>
          <w:p w14:paraId="28343CB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合计</w:t>
            </w:r>
          </w:p>
        </w:tc>
        <w:tc>
          <w:tcPr>
            <w:tcW w:w="377" w:type="pct"/>
            <w:shd w:val="clear" w:color="auto" w:fill="auto"/>
            <w:vAlign w:val="center"/>
          </w:tcPr>
          <w:p w14:paraId="69F17F0D">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170000</w:t>
            </w:r>
          </w:p>
        </w:tc>
      </w:tr>
    </w:tbl>
    <w:p w14:paraId="31266CCE">
      <w:pPr>
        <w:shd w:val="clear"/>
        <w:rPr>
          <w:highlight w:val="none"/>
        </w:rPr>
      </w:pPr>
      <w:r>
        <w:rPr>
          <w:rFonts w:hint="eastAsia"/>
          <w:highlight w:val="none"/>
        </w:rPr>
        <w:br w:type="page"/>
      </w:r>
    </w:p>
    <w:p w14:paraId="603340EB">
      <w:pPr>
        <w:pStyle w:val="5"/>
        <w:numPr>
          <w:ilvl w:val="2"/>
          <w:numId w:val="0"/>
        </w:numPr>
        <w:shd w:val="clear"/>
        <w:rPr>
          <w:highlight w:val="none"/>
        </w:rPr>
      </w:pPr>
      <w:r>
        <w:rPr>
          <w:rFonts w:hint="eastAsia"/>
          <w:highlight w:val="none"/>
          <w:lang w:val="en-US" w:eastAsia="zh-CN"/>
        </w:rPr>
        <w:t>7</w:t>
      </w:r>
      <w:r>
        <w:rPr>
          <w:rFonts w:hint="eastAsia"/>
          <w:highlight w:val="none"/>
        </w:rPr>
        <w:t>、喀喇沁旗妇幼保健院医共体接口对接服务</w:t>
      </w:r>
      <w:bookmarkEnd w:id="10"/>
    </w:p>
    <w:tbl>
      <w:tblPr>
        <w:tblStyle w:val="48"/>
        <w:tblW w:w="4958" w:type="pct"/>
        <w:tblInd w:w="0" w:type="dxa"/>
        <w:tblLayout w:type="autofit"/>
        <w:tblCellMar>
          <w:top w:w="0" w:type="dxa"/>
          <w:left w:w="108" w:type="dxa"/>
          <w:bottom w:w="0" w:type="dxa"/>
          <w:right w:w="108" w:type="dxa"/>
        </w:tblCellMar>
      </w:tblPr>
      <w:tblGrid>
        <w:gridCol w:w="800"/>
        <w:gridCol w:w="2458"/>
        <w:gridCol w:w="4145"/>
        <w:gridCol w:w="3672"/>
        <w:gridCol w:w="790"/>
        <w:gridCol w:w="1142"/>
        <w:gridCol w:w="1049"/>
      </w:tblGrid>
      <w:tr w14:paraId="2D8C4357">
        <w:tblPrEx>
          <w:tblCellMar>
            <w:top w:w="0" w:type="dxa"/>
            <w:left w:w="108" w:type="dxa"/>
            <w:bottom w:w="0" w:type="dxa"/>
            <w:right w:w="108" w:type="dxa"/>
          </w:tblCellMar>
        </w:tblPrEx>
        <w:trPr>
          <w:trHeight w:val="57" w:hRule="atLeast"/>
          <w:tblHeader/>
        </w:trPr>
        <w:tc>
          <w:tcPr>
            <w:tcW w:w="285" w:type="pct"/>
            <w:tcBorders>
              <w:top w:val="single" w:color="auto" w:sz="4" w:space="0"/>
              <w:left w:val="single" w:color="auto" w:sz="4" w:space="0"/>
              <w:bottom w:val="single" w:color="auto" w:sz="4" w:space="0"/>
              <w:right w:val="single" w:color="auto" w:sz="4" w:space="0"/>
            </w:tcBorders>
            <w:shd w:val="clear" w:color="auto" w:fill="auto"/>
            <w:vAlign w:val="center"/>
          </w:tcPr>
          <w:p w14:paraId="388B9E9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874" w:type="pct"/>
            <w:tcBorders>
              <w:top w:val="single" w:color="auto" w:sz="4" w:space="0"/>
              <w:left w:val="nil"/>
              <w:bottom w:val="single" w:color="auto" w:sz="4" w:space="0"/>
              <w:right w:val="single" w:color="auto" w:sz="4" w:space="0"/>
            </w:tcBorders>
            <w:shd w:val="clear" w:color="auto" w:fill="auto"/>
            <w:vAlign w:val="center"/>
          </w:tcPr>
          <w:p w14:paraId="2615646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系统分类</w:t>
            </w:r>
          </w:p>
        </w:tc>
        <w:tc>
          <w:tcPr>
            <w:tcW w:w="1474" w:type="pct"/>
            <w:tcBorders>
              <w:top w:val="single" w:color="auto" w:sz="4" w:space="0"/>
              <w:left w:val="nil"/>
              <w:bottom w:val="single" w:color="auto" w:sz="4" w:space="0"/>
              <w:right w:val="single" w:color="auto" w:sz="4" w:space="0"/>
            </w:tcBorders>
            <w:shd w:val="clear" w:color="auto" w:fill="auto"/>
            <w:vAlign w:val="center"/>
          </w:tcPr>
          <w:p w14:paraId="7E87C1C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系统名称</w:t>
            </w:r>
          </w:p>
        </w:tc>
        <w:tc>
          <w:tcPr>
            <w:tcW w:w="1306" w:type="pct"/>
            <w:tcBorders>
              <w:top w:val="single" w:color="auto" w:sz="4" w:space="0"/>
              <w:left w:val="nil"/>
              <w:bottom w:val="single" w:color="auto" w:sz="4" w:space="0"/>
              <w:right w:val="single" w:color="auto" w:sz="4" w:space="0"/>
            </w:tcBorders>
            <w:shd w:val="clear" w:color="auto" w:fill="auto"/>
            <w:vAlign w:val="center"/>
          </w:tcPr>
          <w:p w14:paraId="76ADF635">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技术要求（参数具体要求）</w:t>
            </w:r>
          </w:p>
        </w:tc>
        <w:tc>
          <w:tcPr>
            <w:tcW w:w="281" w:type="pct"/>
            <w:tcBorders>
              <w:top w:val="single" w:color="auto" w:sz="4" w:space="0"/>
              <w:left w:val="nil"/>
              <w:bottom w:val="single" w:color="auto" w:sz="4" w:space="0"/>
              <w:right w:val="single" w:color="auto" w:sz="4" w:space="0"/>
            </w:tcBorders>
            <w:shd w:val="clear" w:color="auto" w:fill="auto"/>
            <w:vAlign w:val="center"/>
          </w:tcPr>
          <w:p w14:paraId="75B9D01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405" w:type="pct"/>
            <w:tcBorders>
              <w:top w:val="single" w:color="auto" w:sz="4" w:space="0"/>
              <w:left w:val="nil"/>
              <w:bottom w:val="single" w:color="auto" w:sz="4" w:space="0"/>
              <w:right w:val="single" w:color="auto" w:sz="4" w:space="0"/>
            </w:tcBorders>
            <w:shd w:val="clear" w:color="auto" w:fill="auto"/>
            <w:vAlign w:val="center"/>
          </w:tcPr>
          <w:p w14:paraId="57457AD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单价（元）</w:t>
            </w:r>
          </w:p>
        </w:tc>
        <w:tc>
          <w:tcPr>
            <w:tcW w:w="373" w:type="pct"/>
            <w:tcBorders>
              <w:top w:val="single" w:color="auto" w:sz="4" w:space="0"/>
              <w:left w:val="nil"/>
              <w:bottom w:val="single" w:color="auto" w:sz="4" w:space="0"/>
              <w:right w:val="single" w:color="auto" w:sz="4" w:space="0"/>
            </w:tcBorders>
            <w:shd w:val="clear" w:color="auto" w:fill="auto"/>
            <w:vAlign w:val="center"/>
          </w:tcPr>
          <w:p w14:paraId="128BC17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16FA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0934A6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874" w:type="pct"/>
            <w:shd w:val="clear" w:color="auto" w:fill="auto"/>
            <w:vAlign w:val="center"/>
          </w:tcPr>
          <w:p w14:paraId="66ED798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主索引</w:t>
            </w:r>
          </w:p>
        </w:tc>
        <w:tc>
          <w:tcPr>
            <w:tcW w:w="1474" w:type="pct"/>
            <w:shd w:val="clear" w:color="auto" w:fill="auto"/>
            <w:vAlign w:val="center"/>
          </w:tcPr>
          <w:p w14:paraId="2BA8358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患者主索引接口</w:t>
            </w:r>
          </w:p>
        </w:tc>
        <w:tc>
          <w:tcPr>
            <w:tcW w:w="1306" w:type="pct"/>
            <w:shd w:val="clear" w:color="auto" w:fill="auto"/>
            <w:vAlign w:val="center"/>
          </w:tcPr>
          <w:p w14:paraId="1F69982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4133CC9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restart"/>
            <w:shd w:val="clear" w:color="auto" w:fill="auto"/>
            <w:vAlign w:val="center"/>
          </w:tcPr>
          <w:p w14:paraId="59F8B165">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170000</w:t>
            </w:r>
          </w:p>
        </w:tc>
        <w:tc>
          <w:tcPr>
            <w:tcW w:w="373" w:type="pct"/>
            <w:vMerge w:val="restart"/>
            <w:shd w:val="clear" w:color="auto" w:fill="auto"/>
            <w:vAlign w:val="center"/>
          </w:tcPr>
          <w:p w14:paraId="07C690A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170000</w:t>
            </w:r>
          </w:p>
        </w:tc>
      </w:tr>
      <w:tr w14:paraId="5D6E0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6429D30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874" w:type="pct"/>
            <w:shd w:val="clear" w:color="auto" w:fill="auto"/>
            <w:vAlign w:val="center"/>
          </w:tcPr>
          <w:p w14:paraId="4022D14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健康浏览器</w:t>
            </w:r>
          </w:p>
        </w:tc>
        <w:tc>
          <w:tcPr>
            <w:tcW w:w="1474" w:type="pct"/>
            <w:shd w:val="clear" w:color="auto" w:fill="auto"/>
            <w:vAlign w:val="center"/>
          </w:tcPr>
          <w:p w14:paraId="27D040B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电子病历及健康档案记录和信息共享</w:t>
            </w:r>
          </w:p>
        </w:tc>
        <w:tc>
          <w:tcPr>
            <w:tcW w:w="1306" w:type="pct"/>
            <w:shd w:val="clear" w:color="auto" w:fill="auto"/>
            <w:vAlign w:val="center"/>
          </w:tcPr>
          <w:p w14:paraId="263FB49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2F3E3F2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728F830A">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234605F7">
            <w:pPr>
              <w:widowControl/>
              <w:shd w:val="clear"/>
              <w:jc w:val="center"/>
              <w:rPr>
                <w:rFonts w:ascii="宋体" w:hAnsi="宋体" w:cs="宋体"/>
                <w:color w:val="000000"/>
                <w:kern w:val="0"/>
                <w:sz w:val="18"/>
                <w:szCs w:val="18"/>
                <w:highlight w:val="none"/>
              </w:rPr>
            </w:pPr>
          </w:p>
        </w:tc>
      </w:tr>
      <w:tr w14:paraId="3D67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2B3D39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874" w:type="pct"/>
            <w:vMerge w:val="restart"/>
            <w:shd w:val="clear" w:color="auto" w:fill="auto"/>
            <w:vAlign w:val="center"/>
          </w:tcPr>
          <w:p w14:paraId="1BCF15C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区域检验检查中心</w:t>
            </w:r>
          </w:p>
        </w:tc>
        <w:tc>
          <w:tcPr>
            <w:tcW w:w="1474" w:type="pct"/>
            <w:shd w:val="clear" w:color="auto" w:fill="auto"/>
            <w:vAlign w:val="center"/>
          </w:tcPr>
          <w:p w14:paraId="3C4337F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统一资源管理接口</w:t>
            </w:r>
          </w:p>
        </w:tc>
        <w:tc>
          <w:tcPr>
            <w:tcW w:w="1306" w:type="pct"/>
            <w:shd w:val="clear" w:color="auto" w:fill="auto"/>
            <w:vAlign w:val="center"/>
          </w:tcPr>
          <w:p w14:paraId="74FFC74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1CA1F7B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6FCB52AA">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122E6FA4">
            <w:pPr>
              <w:widowControl/>
              <w:shd w:val="clear"/>
              <w:jc w:val="center"/>
              <w:rPr>
                <w:rFonts w:ascii="宋体" w:hAnsi="宋体" w:cs="宋体"/>
                <w:color w:val="000000"/>
                <w:kern w:val="0"/>
                <w:sz w:val="18"/>
                <w:szCs w:val="18"/>
                <w:highlight w:val="none"/>
              </w:rPr>
            </w:pPr>
          </w:p>
        </w:tc>
      </w:tr>
      <w:tr w14:paraId="2C950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6347015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874" w:type="pct"/>
            <w:vMerge w:val="continue"/>
            <w:vAlign w:val="center"/>
          </w:tcPr>
          <w:p w14:paraId="5B767917">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2231D6E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区域检验中心接口说明</w:t>
            </w:r>
          </w:p>
        </w:tc>
        <w:tc>
          <w:tcPr>
            <w:tcW w:w="1306" w:type="pct"/>
            <w:shd w:val="clear" w:color="auto" w:fill="auto"/>
            <w:vAlign w:val="center"/>
          </w:tcPr>
          <w:p w14:paraId="77213A4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233E4FC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19EFDCA4">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45ABEEA7">
            <w:pPr>
              <w:widowControl/>
              <w:shd w:val="clear"/>
              <w:jc w:val="center"/>
              <w:rPr>
                <w:rFonts w:ascii="宋体" w:hAnsi="宋体" w:cs="宋体"/>
                <w:color w:val="000000"/>
                <w:kern w:val="0"/>
                <w:sz w:val="18"/>
                <w:szCs w:val="18"/>
                <w:highlight w:val="none"/>
              </w:rPr>
            </w:pPr>
          </w:p>
        </w:tc>
      </w:tr>
      <w:tr w14:paraId="16C19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954B2F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874" w:type="pct"/>
            <w:vMerge w:val="continue"/>
            <w:vAlign w:val="center"/>
          </w:tcPr>
          <w:p w14:paraId="0BF6AADB">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0E3AE5C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区域检查中心接口</w:t>
            </w:r>
          </w:p>
        </w:tc>
        <w:tc>
          <w:tcPr>
            <w:tcW w:w="1306" w:type="pct"/>
            <w:shd w:val="clear" w:color="auto" w:fill="auto"/>
            <w:vAlign w:val="center"/>
          </w:tcPr>
          <w:p w14:paraId="16F7A78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1CCD9B0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5076B50B">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7ED1F282">
            <w:pPr>
              <w:widowControl/>
              <w:shd w:val="clear"/>
              <w:jc w:val="center"/>
              <w:rPr>
                <w:rFonts w:ascii="宋体" w:hAnsi="宋体" w:cs="宋体"/>
                <w:color w:val="000000"/>
                <w:kern w:val="0"/>
                <w:sz w:val="18"/>
                <w:szCs w:val="18"/>
                <w:highlight w:val="none"/>
              </w:rPr>
            </w:pPr>
          </w:p>
        </w:tc>
      </w:tr>
      <w:tr w14:paraId="2BC5E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4670338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874" w:type="pct"/>
            <w:vMerge w:val="restart"/>
            <w:shd w:val="clear" w:color="auto" w:fill="auto"/>
            <w:vAlign w:val="center"/>
          </w:tcPr>
          <w:p w14:paraId="57B7A3E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w:t>
            </w:r>
          </w:p>
        </w:tc>
        <w:tc>
          <w:tcPr>
            <w:tcW w:w="1474" w:type="pct"/>
            <w:shd w:val="clear" w:color="auto" w:fill="auto"/>
            <w:vAlign w:val="center"/>
          </w:tcPr>
          <w:p w14:paraId="3AC7661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患者注册接口</w:t>
            </w:r>
          </w:p>
        </w:tc>
        <w:tc>
          <w:tcPr>
            <w:tcW w:w="1306" w:type="pct"/>
            <w:shd w:val="clear" w:color="auto" w:fill="auto"/>
            <w:vAlign w:val="center"/>
          </w:tcPr>
          <w:p w14:paraId="37E425E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4465B98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08D5EE7B">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14BB0EE2">
            <w:pPr>
              <w:widowControl/>
              <w:shd w:val="clear"/>
              <w:jc w:val="center"/>
              <w:rPr>
                <w:rFonts w:ascii="宋体" w:hAnsi="宋体" w:cs="宋体"/>
                <w:color w:val="000000"/>
                <w:kern w:val="0"/>
                <w:sz w:val="18"/>
                <w:szCs w:val="18"/>
                <w:highlight w:val="none"/>
              </w:rPr>
            </w:pPr>
          </w:p>
        </w:tc>
      </w:tr>
      <w:tr w14:paraId="38D8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B41611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w:t>
            </w:r>
          </w:p>
        </w:tc>
        <w:tc>
          <w:tcPr>
            <w:tcW w:w="874" w:type="pct"/>
            <w:vMerge w:val="continue"/>
            <w:vAlign w:val="center"/>
          </w:tcPr>
          <w:p w14:paraId="0A09CBBC">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0170F0E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系统登录接口</w:t>
            </w:r>
          </w:p>
        </w:tc>
        <w:tc>
          <w:tcPr>
            <w:tcW w:w="1306" w:type="pct"/>
            <w:shd w:val="clear" w:color="auto" w:fill="auto"/>
            <w:vAlign w:val="center"/>
          </w:tcPr>
          <w:p w14:paraId="6EF8CE8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4153A1E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4A1B23EF">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3D5630E4">
            <w:pPr>
              <w:widowControl/>
              <w:shd w:val="clear"/>
              <w:jc w:val="center"/>
              <w:rPr>
                <w:rFonts w:ascii="宋体" w:hAnsi="宋体" w:cs="宋体"/>
                <w:color w:val="000000"/>
                <w:kern w:val="0"/>
                <w:sz w:val="18"/>
                <w:szCs w:val="18"/>
                <w:highlight w:val="none"/>
              </w:rPr>
            </w:pPr>
          </w:p>
        </w:tc>
      </w:tr>
      <w:tr w14:paraId="619D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4C37ECD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874" w:type="pct"/>
            <w:vMerge w:val="continue"/>
            <w:vAlign w:val="center"/>
          </w:tcPr>
          <w:p w14:paraId="16DE0D20">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6E25278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基础数据同步接口</w:t>
            </w:r>
          </w:p>
        </w:tc>
        <w:tc>
          <w:tcPr>
            <w:tcW w:w="1306" w:type="pct"/>
            <w:shd w:val="clear" w:color="auto" w:fill="auto"/>
            <w:vAlign w:val="center"/>
          </w:tcPr>
          <w:p w14:paraId="3C166FF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70B4A8B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02005BC4">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7EBC04E3">
            <w:pPr>
              <w:widowControl/>
              <w:shd w:val="clear"/>
              <w:jc w:val="center"/>
              <w:rPr>
                <w:rFonts w:ascii="宋体" w:hAnsi="宋体" w:cs="宋体"/>
                <w:color w:val="000000"/>
                <w:kern w:val="0"/>
                <w:sz w:val="18"/>
                <w:szCs w:val="18"/>
                <w:highlight w:val="none"/>
              </w:rPr>
            </w:pPr>
          </w:p>
        </w:tc>
      </w:tr>
      <w:tr w14:paraId="5789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276B6B7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w:t>
            </w:r>
          </w:p>
        </w:tc>
        <w:tc>
          <w:tcPr>
            <w:tcW w:w="874" w:type="pct"/>
            <w:vMerge w:val="continue"/>
            <w:vAlign w:val="center"/>
          </w:tcPr>
          <w:p w14:paraId="6CA0423F">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21B2076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分级诊疗获取患者信息</w:t>
            </w:r>
          </w:p>
        </w:tc>
        <w:tc>
          <w:tcPr>
            <w:tcW w:w="1306" w:type="pct"/>
            <w:shd w:val="clear" w:color="auto" w:fill="auto"/>
            <w:vAlign w:val="center"/>
          </w:tcPr>
          <w:p w14:paraId="175B2E7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173602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0185A312">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1CF6C875">
            <w:pPr>
              <w:widowControl/>
              <w:shd w:val="clear"/>
              <w:jc w:val="center"/>
              <w:rPr>
                <w:rFonts w:ascii="宋体" w:hAnsi="宋体" w:cs="宋体"/>
                <w:color w:val="000000"/>
                <w:kern w:val="0"/>
                <w:sz w:val="18"/>
                <w:szCs w:val="18"/>
                <w:highlight w:val="none"/>
              </w:rPr>
            </w:pPr>
          </w:p>
        </w:tc>
      </w:tr>
      <w:tr w14:paraId="40875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44506DF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874" w:type="pct"/>
            <w:vMerge w:val="continue"/>
            <w:vAlign w:val="center"/>
          </w:tcPr>
          <w:p w14:paraId="555E2796">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617A3A6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分级诊疗转诊单号查询接口</w:t>
            </w:r>
          </w:p>
        </w:tc>
        <w:tc>
          <w:tcPr>
            <w:tcW w:w="1306" w:type="pct"/>
            <w:shd w:val="clear" w:color="auto" w:fill="auto"/>
            <w:vAlign w:val="center"/>
          </w:tcPr>
          <w:p w14:paraId="0BFF245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64675E3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56A1250C">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6C7934C1">
            <w:pPr>
              <w:widowControl/>
              <w:shd w:val="clear"/>
              <w:jc w:val="center"/>
              <w:rPr>
                <w:rFonts w:ascii="宋体" w:hAnsi="宋体" w:cs="宋体"/>
                <w:color w:val="000000"/>
                <w:kern w:val="0"/>
                <w:sz w:val="18"/>
                <w:szCs w:val="18"/>
                <w:highlight w:val="none"/>
              </w:rPr>
            </w:pPr>
          </w:p>
        </w:tc>
      </w:tr>
      <w:tr w14:paraId="0CFF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0967ED5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874" w:type="pct"/>
            <w:vMerge w:val="continue"/>
            <w:vAlign w:val="center"/>
          </w:tcPr>
          <w:p w14:paraId="0E5F4569">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3E537E9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查询转诊申请单接口</w:t>
            </w:r>
          </w:p>
        </w:tc>
        <w:tc>
          <w:tcPr>
            <w:tcW w:w="1306" w:type="pct"/>
            <w:shd w:val="clear" w:color="auto" w:fill="auto"/>
            <w:vAlign w:val="center"/>
          </w:tcPr>
          <w:p w14:paraId="0403178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2F3DCE1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711F9F69">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04FCAF6C">
            <w:pPr>
              <w:widowControl/>
              <w:shd w:val="clear"/>
              <w:jc w:val="center"/>
              <w:rPr>
                <w:rFonts w:ascii="宋体" w:hAnsi="宋体" w:cs="宋体"/>
                <w:color w:val="000000"/>
                <w:kern w:val="0"/>
                <w:sz w:val="18"/>
                <w:szCs w:val="18"/>
                <w:highlight w:val="none"/>
              </w:rPr>
            </w:pPr>
          </w:p>
        </w:tc>
      </w:tr>
      <w:tr w14:paraId="28D6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CB7D83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874" w:type="pct"/>
            <w:vMerge w:val="continue"/>
            <w:vAlign w:val="center"/>
          </w:tcPr>
          <w:p w14:paraId="35574EC0">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1EE2D5D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电子病历接口</w:t>
            </w:r>
          </w:p>
        </w:tc>
        <w:tc>
          <w:tcPr>
            <w:tcW w:w="1306" w:type="pct"/>
            <w:shd w:val="clear" w:color="auto" w:fill="auto"/>
            <w:vAlign w:val="center"/>
          </w:tcPr>
          <w:p w14:paraId="6778619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3CD22CA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25F16BE8">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7EE4E4DD">
            <w:pPr>
              <w:widowControl/>
              <w:shd w:val="clear"/>
              <w:jc w:val="center"/>
              <w:rPr>
                <w:rFonts w:ascii="宋体" w:hAnsi="宋体" w:cs="宋体"/>
                <w:color w:val="000000"/>
                <w:kern w:val="0"/>
                <w:sz w:val="18"/>
                <w:szCs w:val="18"/>
                <w:highlight w:val="none"/>
              </w:rPr>
            </w:pPr>
          </w:p>
        </w:tc>
      </w:tr>
      <w:tr w14:paraId="024C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4857A0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13</w:t>
            </w:r>
          </w:p>
        </w:tc>
        <w:tc>
          <w:tcPr>
            <w:tcW w:w="874" w:type="pct"/>
            <w:vMerge w:val="continue"/>
            <w:vAlign w:val="center"/>
          </w:tcPr>
          <w:p w14:paraId="3E546176">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1AE5244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预约检查接口</w:t>
            </w:r>
          </w:p>
        </w:tc>
        <w:tc>
          <w:tcPr>
            <w:tcW w:w="1306" w:type="pct"/>
            <w:shd w:val="clear" w:color="auto" w:fill="auto"/>
            <w:vAlign w:val="center"/>
          </w:tcPr>
          <w:p w14:paraId="0BE9953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68105B9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5B1929A2">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241A8E24">
            <w:pPr>
              <w:widowControl/>
              <w:shd w:val="clear"/>
              <w:jc w:val="center"/>
              <w:rPr>
                <w:rFonts w:ascii="宋体" w:hAnsi="宋体" w:cs="宋体"/>
                <w:color w:val="000000"/>
                <w:kern w:val="0"/>
                <w:sz w:val="18"/>
                <w:szCs w:val="18"/>
                <w:highlight w:val="none"/>
              </w:rPr>
            </w:pPr>
          </w:p>
        </w:tc>
      </w:tr>
      <w:tr w14:paraId="1D33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B16E95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14</w:t>
            </w:r>
          </w:p>
        </w:tc>
        <w:tc>
          <w:tcPr>
            <w:tcW w:w="874" w:type="pct"/>
            <w:vMerge w:val="continue"/>
            <w:vAlign w:val="center"/>
          </w:tcPr>
          <w:p w14:paraId="593F3913">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476C125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预约检验接口</w:t>
            </w:r>
          </w:p>
        </w:tc>
        <w:tc>
          <w:tcPr>
            <w:tcW w:w="1306" w:type="pct"/>
            <w:shd w:val="clear" w:color="auto" w:fill="auto"/>
            <w:vAlign w:val="center"/>
          </w:tcPr>
          <w:p w14:paraId="4CBE87F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0D1FB24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1544064B">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4035E961">
            <w:pPr>
              <w:widowControl/>
              <w:shd w:val="clear"/>
              <w:jc w:val="center"/>
              <w:rPr>
                <w:rFonts w:ascii="宋体" w:hAnsi="宋体" w:cs="宋体"/>
                <w:color w:val="000000"/>
                <w:kern w:val="0"/>
                <w:sz w:val="18"/>
                <w:szCs w:val="18"/>
                <w:highlight w:val="none"/>
              </w:rPr>
            </w:pPr>
          </w:p>
        </w:tc>
      </w:tr>
      <w:tr w14:paraId="1480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0B91CD9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874" w:type="pct"/>
            <w:vMerge w:val="continue"/>
            <w:vAlign w:val="center"/>
          </w:tcPr>
          <w:p w14:paraId="23B2B810">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7168BFB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标本送检</w:t>
            </w:r>
          </w:p>
        </w:tc>
        <w:tc>
          <w:tcPr>
            <w:tcW w:w="1306" w:type="pct"/>
            <w:shd w:val="clear" w:color="auto" w:fill="auto"/>
            <w:vAlign w:val="center"/>
          </w:tcPr>
          <w:p w14:paraId="2D5E544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73A571E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7BAF4BEC">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50FD9770">
            <w:pPr>
              <w:widowControl/>
              <w:shd w:val="clear"/>
              <w:jc w:val="center"/>
              <w:rPr>
                <w:rFonts w:ascii="宋体" w:hAnsi="宋体" w:cs="宋体"/>
                <w:color w:val="000000"/>
                <w:kern w:val="0"/>
                <w:sz w:val="18"/>
                <w:szCs w:val="18"/>
                <w:highlight w:val="none"/>
              </w:rPr>
            </w:pPr>
          </w:p>
        </w:tc>
      </w:tr>
      <w:tr w14:paraId="0112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25736C4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p>
        </w:tc>
        <w:tc>
          <w:tcPr>
            <w:tcW w:w="874" w:type="pct"/>
            <w:vMerge w:val="continue"/>
            <w:vAlign w:val="center"/>
          </w:tcPr>
          <w:p w14:paraId="67E522BD">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5525AFE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开具</w:t>
            </w:r>
            <w:r>
              <w:rPr>
                <w:rFonts w:hint="eastAsia" w:ascii="宋体" w:hAnsi="宋体" w:cs="宋体"/>
                <w:color w:val="000000"/>
                <w:kern w:val="0"/>
                <w:sz w:val="18"/>
                <w:szCs w:val="18"/>
                <w:highlight w:val="none"/>
              </w:rPr>
              <w:t>住院证</w:t>
            </w:r>
          </w:p>
        </w:tc>
        <w:tc>
          <w:tcPr>
            <w:tcW w:w="1306" w:type="pct"/>
            <w:shd w:val="clear" w:color="auto" w:fill="auto"/>
            <w:vAlign w:val="center"/>
          </w:tcPr>
          <w:p w14:paraId="1B0B68C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0D50B74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6461626B">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456439AB">
            <w:pPr>
              <w:widowControl/>
              <w:shd w:val="clear"/>
              <w:jc w:val="center"/>
              <w:rPr>
                <w:rFonts w:ascii="宋体" w:hAnsi="宋体" w:cs="宋体"/>
                <w:color w:val="000000"/>
                <w:kern w:val="0"/>
                <w:sz w:val="18"/>
                <w:szCs w:val="18"/>
                <w:highlight w:val="none"/>
              </w:rPr>
            </w:pPr>
          </w:p>
        </w:tc>
      </w:tr>
      <w:tr w14:paraId="785D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33641AB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17</w:t>
            </w:r>
          </w:p>
        </w:tc>
        <w:tc>
          <w:tcPr>
            <w:tcW w:w="874" w:type="pct"/>
            <w:vMerge w:val="continue"/>
            <w:vAlign w:val="center"/>
          </w:tcPr>
          <w:p w14:paraId="35124E52">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1BFAFA6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获取</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患者列表</w:t>
            </w:r>
          </w:p>
        </w:tc>
        <w:tc>
          <w:tcPr>
            <w:tcW w:w="1306" w:type="pct"/>
            <w:shd w:val="clear" w:color="auto" w:fill="auto"/>
            <w:vAlign w:val="center"/>
          </w:tcPr>
          <w:p w14:paraId="074F0DE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1CC21CD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4D555550">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4808B3CE">
            <w:pPr>
              <w:widowControl/>
              <w:shd w:val="clear"/>
              <w:jc w:val="center"/>
              <w:rPr>
                <w:rFonts w:ascii="宋体" w:hAnsi="宋体" w:cs="宋体"/>
                <w:color w:val="000000"/>
                <w:kern w:val="0"/>
                <w:sz w:val="18"/>
                <w:szCs w:val="18"/>
                <w:highlight w:val="none"/>
              </w:rPr>
            </w:pPr>
          </w:p>
        </w:tc>
      </w:tr>
      <w:tr w14:paraId="2944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07FDB7C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18</w:t>
            </w:r>
          </w:p>
        </w:tc>
        <w:tc>
          <w:tcPr>
            <w:tcW w:w="874" w:type="pct"/>
            <w:vMerge w:val="continue"/>
            <w:vAlign w:val="center"/>
          </w:tcPr>
          <w:p w14:paraId="1C3B9728">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35BC911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预约挂号接口</w:t>
            </w:r>
          </w:p>
        </w:tc>
        <w:tc>
          <w:tcPr>
            <w:tcW w:w="1306" w:type="pct"/>
            <w:shd w:val="clear" w:color="auto" w:fill="auto"/>
            <w:vAlign w:val="center"/>
          </w:tcPr>
          <w:p w14:paraId="0471185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7207AC0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0572C4E4">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26192C99">
            <w:pPr>
              <w:widowControl/>
              <w:shd w:val="clear"/>
              <w:jc w:val="center"/>
              <w:rPr>
                <w:rFonts w:ascii="宋体" w:hAnsi="宋体" w:cs="宋体"/>
                <w:color w:val="000000"/>
                <w:kern w:val="0"/>
                <w:sz w:val="18"/>
                <w:szCs w:val="18"/>
                <w:highlight w:val="none"/>
              </w:rPr>
            </w:pPr>
          </w:p>
        </w:tc>
      </w:tr>
      <w:tr w14:paraId="08D6E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E31EF1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19</w:t>
            </w:r>
          </w:p>
        </w:tc>
        <w:tc>
          <w:tcPr>
            <w:tcW w:w="874" w:type="pct"/>
            <w:vMerge w:val="continue"/>
            <w:vAlign w:val="center"/>
          </w:tcPr>
          <w:p w14:paraId="77C04461">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53E3FC0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插入远程会诊医嘱</w:t>
            </w:r>
          </w:p>
        </w:tc>
        <w:tc>
          <w:tcPr>
            <w:tcW w:w="1306" w:type="pct"/>
            <w:shd w:val="clear" w:color="auto" w:fill="auto"/>
            <w:vAlign w:val="center"/>
          </w:tcPr>
          <w:p w14:paraId="33A867E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1AE76B3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41024DC5">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73FB1529">
            <w:pPr>
              <w:widowControl/>
              <w:shd w:val="clear"/>
              <w:jc w:val="center"/>
              <w:rPr>
                <w:rFonts w:ascii="宋体" w:hAnsi="宋体" w:cs="宋体"/>
                <w:color w:val="000000"/>
                <w:kern w:val="0"/>
                <w:sz w:val="18"/>
                <w:szCs w:val="18"/>
                <w:highlight w:val="none"/>
              </w:rPr>
            </w:pPr>
          </w:p>
        </w:tc>
      </w:tr>
      <w:tr w14:paraId="42F65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518198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874" w:type="pct"/>
            <w:vMerge w:val="restart"/>
            <w:shd w:val="clear" w:color="auto" w:fill="auto"/>
            <w:vAlign w:val="center"/>
          </w:tcPr>
          <w:p w14:paraId="0CD971D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预约挂号管理平台</w:t>
            </w:r>
          </w:p>
        </w:tc>
        <w:tc>
          <w:tcPr>
            <w:tcW w:w="1474" w:type="pct"/>
            <w:shd w:val="clear" w:color="auto" w:fill="auto"/>
            <w:vAlign w:val="center"/>
          </w:tcPr>
          <w:p w14:paraId="7D7CABB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预约挂号发起到医院的交易</w:t>
            </w:r>
          </w:p>
        </w:tc>
        <w:tc>
          <w:tcPr>
            <w:tcW w:w="1306" w:type="pct"/>
            <w:shd w:val="clear" w:color="auto" w:fill="auto"/>
            <w:vAlign w:val="center"/>
          </w:tcPr>
          <w:p w14:paraId="673CC25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2BC740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1923B737">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5107E113">
            <w:pPr>
              <w:widowControl/>
              <w:shd w:val="clear"/>
              <w:jc w:val="center"/>
              <w:rPr>
                <w:rFonts w:ascii="宋体" w:hAnsi="宋体" w:cs="宋体"/>
                <w:color w:val="000000"/>
                <w:kern w:val="0"/>
                <w:sz w:val="18"/>
                <w:szCs w:val="18"/>
                <w:highlight w:val="none"/>
              </w:rPr>
            </w:pPr>
          </w:p>
        </w:tc>
      </w:tr>
      <w:tr w14:paraId="447EE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6D51A67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874" w:type="pct"/>
            <w:vMerge w:val="continue"/>
            <w:vAlign w:val="center"/>
          </w:tcPr>
          <w:p w14:paraId="767AE11A">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43F7AB4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医院发起到预约挂号平台的交易接口</w:t>
            </w:r>
          </w:p>
        </w:tc>
        <w:tc>
          <w:tcPr>
            <w:tcW w:w="1306" w:type="pct"/>
            <w:shd w:val="clear" w:color="auto" w:fill="auto"/>
            <w:vAlign w:val="center"/>
          </w:tcPr>
          <w:p w14:paraId="2F185A5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3CB82C7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61B87102">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3B7763FD">
            <w:pPr>
              <w:widowControl/>
              <w:shd w:val="clear"/>
              <w:jc w:val="center"/>
              <w:rPr>
                <w:rFonts w:ascii="宋体" w:hAnsi="宋体" w:cs="宋体"/>
                <w:color w:val="000000"/>
                <w:kern w:val="0"/>
                <w:sz w:val="18"/>
                <w:szCs w:val="18"/>
                <w:highlight w:val="none"/>
              </w:rPr>
            </w:pPr>
          </w:p>
        </w:tc>
      </w:tr>
      <w:tr w14:paraId="7898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3A082A2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874" w:type="pct"/>
            <w:vMerge w:val="restart"/>
            <w:shd w:val="clear" w:color="auto" w:fill="auto"/>
            <w:vAlign w:val="center"/>
          </w:tcPr>
          <w:p w14:paraId="2B47BC9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医共体平台数据采集共享</w:t>
            </w:r>
          </w:p>
        </w:tc>
        <w:tc>
          <w:tcPr>
            <w:tcW w:w="1474" w:type="pct"/>
            <w:shd w:val="clear" w:color="auto" w:fill="auto"/>
            <w:vAlign w:val="center"/>
          </w:tcPr>
          <w:p w14:paraId="6BCD27A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患者信息</w:t>
            </w:r>
          </w:p>
        </w:tc>
        <w:tc>
          <w:tcPr>
            <w:tcW w:w="1306" w:type="pct"/>
            <w:shd w:val="clear" w:color="auto" w:fill="auto"/>
            <w:vAlign w:val="center"/>
          </w:tcPr>
          <w:p w14:paraId="60689B9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289D23F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4CA8B549">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2227214B">
            <w:pPr>
              <w:widowControl/>
              <w:shd w:val="clear"/>
              <w:jc w:val="center"/>
              <w:rPr>
                <w:rFonts w:ascii="宋体" w:hAnsi="宋体" w:cs="宋体"/>
                <w:color w:val="000000"/>
                <w:kern w:val="0"/>
                <w:sz w:val="18"/>
                <w:szCs w:val="18"/>
                <w:highlight w:val="none"/>
              </w:rPr>
            </w:pPr>
          </w:p>
        </w:tc>
      </w:tr>
      <w:tr w14:paraId="013E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1DFFF7C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23</w:t>
            </w:r>
          </w:p>
        </w:tc>
        <w:tc>
          <w:tcPr>
            <w:tcW w:w="874" w:type="pct"/>
            <w:vMerge w:val="continue"/>
            <w:vAlign w:val="center"/>
          </w:tcPr>
          <w:p w14:paraId="10F3E1AD">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2CECEDD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门急诊诊疗类数据</w:t>
            </w:r>
          </w:p>
        </w:tc>
        <w:tc>
          <w:tcPr>
            <w:tcW w:w="1306" w:type="pct"/>
            <w:shd w:val="clear" w:color="auto" w:fill="auto"/>
            <w:vAlign w:val="center"/>
          </w:tcPr>
          <w:p w14:paraId="73B17A9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6FADB6A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42763F29">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05CBCC91">
            <w:pPr>
              <w:widowControl/>
              <w:shd w:val="clear"/>
              <w:jc w:val="center"/>
              <w:rPr>
                <w:rFonts w:ascii="宋体" w:hAnsi="宋体" w:cs="宋体"/>
                <w:color w:val="000000"/>
                <w:kern w:val="0"/>
                <w:sz w:val="18"/>
                <w:szCs w:val="18"/>
                <w:highlight w:val="none"/>
              </w:rPr>
            </w:pPr>
          </w:p>
        </w:tc>
      </w:tr>
      <w:tr w14:paraId="11594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78BD18C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24</w:t>
            </w:r>
          </w:p>
        </w:tc>
        <w:tc>
          <w:tcPr>
            <w:tcW w:w="874" w:type="pct"/>
            <w:vMerge w:val="continue"/>
            <w:vAlign w:val="center"/>
          </w:tcPr>
          <w:p w14:paraId="078BA596">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3C0000E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住院诊疗类数据</w:t>
            </w:r>
          </w:p>
        </w:tc>
        <w:tc>
          <w:tcPr>
            <w:tcW w:w="1306" w:type="pct"/>
            <w:shd w:val="clear" w:color="auto" w:fill="auto"/>
            <w:vAlign w:val="center"/>
          </w:tcPr>
          <w:p w14:paraId="39CF701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0D9CBD2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15219B7C">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5DBF73C7">
            <w:pPr>
              <w:widowControl/>
              <w:shd w:val="clear"/>
              <w:jc w:val="center"/>
              <w:rPr>
                <w:rFonts w:ascii="宋体" w:hAnsi="宋体" w:cs="宋体"/>
                <w:color w:val="000000"/>
                <w:kern w:val="0"/>
                <w:sz w:val="18"/>
                <w:szCs w:val="18"/>
                <w:highlight w:val="none"/>
              </w:rPr>
            </w:pPr>
          </w:p>
        </w:tc>
      </w:tr>
      <w:tr w14:paraId="5903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4F6216A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25</w:t>
            </w:r>
          </w:p>
        </w:tc>
        <w:tc>
          <w:tcPr>
            <w:tcW w:w="874" w:type="pct"/>
            <w:vMerge w:val="continue"/>
            <w:vAlign w:val="center"/>
          </w:tcPr>
          <w:p w14:paraId="137B9E48">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05E5057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医学影像检查记录</w:t>
            </w:r>
          </w:p>
        </w:tc>
        <w:tc>
          <w:tcPr>
            <w:tcW w:w="1306" w:type="pct"/>
            <w:shd w:val="clear" w:color="auto" w:fill="auto"/>
            <w:vAlign w:val="center"/>
          </w:tcPr>
          <w:p w14:paraId="3807315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0B15DBE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35BDC96D">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0955E363">
            <w:pPr>
              <w:widowControl/>
              <w:shd w:val="clear"/>
              <w:jc w:val="center"/>
              <w:rPr>
                <w:rFonts w:ascii="宋体" w:hAnsi="宋体" w:cs="宋体"/>
                <w:color w:val="000000"/>
                <w:kern w:val="0"/>
                <w:sz w:val="18"/>
                <w:szCs w:val="18"/>
                <w:highlight w:val="none"/>
              </w:rPr>
            </w:pPr>
          </w:p>
        </w:tc>
      </w:tr>
      <w:tr w14:paraId="48ED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3044204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26</w:t>
            </w:r>
          </w:p>
        </w:tc>
        <w:tc>
          <w:tcPr>
            <w:tcW w:w="874" w:type="pct"/>
            <w:vMerge w:val="continue"/>
            <w:vAlign w:val="center"/>
          </w:tcPr>
          <w:p w14:paraId="52D4713E">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747CAB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实验室检验记录</w:t>
            </w:r>
          </w:p>
        </w:tc>
        <w:tc>
          <w:tcPr>
            <w:tcW w:w="1306" w:type="pct"/>
            <w:shd w:val="clear" w:color="auto" w:fill="auto"/>
            <w:vAlign w:val="center"/>
          </w:tcPr>
          <w:p w14:paraId="3F6ABE8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4BE52E7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04434F0E">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2A243D66">
            <w:pPr>
              <w:widowControl/>
              <w:shd w:val="clear"/>
              <w:jc w:val="center"/>
              <w:rPr>
                <w:rFonts w:ascii="宋体" w:hAnsi="宋体" w:cs="宋体"/>
                <w:color w:val="000000"/>
                <w:kern w:val="0"/>
                <w:sz w:val="18"/>
                <w:szCs w:val="18"/>
                <w:highlight w:val="none"/>
              </w:rPr>
            </w:pPr>
          </w:p>
        </w:tc>
      </w:tr>
      <w:tr w14:paraId="2D9A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07153E9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27</w:t>
            </w:r>
          </w:p>
        </w:tc>
        <w:tc>
          <w:tcPr>
            <w:tcW w:w="874" w:type="pct"/>
            <w:vMerge w:val="continue"/>
            <w:vAlign w:val="center"/>
          </w:tcPr>
          <w:p w14:paraId="377E5DC9">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122C891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w:t>
            </w:r>
          </w:p>
        </w:tc>
        <w:tc>
          <w:tcPr>
            <w:tcW w:w="1306" w:type="pct"/>
            <w:shd w:val="clear" w:color="auto" w:fill="auto"/>
            <w:vAlign w:val="center"/>
          </w:tcPr>
          <w:p w14:paraId="0553D8D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4066428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0C720522">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1C3EF502">
            <w:pPr>
              <w:widowControl/>
              <w:shd w:val="clear"/>
              <w:jc w:val="center"/>
              <w:rPr>
                <w:rFonts w:ascii="宋体" w:hAnsi="宋体" w:cs="宋体"/>
                <w:color w:val="000000"/>
                <w:kern w:val="0"/>
                <w:sz w:val="18"/>
                <w:szCs w:val="18"/>
                <w:highlight w:val="none"/>
              </w:rPr>
            </w:pPr>
          </w:p>
        </w:tc>
      </w:tr>
      <w:tr w14:paraId="7702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0CCA423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28</w:t>
            </w:r>
          </w:p>
        </w:tc>
        <w:tc>
          <w:tcPr>
            <w:tcW w:w="874" w:type="pct"/>
            <w:vMerge w:val="continue"/>
            <w:vAlign w:val="center"/>
          </w:tcPr>
          <w:p w14:paraId="2F21F422">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2981130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转诊（院）记录</w:t>
            </w:r>
          </w:p>
        </w:tc>
        <w:tc>
          <w:tcPr>
            <w:tcW w:w="1306" w:type="pct"/>
            <w:shd w:val="clear" w:color="auto" w:fill="auto"/>
            <w:vAlign w:val="center"/>
          </w:tcPr>
          <w:p w14:paraId="77B0B3F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22895A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614B0CEC">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7AB780B3">
            <w:pPr>
              <w:widowControl/>
              <w:shd w:val="clear"/>
              <w:jc w:val="center"/>
              <w:rPr>
                <w:rFonts w:ascii="宋体" w:hAnsi="宋体" w:cs="宋体"/>
                <w:color w:val="000000"/>
                <w:kern w:val="0"/>
                <w:sz w:val="18"/>
                <w:szCs w:val="18"/>
                <w:highlight w:val="none"/>
              </w:rPr>
            </w:pPr>
          </w:p>
        </w:tc>
      </w:tr>
      <w:tr w14:paraId="7C2D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4F7E655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29</w:t>
            </w:r>
          </w:p>
        </w:tc>
        <w:tc>
          <w:tcPr>
            <w:tcW w:w="874" w:type="pct"/>
            <w:vMerge w:val="continue"/>
            <w:vAlign w:val="center"/>
          </w:tcPr>
          <w:p w14:paraId="217587BB">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04EEE0F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医院体检记录</w:t>
            </w:r>
          </w:p>
        </w:tc>
        <w:tc>
          <w:tcPr>
            <w:tcW w:w="1306" w:type="pct"/>
            <w:shd w:val="clear" w:color="auto" w:fill="auto"/>
            <w:vAlign w:val="center"/>
          </w:tcPr>
          <w:p w14:paraId="27BD3EE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4562075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7EA0FCEB">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5C6CA2EE">
            <w:pPr>
              <w:widowControl/>
              <w:shd w:val="clear"/>
              <w:jc w:val="center"/>
              <w:rPr>
                <w:rFonts w:ascii="宋体" w:hAnsi="宋体" w:cs="宋体"/>
                <w:color w:val="000000"/>
                <w:kern w:val="0"/>
                <w:sz w:val="18"/>
                <w:szCs w:val="18"/>
                <w:highlight w:val="none"/>
              </w:rPr>
            </w:pPr>
          </w:p>
        </w:tc>
      </w:tr>
      <w:tr w14:paraId="5CEB2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0C1484B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30</w:t>
            </w:r>
          </w:p>
        </w:tc>
        <w:tc>
          <w:tcPr>
            <w:tcW w:w="874" w:type="pct"/>
            <w:vMerge w:val="continue"/>
            <w:vAlign w:val="center"/>
          </w:tcPr>
          <w:p w14:paraId="23185ECF">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100748E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医院感染</w:t>
            </w:r>
          </w:p>
        </w:tc>
        <w:tc>
          <w:tcPr>
            <w:tcW w:w="1306" w:type="pct"/>
            <w:shd w:val="clear" w:color="auto" w:fill="auto"/>
            <w:vAlign w:val="center"/>
          </w:tcPr>
          <w:p w14:paraId="7CFCAEA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79EA189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0F764936">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76CE411A">
            <w:pPr>
              <w:widowControl/>
              <w:shd w:val="clear"/>
              <w:jc w:val="center"/>
              <w:rPr>
                <w:rFonts w:ascii="宋体" w:hAnsi="宋体" w:cs="宋体"/>
                <w:color w:val="000000"/>
                <w:kern w:val="0"/>
                <w:sz w:val="18"/>
                <w:szCs w:val="18"/>
                <w:highlight w:val="none"/>
              </w:rPr>
            </w:pPr>
          </w:p>
        </w:tc>
      </w:tr>
      <w:tr w14:paraId="28A2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22621CD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31</w:t>
            </w:r>
          </w:p>
        </w:tc>
        <w:tc>
          <w:tcPr>
            <w:tcW w:w="874" w:type="pct"/>
            <w:vMerge w:val="continue"/>
            <w:vAlign w:val="center"/>
          </w:tcPr>
          <w:p w14:paraId="20CE7577">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1F23D38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不良事件</w:t>
            </w:r>
          </w:p>
        </w:tc>
        <w:tc>
          <w:tcPr>
            <w:tcW w:w="1306" w:type="pct"/>
            <w:shd w:val="clear" w:color="auto" w:fill="auto"/>
            <w:vAlign w:val="center"/>
          </w:tcPr>
          <w:p w14:paraId="4E9FDB5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68779A1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638CADE2">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67B8E1F9">
            <w:pPr>
              <w:widowControl/>
              <w:shd w:val="clear"/>
              <w:jc w:val="center"/>
              <w:rPr>
                <w:rFonts w:ascii="宋体" w:hAnsi="宋体" w:cs="宋体"/>
                <w:color w:val="000000"/>
                <w:kern w:val="0"/>
                <w:sz w:val="18"/>
                <w:szCs w:val="18"/>
                <w:highlight w:val="none"/>
              </w:rPr>
            </w:pPr>
          </w:p>
        </w:tc>
      </w:tr>
      <w:tr w14:paraId="4EFF0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A1C9A5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32</w:t>
            </w:r>
          </w:p>
        </w:tc>
        <w:tc>
          <w:tcPr>
            <w:tcW w:w="874" w:type="pct"/>
            <w:vMerge w:val="continue"/>
            <w:vAlign w:val="center"/>
          </w:tcPr>
          <w:p w14:paraId="45132E86">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5058876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传染病上报</w:t>
            </w:r>
          </w:p>
        </w:tc>
        <w:tc>
          <w:tcPr>
            <w:tcW w:w="1306" w:type="pct"/>
            <w:shd w:val="clear" w:color="auto" w:fill="auto"/>
            <w:vAlign w:val="center"/>
          </w:tcPr>
          <w:p w14:paraId="269B7C6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38ADE5B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7102E482">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10584C86">
            <w:pPr>
              <w:widowControl/>
              <w:shd w:val="clear"/>
              <w:jc w:val="center"/>
              <w:rPr>
                <w:rFonts w:ascii="宋体" w:hAnsi="宋体" w:cs="宋体"/>
                <w:color w:val="000000"/>
                <w:kern w:val="0"/>
                <w:sz w:val="18"/>
                <w:szCs w:val="18"/>
                <w:highlight w:val="none"/>
              </w:rPr>
            </w:pPr>
          </w:p>
        </w:tc>
      </w:tr>
      <w:tr w14:paraId="76A6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276D8A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33</w:t>
            </w:r>
          </w:p>
        </w:tc>
        <w:tc>
          <w:tcPr>
            <w:tcW w:w="874" w:type="pct"/>
            <w:vMerge w:val="continue"/>
            <w:vAlign w:val="center"/>
          </w:tcPr>
          <w:p w14:paraId="540B7476">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7948895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临床用血信息</w:t>
            </w:r>
          </w:p>
        </w:tc>
        <w:tc>
          <w:tcPr>
            <w:tcW w:w="1306" w:type="pct"/>
            <w:shd w:val="clear" w:color="auto" w:fill="auto"/>
            <w:vAlign w:val="center"/>
          </w:tcPr>
          <w:p w14:paraId="61185EC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34EEBC0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160219CE">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33179D6C">
            <w:pPr>
              <w:widowControl/>
              <w:shd w:val="clear"/>
              <w:jc w:val="center"/>
              <w:rPr>
                <w:rFonts w:ascii="宋体" w:hAnsi="宋体" w:cs="宋体"/>
                <w:color w:val="000000"/>
                <w:kern w:val="0"/>
                <w:sz w:val="18"/>
                <w:szCs w:val="18"/>
                <w:highlight w:val="none"/>
              </w:rPr>
            </w:pPr>
          </w:p>
        </w:tc>
      </w:tr>
      <w:tr w14:paraId="52DA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087D9E7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34</w:t>
            </w:r>
          </w:p>
        </w:tc>
        <w:tc>
          <w:tcPr>
            <w:tcW w:w="874" w:type="pct"/>
            <w:vMerge w:val="continue"/>
            <w:vAlign w:val="center"/>
          </w:tcPr>
          <w:p w14:paraId="415C0CDC">
            <w:pPr>
              <w:widowControl/>
              <w:shd w:val="clear"/>
              <w:jc w:val="left"/>
              <w:rPr>
                <w:rFonts w:ascii="宋体" w:hAnsi="宋体" w:cs="宋体"/>
                <w:color w:val="000000"/>
                <w:kern w:val="0"/>
                <w:sz w:val="18"/>
                <w:szCs w:val="18"/>
                <w:highlight w:val="none"/>
              </w:rPr>
            </w:pPr>
          </w:p>
        </w:tc>
        <w:tc>
          <w:tcPr>
            <w:tcW w:w="1474" w:type="pct"/>
            <w:shd w:val="clear" w:color="auto" w:fill="auto"/>
            <w:vAlign w:val="center"/>
          </w:tcPr>
          <w:p w14:paraId="6B586C1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运营业务监管</w:t>
            </w:r>
          </w:p>
        </w:tc>
        <w:tc>
          <w:tcPr>
            <w:tcW w:w="1306" w:type="pct"/>
            <w:shd w:val="clear" w:color="auto" w:fill="auto"/>
            <w:vAlign w:val="center"/>
          </w:tcPr>
          <w:p w14:paraId="5B1896E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81" w:type="pct"/>
            <w:shd w:val="clear" w:color="auto" w:fill="auto"/>
            <w:vAlign w:val="center"/>
          </w:tcPr>
          <w:p w14:paraId="1DCEDBF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5" w:type="pct"/>
            <w:vMerge w:val="continue"/>
            <w:shd w:val="clear" w:color="auto" w:fill="auto"/>
            <w:vAlign w:val="center"/>
          </w:tcPr>
          <w:p w14:paraId="4A731DC6">
            <w:pPr>
              <w:widowControl/>
              <w:shd w:val="clear"/>
              <w:jc w:val="center"/>
              <w:rPr>
                <w:rFonts w:ascii="宋体" w:hAnsi="宋体" w:cs="宋体"/>
                <w:color w:val="000000"/>
                <w:kern w:val="0"/>
                <w:sz w:val="18"/>
                <w:szCs w:val="18"/>
                <w:highlight w:val="none"/>
              </w:rPr>
            </w:pPr>
          </w:p>
        </w:tc>
        <w:tc>
          <w:tcPr>
            <w:tcW w:w="373" w:type="pct"/>
            <w:vMerge w:val="continue"/>
            <w:shd w:val="clear" w:color="auto" w:fill="auto"/>
            <w:vAlign w:val="center"/>
          </w:tcPr>
          <w:p w14:paraId="0447799F">
            <w:pPr>
              <w:widowControl/>
              <w:shd w:val="clear"/>
              <w:jc w:val="center"/>
              <w:rPr>
                <w:rFonts w:ascii="宋体" w:hAnsi="宋体" w:cs="宋体"/>
                <w:color w:val="000000"/>
                <w:kern w:val="0"/>
                <w:sz w:val="18"/>
                <w:szCs w:val="18"/>
                <w:highlight w:val="none"/>
              </w:rPr>
            </w:pPr>
          </w:p>
        </w:tc>
      </w:tr>
      <w:tr w14:paraId="3C6E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85" w:type="pct"/>
            <w:shd w:val="clear" w:color="auto" w:fill="auto"/>
            <w:vAlign w:val="center"/>
          </w:tcPr>
          <w:p w14:paraId="525E8746">
            <w:pPr>
              <w:widowControl/>
              <w:shd w:val="clear"/>
              <w:jc w:val="center"/>
              <w:rPr>
                <w:rFonts w:ascii="宋体" w:hAnsi="宋体" w:cs="宋体"/>
                <w:color w:val="000000"/>
                <w:kern w:val="0"/>
                <w:sz w:val="18"/>
                <w:szCs w:val="18"/>
                <w:highlight w:val="none"/>
              </w:rPr>
            </w:pPr>
            <w:bookmarkStart w:id="11" w:name="_Toc11741"/>
            <w:r>
              <w:rPr>
                <w:rFonts w:hint="eastAsia" w:ascii="宋体" w:hAnsi="宋体" w:cs="宋体"/>
                <w:color w:val="000000"/>
                <w:kern w:val="0"/>
                <w:sz w:val="18"/>
                <w:szCs w:val="18"/>
                <w:highlight w:val="none"/>
              </w:rPr>
              <w:t>35</w:t>
            </w:r>
          </w:p>
        </w:tc>
        <w:tc>
          <w:tcPr>
            <w:tcW w:w="4341" w:type="pct"/>
            <w:gridSpan w:val="5"/>
            <w:vAlign w:val="center"/>
          </w:tcPr>
          <w:p w14:paraId="17A7CB8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合计</w:t>
            </w:r>
          </w:p>
        </w:tc>
        <w:tc>
          <w:tcPr>
            <w:tcW w:w="373" w:type="pct"/>
            <w:shd w:val="clear" w:color="auto" w:fill="auto"/>
            <w:vAlign w:val="center"/>
          </w:tcPr>
          <w:p w14:paraId="55F4280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170000</w:t>
            </w:r>
          </w:p>
        </w:tc>
      </w:tr>
    </w:tbl>
    <w:p w14:paraId="08862781">
      <w:pPr>
        <w:shd w:val="clear"/>
        <w:rPr>
          <w:highlight w:val="none"/>
        </w:rPr>
      </w:pPr>
      <w:r>
        <w:rPr>
          <w:rFonts w:hint="eastAsia"/>
          <w:highlight w:val="none"/>
        </w:rPr>
        <w:br w:type="page"/>
      </w:r>
    </w:p>
    <w:p w14:paraId="16A81C0A">
      <w:pPr>
        <w:pStyle w:val="5"/>
        <w:numPr>
          <w:ilvl w:val="2"/>
          <w:numId w:val="0"/>
        </w:numPr>
        <w:shd w:val="clear"/>
        <w:rPr>
          <w:highlight w:val="none"/>
        </w:rPr>
      </w:pPr>
      <w:r>
        <w:rPr>
          <w:rFonts w:hint="eastAsia"/>
          <w:highlight w:val="none"/>
          <w:lang w:val="en-US" w:eastAsia="zh-CN"/>
        </w:rPr>
        <w:t>8</w:t>
      </w:r>
      <w:r>
        <w:rPr>
          <w:rFonts w:hint="eastAsia"/>
          <w:highlight w:val="none"/>
        </w:rPr>
        <w:t>、喀喇沁旗各基层医疗机构医共体接口对接服务</w:t>
      </w:r>
      <w:bookmarkEnd w:id="11"/>
    </w:p>
    <w:tbl>
      <w:tblPr>
        <w:tblStyle w:val="48"/>
        <w:tblW w:w="49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2453"/>
        <w:gridCol w:w="4169"/>
        <w:gridCol w:w="3730"/>
        <w:gridCol w:w="743"/>
        <w:gridCol w:w="1142"/>
        <w:gridCol w:w="1044"/>
      </w:tblGrid>
      <w:tr w14:paraId="5D0C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blHeader/>
        </w:trPr>
        <w:tc>
          <w:tcPr>
            <w:tcW w:w="278" w:type="pct"/>
            <w:shd w:val="clear" w:color="auto" w:fill="auto"/>
            <w:vAlign w:val="center"/>
          </w:tcPr>
          <w:p w14:paraId="2C665C3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872" w:type="pct"/>
            <w:shd w:val="clear" w:color="auto" w:fill="auto"/>
            <w:vAlign w:val="center"/>
          </w:tcPr>
          <w:p w14:paraId="6C22EAF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系统分类</w:t>
            </w:r>
          </w:p>
        </w:tc>
        <w:tc>
          <w:tcPr>
            <w:tcW w:w="1482" w:type="pct"/>
            <w:shd w:val="clear" w:color="auto" w:fill="auto"/>
            <w:vAlign w:val="center"/>
          </w:tcPr>
          <w:p w14:paraId="63F449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系统名称</w:t>
            </w:r>
          </w:p>
        </w:tc>
        <w:tc>
          <w:tcPr>
            <w:tcW w:w="1326" w:type="pct"/>
            <w:shd w:val="clear" w:color="auto" w:fill="auto"/>
            <w:vAlign w:val="center"/>
          </w:tcPr>
          <w:p w14:paraId="05373868">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技术要求（参数具体要求）</w:t>
            </w:r>
          </w:p>
        </w:tc>
        <w:tc>
          <w:tcPr>
            <w:tcW w:w="264" w:type="pct"/>
            <w:shd w:val="clear" w:color="auto" w:fill="auto"/>
            <w:vAlign w:val="center"/>
          </w:tcPr>
          <w:p w14:paraId="69ED61D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403" w:type="pct"/>
            <w:shd w:val="clear" w:color="auto" w:fill="auto"/>
            <w:vAlign w:val="center"/>
          </w:tcPr>
          <w:p w14:paraId="760CDEC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单价（元）</w:t>
            </w:r>
          </w:p>
        </w:tc>
        <w:tc>
          <w:tcPr>
            <w:tcW w:w="371" w:type="pct"/>
            <w:shd w:val="clear" w:color="auto" w:fill="auto"/>
            <w:vAlign w:val="center"/>
          </w:tcPr>
          <w:p w14:paraId="511B802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6CDCA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12A9CC2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872" w:type="pct"/>
            <w:shd w:val="clear" w:color="auto" w:fill="auto"/>
            <w:vAlign w:val="center"/>
          </w:tcPr>
          <w:p w14:paraId="1FBB79D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主索引</w:t>
            </w:r>
          </w:p>
        </w:tc>
        <w:tc>
          <w:tcPr>
            <w:tcW w:w="1482" w:type="pct"/>
            <w:shd w:val="clear" w:color="auto" w:fill="auto"/>
            <w:vAlign w:val="center"/>
          </w:tcPr>
          <w:p w14:paraId="4910E8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患者主索引接口</w:t>
            </w:r>
          </w:p>
        </w:tc>
        <w:tc>
          <w:tcPr>
            <w:tcW w:w="1326" w:type="pct"/>
            <w:shd w:val="clear" w:color="auto" w:fill="auto"/>
            <w:vAlign w:val="center"/>
          </w:tcPr>
          <w:p w14:paraId="0D9C391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5A1F689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restart"/>
            <w:shd w:val="clear" w:color="auto" w:fill="auto"/>
            <w:vAlign w:val="center"/>
          </w:tcPr>
          <w:p w14:paraId="3C802EEF">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252000</w:t>
            </w:r>
          </w:p>
        </w:tc>
        <w:tc>
          <w:tcPr>
            <w:tcW w:w="371" w:type="pct"/>
            <w:vMerge w:val="restart"/>
            <w:shd w:val="clear" w:color="auto" w:fill="auto"/>
            <w:vAlign w:val="center"/>
          </w:tcPr>
          <w:p w14:paraId="03C5968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252000</w:t>
            </w:r>
          </w:p>
        </w:tc>
      </w:tr>
      <w:tr w14:paraId="26FE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552F7B4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872" w:type="pct"/>
            <w:shd w:val="clear" w:color="auto" w:fill="auto"/>
            <w:vAlign w:val="center"/>
          </w:tcPr>
          <w:p w14:paraId="226812A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健康浏览器</w:t>
            </w:r>
          </w:p>
        </w:tc>
        <w:tc>
          <w:tcPr>
            <w:tcW w:w="1482" w:type="pct"/>
            <w:shd w:val="clear" w:color="auto" w:fill="auto"/>
            <w:vAlign w:val="center"/>
          </w:tcPr>
          <w:p w14:paraId="0D8417E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电子病历及健康档案记录和信息共享</w:t>
            </w:r>
          </w:p>
        </w:tc>
        <w:tc>
          <w:tcPr>
            <w:tcW w:w="1326" w:type="pct"/>
            <w:shd w:val="clear" w:color="auto" w:fill="auto"/>
            <w:vAlign w:val="center"/>
          </w:tcPr>
          <w:p w14:paraId="1588AF9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4EF7D32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0E0E4869">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56DB4CE7">
            <w:pPr>
              <w:widowControl/>
              <w:shd w:val="clear"/>
              <w:jc w:val="center"/>
              <w:rPr>
                <w:rFonts w:ascii="宋体" w:hAnsi="宋体" w:cs="宋体"/>
                <w:color w:val="000000"/>
                <w:kern w:val="0"/>
                <w:sz w:val="18"/>
                <w:szCs w:val="18"/>
                <w:highlight w:val="none"/>
              </w:rPr>
            </w:pPr>
          </w:p>
        </w:tc>
      </w:tr>
      <w:tr w14:paraId="298A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7B9B5A7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872" w:type="pct"/>
            <w:vMerge w:val="restart"/>
            <w:shd w:val="clear" w:color="auto" w:fill="auto"/>
            <w:vAlign w:val="center"/>
          </w:tcPr>
          <w:p w14:paraId="4BEFEBF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区域检验检查中心</w:t>
            </w:r>
          </w:p>
        </w:tc>
        <w:tc>
          <w:tcPr>
            <w:tcW w:w="1482" w:type="pct"/>
            <w:shd w:val="clear" w:color="auto" w:fill="auto"/>
            <w:vAlign w:val="center"/>
          </w:tcPr>
          <w:p w14:paraId="4DD98CC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统一资源管理接口</w:t>
            </w:r>
          </w:p>
        </w:tc>
        <w:tc>
          <w:tcPr>
            <w:tcW w:w="1326" w:type="pct"/>
            <w:shd w:val="clear" w:color="auto" w:fill="auto"/>
            <w:vAlign w:val="center"/>
          </w:tcPr>
          <w:p w14:paraId="6E260053">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4F130ED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10ED6615">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39CA1C3C">
            <w:pPr>
              <w:widowControl/>
              <w:shd w:val="clear"/>
              <w:jc w:val="center"/>
              <w:rPr>
                <w:rFonts w:ascii="宋体" w:hAnsi="宋体" w:cs="宋体"/>
                <w:color w:val="000000"/>
                <w:kern w:val="0"/>
                <w:sz w:val="18"/>
                <w:szCs w:val="18"/>
                <w:highlight w:val="none"/>
              </w:rPr>
            </w:pPr>
          </w:p>
        </w:tc>
      </w:tr>
      <w:tr w14:paraId="2FCB7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5D099DC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872" w:type="pct"/>
            <w:vMerge w:val="continue"/>
            <w:vAlign w:val="center"/>
          </w:tcPr>
          <w:p w14:paraId="77F098D2">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60EBB15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区域检验中心接口说明</w:t>
            </w:r>
          </w:p>
        </w:tc>
        <w:tc>
          <w:tcPr>
            <w:tcW w:w="1326" w:type="pct"/>
            <w:shd w:val="clear" w:color="auto" w:fill="auto"/>
            <w:vAlign w:val="center"/>
          </w:tcPr>
          <w:p w14:paraId="1DD7496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2FDEE13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62E5048F">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003ABF9A">
            <w:pPr>
              <w:widowControl/>
              <w:shd w:val="clear"/>
              <w:jc w:val="center"/>
              <w:rPr>
                <w:rFonts w:ascii="宋体" w:hAnsi="宋体" w:cs="宋体"/>
                <w:color w:val="000000"/>
                <w:kern w:val="0"/>
                <w:sz w:val="18"/>
                <w:szCs w:val="18"/>
                <w:highlight w:val="none"/>
              </w:rPr>
            </w:pPr>
          </w:p>
        </w:tc>
      </w:tr>
      <w:tr w14:paraId="3CC40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5AA94CF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872" w:type="pct"/>
            <w:vMerge w:val="continue"/>
            <w:vAlign w:val="center"/>
          </w:tcPr>
          <w:p w14:paraId="5EC46B35">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30938AE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区域检查中心接口</w:t>
            </w:r>
          </w:p>
        </w:tc>
        <w:tc>
          <w:tcPr>
            <w:tcW w:w="1326" w:type="pct"/>
            <w:shd w:val="clear" w:color="auto" w:fill="auto"/>
            <w:vAlign w:val="center"/>
          </w:tcPr>
          <w:p w14:paraId="4E3CBC7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2B0E3AD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6006EF18">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4B42AFB3">
            <w:pPr>
              <w:widowControl/>
              <w:shd w:val="clear"/>
              <w:jc w:val="center"/>
              <w:rPr>
                <w:rFonts w:ascii="宋体" w:hAnsi="宋体" w:cs="宋体"/>
                <w:color w:val="000000"/>
                <w:kern w:val="0"/>
                <w:sz w:val="18"/>
                <w:szCs w:val="18"/>
                <w:highlight w:val="none"/>
              </w:rPr>
            </w:pPr>
          </w:p>
        </w:tc>
      </w:tr>
      <w:tr w14:paraId="37633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0D3CDE8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872" w:type="pct"/>
            <w:vMerge w:val="restart"/>
            <w:shd w:val="clear" w:color="auto" w:fill="auto"/>
            <w:vAlign w:val="center"/>
          </w:tcPr>
          <w:p w14:paraId="63F98A5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w:t>
            </w:r>
          </w:p>
        </w:tc>
        <w:tc>
          <w:tcPr>
            <w:tcW w:w="1482" w:type="pct"/>
            <w:shd w:val="clear" w:color="auto" w:fill="auto"/>
            <w:vAlign w:val="center"/>
          </w:tcPr>
          <w:p w14:paraId="6048B41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患者注册接口</w:t>
            </w:r>
          </w:p>
        </w:tc>
        <w:tc>
          <w:tcPr>
            <w:tcW w:w="1326" w:type="pct"/>
            <w:shd w:val="clear" w:color="auto" w:fill="auto"/>
            <w:vAlign w:val="center"/>
          </w:tcPr>
          <w:p w14:paraId="1AD5BC0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7769A77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18A74826">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070DED9B">
            <w:pPr>
              <w:widowControl/>
              <w:shd w:val="clear"/>
              <w:jc w:val="center"/>
              <w:rPr>
                <w:rFonts w:ascii="宋体" w:hAnsi="宋体" w:cs="宋体"/>
                <w:color w:val="000000"/>
                <w:kern w:val="0"/>
                <w:sz w:val="18"/>
                <w:szCs w:val="18"/>
                <w:highlight w:val="none"/>
              </w:rPr>
            </w:pPr>
          </w:p>
        </w:tc>
      </w:tr>
      <w:tr w14:paraId="19A5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0692C0A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w:t>
            </w:r>
          </w:p>
        </w:tc>
        <w:tc>
          <w:tcPr>
            <w:tcW w:w="872" w:type="pct"/>
            <w:vMerge w:val="continue"/>
            <w:vAlign w:val="center"/>
          </w:tcPr>
          <w:p w14:paraId="7770DE85">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42736BD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系统登录接口</w:t>
            </w:r>
          </w:p>
        </w:tc>
        <w:tc>
          <w:tcPr>
            <w:tcW w:w="1326" w:type="pct"/>
            <w:shd w:val="clear" w:color="auto" w:fill="auto"/>
            <w:vAlign w:val="center"/>
          </w:tcPr>
          <w:p w14:paraId="2B2A489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653206D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6B54CD62">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0E4D3F37">
            <w:pPr>
              <w:widowControl/>
              <w:shd w:val="clear"/>
              <w:jc w:val="center"/>
              <w:rPr>
                <w:rFonts w:ascii="宋体" w:hAnsi="宋体" w:cs="宋体"/>
                <w:color w:val="000000"/>
                <w:kern w:val="0"/>
                <w:sz w:val="18"/>
                <w:szCs w:val="18"/>
                <w:highlight w:val="none"/>
              </w:rPr>
            </w:pPr>
          </w:p>
        </w:tc>
      </w:tr>
      <w:tr w14:paraId="5CDF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7301222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872" w:type="pct"/>
            <w:vMerge w:val="continue"/>
            <w:vAlign w:val="center"/>
          </w:tcPr>
          <w:p w14:paraId="090ADB40">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7C3E548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基础数据同步接口</w:t>
            </w:r>
          </w:p>
        </w:tc>
        <w:tc>
          <w:tcPr>
            <w:tcW w:w="1326" w:type="pct"/>
            <w:shd w:val="clear" w:color="auto" w:fill="auto"/>
            <w:vAlign w:val="center"/>
          </w:tcPr>
          <w:p w14:paraId="37093A1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451CCC2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46F2B669">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665E510E">
            <w:pPr>
              <w:widowControl/>
              <w:shd w:val="clear"/>
              <w:jc w:val="center"/>
              <w:rPr>
                <w:rFonts w:ascii="宋体" w:hAnsi="宋体" w:cs="宋体"/>
                <w:color w:val="000000"/>
                <w:kern w:val="0"/>
                <w:sz w:val="18"/>
                <w:szCs w:val="18"/>
                <w:highlight w:val="none"/>
              </w:rPr>
            </w:pPr>
          </w:p>
        </w:tc>
      </w:tr>
      <w:tr w14:paraId="7252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31E45FA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w:t>
            </w:r>
          </w:p>
        </w:tc>
        <w:tc>
          <w:tcPr>
            <w:tcW w:w="872" w:type="pct"/>
            <w:vMerge w:val="continue"/>
            <w:vAlign w:val="center"/>
          </w:tcPr>
          <w:p w14:paraId="5A98B29F">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0E205AE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分级诊疗获取患者信息</w:t>
            </w:r>
          </w:p>
        </w:tc>
        <w:tc>
          <w:tcPr>
            <w:tcW w:w="1326" w:type="pct"/>
            <w:shd w:val="clear" w:color="auto" w:fill="auto"/>
            <w:vAlign w:val="center"/>
          </w:tcPr>
          <w:p w14:paraId="5870FE8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34FA0DB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31F7455C">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53E2132F">
            <w:pPr>
              <w:widowControl/>
              <w:shd w:val="clear"/>
              <w:jc w:val="center"/>
              <w:rPr>
                <w:rFonts w:ascii="宋体" w:hAnsi="宋体" w:cs="宋体"/>
                <w:color w:val="000000"/>
                <w:kern w:val="0"/>
                <w:sz w:val="18"/>
                <w:szCs w:val="18"/>
                <w:highlight w:val="none"/>
              </w:rPr>
            </w:pPr>
          </w:p>
        </w:tc>
      </w:tr>
      <w:tr w14:paraId="2948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1811121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872" w:type="pct"/>
            <w:vMerge w:val="continue"/>
            <w:vAlign w:val="center"/>
          </w:tcPr>
          <w:p w14:paraId="7E6154EF">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09D5D0D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分级诊疗转诊单号查询接口</w:t>
            </w:r>
          </w:p>
        </w:tc>
        <w:tc>
          <w:tcPr>
            <w:tcW w:w="1326" w:type="pct"/>
            <w:shd w:val="clear" w:color="auto" w:fill="auto"/>
            <w:vAlign w:val="center"/>
          </w:tcPr>
          <w:p w14:paraId="7A608CA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3FF449A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08BCD4E0">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4BB38ED0">
            <w:pPr>
              <w:widowControl/>
              <w:shd w:val="clear"/>
              <w:jc w:val="center"/>
              <w:rPr>
                <w:rFonts w:ascii="宋体" w:hAnsi="宋体" w:cs="宋体"/>
                <w:color w:val="000000"/>
                <w:kern w:val="0"/>
                <w:sz w:val="18"/>
                <w:szCs w:val="18"/>
                <w:highlight w:val="none"/>
              </w:rPr>
            </w:pPr>
          </w:p>
        </w:tc>
      </w:tr>
      <w:tr w14:paraId="20BD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3E25741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872" w:type="pct"/>
            <w:vMerge w:val="continue"/>
            <w:vAlign w:val="center"/>
          </w:tcPr>
          <w:p w14:paraId="02EE1702">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6727F17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查询转诊申请单接口</w:t>
            </w:r>
          </w:p>
        </w:tc>
        <w:tc>
          <w:tcPr>
            <w:tcW w:w="1326" w:type="pct"/>
            <w:shd w:val="clear" w:color="auto" w:fill="auto"/>
            <w:vAlign w:val="center"/>
          </w:tcPr>
          <w:p w14:paraId="3E72ED0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235CCDC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5A164877">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71C6830C">
            <w:pPr>
              <w:widowControl/>
              <w:shd w:val="clear"/>
              <w:jc w:val="center"/>
              <w:rPr>
                <w:rFonts w:ascii="宋体" w:hAnsi="宋体" w:cs="宋体"/>
                <w:color w:val="000000"/>
                <w:kern w:val="0"/>
                <w:sz w:val="18"/>
                <w:szCs w:val="18"/>
                <w:highlight w:val="none"/>
              </w:rPr>
            </w:pPr>
          </w:p>
        </w:tc>
      </w:tr>
      <w:tr w14:paraId="49B9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09E2D43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872" w:type="pct"/>
            <w:vMerge w:val="continue"/>
            <w:vAlign w:val="center"/>
          </w:tcPr>
          <w:p w14:paraId="7B2D995C">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78ED3A1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电子病历接口</w:t>
            </w:r>
          </w:p>
        </w:tc>
        <w:tc>
          <w:tcPr>
            <w:tcW w:w="1326" w:type="pct"/>
            <w:shd w:val="clear" w:color="auto" w:fill="auto"/>
            <w:vAlign w:val="center"/>
          </w:tcPr>
          <w:p w14:paraId="6247349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206E524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23A16C95">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67B58A62">
            <w:pPr>
              <w:widowControl/>
              <w:shd w:val="clear"/>
              <w:jc w:val="center"/>
              <w:rPr>
                <w:rFonts w:ascii="宋体" w:hAnsi="宋体" w:cs="宋体"/>
                <w:color w:val="000000"/>
                <w:kern w:val="0"/>
                <w:sz w:val="18"/>
                <w:szCs w:val="18"/>
                <w:highlight w:val="none"/>
              </w:rPr>
            </w:pPr>
          </w:p>
        </w:tc>
      </w:tr>
      <w:tr w14:paraId="2098C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07D6185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13</w:t>
            </w:r>
          </w:p>
        </w:tc>
        <w:tc>
          <w:tcPr>
            <w:tcW w:w="872" w:type="pct"/>
            <w:vMerge w:val="continue"/>
            <w:vAlign w:val="center"/>
          </w:tcPr>
          <w:p w14:paraId="7063D2AC">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058F460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预约检查接口</w:t>
            </w:r>
          </w:p>
        </w:tc>
        <w:tc>
          <w:tcPr>
            <w:tcW w:w="1326" w:type="pct"/>
            <w:shd w:val="clear" w:color="auto" w:fill="auto"/>
            <w:vAlign w:val="center"/>
          </w:tcPr>
          <w:p w14:paraId="2AD152A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370B073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35544A70">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58586F5A">
            <w:pPr>
              <w:widowControl/>
              <w:shd w:val="clear"/>
              <w:jc w:val="center"/>
              <w:rPr>
                <w:rFonts w:ascii="宋体" w:hAnsi="宋体" w:cs="宋体"/>
                <w:color w:val="000000"/>
                <w:kern w:val="0"/>
                <w:sz w:val="18"/>
                <w:szCs w:val="18"/>
                <w:highlight w:val="none"/>
              </w:rPr>
            </w:pPr>
          </w:p>
        </w:tc>
      </w:tr>
      <w:tr w14:paraId="65DF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70AADB9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14</w:t>
            </w:r>
          </w:p>
        </w:tc>
        <w:tc>
          <w:tcPr>
            <w:tcW w:w="872" w:type="pct"/>
            <w:vMerge w:val="continue"/>
            <w:vAlign w:val="center"/>
          </w:tcPr>
          <w:p w14:paraId="486BF3B7">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7F5263C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预约检验接口</w:t>
            </w:r>
          </w:p>
        </w:tc>
        <w:tc>
          <w:tcPr>
            <w:tcW w:w="1326" w:type="pct"/>
            <w:shd w:val="clear" w:color="auto" w:fill="auto"/>
            <w:vAlign w:val="center"/>
          </w:tcPr>
          <w:p w14:paraId="26BA1F2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51EF343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45D2507E">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4C4CC35A">
            <w:pPr>
              <w:widowControl/>
              <w:shd w:val="clear"/>
              <w:jc w:val="center"/>
              <w:rPr>
                <w:rFonts w:ascii="宋体" w:hAnsi="宋体" w:cs="宋体"/>
                <w:color w:val="000000"/>
                <w:kern w:val="0"/>
                <w:sz w:val="18"/>
                <w:szCs w:val="18"/>
                <w:highlight w:val="none"/>
              </w:rPr>
            </w:pPr>
          </w:p>
        </w:tc>
      </w:tr>
      <w:tr w14:paraId="1D9BB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02B2ABA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872" w:type="pct"/>
            <w:vMerge w:val="continue"/>
            <w:vAlign w:val="center"/>
          </w:tcPr>
          <w:p w14:paraId="38C8CCE6">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0256B62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开具</w:t>
            </w:r>
            <w:r>
              <w:rPr>
                <w:rFonts w:hint="eastAsia" w:ascii="宋体" w:hAnsi="宋体" w:cs="宋体"/>
                <w:color w:val="000000"/>
                <w:kern w:val="0"/>
                <w:sz w:val="18"/>
                <w:szCs w:val="18"/>
                <w:highlight w:val="none"/>
              </w:rPr>
              <w:t>住院证</w:t>
            </w:r>
          </w:p>
        </w:tc>
        <w:tc>
          <w:tcPr>
            <w:tcW w:w="1326" w:type="pct"/>
            <w:shd w:val="clear" w:color="auto" w:fill="auto"/>
            <w:vAlign w:val="center"/>
          </w:tcPr>
          <w:p w14:paraId="02E6141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4DD453E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3A327DB3">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0B8195E1">
            <w:pPr>
              <w:widowControl/>
              <w:shd w:val="clear"/>
              <w:jc w:val="center"/>
              <w:rPr>
                <w:rFonts w:ascii="宋体" w:hAnsi="宋体" w:cs="宋体"/>
                <w:color w:val="000000"/>
                <w:kern w:val="0"/>
                <w:sz w:val="18"/>
                <w:szCs w:val="18"/>
                <w:highlight w:val="none"/>
              </w:rPr>
            </w:pPr>
          </w:p>
        </w:tc>
      </w:tr>
      <w:tr w14:paraId="24607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07432FA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p>
        </w:tc>
        <w:tc>
          <w:tcPr>
            <w:tcW w:w="872" w:type="pct"/>
            <w:vMerge w:val="continue"/>
            <w:vAlign w:val="center"/>
          </w:tcPr>
          <w:p w14:paraId="5644D96F">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4BB13ED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获取</w:t>
            </w:r>
            <w:r>
              <w:rPr>
                <w:rFonts w:hint="eastAsia" w:ascii="宋体" w:hAnsi="宋体" w:cs="宋体"/>
                <w:color w:val="000000"/>
                <w:kern w:val="0"/>
                <w:sz w:val="18"/>
                <w:szCs w:val="18"/>
                <w:highlight w:val="none"/>
                <w:lang w:eastAsia="zh-CN"/>
              </w:rPr>
              <w:t>HIS</w:t>
            </w:r>
            <w:r>
              <w:rPr>
                <w:rFonts w:hint="eastAsia" w:ascii="宋体" w:hAnsi="宋体" w:cs="宋体"/>
                <w:color w:val="000000"/>
                <w:kern w:val="0"/>
                <w:sz w:val="18"/>
                <w:szCs w:val="18"/>
                <w:highlight w:val="none"/>
              </w:rPr>
              <w:t>患者列表</w:t>
            </w:r>
          </w:p>
        </w:tc>
        <w:tc>
          <w:tcPr>
            <w:tcW w:w="1326" w:type="pct"/>
            <w:shd w:val="clear" w:color="auto" w:fill="auto"/>
            <w:vAlign w:val="center"/>
          </w:tcPr>
          <w:p w14:paraId="34EB1CE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4451F41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1917F64D">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5AB24A1D">
            <w:pPr>
              <w:widowControl/>
              <w:shd w:val="clear"/>
              <w:jc w:val="center"/>
              <w:rPr>
                <w:rFonts w:ascii="宋体" w:hAnsi="宋体" w:cs="宋体"/>
                <w:color w:val="000000"/>
                <w:kern w:val="0"/>
                <w:sz w:val="18"/>
                <w:szCs w:val="18"/>
                <w:highlight w:val="none"/>
              </w:rPr>
            </w:pPr>
          </w:p>
        </w:tc>
      </w:tr>
      <w:tr w14:paraId="32862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1477748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17</w:t>
            </w:r>
          </w:p>
        </w:tc>
        <w:tc>
          <w:tcPr>
            <w:tcW w:w="872" w:type="pct"/>
            <w:vMerge w:val="continue"/>
            <w:vAlign w:val="center"/>
          </w:tcPr>
          <w:p w14:paraId="6F0411A3">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6C1C668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预约挂号接口</w:t>
            </w:r>
          </w:p>
        </w:tc>
        <w:tc>
          <w:tcPr>
            <w:tcW w:w="1326" w:type="pct"/>
            <w:shd w:val="clear" w:color="auto" w:fill="auto"/>
            <w:vAlign w:val="center"/>
          </w:tcPr>
          <w:p w14:paraId="1615AA0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3484372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4B1448DD">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1A249A34">
            <w:pPr>
              <w:widowControl/>
              <w:shd w:val="clear"/>
              <w:jc w:val="center"/>
              <w:rPr>
                <w:rFonts w:ascii="宋体" w:hAnsi="宋体" w:cs="宋体"/>
                <w:color w:val="000000"/>
                <w:kern w:val="0"/>
                <w:sz w:val="18"/>
                <w:szCs w:val="18"/>
                <w:highlight w:val="none"/>
              </w:rPr>
            </w:pPr>
          </w:p>
        </w:tc>
      </w:tr>
      <w:tr w14:paraId="1BC3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042DD9C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18</w:t>
            </w:r>
          </w:p>
        </w:tc>
        <w:tc>
          <w:tcPr>
            <w:tcW w:w="872" w:type="pct"/>
            <w:vMerge w:val="continue"/>
            <w:vAlign w:val="center"/>
          </w:tcPr>
          <w:p w14:paraId="538EC255">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43AD0AA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插入远程会诊医嘱</w:t>
            </w:r>
          </w:p>
        </w:tc>
        <w:tc>
          <w:tcPr>
            <w:tcW w:w="1326" w:type="pct"/>
            <w:shd w:val="clear" w:color="auto" w:fill="auto"/>
            <w:vAlign w:val="center"/>
          </w:tcPr>
          <w:p w14:paraId="7B9D39B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2DBCA81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64D2624B">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51B421F8">
            <w:pPr>
              <w:widowControl/>
              <w:shd w:val="clear"/>
              <w:jc w:val="center"/>
              <w:rPr>
                <w:rFonts w:ascii="宋体" w:hAnsi="宋体" w:cs="宋体"/>
                <w:color w:val="000000"/>
                <w:kern w:val="0"/>
                <w:sz w:val="18"/>
                <w:szCs w:val="18"/>
                <w:highlight w:val="none"/>
              </w:rPr>
            </w:pPr>
          </w:p>
        </w:tc>
      </w:tr>
      <w:tr w14:paraId="4702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552CF42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19</w:t>
            </w:r>
          </w:p>
        </w:tc>
        <w:tc>
          <w:tcPr>
            <w:tcW w:w="872" w:type="pct"/>
            <w:vMerge w:val="restart"/>
            <w:shd w:val="clear" w:color="auto" w:fill="auto"/>
            <w:vAlign w:val="center"/>
          </w:tcPr>
          <w:p w14:paraId="5AC626A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预约挂号管理平台</w:t>
            </w:r>
          </w:p>
        </w:tc>
        <w:tc>
          <w:tcPr>
            <w:tcW w:w="1482" w:type="pct"/>
            <w:shd w:val="clear" w:color="auto" w:fill="auto"/>
            <w:vAlign w:val="center"/>
          </w:tcPr>
          <w:p w14:paraId="436A63E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预约挂号发起到医院的交易</w:t>
            </w:r>
          </w:p>
        </w:tc>
        <w:tc>
          <w:tcPr>
            <w:tcW w:w="1326" w:type="pct"/>
            <w:shd w:val="clear" w:color="auto" w:fill="auto"/>
            <w:vAlign w:val="center"/>
          </w:tcPr>
          <w:p w14:paraId="7A6356B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7810EE9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571C8A1E">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3E762678">
            <w:pPr>
              <w:widowControl/>
              <w:shd w:val="clear"/>
              <w:jc w:val="center"/>
              <w:rPr>
                <w:rFonts w:ascii="宋体" w:hAnsi="宋体" w:cs="宋体"/>
                <w:color w:val="000000"/>
                <w:kern w:val="0"/>
                <w:sz w:val="18"/>
                <w:szCs w:val="18"/>
                <w:highlight w:val="none"/>
              </w:rPr>
            </w:pPr>
          </w:p>
        </w:tc>
      </w:tr>
      <w:tr w14:paraId="54663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5DF7179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872" w:type="pct"/>
            <w:vMerge w:val="continue"/>
            <w:vAlign w:val="center"/>
          </w:tcPr>
          <w:p w14:paraId="04C6F3FE">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21C6146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医院发起到预约挂号平台的交易接口</w:t>
            </w:r>
          </w:p>
        </w:tc>
        <w:tc>
          <w:tcPr>
            <w:tcW w:w="1326" w:type="pct"/>
            <w:shd w:val="clear" w:color="auto" w:fill="auto"/>
            <w:vAlign w:val="center"/>
          </w:tcPr>
          <w:p w14:paraId="48F6FB9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46DCC6F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75D8F983">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08062623">
            <w:pPr>
              <w:widowControl/>
              <w:shd w:val="clear"/>
              <w:jc w:val="center"/>
              <w:rPr>
                <w:rFonts w:ascii="宋体" w:hAnsi="宋体" w:cs="宋体"/>
                <w:color w:val="000000"/>
                <w:kern w:val="0"/>
                <w:sz w:val="18"/>
                <w:szCs w:val="18"/>
                <w:highlight w:val="none"/>
              </w:rPr>
            </w:pPr>
          </w:p>
        </w:tc>
      </w:tr>
      <w:tr w14:paraId="7E99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6C038B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21</w:t>
            </w:r>
          </w:p>
        </w:tc>
        <w:tc>
          <w:tcPr>
            <w:tcW w:w="872" w:type="pct"/>
            <w:vMerge w:val="restart"/>
            <w:shd w:val="clear" w:color="auto" w:fill="auto"/>
            <w:vAlign w:val="center"/>
          </w:tcPr>
          <w:p w14:paraId="4C01324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医共体平台数据采集共享</w:t>
            </w:r>
          </w:p>
        </w:tc>
        <w:tc>
          <w:tcPr>
            <w:tcW w:w="1482" w:type="pct"/>
            <w:shd w:val="clear" w:color="auto" w:fill="auto"/>
            <w:vAlign w:val="center"/>
          </w:tcPr>
          <w:p w14:paraId="6552346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健康档案服务管理</w:t>
            </w:r>
          </w:p>
        </w:tc>
        <w:tc>
          <w:tcPr>
            <w:tcW w:w="1326" w:type="pct"/>
            <w:shd w:val="clear" w:color="auto" w:fill="auto"/>
            <w:vAlign w:val="center"/>
          </w:tcPr>
          <w:p w14:paraId="107292A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75E094E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7A480AFF">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4829AF92">
            <w:pPr>
              <w:widowControl/>
              <w:shd w:val="clear"/>
              <w:jc w:val="center"/>
              <w:rPr>
                <w:rFonts w:ascii="宋体" w:hAnsi="宋体" w:cs="宋体"/>
                <w:color w:val="000000"/>
                <w:kern w:val="0"/>
                <w:sz w:val="18"/>
                <w:szCs w:val="18"/>
                <w:highlight w:val="none"/>
              </w:rPr>
            </w:pPr>
          </w:p>
        </w:tc>
      </w:tr>
      <w:tr w14:paraId="082A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1548CD6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22</w:t>
            </w:r>
          </w:p>
        </w:tc>
        <w:tc>
          <w:tcPr>
            <w:tcW w:w="872" w:type="pct"/>
            <w:vMerge w:val="continue"/>
            <w:vAlign w:val="center"/>
          </w:tcPr>
          <w:p w14:paraId="11072093">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730EF4D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疾病服务管理</w:t>
            </w:r>
          </w:p>
        </w:tc>
        <w:tc>
          <w:tcPr>
            <w:tcW w:w="1326" w:type="pct"/>
            <w:shd w:val="clear" w:color="auto" w:fill="auto"/>
            <w:vAlign w:val="center"/>
          </w:tcPr>
          <w:p w14:paraId="7B139AD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51EE944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32E236CE">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784ECAC8">
            <w:pPr>
              <w:widowControl/>
              <w:shd w:val="clear"/>
              <w:jc w:val="center"/>
              <w:rPr>
                <w:rFonts w:ascii="宋体" w:hAnsi="宋体" w:cs="宋体"/>
                <w:color w:val="000000"/>
                <w:kern w:val="0"/>
                <w:sz w:val="18"/>
                <w:szCs w:val="18"/>
                <w:highlight w:val="none"/>
              </w:rPr>
            </w:pPr>
          </w:p>
        </w:tc>
      </w:tr>
      <w:tr w14:paraId="07D6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0AD0D17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23</w:t>
            </w:r>
          </w:p>
        </w:tc>
        <w:tc>
          <w:tcPr>
            <w:tcW w:w="872" w:type="pct"/>
            <w:vMerge w:val="continue"/>
            <w:vAlign w:val="center"/>
          </w:tcPr>
          <w:p w14:paraId="015D3DD2">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10ED4F8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老年人服务管理</w:t>
            </w:r>
          </w:p>
        </w:tc>
        <w:tc>
          <w:tcPr>
            <w:tcW w:w="1326" w:type="pct"/>
            <w:shd w:val="clear" w:color="auto" w:fill="auto"/>
            <w:vAlign w:val="center"/>
          </w:tcPr>
          <w:p w14:paraId="3BE4E5F4">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24B3511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7D93F445">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61CCD808">
            <w:pPr>
              <w:widowControl/>
              <w:shd w:val="clear"/>
              <w:jc w:val="center"/>
              <w:rPr>
                <w:rFonts w:ascii="宋体" w:hAnsi="宋体" w:cs="宋体"/>
                <w:color w:val="000000"/>
                <w:kern w:val="0"/>
                <w:sz w:val="18"/>
                <w:szCs w:val="18"/>
                <w:highlight w:val="none"/>
              </w:rPr>
            </w:pPr>
          </w:p>
        </w:tc>
      </w:tr>
      <w:tr w14:paraId="0082F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445DA38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24</w:t>
            </w:r>
          </w:p>
        </w:tc>
        <w:tc>
          <w:tcPr>
            <w:tcW w:w="872" w:type="pct"/>
            <w:vMerge w:val="continue"/>
            <w:vAlign w:val="center"/>
          </w:tcPr>
          <w:p w14:paraId="3658D54E">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75A5600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妇幼保健服务管理</w:t>
            </w:r>
          </w:p>
        </w:tc>
        <w:tc>
          <w:tcPr>
            <w:tcW w:w="1326" w:type="pct"/>
            <w:shd w:val="clear" w:color="auto" w:fill="auto"/>
            <w:vAlign w:val="center"/>
          </w:tcPr>
          <w:p w14:paraId="688606F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65C8E8C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20EBEC15">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177E2BEA">
            <w:pPr>
              <w:widowControl/>
              <w:shd w:val="clear"/>
              <w:jc w:val="center"/>
              <w:rPr>
                <w:rFonts w:ascii="宋体" w:hAnsi="宋体" w:cs="宋体"/>
                <w:color w:val="000000"/>
                <w:kern w:val="0"/>
                <w:sz w:val="18"/>
                <w:szCs w:val="18"/>
                <w:highlight w:val="none"/>
              </w:rPr>
            </w:pPr>
          </w:p>
        </w:tc>
      </w:tr>
      <w:tr w14:paraId="2AB2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3ACDD92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25</w:t>
            </w:r>
          </w:p>
        </w:tc>
        <w:tc>
          <w:tcPr>
            <w:tcW w:w="872" w:type="pct"/>
            <w:vMerge w:val="continue"/>
            <w:vAlign w:val="center"/>
          </w:tcPr>
          <w:p w14:paraId="1D663BDA">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67232F1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健康教育服务管理</w:t>
            </w:r>
          </w:p>
        </w:tc>
        <w:tc>
          <w:tcPr>
            <w:tcW w:w="1326" w:type="pct"/>
            <w:shd w:val="clear" w:color="auto" w:fill="auto"/>
            <w:vAlign w:val="center"/>
          </w:tcPr>
          <w:p w14:paraId="376511AE">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06E999C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1346B3ED">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74D11032">
            <w:pPr>
              <w:widowControl/>
              <w:shd w:val="clear"/>
              <w:jc w:val="center"/>
              <w:rPr>
                <w:rFonts w:ascii="宋体" w:hAnsi="宋体" w:cs="宋体"/>
                <w:color w:val="000000"/>
                <w:kern w:val="0"/>
                <w:sz w:val="18"/>
                <w:szCs w:val="18"/>
                <w:highlight w:val="none"/>
              </w:rPr>
            </w:pPr>
          </w:p>
        </w:tc>
      </w:tr>
      <w:tr w14:paraId="2D8C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3FF07E9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26</w:t>
            </w:r>
          </w:p>
        </w:tc>
        <w:tc>
          <w:tcPr>
            <w:tcW w:w="872" w:type="pct"/>
            <w:vMerge w:val="continue"/>
            <w:vAlign w:val="center"/>
          </w:tcPr>
          <w:p w14:paraId="6C61F256">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0E22C42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医疗协同服务管理</w:t>
            </w:r>
          </w:p>
        </w:tc>
        <w:tc>
          <w:tcPr>
            <w:tcW w:w="1326" w:type="pct"/>
            <w:shd w:val="clear" w:color="auto" w:fill="auto"/>
            <w:vAlign w:val="center"/>
          </w:tcPr>
          <w:p w14:paraId="2806E1D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20493D2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48868CFE">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70C4BBA7">
            <w:pPr>
              <w:widowControl/>
              <w:shd w:val="clear"/>
              <w:jc w:val="center"/>
              <w:rPr>
                <w:rFonts w:ascii="宋体" w:hAnsi="宋体" w:cs="宋体"/>
                <w:color w:val="000000"/>
                <w:kern w:val="0"/>
                <w:sz w:val="18"/>
                <w:szCs w:val="18"/>
                <w:highlight w:val="none"/>
              </w:rPr>
            </w:pPr>
          </w:p>
        </w:tc>
      </w:tr>
      <w:tr w14:paraId="1224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679D16A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27</w:t>
            </w:r>
          </w:p>
        </w:tc>
        <w:tc>
          <w:tcPr>
            <w:tcW w:w="872" w:type="pct"/>
            <w:vMerge w:val="continue"/>
            <w:vAlign w:val="center"/>
          </w:tcPr>
          <w:p w14:paraId="0E319256">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46DC918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卫计监管服务管理</w:t>
            </w:r>
          </w:p>
        </w:tc>
        <w:tc>
          <w:tcPr>
            <w:tcW w:w="1326" w:type="pct"/>
            <w:shd w:val="clear" w:color="auto" w:fill="auto"/>
            <w:vAlign w:val="center"/>
          </w:tcPr>
          <w:p w14:paraId="7145364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25462B8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50B767E7">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5BAAAD69">
            <w:pPr>
              <w:widowControl/>
              <w:shd w:val="clear"/>
              <w:jc w:val="center"/>
              <w:rPr>
                <w:rFonts w:ascii="宋体" w:hAnsi="宋体" w:cs="宋体"/>
                <w:color w:val="000000"/>
                <w:kern w:val="0"/>
                <w:sz w:val="18"/>
                <w:szCs w:val="18"/>
                <w:highlight w:val="none"/>
              </w:rPr>
            </w:pPr>
          </w:p>
        </w:tc>
      </w:tr>
      <w:tr w14:paraId="236F5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140CEBC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28</w:t>
            </w:r>
          </w:p>
        </w:tc>
        <w:tc>
          <w:tcPr>
            <w:tcW w:w="872" w:type="pct"/>
            <w:vMerge w:val="continue"/>
            <w:vAlign w:val="center"/>
          </w:tcPr>
          <w:p w14:paraId="7C136F1C">
            <w:pPr>
              <w:widowControl/>
              <w:shd w:val="clear"/>
              <w:jc w:val="left"/>
              <w:rPr>
                <w:rFonts w:ascii="宋体" w:hAnsi="宋体" w:cs="宋体"/>
                <w:color w:val="000000"/>
                <w:kern w:val="0"/>
                <w:sz w:val="18"/>
                <w:szCs w:val="18"/>
                <w:highlight w:val="none"/>
              </w:rPr>
            </w:pPr>
          </w:p>
        </w:tc>
        <w:tc>
          <w:tcPr>
            <w:tcW w:w="1482" w:type="pct"/>
            <w:shd w:val="clear" w:color="auto" w:fill="auto"/>
            <w:vAlign w:val="center"/>
          </w:tcPr>
          <w:p w14:paraId="7C2B94A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死亡医学证明</w:t>
            </w:r>
          </w:p>
        </w:tc>
        <w:tc>
          <w:tcPr>
            <w:tcW w:w="1326" w:type="pct"/>
            <w:shd w:val="clear" w:color="auto" w:fill="auto"/>
            <w:vAlign w:val="center"/>
          </w:tcPr>
          <w:p w14:paraId="0F7A3B0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64" w:type="pct"/>
            <w:shd w:val="clear" w:color="auto" w:fill="auto"/>
            <w:vAlign w:val="center"/>
          </w:tcPr>
          <w:p w14:paraId="7CE978C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3" w:type="pct"/>
            <w:vMerge w:val="continue"/>
            <w:shd w:val="clear" w:color="auto" w:fill="auto"/>
            <w:vAlign w:val="center"/>
          </w:tcPr>
          <w:p w14:paraId="34478079">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105FAFA6">
            <w:pPr>
              <w:widowControl/>
              <w:shd w:val="clear"/>
              <w:jc w:val="center"/>
              <w:rPr>
                <w:rFonts w:ascii="宋体" w:hAnsi="宋体" w:cs="宋体"/>
                <w:color w:val="000000"/>
                <w:kern w:val="0"/>
                <w:sz w:val="18"/>
                <w:szCs w:val="18"/>
                <w:highlight w:val="none"/>
              </w:rPr>
            </w:pPr>
          </w:p>
        </w:tc>
      </w:tr>
      <w:tr w14:paraId="754A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8" w:type="pct"/>
            <w:shd w:val="clear" w:color="auto" w:fill="auto"/>
            <w:vAlign w:val="center"/>
          </w:tcPr>
          <w:p w14:paraId="0D751714">
            <w:pPr>
              <w:widowControl/>
              <w:shd w:val="clear"/>
              <w:jc w:val="center"/>
              <w:rPr>
                <w:rFonts w:ascii="宋体" w:hAnsi="宋体" w:cs="宋体"/>
                <w:color w:val="000000"/>
                <w:kern w:val="0"/>
                <w:sz w:val="18"/>
                <w:szCs w:val="18"/>
                <w:highlight w:val="none"/>
              </w:rPr>
            </w:pPr>
            <w:bookmarkStart w:id="12" w:name="_Toc10444"/>
            <w:bookmarkStart w:id="13" w:name="OLE_LINK7"/>
            <w:bookmarkStart w:id="14" w:name="OLE_LINK10"/>
            <w:r>
              <w:rPr>
                <w:rFonts w:hint="eastAsia" w:ascii="宋体" w:hAnsi="宋体" w:cs="宋体"/>
                <w:color w:val="000000"/>
                <w:kern w:val="0"/>
                <w:sz w:val="18"/>
                <w:szCs w:val="18"/>
                <w:highlight w:val="none"/>
              </w:rPr>
              <w:t>29</w:t>
            </w:r>
          </w:p>
        </w:tc>
        <w:tc>
          <w:tcPr>
            <w:tcW w:w="4350" w:type="pct"/>
            <w:gridSpan w:val="5"/>
            <w:vAlign w:val="center"/>
          </w:tcPr>
          <w:p w14:paraId="0809C68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合计</w:t>
            </w:r>
          </w:p>
        </w:tc>
        <w:tc>
          <w:tcPr>
            <w:tcW w:w="371" w:type="pct"/>
            <w:shd w:val="clear" w:color="auto" w:fill="auto"/>
            <w:vAlign w:val="center"/>
          </w:tcPr>
          <w:p w14:paraId="2EAAEFB3">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252000</w:t>
            </w:r>
          </w:p>
        </w:tc>
      </w:tr>
      <w:bookmarkEnd w:id="12"/>
    </w:tbl>
    <w:p w14:paraId="0B93EEA6">
      <w:pPr>
        <w:shd w:val="clear"/>
        <w:rPr>
          <w:highlight w:val="none"/>
        </w:rPr>
      </w:pPr>
      <w:bookmarkStart w:id="15" w:name="_Toc73"/>
      <w:r>
        <w:rPr>
          <w:rFonts w:hint="eastAsia"/>
          <w:highlight w:val="none"/>
        </w:rPr>
        <w:br w:type="page"/>
      </w:r>
    </w:p>
    <w:p w14:paraId="603A8640">
      <w:pPr>
        <w:pStyle w:val="5"/>
        <w:numPr>
          <w:ilvl w:val="2"/>
          <w:numId w:val="0"/>
        </w:numPr>
        <w:shd w:val="clear"/>
        <w:rPr>
          <w:highlight w:val="none"/>
        </w:rPr>
      </w:pPr>
      <w:r>
        <w:rPr>
          <w:rFonts w:hint="eastAsia"/>
          <w:highlight w:val="none"/>
          <w:lang w:val="en-US" w:eastAsia="zh-CN"/>
        </w:rPr>
        <w:t>9</w:t>
      </w:r>
      <w:r>
        <w:rPr>
          <w:rFonts w:hint="eastAsia"/>
          <w:highlight w:val="none"/>
        </w:rPr>
        <w:t>、喀喇沁旗医院</w:t>
      </w:r>
      <w:bookmarkStart w:id="16" w:name="OLE_LINK9"/>
      <w:bookmarkStart w:id="17" w:name="OLE_LINK8"/>
      <w:r>
        <w:rPr>
          <w:rFonts w:hint="eastAsia"/>
          <w:highlight w:val="none"/>
        </w:rPr>
        <w:t>院内系统接口对接服务</w:t>
      </w:r>
      <w:bookmarkEnd w:id="13"/>
      <w:bookmarkEnd w:id="14"/>
      <w:bookmarkEnd w:id="15"/>
      <w:bookmarkEnd w:id="16"/>
      <w:bookmarkEnd w:id="17"/>
    </w:p>
    <w:tbl>
      <w:tblPr>
        <w:tblStyle w:val="48"/>
        <w:tblW w:w="49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2448"/>
        <w:gridCol w:w="4159"/>
        <w:gridCol w:w="3728"/>
        <w:gridCol w:w="768"/>
        <w:gridCol w:w="1142"/>
        <w:gridCol w:w="1044"/>
      </w:tblGrid>
      <w:tr w14:paraId="1D6F2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blHeader/>
        </w:trPr>
        <w:tc>
          <w:tcPr>
            <w:tcW w:w="275" w:type="pct"/>
            <w:shd w:val="clear" w:color="auto" w:fill="auto"/>
            <w:vAlign w:val="center"/>
          </w:tcPr>
          <w:p w14:paraId="7E2A0D5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870" w:type="pct"/>
            <w:vAlign w:val="center"/>
          </w:tcPr>
          <w:p w14:paraId="2C68AC5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系统分类</w:t>
            </w:r>
          </w:p>
        </w:tc>
        <w:tc>
          <w:tcPr>
            <w:tcW w:w="1478" w:type="pct"/>
            <w:shd w:val="clear" w:color="auto" w:fill="auto"/>
            <w:vAlign w:val="center"/>
          </w:tcPr>
          <w:p w14:paraId="11126D6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系统名称</w:t>
            </w:r>
          </w:p>
        </w:tc>
        <w:tc>
          <w:tcPr>
            <w:tcW w:w="1325" w:type="pct"/>
            <w:shd w:val="clear" w:color="auto" w:fill="auto"/>
            <w:vAlign w:val="center"/>
          </w:tcPr>
          <w:p w14:paraId="45A4E5FD">
            <w:pPr>
              <w:widowControl/>
              <w:shd w:val="clear"/>
              <w:jc w:val="center"/>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技术要求（参数具体要求）</w:t>
            </w:r>
          </w:p>
        </w:tc>
        <w:tc>
          <w:tcPr>
            <w:tcW w:w="273" w:type="pct"/>
            <w:shd w:val="clear" w:color="auto" w:fill="auto"/>
            <w:vAlign w:val="center"/>
          </w:tcPr>
          <w:p w14:paraId="7FDB634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406" w:type="pct"/>
            <w:shd w:val="clear" w:color="auto" w:fill="auto"/>
            <w:vAlign w:val="center"/>
          </w:tcPr>
          <w:p w14:paraId="76037CD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单价（元）</w:t>
            </w:r>
          </w:p>
        </w:tc>
        <w:tc>
          <w:tcPr>
            <w:tcW w:w="371" w:type="pct"/>
            <w:shd w:val="clear" w:color="auto" w:fill="auto"/>
            <w:vAlign w:val="center"/>
          </w:tcPr>
          <w:p w14:paraId="1FB73E8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083F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34EE6A7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870" w:type="pct"/>
            <w:vMerge w:val="restart"/>
            <w:vAlign w:val="center"/>
          </w:tcPr>
          <w:p w14:paraId="13793F1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旗医院接口对接服务</w:t>
            </w:r>
          </w:p>
        </w:tc>
        <w:tc>
          <w:tcPr>
            <w:tcW w:w="1478" w:type="pct"/>
            <w:shd w:val="clear" w:color="auto" w:fill="auto"/>
            <w:vAlign w:val="center"/>
          </w:tcPr>
          <w:p w14:paraId="3EC991EC">
            <w:pPr>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PACS系统接口</w:t>
            </w:r>
          </w:p>
        </w:tc>
        <w:tc>
          <w:tcPr>
            <w:tcW w:w="1325" w:type="pct"/>
            <w:shd w:val="clear" w:color="auto" w:fill="auto"/>
            <w:vAlign w:val="center"/>
          </w:tcPr>
          <w:p w14:paraId="30EEDD2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102A77C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restart"/>
            <w:shd w:val="clear" w:color="auto" w:fill="auto"/>
            <w:vAlign w:val="center"/>
          </w:tcPr>
          <w:p w14:paraId="74E5B76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714000</w:t>
            </w:r>
          </w:p>
        </w:tc>
        <w:tc>
          <w:tcPr>
            <w:tcW w:w="371" w:type="pct"/>
            <w:vMerge w:val="restart"/>
            <w:shd w:val="clear" w:color="auto" w:fill="auto"/>
            <w:vAlign w:val="center"/>
          </w:tcPr>
          <w:p w14:paraId="4BDD067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714000</w:t>
            </w:r>
          </w:p>
        </w:tc>
      </w:tr>
      <w:tr w14:paraId="6D2B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24BF4C7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870" w:type="pct"/>
            <w:vMerge w:val="continue"/>
            <w:vAlign w:val="center"/>
          </w:tcPr>
          <w:p w14:paraId="5C2D68DA">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28534C41">
            <w:pPr>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妇幼系统接口</w:t>
            </w:r>
          </w:p>
        </w:tc>
        <w:tc>
          <w:tcPr>
            <w:tcW w:w="1325" w:type="pct"/>
            <w:shd w:val="clear" w:color="auto" w:fill="auto"/>
            <w:vAlign w:val="center"/>
          </w:tcPr>
          <w:p w14:paraId="6BA0D3E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421F746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363477D8">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1F326700">
            <w:pPr>
              <w:widowControl/>
              <w:shd w:val="clear"/>
              <w:jc w:val="center"/>
              <w:rPr>
                <w:rFonts w:ascii="宋体" w:hAnsi="宋体" w:cs="宋体"/>
                <w:color w:val="000000"/>
                <w:kern w:val="0"/>
                <w:sz w:val="18"/>
                <w:szCs w:val="18"/>
                <w:highlight w:val="none"/>
              </w:rPr>
            </w:pPr>
          </w:p>
        </w:tc>
      </w:tr>
      <w:tr w14:paraId="2A04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51ACBC5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870" w:type="pct"/>
            <w:vMerge w:val="continue"/>
            <w:vAlign w:val="center"/>
          </w:tcPr>
          <w:p w14:paraId="7456ADA2">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3AB1E8C2">
            <w:pPr>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DIP系统接口</w:t>
            </w:r>
          </w:p>
        </w:tc>
        <w:tc>
          <w:tcPr>
            <w:tcW w:w="1325" w:type="pct"/>
            <w:shd w:val="clear" w:color="auto" w:fill="auto"/>
            <w:vAlign w:val="center"/>
          </w:tcPr>
          <w:p w14:paraId="2BB1551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215F899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7BA2F5DE">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1C8076B7">
            <w:pPr>
              <w:widowControl/>
              <w:shd w:val="clear"/>
              <w:jc w:val="center"/>
              <w:rPr>
                <w:rFonts w:ascii="宋体" w:hAnsi="宋体" w:cs="宋体"/>
                <w:color w:val="000000"/>
                <w:kern w:val="0"/>
                <w:sz w:val="18"/>
                <w:szCs w:val="18"/>
                <w:highlight w:val="none"/>
              </w:rPr>
            </w:pPr>
          </w:p>
        </w:tc>
      </w:tr>
      <w:tr w14:paraId="0C732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2FBFC69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870" w:type="pct"/>
            <w:vMerge w:val="continue"/>
            <w:vAlign w:val="center"/>
          </w:tcPr>
          <w:p w14:paraId="41BC17DC">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03C869E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智慧银医系统接口</w:t>
            </w:r>
          </w:p>
        </w:tc>
        <w:tc>
          <w:tcPr>
            <w:tcW w:w="1325" w:type="pct"/>
            <w:shd w:val="clear" w:color="auto" w:fill="auto"/>
            <w:vAlign w:val="center"/>
          </w:tcPr>
          <w:p w14:paraId="4F09B15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421981C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38F00AAE">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61EF4C35">
            <w:pPr>
              <w:widowControl/>
              <w:shd w:val="clear"/>
              <w:jc w:val="center"/>
              <w:rPr>
                <w:rFonts w:ascii="宋体" w:hAnsi="宋体" w:cs="宋体"/>
                <w:color w:val="000000"/>
                <w:kern w:val="0"/>
                <w:sz w:val="18"/>
                <w:szCs w:val="18"/>
                <w:highlight w:val="none"/>
              </w:rPr>
            </w:pPr>
          </w:p>
        </w:tc>
      </w:tr>
      <w:tr w14:paraId="18F1A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497D421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870" w:type="pct"/>
            <w:vMerge w:val="continue"/>
            <w:vAlign w:val="center"/>
          </w:tcPr>
          <w:p w14:paraId="15FA8001">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4389781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金财发票系统接口</w:t>
            </w:r>
          </w:p>
        </w:tc>
        <w:tc>
          <w:tcPr>
            <w:tcW w:w="1325" w:type="pct"/>
            <w:shd w:val="clear" w:color="auto" w:fill="auto"/>
            <w:vAlign w:val="center"/>
          </w:tcPr>
          <w:p w14:paraId="2CAE729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025957F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072F9B50">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4B76084D">
            <w:pPr>
              <w:widowControl/>
              <w:shd w:val="clear"/>
              <w:jc w:val="center"/>
              <w:rPr>
                <w:rFonts w:ascii="宋体" w:hAnsi="宋体" w:cs="宋体"/>
                <w:color w:val="000000"/>
                <w:kern w:val="0"/>
                <w:sz w:val="18"/>
                <w:szCs w:val="18"/>
                <w:highlight w:val="none"/>
              </w:rPr>
            </w:pPr>
          </w:p>
        </w:tc>
      </w:tr>
      <w:tr w14:paraId="4716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5AE0C30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870" w:type="pct"/>
            <w:vMerge w:val="continue"/>
            <w:vAlign w:val="center"/>
          </w:tcPr>
          <w:p w14:paraId="1E7894AD">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62FFD90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合理用药系统接口</w:t>
            </w:r>
          </w:p>
        </w:tc>
        <w:tc>
          <w:tcPr>
            <w:tcW w:w="1325" w:type="pct"/>
            <w:shd w:val="clear" w:color="auto" w:fill="auto"/>
            <w:vAlign w:val="center"/>
          </w:tcPr>
          <w:p w14:paraId="304E41B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1D62062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7389876E">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5D3B72FA">
            <w:pPr>
              <w:widowControl/>
              <w:shd w:val="clear"/>
              <w:jc w:val="center"/>
              <w:rPr>
                <w:rFonts w:ascii="宋体" w:hAnsi="宋体" w:cs="宋体"/>
                <w:color w:val="000000"/>
                <w:kern w:val="0"/>
                <w:sz w:val="18"/>
                <w:szCs w:val="18"/>
                <w:highlight w:val="none"/>
              </w:rPr>
            </w:pPr>
          </w:p>
        </w:tc>
      </w:tr>
      <w:tr w14:paraId="69B0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1BE58E1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7</w:t>
            </w:r>
          </w:p>
        </w:tc>
        <w:tc>
          <w:tcPr>
            <w:tcW w:w="870" w:type="pct"/>
            <w:vMerge w:val="continue"/>
            <w:vAlign w:val="center"/>
          </w:tcPr>
          <w:p w14:paraId="6D562ECD">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77D5F36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院感系统接口</w:t>
            </w:r>
          </w:p>
        </w:tc>
        <w:tc>
          <w:tcPr>
            <w:tcW w:w="1325" w:type="pct"/>
            <w:shd w:val="clear" w:color="auto" w:fill="auto"/>
            <w:vAlign w:val="center"/>
          </w:tcPr>
          <w:p w14:paraId="6B7559DF">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0339E41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0E001F05">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4271D2A7">
            <w:pPr>
              <w:widowControl/>
              <w:shd w:val="clear"/>
              <w:jc w:val="center"/>
              <w:rPr>
                <w:rFonts w:ascii="宋体" w:hAnsi="宋体" w:cs="宋体"/>
                <w:color w:val="000000"/>
                <w:kern w:val="0"/>
                <w:sz w:val="18"/>
                <w:szCs w:val="18"/>
                <w:highlight w:val="none"/>
              </w:rPr>
            </w:pPr>
          </w:p>
        </w:tc>
      </w:tr>
      <w:tr w14:paraId="21DF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7586B6D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870" w:type="pct"/>
            <w:vMerge w:val="continue"/>
            <w:vAlign w:val="center"/>
          </w:tcPr>
          <w:p w14:paraId="0B496345">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3B011FA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病案管理系统接口</w:t>
            </w:r>
          </w:p>
        </w:tc>
        <w:tc>
          <w:tcPr>
            <w:tcW w:w="1325" w:type="pct"/>
            <w:shd w:val="clear" w:color="auto" w:fill="auto"/>
            <w:vAlign w:val="center"/>
          </w:tcPr>
          <w:p w14:paraId="753C7D5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17F4C1F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7AFBE1B2">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41E26CD0">
            <w:pPr>
              <w:widowControl/>
              <w:shd w:val="clear"/>
              <w:jc w:val="center"/>
              <w:rPr>
                <w:rFonts w:ascii="宋体" w:hAnsi="宋体" w:cs="宋体"/>
                <w:color w:val="000000"/>
                <w:kern w:val="0"/>
                <w:sz w:val="18"/>
                <w:szCs w:val="18"/>
                <w:highlight w:val="none"/>
              </w:rPr>
            </w:pPr>
          </w:p>
        </w:tc>
      </w:tr>
      <w:tr w14:paraId="24093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13E5657C">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9</w:t>
            </w:r>
          </w:p>
        </w:tc>
        <w:tc>
          <w:tcPr>
            <w:tcW w:w="870" w:type="pct"/>
            <w:vMerge w:val="continue"/>
            <w:vAlign w:val="center"/>
          </w:tcPr>
          <w:p w14:paraId="5A4646F5">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25C18F4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重症系统接口</w:t>
            </w:r>
          </w:p>
        </w:tc>
        <w:tc>
          <w:tcPr>
            <w:tcW w:w="1325" w:type="pct"/>
            <w:shd w:val="clear" w:color="auto" w:fill="auto"/>
            <w:vAlign w:val="center"/>
          </w:tcPr>
          <w:p w14:paraId="6CC34D2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2B6DEA9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06D715F2">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68B8CB95">
            <w:pPr>
              <w:widowControl/>
              <w:shd w:val="clear"/>
              <w:jc w:val="center"/>
              <w:rPr>
                <w:rFonts w:ascii="宋体" w:hAnsi="宋体" w:cs="宋体"/>
                <w:color w:val="000000"/>
                <w:kern w:val="0"/>
                <w:sz w:val="18"/>
                <w:szCs w:val="18"/>
                <w:highlight w:val="none"/>
              </w:rPr>
            </w:pPr>
          </w:p>
        </w:tc>
      </w:tr>
      <w:tr w14:paraId="39FD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55E70EF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870" w:type="pct"/>
            <w:vMerge w:val="continue"/>
            <w:vAlign w:val="center"/>
          </w:tcPr>
          <w:p w14:paraId="5BCF9DEE">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7B63983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血液透析系统接口</w:t>
            </w:r>
          </w:p>
        </w:tc>
        <w:tc>
          <w:tcPr>
            <w:tcW w:w="1325" w:type="pct"/>
            <w:shd w:val="clear" w:color="auto" w:fill="auto"/>
            <w:vAlign w:val="center"/>
          </w:tcPr>
          <w:p w14:paraId="65BDA39D">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28237B6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59B44B3D">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5DEDEFEE">
            <w:pPr>
              <w:widowControl/>
              <w:shd w:val="clear"/>
              <w:jc w:val="center"/>
              <w:rPr>
                <w:rFonts w:ascii="宋体" w:hAnsi="宋体" w:cs="宋体"/>
                <w:color w:val="000000"/>
                <w:kern w:val="0"/>
                <w:sz w:val="18"/>
                <w:szCs w:val="18"/>
                <w:highlight w:val="none"/>
              </w:rPr>
            </w:pPr>
          </w:p>
        </w:tc>
      </w:tr>
      <w:tr w14:paraId="6CAD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275" w:type="pct"/>
            <w:shd w:val="clear" w:color="auto" w:fill="auto"/>
            <w:vAlign w:val="center"/>
          </w:tcPr>
          <w:p w14:paraId="2330872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870" w:type="pct"/>
            <w:vMerge w:val="continue"/>
            <w:vAlign w:val="center"/>
          </w:tcPr>
          <w:p w14:paraId="79FAFCA7">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0703A0B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手麻系统接口</w:t>
            </w:r>
          </w:p>
        </w:tc>
        <w:tc>
          <w:tcPr>
            <w:tcW w:w="1325" w:type="pct"/>
            <w:shd w:val="clear" w:color="auto" w:fill="auto"/>
            <w:vAlign w:val="center"/>
          </w:tcPr>
          <w:p w14:paraId="3695D02A">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46240F1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3EDF5B52">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7471E77A">
            <w:pPr>
              <w:widowControl/>
              <w:shd w:val="clear"/>
              <w:jc w:val="center"/>
              <w:rPr>
                <w:rFonts w:ascii="宋体" w:hAnsi="宋体" w:cs="宋体"/>
                <w:color w:val="000000"/>
                <w:kern w:val="0"/>
                <w:sz w:val="18"/>
                <w:szCs w:val="18"/>
                <w:highlight w:val="none"/>
              </w:rPr>
            </w:pPr>
          </w:p>
        </w:tc>
      </w:tr>
      <w:tr w14:paraId="5F60C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715E85C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870" w:type="pct"/>
            <w:vMerge w:val="continue"/>
            <w:vAlign w:val="center"/>
          </w:tcPr>
          <w:p w14:paraId="4B954E21">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1967BFA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互联网医院接口</w:t>
            </w:r>
          </w:p>
        </w:tc>
        <w:tc>
          <w:tcPr>
            <w:tcW w:w="1325" w:type="pct"/>
            <w:shd w:val="clear" w:color="auto" w:fill="auto"/>
            <w:vAlign w:val="center"/>
          </w:tcPr>
          <w:p w14:paraId="04CECCA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3414D44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0C0D6E18">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585EC812">
            <w:pPr>
              <w:widowControl/>
              <w:shd w:val="clear"/>
              <w:jc w:val="center"/>
              <w:rPr>
                <w:rFonts w:ascii="宋体" w:hAnsi="宋体" w:cs="宋体"/>
                <w:color w:val="000000"/>
                <w:kern w:val="0"/>
                <w:sz w:val="18"/>
                <w:szCs w:val="18"/>
                <w:highlight w:val="none"/>
              </w:rPr>
            </w:pPr>
          </w:p>
        </w:tc>
      </w:tr>
      <w:tr w14:paraId="04BE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36630C4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13</w:t>
            </w:r>
          </w:p>
        </w:tc>
        <w:tc>
          <w:tcPr>
            <w:tcW w:w="870" w:type="pct"/>
            <w:vMerge w:val="continue"/>
            <w:vAlign w:val="center"/>
          </w:tcPr>
          <w:p w14:paraId="0BFFF593">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1AF91CA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食源性疾病管理系统接口</w:t>
            </w:r>
          </w:p>
        </w:tc>
        <w:tc>
          <w:tcPr>
            <w:tcW w:w="1325" w:type="pct"/>
            <w:shd w:val="clear" w:color="auto" w:fill="auto"/>
            <w:vAlign w:val="center"/>
          </w:tcPr>
          <w:p w14:paraId="24B0E065">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1B8C24B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10C76B8F">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48379447">
            <w:pPr>
              <w:widowControl/>
              <w:shd w:val="clear"/>
              <w:jc w:val="center"/>
              <w:rPr>
                <w:rFonts w:ascii="宋体" w:hAnsi="宋体" w:cs="宋体"/>
                <w:color w:val="000000"/>
                <w:kern w:val="0"/>
                <w:sz w:val="18"/>
                <w:szCs w:val="18"/>
                <w:highlight w:val="none"/>
              </w:rPr>
            </w:pPr>
          </w:p>
        </w:tc>
      </w:tr>
      <w:tr w14:paraId="7DA8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65CEE60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14</w:t>
            </w:r>
          </w:p>
        </w:tc>
        <w:tc>
          <w:tcPr>
            <w:tcW w:w="870" w:type="pct"/>
            <w:vMerge w:val="continue"/>
            <w:vAlign w:val="center"/>
          </w:tcPr>
          <w:p w14:paraId="73DCE8FE">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02DC161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门诊住院叫号系统接口</w:t>
            </w:r>
          </w:p>
        </w:tc>
        <w:tc>
          <w:tcPr>
            <w:tcW w:w="1325" w:type="pct"/>
            <w:shd w:val="clear" w:color="auto" w:fill="auto"/>
            <w:vAlign w:val="center"/>
          </w:tcPr>
          <w:p w14:paraId="124D4D21">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37969A2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53F644B9">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41C9FD2D">
            <w:pPr>
              <w:widowControl/>
              <w:shd w:val="clear"/>
              <w:jc w:val="center"/>
              <w:rPr>
                <w:rFonts w:ascii="宋体" w:hAnsi="宋体" w:cs="宋体"/>
                <w:color w:val="000000"/>
                <w:kern w:val="0"/>
                <w:sz w:val="18"/>
                <w:szCs w:val="18"/>
                <w:highlight w:val="none"/>
              </w:rPr>
            </w:pPr>
          </w:p>
        </w:tc>
      </w:tr>
      <w:tr w14:paraId="2BE9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3CD5BA3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870" w:type="pct"/>
            <w:vMerge w:val="continue"/>
            <w:vAlign w:val="center"/>
          </w:tcPr>
          <w:p w14:paraId="696574CB">
            <w:pPr>
              <w:widowControl/>
              <w:shd w:val="clear"/>
              <w:jc w:val="center"/>
              <w:rPr>
                <w:rFonts w:ascii="宋体" w:hAnsi="宋体" w:cs="宋体"/>
                <w:color w:val="000000"/>
                <w:kern w:val="0"/>
                <w:sz w:val="18"/>
                <w:szCs w:val="18"/>
                <w:highlight w:val="none"/>
              </w:rPr>
            </w:pPr>
          </w:p>
        </w:tc>
        <w:tc>
          <w:tcPr>
            <w:tcW w:w="1478" w:type="pct"/>
            <w:shd w:val="clear" w:color="auto" w:fill="auto"/>
            <w:vAlign w:val="center"/>
          </w:tcPr>
          <w:p w14:paraId="41CB7C4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输血信息系统接口</w:t>
            </w:r>
          </w:p>
        </w:tc>
        <w:tc>
          <w:tcPr>
            <w:tcW w:w="1325" w:type="pct"/>
            <w:shd w:val="clear" w:color="auto" w:fill="auto"/>
            <w:vAlign w:val="center"/>
          </w:tcPr>
          <w:p w14:paraId="102303A2">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vAlign w:val="center"/>
          </w:tcPr>
          <w:p w14:paraId="69C1F8E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vAlign w:val="center"/>
          </w:tcPr>
          <w:p w14:paraId="75EA76D0">
            <w:pPr>
              <w:widowControl/>
              <w:shd w:val="clear"/>
              <w:jc w:val="center"/>
              <w:rPr>
                <w:rFonts w:ascii="宋体" w:hAnsi="宋体" w:cs="宋体"/>
                <w:color w:val="000000"/>
                <w:kern w:val="0"/>
                <w:sz w:val="18"/>
                <w:szCs w:val="18"/>
                <w:highlight w:val="none"/>
              </w:rPr>
            </w:pPr>
          </w:p>
        </w:tc>
        <w:tc>
          <w:tcPr>
            <w:tcW w:w="371" w:type="pct"/>
            <w:vMerge w:val="continue"/>
            <w:shd w:val="clear" w:color="auto" w:fill="auto"/>
            <w:vAlign w:val="center"/>
          </w:tcPr>
          <w:p w14:paraId="21AB2932">
            <w:pPr>
              <w:widowControl/>
              <w:shd w:val="clear"/>
              <w:jc w:val="center"/>
              <w:rPr>
                <w:rFonts w:ascii="宋体" w:hAnsi="宋体" w:cs="宋体"/>
                <w:color w:val="000000"/>
                <w:kern w:val="0"/>
                <w:sz w:val="18"/>
                <w:szCs w:val="18"/>
                <w:highlight w:val="none"/>
              </w:rPr>
            </w:pPr>
          </w:p>
        </w:tc>
      </w:tr>
      <w:tr w14:paraId="391B4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08A1927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p>
        </w:tc>
        <w:tc>
          <w:tcPr>
            <w:tcW w:w="870" w:type="pct"/>
            <w:vMerge w:val="continue"/>
            <w:vAlign w:val="center"/>
          </w:tcPr>
          <w:p w14:paraId="6E6162DB">
            <w:pPr>
              <w:widowControl/>
              <w:shd w:val="clear"/>
              <w:jc w:val="center"/>
              <w:rPr>
                <w:rFonts w:ascii="宋体" w:hAnsi="宋体" w:cs="宋体"/>
                <w:color w:val="000000"/>
                <w:kern w:val="0"/>
                <w:sz w:val="18"/>
                <w:szCs w:val="18"/>
                <w:highlight w:val="none"/>
              </w:rPr>
            </w:pPr>
          </w:p>
        </w:tc>
        <w:tc>
          <w:tcPr>
            <w:tcW w:w="1478" w:type="pct"/>
            <w:shd w:val="clear" w:color="auto" w:fill="auto"/>
            <w:noWrap/>
            <w:vAlign w:val="center"/>
          </w:tcPr>
          <w:p w14:paraId="55E6EFD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健康卡系统接口</w:t>
            </w:r>
          </w:p>
        </w:tc>
        <w:tc>
          <w:tcPr>
            <w:tcW w:w="1325" w:type="pct"/>
            <w:shd w:val="clear" w:color="auto" w:fill="auto"/>
            <w:vAlign w:val="center"/>
          </w:tcPr>
          <w:p w14:paraId="3C95EB46">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noWrap/>
            <w:vAlign w:val="center"/>
          </w:tcPr>
          <w:p w14:paraId="68BB4D9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noWrap/>
            <w:vAlign w:val="center"/>
          </w:tcPr>
          <w:p w14:paraId="1D2BCD6B">
            <w:pPr>
              <w:widowControl/>
              <w:shd w:val="clear"/>
              <w:jc w:val="center"/>
              <w:rPr>
                <w:rFonts w:ascii="宋体" w:hAnsi="宋体" w:cs="宋体"/>
                <w:color w:val="000000"/>
                <w:kern w:val="0"/>
                <w:sz w:val="18"/>
                <w:szCs w:val="18"/>
                <w:highlight w:val="none"/>
              </w:rPr>
            </w:pPr>
          </w:p>
        </w:tc>
        <w:tc>
          <w:tcPr>
            <w:tcW w:w="371" w:type="pct"/>
            <w:vMerge w:val="continue"/>
            <w:shd w:val="clear" w:color="auto" w:fill="auto"/>
            <w:noWrap/>
            <w:vAlign w:val="center"/>
          </w:tcPr>
          <w:p w14:paraId="425B2F5C">
            <w:pPr>
              <w:widowControl/>
              <w:shd w:val="clear"/>
              <w:jc w:val="center"/>
              <w:rPr>
                <w:rFonts w:ascii="宋体" w:hAnsi="宋体" w:cs="宋体"/>
                <w:color w:val="000000"/>
                <w:kern w:val="0"/>
                <w:sz w:val="18"/>
                <w:szCs w:val="18"/>
                <w:highlight w:val="none"/>
              </w:rPr>
            </w:pPr>
          </w:p>
        </w:tc>
      </w:tr>
      <w:tr w14:paraId="7BDA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40F497F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17</w:t>
            </w:r>
          </w:p>
        </w:tc>
        <w:tc>
          <w:tcPr>
            <w:tcW w:w="870" w:type="pct"/>
            <w:vMerge w:val="continue"/>
            <w:vAlign w:val="center"/>
          </w:tcPr>
          <w:p w14:paraId="6C7B86C2">
            <w:pPr>
              <w:widowControl/>
              <w:shd w:val="clear"/>
              <w:jc w:val="center"/>
              <w:rPr>
                <w:rFonts w:ascii="宋体" w:hAnsi="宋体" w:cs="宋体"/>
                <w:color w:val="000000"/>
                <w:kern w:val="0"/>
                <w:sz w:val="18"/>
                <w:szCs w:val="18"/>
                <w:highlight w:val="none"/>
              </w:rPr>
            </w:pPr>
          </w:p>
        </w:tc>
        <w:tc>
          <w:tcPr>
            <w:tcW w:w="1478" w:type="pct"/>
            <w:shd w:val="clear" w:color="auto" w:fill="auto"/>
            <w:noWrap/>
            <w:vAlign w:val="center"/>
          </w:tcPr>
          <w:p w14:paraId="7572064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预约挂号系统接口</w:t>
            </w:r>
          </w:p>
        </w:tc>
        <w:tc>
          <w:tcPr>
            <w:tcW w:w="1325" w:type="pct"/>
            <w:shd w:val="clear" w:color="auto" w:fill="auto"/>
            <w:vAlign w:val="center"/>
          </w:tcPr>
          <w:p w14:paraId="685D33A7">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需提供系统接口对接服务</w:t>
            </w:r>
          </w:p>
        </w:tc>
        <w:tc>
          <w:tcPr>
            <w:tcW w:w="273" w:type="pct"/>
            <w:shd w:val="clear" w:color="auto" w:fill="auto"/>
            <w:noWrap/>
            <w:vAlign w:val="center"/>
          </w:tcPr>
          <w:p w14:paraId="240D7108">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406" w:type="pct"/>
            <w:vMerge w:val="continue"/>
            <w:shd w:val="clear" w:color="auto" w:fill="auto"/>
            <w:noWrap/>
            <w:vAlign w:val="center"/>
          </w:tcPr>
          <w:p w14:paraId="6F499147">
            <w:pPr>
              <w:widowControl/>
              <w:shd w:val="clear"/>
              <w:jc w:val="center"/>
              <w:rPr>
                <w:rFonts w:ascii="宋体" w:hAnsi="宋体" w:cs="宋体"/>
                <w:color w:val="000000"/>
                <w:kern w:val="0"/>
                <w:sz w:val="18"/>
                <w:szCs w:val="18"/>
                <w:highlight w:val="none"/>
              </w:rPr>
            </w:pPr>
          </w:p>
        </w:tc>
        <w:tc>
          <w:tcPr>
            <w:tcW w:w="371" w:type="pct"/>
            <w:vMerge w:val="continue"/>
            <w:shd w:val="clear" w:color="auto" w:fill="auto"/>
            <w:noWrap/>
            <w:vAlign w:val="center"/>
          </w:tcPr>
          <w:p w14:paraId="67E1A5E2">
            <w:pPr>
              <w:widowControl/>
              <w:shd w:val="clear"/>
              <w:jc w:val="center"/>
              <w:rPr>
                <w:rFonts w:ascii="宋体" w:hAnsi="宋体" w:cs="宋体"/>
                <w:color w:val="000000"/>
                <w:kern w:val="0"/>
                <w:sz w:val="18"/>
                <w:szCs w:val="18"/>
                <w:highlight w:val="none"/>
              </w:rPr>
            </w:pPr>
          </w:p>
        </w:tc>
      </w:tr>
      <w:tr w14:paraId="4ED6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75" w:type="pct"/>
            <w:shd w:val="clear" w:color="auto" w:fill="auto"/>
            <w:vAlign w:val="center"/>
          </w:tcPr>
          <w:p w14:paraId="68096950">
            <w:pPr>
              <w:widowControl/>
              <w:shd w:val="clear"/>
              <w:jc w:val="center"/>
              <w:rPr>
                <w:rFonts w:ascii="宋体" w:hAnsi="宋体" w:cs="宋体"/>
                <w:color w:val="000000"/>
                <w:kern w:val="0"/>
                <w:sz w:val="18"/>
                <w:szCs w:val="18"/>
                <w:highlight w:val="none"/>
              </w:rPr>
            </w:pPr>
            <w:bookmarkStart w:id="18" w:name="_Toc28796"/>
            <w:r>
              <w:rPr>
                <w:rFonts w:hint="eastAsia" w:ascii="宋体" w:hAnsi="宋体" w:cs="宋体"/>
                <w:color w:val="000000"/>
                <w:kern w:val="0"/>
                <w:sz w:val="18"/>
                <w:szCs w:val="18"/>
                <w:highlight w:val="none"/>
              </w:rPr>
              <w:t>18</w:t>
            </w:r>
          </w:p>
        </w:tc>
        <w:tc>
          <w:tcPr>
            <w:tcW w:w="4352" w:type="pct"/>
            <w:gridSpan w:val="5"/>
            <w:vAlign w:val="center"/>
          </w:tcPr>
          <w:p w14:paraId="3911DE6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合计</w:t>
            </w:r>
          </w:p>
        </w:tc>
        <w:tc>
          <w:tcPr>
            <w:tcW w:w="371" w:type="pct"/>
            <w:shd w:val="clear" w:color="auto" w:fill="auto"/>
            <w:noWrap/>
            <w:vAlign w:val="center"/>
          </w:tcPr>
          <w:p w14:paraId="2D36671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714000</w:t>
            </w:r>
          </w:p>
        </w:tc>
      </w:tr>
    </w:tbl>
    <w:p w14:paraId="4DA9A051">
      <w:pPr>
        <w:shd w:val="clear"/>
        <w:rPr>
          <w:highlight w:val="none"/>
        </w:rPr>
      </w:pPr>
      <w:r>
        <w:rPr>
          <w:rFonts w:hint="eastAsia"/>
          <w:highlight w:val="none"/>
        </w:rPr>
        <w:br w:type="page"/>
      </w:r>
    </w:p>
    <w:p w14:paraId="1338755C">
      <w:pPr>
        <w:pStyle w:val="5"/>
        <w:numPr>
          <w:ilvl w:val="2"/>
          <w:numId w:val="0"/>
        </w:numPr>
        <w:shd w:val="clear"/>
        <w:rPr>
          <w:highlight w:val="none"/>
        </w:rPr>
      </w:pPr>
      <w:r>
        <w:rPr>
          <w:rFonts w:hint="eastAsia"/>
          <w:highlight w:val="none"/>
        </w:rPr>
        <w:t>1</w:t>
      </w:r>
      <w:r>
        <w:rPr>
          <w:rFonts w:hint="eastAsia"/>
          <w:highlight w:val="none"/>
          <w:lang w:val="en-US" w:eastAsia="zh-CN"/>
        </w:rPr>
        <w:t>0</w:t>
      </w:r>
      <w:r>
        <w:rPr>
          <w:rFonts w:hint="eastAsia"/>
          <w:highlight w:val="none"/>
        </w:rPr>
        <w:t>、网络专线服务</w:t>
      </w:r>
    </w:p>
    <w:tbl>
      <w:tblPr>
        <w:tblStyle w:val="48"/>
        <w:tblW w:w="4928" w:type="pct"/>
        <w:tblInd w:w="98" w:type="dxa"/>
        <w:tblLayout w:type="fixed"/>
        <w:tblCellMar>
          <w:top w:w="0" w:type="dxa"/>
          <w:left w:w="108" w:type="dxa"/>
          <w:bottom w:w="0" w:type="dxa"/>
          <w:right w:w="108" w:type="dxa"/>
        </w:tblCellMar>
      </w:tblPr>
      <w:tblGrid>
        <w:gridCol w:w="683"/>
        <w:gridCol w:w="2170"/>
        <w:gridCol w:w="3116"/>
        <w:gridCol w:w="5236"/>
        <w:gridCol w:w="750"/>
        <w:gridCol w:w="963"/>
        <w:gridCol w:w="1053"/>
      </w:tblGrid>
      <w:tr w14:paraId="69340A0A">
        <w:tblPrEx>
          <w:tblCellMar>
            <w:top w:w="0" w:type="dxa"/>
            <w:left w:w="108" w:type="dxa"/>
            <w:bottom w:w="0" w:type="dxa"/>
            <w:right w:w="108" w:type="dxa"/>
          </w:tblCellMar>
        </w:tblPrEx>
        <w:trPr>
          <w:trHeight w:val="57" w:hRule="atLeast"/>
          <w:tblHeader/>
        </w:trPr>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14:paraId="44352A9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776" w:type="pct"/>
            <w:tcBorders>
              <w:top w:val="single" w:color="auto" w:sz="4" w:space="0"/>
              <w:left w:val="nil"/>
              <w:bottom w:val="single" w:color="auto" w:sz="4" w:space="0"/>
              <w:right w:val="single" w:color="auto" w:sz="4" w:space="0"/>
            </w:tcBorders>
            <w:shd w:val="clear" w:color="auto" w:fill="auto"/>
            <w:vAlign w:val="center"/>
          </w:tcPr>
          <w:p w14:paraId="1428C05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服务分类</w:t>
            </w:r>
          </w:p>
        </w:tc>
        <w:tc>
          <w:tcPr>
            <w:tcW w:w="1115" w:type="pct"/>
            <w:tcBorders>
              <w:top w:val="single" w:color="auto" w:sz="4" w:space="0"/>
              <w:left w:val="nil"/>
              <w:bottom w:val="single" w:color="auto" w:sz="4" w:space="0"/>
              <w:right w:val="single" w:color="auto" w:sz="4" w:space="0"/>
            </w:tcBorders>
            <w:shd w:val="clear" w:color="auto" w:fill="auto"/>
            <w:vAlign w:val="center"/>
          </w:tcPr>
          <w:p w14:paraId="5A187D2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服务名称</w:t>
            </w:r>
          </w:p>
        </w:tc>
        <w:tc>
          <w:tcPr>
            <w:tcW w:w="1873" w:type="pct"/>
            <w:tcBorders>
              <w:top w:val="single" w:color="auto" w:sz="4" w:space="0"/>
              <w:left w:val="nil"/>
              <w:bottom w:val="single" w:color="auto" w:sz="4" w:space="0"/>
              <w:right w:val="single" w:color="auto" w:sz="4" w:space="0"/>
            </w:tcBorders>
            <w:shd w:val="clear" w:color="auto" w:fill="auto"/>
            <w:vAlign w:val="center"/>
          </w:tcPr>
          <w:p w14:paraId="369513B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rPr>
              <w:t>技术要求</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参数具体要求</w:t>
            </w:r>
            <w:r>
              <w:rPr>
                <w:rFonts w:hint="eastAsia" w:ascii="宋体" w:hAnsi="宋体" w:cs="宋体"/>
                <w:color w:val="000000"/>
                <w:kern w:val="0"/>
                <w:sz w:val="18"/>
                <w:szCs w:val="18"/>
                <w:highlight w:val="none"/>
                <w:lang w:eastAsia="zh-CN"/>
              </w:rPr>
              <w:t>）</w:t>
            </w:r>
          </w:p>
        </w:tc>
        <w:tc>
          <w:tcPr>
            <w:tcW w:w="268" w:type="pct"/>
            <w:tcBorders>
              <w:top w:val="single" w:color="auto" w:sz="4" w:space="0"/>
              <w:left w:val="nil"/>
              <w:bottom w:val="single" w:color="auto" w:sz="4" w:space="0"/>
              <w:right w:val="single" w:color="auto" w:sz="4" w:space="0"/>
            </w:tcBorders>
            <w:shd w:val="clear" w:color="auto" w:fill="auto"/>
            <w:vAlign w:val="center"/>
          </w:tcPr>
          <w:p w14:paraId="5E8A2C5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数量</w:t>
            </w:r>
            <w:r>
              <w:rPr>
                <w:rFonts w:hint="eastAsia" w:ascii="宋体" w:hAnsi="宋体" w:cs="宋体"/>
                <w:color w:val="000000"/>
                <w:kern w:val="0"/>
                <w:sz w:val="18"/>
                <w:szCs w:val="18"/>
                <w:highlight w:val="none"/>
                <w:lang w:val="en-US" w:eastAsia="zh-CN"/>
              </w:rPr>
              <w:t>/单位</w:t>
            </w:r>
          </w:p>
        </w:tc>
        <w:tc>
          <w:tcPr>
            <w:tcW w:w="344" w:type="pct"/>
            <w:tcBorders>
              <w:top w:val="single" w:color="auto" w:sz="4" w:space="0"/>
              <w:left w:val="nil"/>
              <w:bottom w:val="single" w:color="auto" w:sz="4" w:space="0"/>
              <w:right w:val="single" w:color="auto" w:sz="4" w:space="0"/>
            </w:tcBorders>
            <w:shd w:val="clear" w:color="auto" w:fill="auto"/>
            <w:vAlign w:val="center"/>
          </w:tcPr>
          <w:p w14:paraId="78D4B1B4">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单价（元）</w:t>
            </w:r>
          </w:p>
        </w:tc>
        <w:tc>
          <w:tcPr>
            <w:tcW w:w="376" w:type="pct"/>
            <w:tcBorders>
              <w:top w:val="single" w:color="auto" w:sz="4" w:space="0"/>
              <w:left w:val="nil"/>
              <w:bottom w:val="single" w:color="auto" w:sz="4" w:space="0"/>
              <w:right w:val="single" w:color="auto" w:sz="4" w:space="0"/>
            </w:tcBorders>
            <w:shd w:val="clear" w:color="auto" w:fill="auto"/>
            <w:vAlign w:val="center"/>
          </w:tcPr>
          <w:p w14:paraId="648B2C4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预算</w:t>
            </w:r>
            <w:r>
              <w:rPr>
                <w:rFonts w:hint="eastAsia" w:ascii="宋体" w:hAnsi="宋体" w:cs="宋体"/>
                <w:color w:val="000000"/>
                <w:kern w:val="0"/>
                <w:sz w:val="18"/>
                <w:szCs w:val="18"/>
                <w:highlight w:val="none"/>
              </w:rPr>
              <w:t>总价（元）</w:t>
            </w:r>
          </w:p>
        </w:tc>
      </w:tr>
      <w:tr w14:paraId="251E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44" w:type="pct"/>
            <w:shd w:val="clear" w:color="auto" w:fill="auto"/>
            <w:vAlign w:val="center"/>
          </w:tcPr>
          <w:p w14:paraId="1389E4D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776" w:type="pct"/>
            <w:vMerge w:val="restart"/>
            <w:shd w:val="clear" w:color="auto" w:fill="auto"/>
            <w:noWrap/>
            <w:vAlign w:val="center"/>
          </w:tcPr>
          <w:p w14:paraId="468944E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专线服务</w:t>
            </w:r>
          </w:p>
        </w:tc>
        <w:tc>
          <w:tcPr>
            <w:tcW w:w="1115" w:type="pct"/>
            <w:shd w:val="clear" w:color="auto" w:fill="auto"/>
            <w:vAlign w:val="center"/>
          </w:tcPr>
          <w:p w14:paraId="5434EC1B">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卫健委至旗医院</w:t>
            </w:r>
          </w:p>
        </w:tc>
        <w:tc>
          <w:tcPr>
            <w:tcW w:w="1873" w:type="pct"/>
            <w:shd w:val="clear" w:color="auto" w:fill="auto"/>
            <w:noWrap/>
            <w:vAlign w:val="center"/>
          </w:tcPr>
          <w:p w14:paraId="044352DB">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带宽要求≥1000M，含5年</w:t>
            </w:r>
            <w:r>
              <w:rPr>
                <w:rFonts w:hint="eastAsia" w:ascii="宋体" w:hAnsi="宋体" w:cs="宋体"/>
                <w:color w:val="000000"/>
                <w:kern w:val="0"/>
                <w:sz w:val="18"/>
                <w:szCs w:val="18"/>
                <w:highlight w:val="none"/>
                <w:lang w:val="en-US" w:eastAsia="zh-CN"/>
              </w:rPr>
              <w:t>使用</w:t>
            </w:r>
            <w:r>
              <w:rPr>
                <w:rFonts w:hint="eastAsia" w:ascii="宋体" w:hAnsi="宋体" w:cs="宋体"/>
                <w:color w:val="000000"/>
                <w:kern w:val="0"/>
                <w:sz w:val="18"/>
                <w:szCs w:val="18"/>
                <w:highlight w:val="none"/>
              </w:rPr>
              <w:t>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自验收合格之日起计算</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w:t>
            </w:r>
          </w:p>
        </w:tc>
        <w:tc>
          <w:tcPr>
            <w:tcW w:w="268" w:type="pct"/>
            <w:shd w:val="clear" w:color="auto" w:fill="auto"/>
            <w:noWrap/>
            <w:vAlign w:val="center"/>
          </w:tcPr>
          <w:p w14:paraId="56D8967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44" w:type="pct"/>
            <w:shd w:val="clear" w:color="auto" w:fill="auto"/>
            <w:noWrap/>
            <w:vAlign w:val="center"/>
          </w:tcPr>
          <w:p w14:paraId="024A816E">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78000</w:t>
            </w:r>
          </w:p>
        </w:tc>
        <w:tc>
          <w:tcPr>
            <w:tcW w:w="376" w:type="pct"/>
            <w:shd w:val="clear" w:color="auto" w:fill="auto"/>
            <w:noWrap/>
            <w:vAlign w:val="center"/>
          </w:tcPr>
          <w:p w14:paraId="0149B82E">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78000</w:t>
            </w:r>
          </w:p>
        </w:tc>
      </w:tr>
      <w:tr w14:paraId="050B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44" w:type="pct"/>
            <w:shd w:val="clear" w:color="auto" w:fill="auto"/>
            <w:vAlign w:val="center"/>
          </w:tcPr>
          <w:p w14:paraId="2312BC3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776" w:type="pct"/>
            <w:vMerge w:val="continue"/>
            <w:shd w:val="clear" w:color="auto" w:fill="auto"/>
            <w:noWrap/>
            <w:vAlign w:val="center"/>
          </w:tcPr>
          <w:p w14:paraId="3BAED84D">
            <w:pPr>
              <w:widowControl/>
              <w:shd w:val="clear"/>
              <w:jc w:val="center"/>
              <w:rPr>
                <w:rFonts w:ascii="宋体" w:hAnsi="宋体" w:cs="宋体"/>
                <w:color w:val="000000"/>
                <w:kern w:val="0"/>
                <w:sz w:val="18"/>
                <w:szCs w:val="18"/>
                <w:highlight w:val="none"/>
              </w:rPr>
            </w:pPr>
          </w:p>
        </w:tc>
        <w:tc>
          <w:tcPr>
            <w:tcW w:w="1115" w:type="pct"/>
            <w:shd w:val="clear" w:color="auto" w:fill="auto"/>
            <w:vAlign w:val="center"/>
          </w:tcPr>
          <w:p w14:paraId="0D867376">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中医蒙医医院至旗医院</w:t>
            </w:r>
          </w:p>
        </w:tc>
        <w:tc>
          <w:tcPr>
            <w:tcW w:w="1873" w:type="pct"/>
            <w:shd w:val="clear" w:color="auto" w:fill="auto"/>
            <w:noWrap/>
            <w:vAlign w:val="center"/>
          </w:tcPr>
          <w:p w14:paraId="472C88F0">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带宽要求≥1000M，含5年</w:t>
            </w:r>
            <w:r>
              <w:rPr>
                <w:rFonts w:hint="eastAsia" w:ascii="宋体" w:hAnsi="宋体" w:cs="宋体"/>
                <w:color w:val="000000"/>
                <w:kern w:val="0"/>
                <w:sz w:val="18"/>
                <w:szCs w:val="18"/>
                <w:highlight w:val="none"/>
                <w:lang w:val="en-US" w:eastAsia="zh-CN"/>
              </w:rPr>
              <w:t>使用</w:t>
            </w:r>
            <w:r>
              <w:rPr>
                <w:rFonts w:hint="eastAsia" w:ascii="宋体" w:hAnsi="宋体" w:cs="宋体"/>
                <w:color w:val="000000"/>
                <w:kern w:val="0"/>
                <w:sz w:val="18"/>
                <w:szCs w:val="18"/>
                <w:highlight w:val="none"/>
              </w:rPr>
              <w:t>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自验收合格之日起计算</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w:t>
            </w:r>
          </w:p>
        </w:tc>
        <w:tc>
          <w:tcPr>
            <w:tcW w:w="268" w:type="pct"/>
            <w:shd w:val="clear" w:color="auto" w:fill="auto"/>
            <w:noWrap/>
            <w:vAlign w:val="center"/>
          </w:tcPr>
          <w:p w14:paraId="3B37192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44" w:type="pct"/>
            <w:shd w:val="clear" w:color="auto" w:fill="auto"/>
            <w:noWrap/>
            <w:vAlign w:val="center"/>
          </w:tcPr>
          <w:p w14:paraId="4DBBD491">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78000</w:t>
            </w:r>
          </w:p>
        </w:tc>
        <w:tc>
          <w:tcPr>
            <w:tcW w:w="376" w:type="pct"/>
            <w:shd w:val="clear" w:color="auto" w:fill="auto"/>
            <w:noWrap/>
            <w:vAlign w:val="center"/>
          </w:tcPr>
          <w:p w14:paraId="0DA7A68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78000</w:t>
            </w:r>
          </w:p>
        </w:tc>
      </w:tr>
      <w:tr w14:paraId="7C2B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44" w:type="pct"/>
            <w:shd w:val="clear" w:color="auto" w:fill="auto"/>
            <w:vAlign w:val="center"/>
          </w:tcPr>
          <w:p w14:paraId="07ED4672">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776" w:type="pct"/>
            <w:vMerge w:val="continue"/>
            <w:shd w:val="clear" w:color="auto" w:fill="auto"/>
            <w:noWrap/>
            <w:vAlign w:val="center"/>
          </w:tcPr>
          <w:p w14:paraId="285E07FD">
            <w:pPr>
              <w:widowControl/>
              <w:shd w:val="clear"/>
              <w:jc w:val="center"/>
              <w:rPr>
                <w:rFonts w:ascii="宋体" w:hAnsi="宋体" w:cs="宋体"/>
                <w:color w:val="000000"/>
                <w:kern w:val="0"/>
                <w:sz w:val="18"/>
                <w:szCs w:val="18"/>
                <w:highlight w:val="none"/>
              </w:rPr>
            </w:pPr>
          </w:p>
        </w:tc>
        <w:tc>
          <w:tcPr>
            <w:tcW w:w="1115" w:type="pct"/>
            <w:shd w:val="clear" w:color="auto" w:fill="auto"/>
            <w:vAlign w:val="center"/>
          </w:tcPr>
          <w:p w14:paraId="3951208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妇幼保健院至旗医院</w:t>
            </w:r>
          </w:p>
        </w:tc>
        <w:tc>
          <w:tcPr>
            <w:tcW w:w="1873" w:type="pct"/>
            <w:shd w:val="clear" w:color="auto" w:fill="auto"/>
            <w:noWrap/>
            <w:vAlign w:val="center"/>
          </w:tcPr>
          <w:p w14:paraId="642899DC">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带宽要求≥1000M，含5年</w:t>
            </w:r>
            <w:r>
              <w:rPr>
                <w:rFonts w:hint="eastAsia" w:ascii="宋体" w:hAnsi="宋体" w:cs="宋体"/>
                <w:color w:val="000000"/>
                <w:kern w:val="0"/>
                <w:sz w:val="18"/>
                <w:szCs w:val="18"/>
                <w:highlight w:val="none"/>
                <w:lang w:val="en-US" w:eastAsia="zh-CN"/>
              </w:rPr>
              <w:t>使用</w:t>
            </w:r>
            <w:r>
              <w:rPr>
                <w:rFonts w:hint="eastAsia" w:ascii="宋体" w:hAnsi="宋体" w:cs="宋体"/>
                <w:color w:val="000000"/>
                <w:kern w:val="0"/>
                <w:sz w:val="18"/>
                <w:szCs w:val="18"/>
                <w:highlight w:val="none"/>
              </w:rPr>
              <w:t>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自验收合格之日起计算</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w:t>
            </w:r>
          </w:p>
        </w:tc>
        <w:tc>
          <w:tcPr>
            <w:tcW w:w="268" w:type="pct"/>
            <w:shd w:val="clear" w:color="auto" w:fill="auto"/>
            <w:noWrap/>
            <w:vAlign w:val="center"/>
          </w:tcPr>
          <w:p w14:paraId="039A5D4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r>
              <w:rPr>
                <w:rFonts w:hint="eastAsia" w:ascii="宋体" w:hAnsi="宋体" w:cs="宋体"/>
                <w:color w:val="000000"/>
                <w:kern w:val="0"/>
                <w:sz w:val="18"/>
                <w:szCs w:val="18"/>
                <w:highlight w:val="none"/>
                <w:lang w:val="en-US" w:eastAsia="zh-CN"/>
              </w:rPr>
              <w:t>项</w:t>
            </w:r>
          </w:p>
        </w:tc>
        <w:tc>
          <w:tcPr>
            <w:tcW w:w="344" w:type="pct"/>
            <w:shd w:val="clear" w:color="auto" w:fill="auto"/>
            <w:noWrap/>
            <w:vAlign w:val="center"/>
          </w:tcPr>
          <w:p w14:paraId="23C38E39">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78000</w:t>
            </w:r>
          </w:p>
        </w:tc>
        <w:tc>
          <w:tcPr>
            <w:tcW w:w="376" w:type="pct"/>
            <w:shd w:val="clear" w:color="auto" w:fill="auto"/>
            <w:noWrap/>
            <w:vAlign w:val="center"/>
          </w:tcPr>
          <w:p w14:paraId="2D553DB7">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78000</w:t>
            </w:r>
          </w:p>
        </w:tc>
      </w:tr>
      <w:tr w14:paraId="2E09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44" w:type="pct"/>
            <w:shd w:val="clear" w:color="auto" w:fill="auto"/>
            <w:vAlign w:val="center"/>
          </w:tcPr>
          <w:p w14:paraId="470FD6E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776" w:type="pct"/>
            <w:vMerge w:val="continue"/>
            <w:shd w:val="clear" w:color="auto" w:fill="auto"/>
            <w:noWrap/>
            <w:vAlign w:val="center"/>
          </w:tcPr>
          <w:p w14:paraId="1DB00269">
            <w:pPr>
              <w:widowControl/>
              <w:shd w:val="clear"/>
              <w:jc w:val="center"/>
              <w:rPr>
                <w:rFonts w:ascii="宋体" w:hAnsi="宋体" w:cs="宋体"/>
                <w:color w:val="000000"/>
                <w:kern w:val="0"/>
                <w:sz w:val="18"/>
                <w:szCs w:val="18"/>
                <w:highlight w:val="none"/>
              </w:rPr>
            </w:pPr>
          </w:p>
        </w:tc>
        <w:tc>
          <w:tcPr>
            <w:tcW w:w="1115" w:type="pct"/>
            <w:shd w:val="clear" w:color="auto" w:fill="auto"/>
            <w:vAlign w:val="center"/>
          </w:tcPr>
          <w:p w14:paraId="271D2495">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乡镇卫生院至旗医院</w:t>
            </w:r>
          </w:p>
        </w:tc>
        <w:tc>
          <w:tcPr>
            <w:tcW w:w="1873" w:type="pct"/>
            <w:shd w:val="clear" w:color="auto" w:fill="auto"/>
            <w:noWrap/>
            <w:vAlign w:val="center"/>
          </w:tcPr>
          <w:p w14:paraId="4543B868">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带宽要求≥200M，含5年</w:t>
            </w:r>
            <w:r>
              <w:rPr>
                <w:rFonts w:hint="eastAsia" w:ascii="宋体" w:hAnsi="宋体" w:cs="宋体"/>
                <w:color w:val="000000"/>
                <w:kern w:val="0"/>
                <w:sz w:val="18"/>
                <w:szCs w:val="18"/>
                <w:highlight w:val="none"/>
                <w:lang w:val="en-US" w:eastAsia="zh-CN"/>
              </w:rPr>
              <w:t>使用</w:t>
            </w:r>
            <w:r>
              <w:rPr>
                <w:rFonts w:hint="eastAsia" w:ascii="宋体" w:hAnsi="宋体" w:cs="宋体"/>
                <w:color w:val="000000"/>
                <w:kern w:val="0"/>
                <w:sz w:val="18"/>
                <w:szCs w:val="18"/>
                <w:highlight w:val="none"/>
              </w:rPr>
              <w:t>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自验收合格之日起计算</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w:t>
            </w:r>
          </w:p>
        </w:tc>
        <w:tc>
          <w:tcPr>
            <w:tcW w:w="268" w:type="pct"/>
            <w:shd w:val="clear" w:color="auto" w:fill="auto"/>
            <w:noWrap/>
            <w:vAlign w:val="center"/>
          </w:tcPr>
          <w:p w14:paraId="2C20444D">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w:t>
            </w:r>
            <w:r>
              <w:rPr>
                <w:rFonts w:hint="eastAsia" w:ascii="宋体" w:hAnsi="宋体" w:cs="宋体"/>
                <w:color w:val="000000"/>
                <w:kern w:val="0"/>
                <w:sz w:val="18"/>
                <w:szCs w:val="18"/>
                <w:highlight w:val="none"/>
                <w:lang w:val="en-US" w:eastAsia="zh-CN"/>
              </w:rPr>
              <w:t>项</w:t>
            </w:r>
          </w:p>
        </w:tc>
        <w:tc>
          <w:tcPr>
            <w:tcW w:w="344" w:type="pct"/>
            <w:shd w:val="clear" w:color="auto" w:fill="auto"/>
            <w:noWrap/>
            <w:vAlign w:val="center"/>
          </w:tcPr>
          <w:p w14:paraId="12360ABB">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27000</w:t>
            </w:r>
          </w:p>
        </w:tc>
        <w:tc>
          <w:tcPr>
            <w:tcW w:w="376" w:type="pct"/>
            <w:shd w:val="clear" w:color="auto" w:fill="auto"/>
            <w:noWrap/>
            <w:vAlign w:val="center"/>
          </w:tcPr>
          <w:p w14:paraId="7E6DE810">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432000</w:t>
            </w:r>
          </w:p>
        </w:tc>
      </w:tr>
      <w:tr w14:paraId="7149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44" w:type="pct"/>
            <w:shd w:val="clear" w:color="auto" w:fill="auto"/>
            <w:vAlign w:val="center"/>
          </w:tcPr>
          <w:p w14:paraId="6C484CDF">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776" w:type="pct"/>
            <w:shd w:val="clear" w:color="auto" w:fill="auto"/>
            <w:noWrap/>
            <w:vAlign w:val="center"/>
          </w:tcPr>
          <w:p w14:paraId="331426D0">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无线服务</w:t>
            </w:r>
          </w:p>
        </w:tc>
        <w:tc>
          <w:tcPr>
            <w:tcW w:w="1115" w:type="pct"/>
            <w:shd w:val="clear" w:color="auto" w:fill="auto"/>
            <w:vAlign w:val="center"/>
          </w:tcPr>
          <w:p w14:paraId="49FBA94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村级卫生室配套无线</w:t>
            </w:r>
            <w:r>
              <w:rPr>
                <w:rFonts w:hint="eastAsia" w:ascii="宋体" w:hAnsi="宋体" w:cs="宋体"/>
                <w:color w:val="auto"/>
                <w:kern w:val="0"/>
                <w:sz w:val="18"/>
                <w:szCs w:val="18"/>
                <w:highlight w:val="none"/>
              </w:rPr>
              <w:t>WIFI服务</w:t>
            </w:r>
          </w:p>
        </w:tc>
        <w:tc>
          <w:tcPr>
            <w:tcW w:w="1873" w:type="pct"/>
            <w:shd w:val="clear" w:color="auto" w:fill="auto"/>
            <w:noWrap/>
            <w:vAlign w:val="center"/>
          </w:tcPr>
          <w:p w14:paraId="292D2359">
            <w:pPr>
              <w:widowControl/>
              <w:shd w:val="clear"/>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流量要求≥100GB/月，含5年</w:t>
            </w:r>
            <w:r>
              <w:rPr>
                <w:rFonts w:hint="eastAsia" w:ascii="宋体" w:hAnsi="宋体" w:cs="宋体"/>
                <w:color w:val="000000"/>
                <w:kern w:val="0"/>
                <w:sz w:val="18"/>
                <w:szCs w:val="18"/>
                <w:highlight w:val="none"/>
                <w:lang w:val="en-US" w:eastAsia="zh-CN"/>
              </w:rPr>
              <w:t>使用</w:t>
            </w:r>
            <w:r>
              <w:rPr>
                <w:rFonts w:hint="eastAsia" w:ascii="宋体" w:hAnsi="宋体" w:cs="宋体"/>
                <w:color w:val="000000"/>
                <w:kern w:val="0"/>
                <w:sz w:val="18"/>
                <w:szCs w:val="18"/>
                <w:highlight w:val="none"/>
              </w:rPr>
              <w:t>期</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lang w:val="en-US" w:eastAsia="zh-CN"/>
              </w:rPr>
              <w:t>自验收合格之日起计算</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w:t>
            </w:r>
          </w:p>
        </w:tc>
        <w:tc>
          <w:tcPr>
            <w:tcW w:w="268" w:type="pct"/>
            <w:shd w:val="clear" w:color="auto" w:fill="auto"/>
            <w:noWrap/>
            <w:vAlign w:val="center"/>
          </w:tcPr>
          <w:p w14:paraId="3E08B8D3">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165</w:t>
            </w:r>
            <w:r>
              <w:rPr>
                <w:rFonts w:hint="eastAsia" w:ascii="宋体" w:hAnsi="宋体" w:cs="宋体"/>
                <w:color w:val="000000"/>
                <w:kern w:val="0"/>
                <w:sz w:val="18"/>
                <w:szCs w:val="18"/>
                <w:highlight w:val="none"/>
                <w:lang w:val="en-US" w:eastAsia="zh-CN"/>
              </w:rPr>
              <w:t>项</w:t>
            </w:r>
          </w:p>
        </w:tc>
        <w:tc>
          <w:tcPr>
            <w:tcW w:w="344" w:type="pct"/>
            <w:shd w:val="clear" w:color="auto" w:fill="auto"/>
            <w:noWrap/>
            <w:vAlign w:val="center"/>
          </w:tcPr>
          <w:p w14:paraId="432CE876">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1500</w:t>
            </w:r>
          </w:p>
        </w:tc>
        <w:tc>
          <w:tcPr>
            <w:tcW w:w="376" w:type="pct"/>
            <w:shd w:val="clear" w:color="auto" w:fill="auto"/>
            <w:noWrap/>
            <w:vAlign w:val="center"/>
          </w:tcPr>
          <w:p w14:paraId="34FAA3B9">
            <w:pPr>
              <w:widowControl/>
              <w:shd w:val="clear"/>
              <w:jc w:val="center"/>
              <w:rPr>
                <w:rFonts w:hint="default"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247500</w:t>
            </w:r>
          </w:p>
        </w:tc>
      </w:tr>
      <w:tr w14:paraId="76A2A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44" w:type="pct"/>
            <w:shd w:val="clear" w:color="auto" w:fill="auto"/>
            <w:vAlign w:val="center"/>
          </w:tcPr>
          <w:p w14:paraId="575B7F8A">
            <w:pPr>
              <w:widowControl/>
              <w:shd w:val="clea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6</w:t>
            </w:r>
          </w:p>
        </w:tc>
        <w:tc>
          <w:tcPr>
            <w:tcW w:w="4378" w:type="pct"/>
            <w:gridSpan w:val="5"/>
            <w:shd w:val="clear" w:color="auto" w:fill="auto"/>
            <w:noWrap/>
            <w:vAlign w:val="center"/>
          </w:tcPr>
          <w:p w14:paraId="58FC71C4">
            <w:pPr>
              <w:widowControl/>
              <w:shd w:val="clear"/>
              <w:jc w:val="center"/>
              <w:rPr>
                <w:rFonts w:ascii="宋体" w:hAnsi="宋体" w:cs="宋体"/>
                <w:kern w:val="0"/>
                <w:sz w:val="18"/>
                <w:szCs w:val="18"/>
                <w:highlight w:val="none"/>
              </w:rPr>
            </w:pPr>
            <w:r>
              <w:rPr>
                <w:rFonts w:hint="eastAsia" w:ascii="宋体" w:hAnsi="宋体" w:cs="宋体"/>
                <w:kern w:val="0"/>
                <w:sz w:val="18"/>
                <w:szCs w:val="18"/>
                <w:highlight w:val="none"/>
              </w:rPr>
              <w:t>合计</w:t>
            </w:r>
          </w:p>
        </w:tc>
        <w:tc>
          <w:tcPr>
            <w:tcW w:w="376" w:type="pct"/>
            <w:shd w:val="clear" w:color="auto" w:fill="auto"/>
            <w:noWrap/>
            <w:vAlign w:val="center"/>
          </w:tcPr>
          <w:p w14:paraId="208E6AA9">
            <w:pPr>
              <w:widowControl/>
              <w:shd w:val="clea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913500</w:t>
            </w:r>
          </w:p>
        </w:tc>
      </w:tr>
      <w:bookmarkEnd w:id="18"/>
    </w:tbl>
    <w:p w14:paraId="5408802D">
      <w:pPr>
        <w:shd w:val="clear"/>
        <w:rPr>
          <w:highlight w:val="none"/>
        </w:rPr>
      </w:pPr>
      <w:r>
        <w:rPr>
          <w:highlight w:val="none"/>
        </w:rPr>
        <w:br w:type="page"/>
      </w:r>
    </w:p>
    <w:p w14:paraId="204FBA4B">
      <w:pPr>
        <w:shd w:val="clea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val="en-US" w:eastAsia="zh-CN"/>
        </w:rPr>
        <w:t>参数说明：</w:t>
      </w:r>
    </w:p>
    <w:p w14:paraId="3185F23F">
      <w:pPr>
        <w:shd w:val="clea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rPr>
        <w:t>技术参数与性能指标表</w:t>
      </w:r>
      <w:bookmarkStart w:id="19" w:name="_GoBack"/>
      <w:bookmarkEnd w:id="19"/>
      <w:r>
        <w:rPr>
          <w:rFonts w:hint="eastAsia" w:ascii="宋体" w:hAnsi="宋体" w:eastAsia="宋体" w:cs="宋体"/>
          <w:sz w:val="28"/>
          <w:szCs w:val="36"/>
          <w:highlight w:val="none"/>
        </w:rPr>
        <w:t>中标记“★”的为实质性技术参数，标记“■”的为重要技术参数，未标记的为一般技术参数。实质性技术参数不满足招标文件要求的视为无效投标，重要技术参数须按参数具体要求提供相应佐证文件，否则不得分。</w:t>
      </w:r>
    </w:p>
    <w:sectPr>
      <w:pgSz w:w="16839" w:h="11907" w:orient="landscape"/>
      <w:pgMar w:top="1077" w:right="1440" w:bottom="1077" w:left="1440"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BatangChe">
    <w:altName w:val="Malgun Gothic"/>
    <w:panose1 w:val="00000000000000000000"/>
    <w:charset w:val="81"/>
    <w:family w:val="moder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86"/>
    <w:family w:val="roma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Garamond">
    <w:altName w:val="PMingLiU-ExtB"/>
    <w:panose1 w:val="02020404030301010803"/>
    <w:charset w:val="00"/>
    <w:family w:val="roman"/>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ACBD">
    <w:pPr>
      <w:pStyle w:val="29"/>
      <w:jc w:val="center"/>
      <w:rPr>
        <w:sz w:val="21"/>
      </w:rPr>
    </w:pPr>
    <w:r>
      <w:rPr>
        <w:sz w:val="21"/>
      </w:rPr>
      <w:fldChar w:fldCharType="begin"/>
    </w:r>
    <w:r>
      <w:rPr>
        <w:sz w:val="21"/>
      </w:rPr>
      <w:instrText xml:space="preserve">PAGE   \* MERGEFORMAT</w:instrText>
    </w:r>
    <w:r>
      <w:rPr>
        <w:sz w:val="21"/>
      </w:rPr>
      <w:fldChar w:fldCharType="separate"/>
    </w:r>
    <w:r>
      <w:rPr>
        <w:sz w:val="21"/>
        <w:lang w:val="zh-CN"/>
      </w:rPr>
      <w:t>-</w:t>
    </w:r>
    <w:r>
      <w:rPr>
        <w:sz w:val="21"/>
      </w:rPr>
      <w:t xml:space="preserve"> 1 -</w:t>
    </w:r>
    <w:r>
      <w:rPr>
        <w:sz w:val="21"/>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890DD7"/>
    <w:multiLevelType w:val="singleLevel"/>
    <w:tmpl w:val="8D890DD7"/>
    <w:lvl w:ilvl="0" w:tentative="0">
      <w:start w:val="1"/>
      <w:numFmt w:val="decimal"/>
      <w:suff w:val="nothing"/>
      <w:lvlText w:val="%1、"/>
      <w:lvlJc w:val="left"/>
    </w:lvl>
  </w:abstractNum>
  <w:abstractNum w:abstractNumId="1">
    <w:nsid w:val="B947D7F8"/>
    <w:multiLevelType w:val="singleLevel"/>
    <w:tmpl w:val="B947D7F8"/>
    <w:lvl w:ilvl="0" w:tentative="0">
      <w:start w:val="1"/>
      <w:numFmt w:val="decimal"/>
      <w:suff w:val="nothing"/>
      <w:lvlText w:val="%1、"/>
      <w:lvlJc w:val="left"/>
    </w:lvl>
  </w:abstractNum>
  <w:abstractNum w:abstractNumId="2">
    <w:nsid w:val="F27D3956"/>
    <w:multiLevelType w:val="singleLevel"/>
    <w:tmpl w:val="F27D3956"/>
    <w:lvl w:ilvl="0" w:tentative="0">
      <w:start w:val="1"/>
      <w:numFmt w:val="decimal"/>
      <w:suff w:val="nothing"/>
      <w:lvlText w:val="%1、"/>
      <w:lvlJc w:val="left"/>
    </w:lvl>
  </w:abstractNum>
  <w:abstractNum w:abstractNumId="3">
    <w:nsid w:val="FC90C581"/>
    <w:multiLevelType w:val="singleLevel"/>
    <w:tmpl w:val="FC90C581"/>
    <w:lvl w:ilvl="0" w:tentative="0">
      <w:start w:val="1"/>
      <w:numFmt w:val="decimal"/>
      <w:suff w:val="nothing"/>
      <w:lvlText w:val="%1、"/>
      <w:lvlJc w:val="left"/>
    </w:lvl>
  </w:abstractNum>
  <w:abstractNum w:abstractNumId="4">
    <w:nsid w:val="13B45101"/>
    <w:multiLevelType w:val="singleLevel"/>
    <w:tmpl w:val="13B45101"/>
    <w:lvl w:ilvl="0" w:tentative="0">
      <w:start w:val="1"/>
      <w:numFmt w:val="decimal"/>
      <w:suff w:val="nothing"/>
      <w:lvlText w:val="%1、"/>
      <w:lvlJc w:val="left"/>
    </w:lvl>
  </w:abstractNum>
  <w:abstractNum w:abstractNumId="5">
    <w:nsid w:val="143C7D50"/>
    <w:multiLevelType w:val="multilevel"/>
    <w:tmpl w:val="143C7D50"/>
    <w:lvl w:ilvl="0" w:tentative="0">
      <w:start w:val="1"/>
      <w:numFmt w:val="chineseCountingThousand"/>
      <w:pStyle w:val="348"/>
      <w:lvlText w:val="第%1章"/>
      <w:lvlJc w:val="left"/>
      <w:pPr>
        <w:ind w:left="0" w:firstLine="0"/>
      </w:pPr>
      <w:rPr>
        <w:rFonts w:hint="eastAsia"/>
      </w:rPr>
    </w:lvl>
    <w:lvl w:ilvl="1" w:tentative="0">
      <w:start w:val="1"/>
      <w:numFmt w:val="decimal"/>
      <w:pStyle w:val="349"/>
      <w:isLgl/>
      <w:lvlText w:val="%1.%2"/>
      <w:lvlJc w:val="left"/>
      <w:pPr>
        <w:ind w:left="0" w:firstLine="0"/>
      </w:pPr>
      <w:rPr>
        <w:rFonts w:hint="eastAsia"/>
      </w:rPr>
    </w:lvl>
    <w:lvl w:ilvl="2" w:tentative="0">
      <w:start w:val="1"/>
      <w:numFmt w:val="decimal"/>
      <w:pStyle w:val="350"/>
      <w:isLgl/>
      <w:lvlText w:val="%1.%2.%3"/>
      <w:lvlJc w:val="left"/>
      <w:pPr>
        <w:ind w:left="568" w:firstLine="0"/>
      </w:pPr>
      <w:rPr>
        <w:rFonts w:hint="eastAsia"/>
      </w:rPr>
    </w:lvl>
    <w:lvl w:ilvl="3" w:tentative="0">
      <w:start w:val="1"/>
      <w:numFmt w:val="decimal"/>
      <w:pStyle w:val="352"/>
      <w:isLgl/>
      <w:lvlText w:val="%1.%2.%3.%4"/>
      <w:lvlJc w:val="left"/>
      <w:pPr>
        <w:ind w:left="0" w:firstLine="0"/>
      </w:pPr>
      <w:rPr>
        <w:rFonts w:hint="eastAsia" w:asciiTheme="minorEastAsia" w:hAnsiTheme="minorEastAsia" w:eastAsiaTheme="minorEastAsia"/>
        <w:b/>
        <w:i w:val="0"/>
        <w:sz w:val="28"/>
        <w:szCs w:val="28"/>
      </w:rPr>
    </w:lvl>
    <w:lvl w:ilvl="4" w:tentative="0">
      <w:start w:val="1"/>
      <w:numFmt w:val="decimal"/>
      <w:lvlRestart w:val="1"/>
      <w:isLgl/>
      <w:lvlText w:val="表%1-%5"/>
      <w:lvlJc w:val="left"/>
      <w:pPr>
        <w:tabs>
          <w:tab w:val="left" w:pos="4819"/>
        </w:tabs>
        <w:ind w:left="2551" w:firstLine="0"/>
      </w:pPr>
      <w:rPr>
        <w:rFonts w:hint="eastAsia" w:ascii="宋体" w:hAnsi="微软雅黑" w:eastAsia="宋体"/>
        <w:b w:val="0"/>
        <w:i w:val="0"/>
        <w:sz w:val="24"/>
        <w:lang w:val="en-US"/>
      </w:rPr>
    </w:lvl>
    <w:lvl w:ilvl="5" w:tentative="0">
      <w:start w:val="1"/>
      <w:numFmt w:val="decimal"/>
      <w:lvlRestart w:val="1"/>
      <w:pStyle w:val="355"/>
      <w:isLgl/>
      <w:suff w:val="space"/>
      <w:lvlText w:val="图%1-%6"/>
      <w:lvlJc w:val="center"/>
      <w:pPr>
        <w:ind w:left="0" w:firstLine="288"/>
      </w:pPr>
      <w:rPr>
        <w:rFonts w:hint="eastAsia" w:ascii="宋体" w:hAnsi="微软雅黑" w:eastAsia="宋体"/>
        <w:b w:val="0"/>
        <w:i w:val="0"/>
        <w:sz w:val="24"/>
      </w:rPr>
    </w:lvl>
    <w:lvl w:ilvl="6" w:tentative="0">
      <w:start w:val="1"/>
      <w:numFmt w:val="decimal"/>
      <w:lvlRestart w:val="4"/>
      <w:pStyle w:val="353"/>
      <w:isLgl/>
      <w:suff w:val="nothing"/>
      <w:lvlText w:val="%7、"/>
      <w:lvlJc w:val="left"/>
      <w:pPr>
        <w:ind w:left="710" w:firstLine="0"/>
      </w:pPr>
      <w:rPr>
        <w:rFonts w:hint="eastAsia"/>
      </w:rPr>
    </w:lvl>
    <w:lvl w:ilvl="7" w:tentative="0">
      <w:start w:val="1"/>
      <w:numFmt w:val="decimal"/>
      <w:pStyle w:val="354"/>
      <w:isLgl/>
      <w:suff w:val="nothing"/>
      <w:lvlText w:val="（%8）"/>
      <w:lvlJc w:val="left"/>
      <w:pPr>
        <w:ind w:left="1560" w:firstLine="0"/>
      </w:pPr>
      <w:rPr>
        <w:rFonts w:hint="eastAsia"/>
        <w:lang w:val="en-US"/>
      </w:rPr>
    </w:lvl>
    <w:lvl w:ilvl="8" w:tentative="0">
      <w:start w:val="1"/>
      <w:numFmt w:val="lowerLetter"/>
      <w:pStyle w:val="356"/>
      <w:suff w:val="nothing"/>
      <w:lvlText w:val="%9. "/>
      <w:lvlJc w:val="left"/>
      <w:pPr>
        <w:ind w:left="0" w:firstLine="0"/>
      </w:pPr>
      <w:rPr>
        <w:rFonts w:hint="eastAsia" w:ascii="微软雅黑" w:hAnsi="微软雅黑" w:eastAsia="微软雅黑"/>
        <w:b w:val="0"/>
        <w:i w:val="0"/>
        <w:sz w:val="24"/>
      </w:rPr>
    </w:lvl>
  </w:abstractNum>
  <w:abstractNum w:abstractNumId="6">
    <w:nsid w:val="16EAC897"/>
    <w:multiLevelType w:val="singleLevel"/>
    <w:tmpl w:val="16EAC897"/>
    <w:lvl w:ilvl="0" w:tentative="0">
      <w:start w:val="1"/>
      <w:numFmt w:val="decimal"/>
      <w:suff w:val="nothing"/>
      <w:lvlText w:val="%1、"/>
      <w:lvlJc w:val="left"/>
    </w:lvl>
  </w:abstractNum>
  <w:abstractNum w:abstractNumId="7">
    <w:nsid w:val="23510CC0"/>
    <w:multiLevelType w:val="multilevel"/>
    <w:tmpl w:val="23510CC0"/>
    <w:lvl w:ilvl="0" w:tentative="0">
      <w:start w:val="1"/>
      <w:numFmt w:val="chineseCountingThousand"/>
      <w:pStyle w:val="3"/>
      <w:lvlText w:val="第%1章"/>
      <w:lvlJc w:val="left"/>
      <w:pPr>
        <w:ind w:left="0" w:firstLine="0"/>
      </w:pPr>
      <w:rPr>
        <w:rFonts w:hint="eastAsia"/>
      </w:rPr>
    </w:lvl>
    <w:lvl w:ilvl="1" w:tentative="0">
      <w:start w:val="1"/>
      <w:numFmt w:val="decimal"/>
      <w:pStyle w:val="4"/>
      <w:isLgl/>
      <w:lvlText w:val="%1.%2"/>
      <w:lvlJc w:val="left"/>
      <w:pPr>
        <w:ind w:left="0" w:firstLine="0"/>
      </w:pPr>
      <w:rPr>
        <w:rFonts w:hint="eastAsia"/>
      </w:rPr>
    </w:lvl>
    <w:lvl w:ilvl="2" w:tentative="0">
      <w:start w:val="1"/>
      <w:numFmt w:val="decimal"/>
      <w:pStyle w:val="5"/>
      <w:isLgl/>
      <w:lvlText w:val="%1.%2.%3"/>
      <w:lvlJc w:val="left"/>
      <w:pPr>
        <w:ind w:left="0" w:firstLine="0"/>
      </w:pPr>
      <w:rPr>
        <w:rFonts w:hint="eastAsia"/>
      </w:rPr>
    </w:lvl>
    <w:lvl w:ilvl="3" w:tentative="0">
      <w:start w:val="1"/>
      <w:numFmt w:val="decimal"/>
      <w:pStyle w:val="6"/>
      <w:isLgl/>
      <w:lvlText w:val="%1.%2.%3.%4"/>
      <w:lvlJc w:val="left"/>
      <w:pPr>
        <w:ind w:left="0" w:firstLine="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282004BA"/>
    <w:multiLevelType w:val="multilevel"/>
    <w:tmpl w:val="282004BA"/>
    <w:lvl w:ilvl="0" w:tentative="0">
      <w:start w:val="2"/>
      <w:numFmt w:val="japaneseCounting"/>
      <w:pStyle w:val="213"/>
      <w:lvlText w:val="第%1节"/>
      <w:lvlJc w:val="left"/>
      <w:pPr>
        <w:tabs>
          <w:tab w:val="left" w:pos="1933"/>
        </w:tabs>
        <w:ind w:left="1933" w:hanging="1290"/>
      </w:pPr>
      <w:rPr>
        <w:rFonts w:hint="default"/>
      </w:rPr>
    </w:lvl>
    <w:lvl w:ilvl="1" w:tentative="0">
      <w:start w:val="1"/>
      <w:numFmt w:val="lowerLetter"/>
      <w:lvlText w:val="%2)"/>
      <w:lvlJc w:val="left"/>
      <w:pPr>
        <w:tabs>
          <w:tab w:val="left" w:pos="1483"/>
        </w:tabs>
        <w:ind w:left="1483" w:hanging="420"/>
      </w:pPr>
    </w:lvl>
    <w:lvl w:ilvl="2" w:tentative="0">
      <w:start w:val="1"/>
      <w:numFmt w:val="lowerRoman"/>
      <w:lvlText w:val="%3."/>
      <w:lvlJc w:val="right"/>
      <w:pPr>
        <w:tabs>
          <w:tab w:val="left" w:pos="1903"/>
        </w:tabs>
        <w:ind w:left="1903" w:hanging="420"/>
      </w:pPr>
    </w:lvl>
    <w:lvl w:ilvl="3" w:tentative="0">
      <w:start w:val="1"/>
      <w:numFmt w:val="decimal"/>
      <w:lvlText w:val="%4."/>
      <w:lvlJc w:val="left"/>
      <w:pPr>
        <w:tabs>
          <w:tab w:val="left" w:pos="2323"/>
        </w:tabs>
        <w:ind w:left="2323" w:hanging="420"/>
      </w:pPr>
    </w:lvl>
    <w:lvl w:ilvl="4" w:tentative="0">
      <w:start w:val="1"/>
      <w:numFmt w:val="lowerLetter"/>
      <w:lvlText w:val="%5)"/>
      <w:lvlJc w:val="left"/>
      <w:pPr>
        <w:tabs>
          <w:tab w:val="left" w:pos="2743"/>
        </w:tabs>
        <w:ind w:left="2743" w:hanging="420"/>
      </w:pPr>
    </w:lvl>
    <w:lvl w:ilvl="5" w:tentative="0">
      <w:start w:val="1"/>
      <w:numFmt w:val="lowerRoman"/>
      <w:lvlText w:val="%6."/>
      <w:lvlJc w:val="right"/>
      <w:pPr>
        <w:tabs>
          <w:tab w:val="left" w:pos="3163"/>
        </w:tabs>
        <w:ind w:left="3163" w:hanging="420"/>
      </w:pPr>
    </w:lvl>
    <w:lvl w:ilvl="6" w:tentative="0">
      <w:start w:val="1"/>
      <w:numFmt w:val="decimal"/>
      <w:lvlText w:val="%7."/>
      <w:lvlJc w:val="left"/>
      <w:pPr>
        <w:tabs>
          <w:tab w:val="left" w:pos="3583"/>
        </w:tabs>
        <w:ind w:left="3583" w:hanging="420"/>
      </w:pPr>
    </w:lvl>
    <w:lvl w:ilvl="7" w:tentative="0">
      <w:start w:val="1"/>
      <w:numFmt w:val="lowerLetter"/>
      <w:lvlText w:val="%8)"/>
      <w:lvlJc w:val="left"/>
      <w:pPr>
        <w:tabs>
          <w:tab w:val="left" w:pos="4003"/>
        </w:tabs>
        <w:ind w:left="4003" w:hanging="420"/>
      </w:pPr>
    </w:lvl>
    <w:lvl w:ilvl="8" w:tentative="0">
      <w:start w:val="1"/>
      <w:numFmt w:val="lowerRoman"/>
      <w:lvlText w:val="%9."/>
      <w:lvlJc w:val="right"/>
      <w:pPr>
        <w:tabs>
          <w:tab w:val="left" w:pos="4423"/>
        </w:tabs>
        <w:ind w:left="4423" w:hanging="420"/>
      </w:pPr>
    </w:lvl>
  </w:abstractNum>
  <w:abstractNum w:abstractNumId="9">
    <w:nsid w:val="326C3D4E"/>
    <w:multiLevelType w:val="singleLevel"/>
    <w:tmpl w:val="326C3D4E"/>
    <w:lvl w:ilvl="0" w:tentative="0">
      <w:start w:val="1"/>
      <w:numFmt w:val="decimal"/>
      <w:suff w:val="nothing"/>
      <w:lvlText w:val="%1、"/>
      <w:lvlJc w:val="left"/>
    </w:lvl>
  </w:abstractNum>
  <w:abstractNum w:abstractNumId="10">
    <w:nsid w:val="331ABB7A"/>
    <w:multiLevelType w:val="singleLevel"/>
    <w:tmpl w:val="331ABB7A"/>
    <w:lvl w:ilvl="0" w:tentative="0">
      <w:start w:val="1"/>
      <w:numFmt w:val="chineseCounting"/>
      <w:suff w:val="nothing"/>
      <w:lvlText w:val="%1、"/>
      <w:lvlJc w:val="left"/>
      <w:rPr>
        <w:rFonts w:hint="eastAsia"/>
      </w:rPr>
    </w:lvl>
  </w:abstractNum>
  <w:abstractNum w:abstractNumId="11">
    <w:nsid w:val="3C744039"/>
    <w:multiLevelType w:val="singleLevel"/>
    <w:tmpl w:val="3C744039"/>
    <w:lvl w:ilvl="0" w:tentative="0">
      <w:start w:val="1"/>
      <w:numFmt w:val="decimal"/>
      <w:suff w:val="nothing"/>
      <w:lvlText w:val="%1、"/>
      <w:lvlJc w:val="left"/>
    </w:lvl>
  </w:abstractNum>
  <w:abstractNum w:abstractNumId="12">
    <w:nsid w:val="4563B622"/>
    <w:multiLevelType w:val="singleLevel"/>
    <w:tmpl w:val="4563B622"/>
    <w:lvl w:ilvl="0" w:tentative="0">
      <w:start w:val="1"/>
      <w:numFmt w:val="decimal"/>
      <w:suff w:val="nothing"/>
      <w:lvlText w:val="%1、"/>
      <w:lvlJc w:val="left"/>
    </w:lvl>
  </w:abstractNum>
  <w:abstractNum w:abstractNumId="13">
    <w:nsid w:val="4808CC44"/>
    <w:multiLevelType w:val="singleLevel"/>
    <w:tmpl w:val="4808CC44"/>
    <w:lvl w:ilvl="0" w:tentative="0">
      <w:start w:val="1"/>
      <w:numFmt w:val="decimal"/>
      <w:suff w:val="nothing"/>
      <w:lvlText w:val="%1、"/>
      <w:lvlJc w:val="left"/>
    </w:lvl>
  </w:abstractNum>
  <w:abstractNum w:abstractNumId="14">
    <w:nsid w:val="60560C8C"/>
    <w:multiLevelType w:val="singleLevel"/>
    <w:tmpl w:val="60560C8C"/>
    <w:lvl w:ilvl="0" w:tentative="0">
      <w:start w:val="2"/>
      <w:numFmt w:val="decimal"/>
      <w:suff w:val="nothing"/>
      <w:lvlText w:val="%1、"/>
      <w:lvlJc w:val="left"/>
    </w:lvl>
  </w:abstractNum>
  <w:abstractNum w:abstractNumId="15">
    <w:nsid w:val="6B319FE0"/>
    <w:multiLevelType w:val="singleLevel"/>
    <w:tmpl w:val="6B319FE0"/>
    <w:lvl w:ilvl="0" w:tentative="0">
      <w:start w:val="1"/>
      <w:numFmt w:val="decimal"/>
      <w:suff w:val="nothing"/>
      <w:lvlText w:val="%1、"/>
      <w:lvlJc w:val="left"/>
    </w:lvl>
  </w:abstractNum>
  <w:abstractNum w:abstractNumId="16">
    <w:nsid w:val="709D4D52"/>
    <w:multiLevelType w:val="singleLevel"/>
    <w:tmpl w:val="709D4D52"/>
    <w:lvl w:ilvl="0" w:tentative="0">
      <w:start w:val="1"/>
      <w:numFmt w:val="decimal"/>
      <w:suff w:val="nothing"/>
      <w:lvlText w:val="%1、"/>
      <w:lvlJc w:val="left"/>
    </w:lvl>
  </w:abstractNum>
  <w:abstractNum w:abstractNumId="17">
    <w:nsid w:val="7EB8D452"/>
    <w:multiLevelType w:val="singleLevel"/>
    <w:tmpl w:val="7EB8D452"/>
    <w:lvl w:ilvl="0" w:tentative="0">
      <w:start w:val="1"/>
      <w:numFmt w:val="decimal"/>
      <w:suff w:val="nothing"/>
      <w:lvlText w:val="%1、"/>
      <w:lvlJc w:val="left"/>
    </w:lvl>
  </w:abstractNum>
  <w:num w:numId="1">
    <w:abstractNumId w:val="7"/>
  </w:num>
  <w:num w:numId="2">
    <w:abstractNumId w:val="8"/>
  </w:num>
  <w:num w:numId="3">
    <w:abstractNumId w:val="5"/>
  </w:num>
  <w:num w:numId="4">
    <w:abstractNumId w:val="10"/>
  </w:num>
  <w:num w:numId="5">
    <w:abstractNumId w:val="13"/>
  </w:num>
  <w:num w:numId="6">
    <w:abstractNumId w:val="15"/>
  </w:num>
  <w:num w:numId="7">
    <w:abstractNumId w:val="9"/>
  </w:num>
  <w:num w:numId="8">
    <w:abstractNumId w:val="11"/>
  </w:num>
  <w:num w:numId="9">
    <w:abstractNumId w:val="4"/>
  </w:num>
  <w:num w:numId="10">
    <w:abstractNumId w:val="2"/>
  </w:num>
  <w:num w:numId="11">
    <w:abstractNumId w:val="12"/>
  </w:num>
  <w:num w:numId="12">
    <w:abstractNumId w:val="0"/>
  </w:num>
  <w:num w:numId="13">
    <w:abstractNumId w:val="3"/>
  </w:num>
  <w:num w:numId="14">
    <w:abstractNumId w:val="16"/>
  </w:num>
  <w:num w:numId="15">
    <w:abstractNumId w:val="6"/>
  </w:num>
  <w:num w:numId="16">
    <w:abstractNumId w:val="14"/>
  </w:num>
  <w:num w:numId="17">
    <w:abstractNumId w:val="1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CCE"/>
    <w:rsid w:val="00000329"/>
    <w:rsid w:val="00000D5E"/>
    <w:rsid w:val="000015E5"/>
    <w:rsid w:val="00001CC9"/>
    <w:rsid w:val="0000539B"/>
    <w:rsid w:val="00005B57"/>
    <w:rsid w:val="00005CD4"/>
    <w:rsid w:val="000067D5"/>
    <w:rsid w:val="00006EC9"/>
    <w:rsid w:val="00010732"/>
    <w:rsid w:val="00010BED"/>
    <w:rsid w:val="00010C48"/>
    <w:rsid w:val="000113F1"/>
    <w:rsid w:val="00011AF3"/>
    <w:rsid w:val="00012053"/>
    <w:rsid w:val="000124DB"/>
    <w:rsid w:val="00013074"/>
    <w:rsid w:val="00013231"/>
    <w:rsid w:val="000141EA"/>
    <w:rsid w:val="00014CAF"/>
    <w:rsid w:val="00014F49"/>
    <w:rsid w:val="00015537"/>
    <w:rsid w:val="00016242"/>
    <w:rsid w:val="00016870"/>
    <w:rsid w:val="00016DB2"/>
    <w:rsid w:val="00017760"/>
    <w:rsid w:val="00017907"/>
    <w:rsid w:val="00020585"/>
    <w:rsid w:val="000205BA"/>
    <w:rsid w:val="00021123"/>
    <w:rsid w:val="00021D93"/>
    <w:rsid w:val="00021FEE"/>
    <w:rsid w:val="00022510"/>
    <w:rsid w:val="00023362"/>
    <w:rsid w:val="00023C42"/>
    <w:rsid w:val="00023F46"/>
    <w:rsid w:val="00024052"/>
    <w:rsid w:val="00024CE9"/>
    <w:rsid w:val="0002551D"/>
    <w:rsid w:val="00025E3F"/>
    <w:rsid w:val="00025E96"/>
    <w:rsid w:val="000266EA"/>
    <w:rsid w:val="0002677B"/>
    <w:rsid w:val="00026C3E"/>
    <w:rsid w:val="0003003E"/>
    <w:rsid w:val="0003091C"/>
    <w:rsid w:val="00030C84"/>
    <w:rsid w:val="00030F15"/>
    <w:rsid w:val="00033973"/>
    <w:rsid w:val="00033C06"/>
    <w:rsid w:val="00035ABD"/>
    <w:rsid w:val="00036DE5"/>
    <w:rsid w:val="000402B6"/>
    <w:rsid w:val="00040EAF"/>
    <w:rsid w:val="000419BC"/>
    <w:rsid w:val="00041A88"/>
    <w:rsid w:val="00041D08"/>
    <w:rsid w:val="000423F6"/>
    <w:rsid w:val="000424E0"/>
    <w:rsid w:val="00042C27"/>
    <w:rsid w:val="000431AB"/>
    <w:rsid w:val="000434B8"/>
    <w:rsid w:val="0004517F"/>
    <w:rsid w:val="0004576B"/>
    <w:rsid w:val="000461C8"/>
    <w:rsid w:val="000462BF"/>
    <w:rsid w:val="00046E19"/>
    <w:rsid w:val="00046E27"/>
    <w:rsid w:val="000470EE"/>
    <w:rsid w:val="0004749B"/>
    <w:rsid w:val="00047649"/>
    <w:rsid w:val="00050E23"/>
    <w:rsid w:val="0005108F"/>
    <w:rsid w:val="000510AE"/>
    <w:rsid w:val="00051FC5"/>
    <w:rsid w:val="0005218B"/>
    <w:rsid w:val="00052889"/>
    <w:rsid w:val="000539FC"/>
    <w:rsid w:val="00054219"/>
    <w:rsid w:val="00054978"/>
    <w:rsid w:val="00055AF4"/>
    <w:rsid w:val="00055D8A"/>
    <w:rsid w:val="00057AB0"/>
    <w:rsid w:val="00060731"/>
    <w:rsid w:val="00060FEB"/>
    <w:rsid w:val="000619B8"/>
    <w:rsid w:val="0006203F"/>
    <w:rsid w:val="000620B2"/>
    <w:rsid w:val="000627AF"/>
    <w:rsid w:val="00063929"/>
    <w:rsid w:val="00064A15"/>
    <w:rsid w:val="00064B80"/>
    <w:rsid w:val="00066953"/>
    <w:rsid w:val="000673FA"/>
    <w:rsid w:val="00070568"/>
    <w:rsid w:val="00070979"/>
    <w:rsid w:val="0007135B"/>
    <w:rsid w:val="00071C91"/>
    <w:rsid w:val="00073124"/>
    <w:rsid w:val="00073189"/>
    <w:rsid w:val="000734EA"/>
    <w:rsid w:val="000738B2"/>
    <w:rsid w:val="00073BD3"/>
    <w:rsid w:val="0007498A"/>
    <w:rsid w:val="00075150"/>
    <w:rsid w:val="00075182"/>
    <w:rsid w:val="000751E3"/>
    <w:rsid w:val="00075809"/>
    <w:rsid w:val="00075C01"/>
    <w:rsid w:val="00076F95"/>
    <w:rsid w:val="00077286"/>
    <w:rsid w:val="0007742A"/>
    <w:rsid w:val="000776D7"/>
    <w:rsid w:val="00081B7F"/>
    <w:rsid w:val="00082A76"/>
    <w:rsid w:val="00082D05"/>
    <w:rsid w:val="00083778"/>
    <w:rsid w:val="00083C01"/>
    <w:rsid w:val="00083EF2"/>
    <w:rsid w:val="000841AF"/>
    <w:rsid w:val="00084B1B"/>
    <w:rsid w:val="00085EA6"/>
    <w:rsid w:val="00086024"/>
    <w:rsid w:val="00086099"/>
    <w:rsid w:val="000860C1"/>
    <w:rsid w:val="00086106"/>
    <w:rsid w:val="00086688"/>
    <w:rsid w:val="000873AF"/>
    <w:rsid w:val="00087A7F"/>
    <w:rsid w:val="00090317"/>
    <w:rsid w:val="00090AE5"/>
    <w:rsid w:val="0009111F"/>
    <w:rsid w:val="00092540"/>
    <w:rsid w:val="00092BA4"/>
    <w:rsid w:val="00093C39"/>
    <w:rsid w:val="0009447D"/>
    <w:rsid w:val="00094FBA"/>
    <w:rsid w:val="0009517B"/>
    <w:rsid w:val="0009578D"/>
    <w:rsid w:val="00095D1F"/>
    <w:rsid w:val="00096422"/>
    <w:rsid w:val="000965A3"/>
    <w:rsid w:val="0009702F"/>
    <w:rsid w:val="00097EBE"/>
    <w:rsid w:val="000A0351"/>
    <w:rsid w:val="000A0B6F"/>
    <w:rsid w:val="000A1AEB"/>
    <w:rsid w:val="000A1CFA"/>
    <w:rsid w:val="000A2154"/>
    <w:rsid w:val="000A25FC"/>
    <w:rsid w:val="000A28D6"/>
    <w:rsid w:val="000A39EC"/>
    <w:rsid w:val="000A457A"/>
    <w:rsid w:val="000A4A46"/>
    <w:rsid w:val="000A60CD"/>
    <w:rsid w:val="000A60DB"/>
    <w:rsid w:val="000A69B3"/>
    <w:rsid w:val="000A6B0A"/>
    <w:rsid w:val="000A742D"/>
    <w:rsid w:val="000B030B"/>
    <w:rsid w:val="000B10CC"/>
    <w:rsid w:val="000B1188"/>
    <w:rsid w:val="000B1DEA"/>
    <w:rsid w:val="000B3842"/>
    <w:rsid w:val="000B3D21"/>
    <w:rsid w:val="000B42EE"/>
    <w:rsid w:val="000B49A2"/>
    <w:rsid w:val="000B53B9"/>
    <w:rsid w:val="000B6B2E"/>
    <w:rsid w:val="000B7167"/>
    <w:rsid w:val="000B737C"/>
    <w:rsid w:val="000B7454"/>
    <w:rsid w:val="000B770F"/>
    <w:rsid w:val="000C0009"/>
    <w:rsid w:val="000C05A9"/>
    <w:rsid w:val="000C08EE"/>
    <w:rsid w:val="000C105B"/>
    <w:rsid w:val="000C2472"/>
    <w:rsid w:val="000C2B8B"/>
    <w:rsid w:val="000C2BB4"/>
    <w:rsid w:val="000C3536"/>
    <w:rsid w:val="000C3A78"/>
    <w:rsid w:val="000C3BB0"/>
    <w:rsid w:val="000C4C51"/>
    <w:rsid w:val="000C4EBC"/>
    <w:rsid w:val="000C539B"/>
    <w:rsid w:val="000C563D"/>
    <w:rsid w:val="000C5761"/>
    <w:rsid w:val="000C5911"/>
    <w:rsid w:val="000C673B"/>
    <w:rsid w:val="000C6DC7"/>
    <w:rsid w:val="000C76FA"/>
    <w:rsid w:val="000C7CE9"/>
    <w:rsid w:val="000C7E97"/>
    <w:rsid w:val="000D0B85"/>
    <w:rsid w:val="000D1586"/>
    <w:rsid w:val="000D1CE7"/>
    <w:rsid w:val="000D2586"/>
    <w:rsid w:val="000D2A41"/>
    <w:rsid w:val="000D4253"/>
    <w:rsid w:val="000D4697"/>
    <w:rsid w:val="000D4D53"/>
    <w:rsid w:val="000D4DE8"/>
    <w:rsid w:val="000D5AF4"/>
    <w:rsid w:val="000D6337"/>
    <w:rsid w:val="000D651B"/>
    <w:rsid w:val="000D6555"/>
    <w:rsid w:val="000D69E9"/>
    <w:rsid w:val="000D6B2A"/>
    <w:rsid w:val="000D6D31"/>
    <w:rsid w:val="000D7A9E"/>
    <w:rsid w:val="000E0156"/>
    <w:rsid w:val="000E05F2"/>
    <w:rsid w:val="000E0D56"/>
    <w:rsid w:val="000E1FC2"/>
    <w:rsid w:val="000E253E"/>
    <w:rsid w:val="000E2584"/>
    <w:rsid w:val="000E31C3"/>
    <w:rsid w:val="000E3658"/>
    <w:rsid w:val="000E3CC5"/>
    <w:rsid w:val="000E3E72"/>
    <w:rsid w:val="000E41EB"/>
    <w:rsid w:val="000E4CB6"/>
    <w:rsid w:val="000E5446"/>
    <w:rsid w:val="000E5ECF"/>
    <w:rsid w:val="000E5F18"/>
    <w:rsid w:val="000E6547"/>
    <w:rsid w:val="000E7A54"/>
    <w:rsid w:val="000F0B9D"/>
    <w:rsid w:val="000F1AA7"/>
    <w:rsid w:val="000F1B1D"/>
    <w:rsid w:val="000F2249"/>
    <w:rsid w:val="000F30AF"/>
    <w:rsid w:val="000F3C21"/>
    <w:rsid w:val="000F444D"/>
    <w:rsid w:val="000F4C71"/>
    <w:rsid w:val="000F553F"/>
    <w:rsid w:val="000F62D9"/>
    <w:rsid w:val="000F6AC9"/>
    <w:rsid w:val="000F7FA4"/>
    <w:rsid w:val="001001CE"/>
    <w:rsid w:val="00100378"/>
    <w:rsid w:val="001004C1"/>
    <w:rsid w:val="00101E15"/>
    <w:rsid w:val="00101E69"/>
    <w:rsid w:val="00103BB5"/>
    <w:rsid w:val="00104859"/>
    <w:rsid w:val="001048DA"/>
    <w:rsid w:val="0010679A"/>
    <w:rsid w:val="00106C17"/>
    <w:rsid w:val="00107103"/>
    <w:rsid w:val="00107164"/>
    <w:rsid w:val="0010746D"/>
    <w:rsid w:val="001074B3"/>
    <w:rsid w:val="001075FA"/>
    <w:rsid w:val="0010774D"/>
    <w:rsid w:val="001111B6"/>
    <w:rsid w:val="001122DA"/>
    <w:rsid w:val="00112CE7"/>
    <w:rsid w:val="00114387"/>
    <w:rsid w:val="00114902"/>
    <w:rsid w:val="0011520C"/>
    <w:rsid w:val="00116442"/>
    <w:rsid w:val="00116BA0"/>
    <w:rsid w:val="00116D1C"/>
    <w:rsid w:val="001170E8"/>
    <w:rsid w:val="00120108"/>
    <w:rsid w:val="001201FA"/>
    <w:rsid w:val="00120FB4"/>
    <w:rsid w:val="00122279"/>
    <w:rsid w:val="00122A8F"/>
    <w:rsid w:val="00122CF6"/>
    <w:rsid w:val="00122F28"/>
    <w:rsid w:val="00122FBD"/>
    <w:rsid w:val="00123976"/>
    <w:rsid w:val="00124045"/>
    <w:rsid w:val="00124117"/>
    <w:rsid w:val="001249FB"/>
    <w:rsid w:val="00124CFF"/>
    <w:rsid w:val="001263B8"/>
    <w:rsid w:val="0012701F"/>
    <w:rsid w:val="00127284"/>
    <w:rsid w:val="00127677"/>
    <w:rsid w:val="00127E7B"/>
    <w:rsid w:val="00130E6A"/>
    <w:rsid w:val="001317BD"/>
    <w:rsid w:val="00131E17"/>
    <w:rsid w:val="00132C3A"/>
    <w:rsid w:val="00132D25"/>
    <w:rsid w:val="00133AFA"/>
    <w:rsid w:val="00134697"/>
    <w:rsid w:val="0013476E"/>
    <w:rsid w:val="00135C32"/>
    <w:rsid w:val="00136C2B"/>
    <w:rsid w:val="0014075B"/>
    <w:rsid w:val="001410C7"/>
    <w:rsid w:val="001415AC"/>
    <w:rsid w:val="00141B62"/>
    <w:rsid w:val="00141EAF"/>
    <w:rsid w:val="0014218F"/>
    <w:rsid w:val="00142565"/>
    <w:rsid w:val="001427F8"/>
    <w:rsid w:val="00142C66"/>
    <w:rsid w:val="00142E00"/>
    <w:rsid w:val="00143432"/>
    <w:rsid w:val="00143625"/>
    <w:rsid w:val="00143B92"/>
    <w:rsid w:val="00143D26"/>
    <w:rsid w:val="00144B55"/>
    <w:rsid w:val="0014552F"/>
    <w:rsid w:val="001458E5"/>
    <w:rsid w:val="00145B92"/>
    <w:rsid w:val="0014646E"/>
    <w:rsid w:val="0014737F"/>
    <w:rsid w:val="00147FF4"/>
    <w:rsid w:val="00151804"/>
    <w:rsid w:val="00151875"/>
    <w:rsid w:val="00151931"/>
    <w:rsid w:val="00152278"/>
    <w:rsid w:val="001528CC"/>
    <w:rsid w:val="00152EEC"/>
    <w:rsid w:val="001531D3"/>
    <w:rsid w:val="00153630"/>
    <w:rsid w:val="00153686"/>
    <w:rsid w:val="001537AF"/>
    <w:rsid w:val="00154610"/>
    <w:rsid w:val="00154E62"/>
    <w:rsid w:val="001557A9"/>
    <w:rsid w:val="00155BE3"/>
    <w:rsid w:val="00155FC3"/>
    <w:rsid w:val="00156787"/>
    <w:rsid w:val="001576DA"/>
    <w:rsid w:val="001579DF"/>
    <w:rsid w:val="00157C1E"/>
    <w:rsid w:val="00157EC8"/>
    <w:rsid w:val="00160A6C"/>
    <w:rsid w:val="0016229B"/>
    <w:rsid w:val="00162B66"/>
    <w:rsid w:val="00162D29"/>
    <w:rsid w:val="00162E19"/>
    <w:rsid w:val="00163A16"/>
    <w:rsid w:val="00163E6B"/>
    <w:rsid w:val="001640BF"/>
    <w:rsid w:val="00164581"/>
    <w:rsid w:val="001648D4"/>
    <w:rsid w:val="0016497C"/>
    <w:rsid w:val="00164B02"/>
    <w:rsid w:val="00164F7A"/>
    <w:rsid w:val="0016542C"/>
    <w:rsid w:val="0016554A"/>
    <w:rsid w:val="001657DF"/>
    <w:rsid w:val="00166247"/>
    <w:rsid w:val="00166B73"/>
    <w:rsid w:val="00166BBC"/>
    <w:rsid w:val="00166E31"/>
    <w:rsid w:val="00166F74"/>
    <w:rsid w:val="0017141D"/>
    <w:rsid w:val="0017185D"/>
    <w:rsid w:val="00171B49"/>
    <w:rsid w:val="0017285F"/>
    <w:rsid w:val="00172BC2"/>
    <w:rsid w:val="00172FCC"/>
    <w:rsid w:val="00173187"/>
    <w:rsid w:val="00173A8A"/>
    <w:rsid w:val="00173AB9"/>
    <w:rsid w:val="00173EA2"/>
    <w:rsid w:val="00173EAA"/>
    <w:rsid w:val="001741CB"/>
    <w:rsid w:val="00174233"/>
    <w:rsid w:val="00175972"/>
    <w:rsid w:val="00175F3F"/>
    <w:rsid w:val="0017603B"/>
    <w:rsid w:val="00176C95"/>
    <w:rsid w:val="0017701A"/>
    <w:rsid w:val="0017745E"/>
    <w:rsid w:val="0017754E"/>
    <w:rsid w:val="00177664"/>
    <w:rsid w:val="00177F5F"/>
    <w:rsid w:val="00180778"/>
    <w:rsid w:val="001818B0"/>
    <w:rsid w:val="00181DBE"/>
    <w:rsid w:val="00182333"/>
    <w:rsid w:val="00183083"/>
    <w:rsid w:val="001833BA"/>
    <w:rsid w:val="001838DC"/>
    <w:rsid w:val="00183B26"/>
    <w:rsid w:val="00183BFC"/>
    <w:rsid w:val="00184821"/>
    <w:rsid w:val="00184B6B"/>
    <w:rsid w:val="00184C35"/>
    <w:rsid w:val="001851EE"/>
    <w:rsid w:val="00185A90"/>
    <w:rsid w:val="00185C43"/>
    <w:rsid w:val="00185D6B"/>
    <w:rsid w:val="001866FC"/>
    <w:rsid w:val="001872CF"/>
    <w:rsid w:val="00187414"/>
    <w:rsid w:val="001876FC"/>
    <w:rsid w:val="00190F04"/>
    <w:rsid w:val="001918CE"/>
    <w:rsid w:val="00191A0A"/>
    <w:rsid w:val="00193045"/>
    <w:rsid w:val="00193945"/>
    <w:rsid w:val="00193FCB"/>
    <w:rsid w:val="001940AE"/>
    <w:rsid w:val="00194CE5"/>
    <w:rsid w:val="00196129"/>
    <w:rsid w:val="001963A1"/>
    <w:rsid w:val="0019773D"/>
    <w:rsid w:val="00197E5B"/>
    <w:rsid w:val="001A0B91"/>
    <w:rsid w:val="001A1492"/>
    <w:rsid w:val="001A2028"/>
    <w:rsid w:val="001A204C"/>
    <w:rsid w:val="001A2139"/>
    <w:rsid w:val="001A290B"/>
    <w:rsid w:val="001A2F5A"/>
    <w:rsid w:val="001A356F"/>
    <w:rsid w:val="001A364C"/>
    <w:rsid w:val="001A3860"/>
    <w:rsid w:val="001A3ACD"/>
    <w:rsid w:val="001A3CC9"/>
    <w:rsid w:val="001A42FE"/>
    <w:rsid w:val="001A4628"/>
    <w:rsid w:val="001A4A4A"/>
    <w:rsid w:val="001A4C87"/>
    <w:rsid w:val="001A5979"/>
    <w:rsid w:val="001A6395"/>
    <w:rsid w:val="001A6DD2"/>
    <w:rsid w:val="001A7430"/>
    <w:rsid w:val="001B075F"/>
    <w:rsid w:val="001B0C1B"/>
    <w:rsid w:val="001B1DFD"/>
    <w:rsid w:val="001B1F2B"/>
    <w:rsid w:val="001B1F54"/>
    <w:rsid w:val="001B20EC"/>
    <w:rsid w:val="001B31EA"/>
    <w:rsid w:val="001B330F"/>
    <w:rsid w:val="001B4012"/>
    <w:rsid w:val="001B455A"/>
    <w:rsid w:val="001B4898"/>
    <w:rsid w:val="001B4A56"/>
    <w:rsid w:val="001B4B5A"/>
    <w:rsid w:val="001B678E"/>
    <w:rsid w:val="001B76F3"/>
    <w:rsid w:val="001B7938"/>
    <w:rsid w:val="001B7B68"/>
    <w:rsid w:val="001C05EF"/>
    <w:rsid w:val="001C0FFD"/>
    <w:rsid w:val="001C135F"/>
    <w:rsid w:val="001C16D5"/>
    <w:rsid w:val="001C1E24"/>
    <w:rsid w:val="001C2464"/>
    <w:rsid w:val="001C25C4"/>
    <w:rsid w:val="001C2FD0"/>
    <w:rsid w:val="001C2FDB"/>
    <w:rsid w:val="001C3028"/>
    <w:rsid w:val="001C3493"/>
    <w:rsid w:val="001C34F7"/>
    <w:rsid w:val="001C4655"/>
    <w:rsid w:val="001C52E8"/>
    <w:rsid w:val="001C57DE"/>
    <w:rsid w:val="001C591C"/>
    <w:rsid w:val="001C5A92"/>
    <w:rsid w:val="001C5C30"/>
    <w:rsid w:val="001C61BA"/>
    <w:rsid w:val="001C6623"/>
    <w:rsid w:val="001C687C"/>
    <w:rsid w:val="001C745D"/>
    <w:rsid w:val="001C7CD6"/>
    <w:rsid w:val="001C7DB3"/>
    <w:rsid w:val="001C7EE8"/>
    <w:rsid w:val="001D091A"/>
    <w:rsid w:val="001D0B20"/>
    <w:rsid w:val="001D1ED0"/>
    <w:rsid w:val="001D216F"/>
    <w:rsid w:val="001D220F"/>
    <w:rsid w:val="001D2747"/>
    <w:rsid w:val="001D2C23"/>
    <w:rsid w:val="001D2C66"/>
    <w:rsid w:val="001D2F0D"/>
    <w:rsid w:val="001D3D50"/>
    <w:rsid w:val="001D3DA6"/>
    <w:rsid w:val="001D4F3C"/>
    <w:rsid w:val="001D55D8"/>
    <w:rsid w:val="001D5972"/>
    <w:rsid w:val="001D5A5E"/>
    <w:rsid w:val="001D5D88"/>
    <w:rsid w:val="001D65D9"/>
    <w:rsid w:val="001E059B"/>
    <w:rsid w:val="001E0614"/>
    <w:rsid w:val="001E217B"/>
    <w:rsid w:val="001E2188"/>
    <w:rsid w:val="001E2667"/>
    <w:rsid w:val="001E350C"/>
    <w:rsid w:val="001E3B1B"/>
    <w:rsid w:val="001E3CC9"/>
    <w:rsid w:val="001E3F3A"/>
    <w:rsid w:val="001E3FC8"/>
    <w:rsid w:val="001E504C"/>
    <w:rsid w:val="001E6057"/>
    <w:rsid w:val="001E6699"/>
    <w:rsid w:val="001E68A7"/>
    <w:rsid w:val="001E6DCB"/>
    <w:rsid w:val="001E6E71"/>
    <w:rsid w:val="001E7432"/>
    <w:rsid w:val="001E7CFC"/>
    <w:rsid w:val="001E7D0F"/>
    <w:rsid w:val="001F0A53"/>
    <w:rsid w:val="001F1003"/>
    <w:rsid w:val="001F1061"/>
    <w:rsid w:val="001F1B53"/>
    <w:rsid w:val="001F20C6"/>
    <w:rsid w:val="001F2216"/>
    <w:rsid w:val="001F2A2C"/>
    <w:rsid w:val="001F3024"/>
    <w:rsid w:val="001F3935"/>
    <w:rsid w:val="001F3938"/>
    <w:rsid w:val="001F52C8"/>
    <w:rsid w:val="001F5DEB"/>
    <w:rsid w:val="001F6572"/>
    <w:rsid w:val="001F6E4E"/>
    <w:rsid w:val="001F75F1"/>
    <w:rsid w:val="00200161"/>
    <w:rsid w:val="002004EF"/>
    <w:rsid w:val="00200639"/>
    <w:rsid w:val="00201AD6"/>
    <w:rsid w:val="00201C5E"/>
    <w:rsid w:val="00202030"/>
    <w:rsid w:val="00202130"/>
    <w:rsid w:val="0020237A"/>
    <w:rsid w:val="002027EE"/>
    <w:rsid w:val="00202CCE"/>
    <w:rsid w:val="00202D93"/>
    <w:rsid w:val="0020346D"/>
    <w:rsid w:val="002039BE"/>
    <w:rsid w:val="00204098"/>
    <w:rsid w:val="00204680"/>
    <w:rsid w:val="0020493D"/>
    <w:rsid w:val="00205070"/>
    <w:rsid w:val="00205BC5"/>
    <w:rsid w:val="00207C79"/>
    <w:rsid w:val="00207EEC"/>
    <w:rsid w:val="00210788"/>
    <w:rsid w:val="00211FC9"/>
    <w:rsid w:val="002126CF"/>
    <w:rsid w:val="002128F6"/>
    <w:rsid w:val="00212A54"/>
    <w:rsid w:val="0021359F"/>
    <w:rsid w:val="0021469A"/>
    <w:rsid w:val="00215525"/>
    <w:rsid w:val="00215D77"/>
    <w:rsid w:val="002162CB"/>
    <w:rsid w:val="00216BFC"/>
    <w:rsid w:val="00216C7D"/>
    <w:rsid w:val="00217B96"/>
    <w:rsid w:val="002207F0"/>
    <w:rsid w:val="00221F7A"/>
    <w:rsid w:val="0022219B"/>
    <w:rsid w:val="00222C78"/>
    <w:rsid w:val="00222D41"/>
    <w:rsid w:val="0022362C"/>
    <w:rsid w:val="00223B24"/>
    <w:rsid w:val="002249E3"/>
    <w:rsid w:val="00224C1D"/>
    <w:rsid w:val="00224FB4"/>
    <w:rsid w:val="00225796"/>
    <w:rsid w:val="0022668C"/>
    <w:rsid w:val="00227138"/>
    <w:rsid w:val="002306CB"/>
    <w:rsid w:val="002308C8"/>
    <w:rsid w:val="00230A35"/>
    <w:rsid w:val="0023175A"/>
    <w:rsid w:val="0023303B"/>
    <w:rsid w:val="00233DE8"/>
    <w:rsid w:val="002344AC"/>
    <w:rsid w:val="00234627"/>
    <w:rsid w:val="00234C4E"/>
    <w:rsid w:val="0023513C"/>
    <w:rsid w:val="002353FA"/>
    <w:rsid w:val="002356CB"/>
    <w:rsid w:val="002357D5"/>
    <w:rsid w:val="0023665A"/>
    <w:rsid w:val="00236AE1"/>
    <w:rsid w:val="00236B0D"/>
    <w:rsid w:val="00237BB1"/>
    <w:rsid w:val="0024117D"/>
    <w:rsid w:val="002416DB"/>
    <w:rsid w:val="0024231B"/>
    <w:rsid w:val="00242971"/>
    <w:rsid w:val="00242DC5"/>
    <w:rsid w:val="002432AC"/>
    <w:rsid w:val="00243831"/>
    <w:rsid w:val="00244313"/>
    <w:rsid w:val="0024457B"/>
    <w:rsid w:val="00244E13"/>
    <w:rsid w:val="002461D9"/>
    <w:rsid w:val="002466BE"/>
    <w:rsid w:val="00247867"/>
    <w:rsid w:val="00247BDB"/>
    <w:rsid w:val="00247C50"/>
    <w:rsid w:val="0025071A"/>
    <w:rsid w:val="00250877"/>
    <w:rsid w:val="00250DA4"/>
    <w:rsid w:val="002514AA"/>
    <w:rsid w:val="002520C4"/>
    <w:rsid w:val="00252AAE"/>
    <w:rsid w:val="00252EA2"/>
    <w:rsid w:val="0025325F"/>
    <w:rsid w:val="00253DA6"/>
    <w:rsid w:val="0025414D"/>
    <w:rsid w:val="00254580"/>
    <w:rsid w:val="00254895"/>
    <w:rsid w:val="00255275"/>
    <w:rsid w:val="0025562E"/>
    <w:rsid w:val="0025565A"/>
    <w:rsid w:val="00255899"/>
    <w:rsid w:val="0025640E"/>
    <w:rsid w:val="002564AC"/>
    <w:rsid w:val="002568D1"/>
    <w:rsid w:val="00256986"/>
    <w:rsid w:val="00256CE0"/>
    <w:rsid w:val="002571B3"/>
    <w:rsid w:val="002575C0"/>
    <w:rsid w:val="0025773A"/>
    <w:rsid w:val="002577DE"/>
    <w:rsid w:val="00257A75"/>
    <w:rsid w:val="00257B52"/>
    <w:rsid w:val="00257D5E"/>
    <w:rsid w:val="0026045C"/>
    <w:rsid w:val="00262127"/>
    <w:rsid w:val="0026278F"/>
    <w:rsid w:val="00262855"/>
    <w:rsid w:val="00263A93"/>
    <w:rsid w:val="00263D4E"/>
    <w:rsid w:val="00264684"/>
    <w:rsid w:val="00265407"/>
    <w:rsid w:val="0026554B"/>
    <w:rsid w:val="0026558E"/>
    <w:rsid w:val="00265C2A"/>
    <w:rsid w:val="00266340"/>
    <w:rsid w:val="00266AE0"/>
    <w:rsid w:val="00270693"/>
    <w:rsid w:val="002707BD"/>
    <w:rsid w:val="00270B08"/>
    <w:rsid w:val="00270F7B"/>
    <w:rsid w:val="00270FB4"/>
    <w:rsid w:val="002722A9"/>
    <w:rsid w:val="0027293A"/>
    <w:rsid w:val="00272F73"/>
    <w:rsid w:val="00272FE2"/>
    <w:rsid w:val="00273405"/>
    <w:rsid w:val="00273A6F"/>
    <w:rsid w:val="002754CF"/>
    <w:rsid w:val="002757C1"/>
    <w:rsid w:val="002757CD"/>
    <w:rsid w:val="00275A25"/>
    <w:rsid w:val="00276266"/>
    <w:rsid w:val="002763B4"/>
    <w:rsid w:val="0027711E"/>
    <w:rsid w:val="0027718F"/>
    <w:rsid w:val="00277E71"/>
    <w:rsid w:val="002800ED"/>
    <w:rsid w:val="002800FC"/>
    <w:rsid w:val="0028012F"/>
    <w:rsid w:val="00280131"/>
    <w:rsid w:val="00280443"/>
    <w:rsid w:val="002813DF"/>
    <w:rsid w:val="0028223D"/>
    <w:rsid w:val="00282624"/>
    <w:rsid w:val="002828E8"/>
    <w:rsid w:val="00283DEA"/>
    <w:rsid w:val="0028409E"/>
    <w:rsid w:val="002844A9"/>
    <w:rsid w:val="00284DDE"/>
    <w:rsid w:val="00284E06"/>
    <w:rsid w:val="0028536D"/>
    <w:rsid w:val="0028690F"/>
    <w:rsid w:val="00286B70"/>
    <w:rsid w:val="00292CD5"/>
    <w:rsid w:val="00292EF8"/>
    <w:rsid w:val="0029358A"/>
    <w:rsid w:val="002938FA"/>
    <w:rsid w:val="002939C7"/>
    <w:rsid w:val="00294F61"/>
    <w:rsid w:val="002972AA"/>
    <w:rsid w:val="002972E6"/>
    <w:rsid w:val="002A0629"/>
    <w:rsid w:val="002A07F9"/>
    <w:rsid w:val="002A0A5A"/>
    <w:rsid w:val="002A29E8"/>
    <w:rsid w:val="002A3BFA"/>
    <w:rsid w:val="002A5DEE"/>
    <w:rsid w:val="002A60AB"/>
    <w:rsid w:val="002A6278"/>
    <w:rsid w:val="002A6E5D"/>
    <w:rsid w:val="002A7588"/>
    <w:rsid w:val="002A7AA1"/>
    <w:rsid w:val="002B0762"/>
    <w:rsid w:val="002B0C48"/>
    <w:rsid w:val="002B0C69"/>
    <w:rsid w:val="002B1185"/>
    <w:rsid w:val="002B1CCE"/>
    <w:rsid w:val="002B20CA"/>
    <w:rsid w:val="002B2AAF"/>
    <w:rsid w:val="002B3376"/>
    <w:rsid w:val="002B3AF2"/>
    <w:rsid w:val="002B5E2A"/>
    <w:rsid w:val="002B64BF"/>
    <w:rsid w:val="002B693B"/>
    <w:rsid w:val="002B6C6C"/>
    <w:rsid w:val="002B6E95"/>
    <w:rsid w:val="002B7E39"/>
    <w:rsid w:val="002B7EC7"/>
    <w:rsid w:val="002C0908"/>
    <w:rsid w:val="002C11D1"/>
    <w:rsid w:val="002C138D"/>
    <w:rsid w:val="002C3542"/>
    <w:rsid w:val="002C558E"/>
    <w:rsid w:val="002C5DA0"/>
    <w:rsid w:val="002C6CEF"/>
    <w:rsid w:val="002C7133"/>
    <w:rsid w:val="002C7444"/>
    <w:rsid w:val="002C7C1C"/>
    <w:rsid w:val="002D1155"/>
    <w:rsid w:val="002D1468"/>
    <w:rsid w:val="002D23EA"/>
    <w:rsid w:val="002D241F"/>
    <w:rsid w:val="002D309F"/>
    <w:rsid w:val="002D3461"/>
    <w:rsid w:val="002D3674"/>
    <w:rsid w:val="002D37B0"/>
    <w:rsid w:val="002D3915"/>
    <w:rsid w:val="002D4926"/>
    <w:rsid w:val="002D5753"/>
    <w:rsid w:val="002D64CE"/>
    <w:rsid w:val="002D7205"/>
    <w:rsid w:val="002D72A5"/>
    <w:rsid w:val="002D736D"/>
    <w:rsid w:val="002D7995"/>
    <w:rsid w:val="002D7ED5"/>
    <w:rsid w:val="002E0941"/>
    <w:rsid w:val="002E0BA0"/>
    <w:rsid w:val="002E0C26"/>
    <w:rsid w:val="002E0CF0"/>
    <w:rsid w:val="002E1097"/>
    <w:rsid w:val="002E1640"/>
    <w:rsid w:val="002E1FF8"/>
    <w:rsid w:val="002E2837"/>
    <w:rsid w:val="002E28F1"/>
    <w:rsid w:val="002E2CDD"/>
    <w:rsid w:val="002E36A0"/>
    <w:rsid w:val="002E5B45"/>
    <w:rsid w:val="002E5CF2"/>
    <w:rsid w:val="002E60A7"/>
    <w:rsid w:val="002E63A9"/>
    <w:rsid w:val="002E6782"/>
    <w:rsid w:val="002E717C"/>
    <w:rsid w:val="002E782D"/>
    <w:rsid w:val="002F001B"/>
    <w:rsid w:val="002F0A83"/>
    <w:rsid w:val="002F19B1"/>
    <w:rsid w:val="002F247B"/>
    <w:rsid w:val="002F299E"/>
    <w:rsid w:val="002F2DC3"/>
    <w:rsid w:val="002F2F2A"/>
    <w:rsid w:val="002F322D"/>
    <w:rsid w:val="002F396E"/>
    <w:rsid w:val="002F3D68"/>
    <w:rsid w:val="002F3DA8"/>
    <w:rsid w:val="002F3F8B"/>
    <w:rsid w:val="002F47F5"/>
    <w:rsid w:val="002F4B0F"/>
    <w:rsid w:val="002F4C37"/>
    <w:rsid w:val="002F52FA"/>
    <w:rsid w:val="002F5742"/>
    <w:rsid w:val="002F5E43"/>
    <w:rsid w:val="002F60B1"/>
    <w:rsid w:val="002F6486"/>
    <w:rsid w:val="002F67EA"/>
    <w:rsid w:val="0030267F"/>
    <w:rsid w:val="00302E60"/>
    <w:rsid w:val="0030335F"/>
    <w:rsid w:val="00303C1C"/>
    <w:rsid w:val="003043D8"/>
    <w:rsid w:val="003045B8"/>
    <w:rsid w:val="00304E7F"/>
    <w:rsid w:val="00305116"/>
    <w:rsid w:val="00305E05"/>
    <w:rsid w:val="00306007"/>
    <w:rsid w:val="003077FD"/>
    <w:rsid w:val="00307878"/>
    <w:rsid w:val="00311034"/>
    <w:rsid w:val="00311CFB"/>
    <w:rsid w:val="0031259A"/>
    <w:rsid w:val="003141E2"/>
    <w:rsid w:val="0031430E"/>
    <w:rsid w:val="00315B1E"/>
    <w:rsid w:val="003166C0"/>
    <w:rsid w:val="00316BFD"/>
    <w:rsid w:val="00316C0A"/>
    <w:rsid w:val="00317067"/>
    <w:rsid w:val="003172D6"/>
    <w:rsid w:val="003200B5"/>
    <w:rsid w:val="00320609"/>
    <w:rsid w:val="00320803"/>
    <w:rsid w:val="003215F0"/>
    <w:rsid w:val="00321922"/>
    <w:rsid w:val="003220AE"/>
    <w:rsid w:val="003223E6"/>
    <w:rsid w:val="00322AFF"/>
    <w:rsid w:val="00322DAC"/>
    <w:rsid w:val="00324B5C"/>
    <w:rsid w:val="00325117"/>
    <w:rsid w:val="0032540B"/>
    <w:rsid w:val="003255FB"/>
    <w:rsid w:val="00325FBE"/>
    <w:rsid w:val="0032691F"/>
    <w:rsid w:val="00326EE9"/>
    <w:rsid w:val="0032711A"/>
    <w:rsid w:val="0033006C"/>
    <w:rsid w:val="00330614"/>
    <w:rsid w:val="00330BA0"/>
    <w:rsid w:val="00330F01"/>
    <w:rsid w:val="00332097"/>
    <w:rsid w:val="0033229D"/>
    <w:rsid w:val="003332A8"/>
    <w:rsid w:val="00333A31"/>
    <w:rsid w:val="00333ACA"/>
    <w:rsid w:val="00334806"/>
    <w:rsid w:val="00334CA1"/>
    <w:rsid w:val="00335A54"/>
    <w:rsid w:val="00336040"/>
    <w:rsid w:val="003360E0"/>
    <w:rsid w:val="0033675B"/>
    <w:rsid w:val="00336988"/>
    <w:rsid w:val="00336AB9"/>
    <w:rsid w:val="00336CF6"/>
    <w:rsid w:val="00337473"/>
    <w:rsid w:val="00337791"/>
    <w:rsid w:val="003379D7"/>
    <w:rsid w:val="00340C67"/>
    <w:rsid w:val="003417D0"/>
    <w:rsid w:val="00341882"/>
    <w:rsid w:val="00341E1D"/>
    <w:rsid w:val="003425B7"/>
    <w:rsid w:val="00344442"/>
    <w:rsid w:val="00344A0F"/>
    <w:rsid w:val="00344A45"/>
    <w:rsid w:val="00345AEB"/>
    <w:rsid w:val="00345CE2"/>
    <w:rsid w:val="00345FDF"/>
    <w:rsid w:val="0034605F"/>
    <w:rsid w:val="003462AD"/>
    <w:rsid w:val="0034679F"/>
    <w:rsid w:val="00347A0C"/>
    <w:rsid w:val="00347BBB"/>
    <w:rsid w:val="003501D9"/>
    <w:rsid w:val="00350A56"/>
    <w:rsid w:val="00351519"/>
    <w:rsid w:val="003525CD"/>
    <w:rsid w:val="0035280E"/>
    <w:rsid w:val="00352BE0"/>
    <w:rsid w:val="00352C21"/>
    <w:rsid w:val="00353481"/>
    <w:rsid w:val="00353ED1"/>
    <w:rsid w:val="00355A1B"/>
    <w:rsid w:val="00355B06"/>
    <w:rsid w:val="003577E4"/>
    <w:rsid w:val="00357861"/>
    <w:rsid w:val="00357BC3"/>
    <w:rsid w:val="0036028C"/>
    <w:rsid w:val="00360620"/>
    <w:rsid w:val="00361A17"/>
    <w:rsid w:val="003630FE"/>
    <w:rsid w:val="00363253"/>
    <w:rsid w:val="00363A06"/>
    <w:rsid w:val="0036434D"/>
    <w:rsid w:val="00364952"/>
    <w:rsid w:val="00364ADA"/>
    <w:rsid w:val="00366A84"/>
    <w:rsid w:val="00367705"/>
    <w:rsid w:val="00367909"/>
    <w:rsid w:val="003679AD"/>
    <w:rsid w:val="00367C03"/>
    <w:rsid w:val="00370D44"/>
    <w:rsid w:val="003713B5"/>
    <w:rsid w:val="00373444"/>
    <w:rsid w:val="00373FFF"/>
    <w:rsid w:val="00375B35"/>
    <w:rsid w:val="00377208"/>
    <w:rsid w:val="00377682"/>
    <w:rsid w:val="00380376"/>
    <w:rsid w:val="0038041F"/>
    <w:rsid w:val="00381225"/>
    <w:rsid w:val="003819E7"/>
    <w:rsid w:val="00381AB8"/>
    <w:rsid w:val="00382256"/>
    <w:rsid w:val="00382486"/>
    <w:rsid w:val="00385315"/>
    <w:rsid w:val="00385540"/>
    <w:rsid w:val="0038574E"/>
    <w:rsid w:val="00386327"/>
    <w:rsid w:val="003864DD"/>
    <w:rsid w:val="00386B85"/>
    <w:rsid w:val="00386E27"/>
    <w:rsid w:val="00390745"/>
    <w:rsid w:val="003917B2"/>
    <w:rsid w:val="003918EC"/>
    <w:rsid w:val="00391EE4"/>
    <w:rsid w:val="003924F4"/>
    <w:rsid w:val="003927EB"/>
    <w:rsid w:val="003936A7"/>
    <w:rsid w:val="0039460D"/>
    <w:rsid w:val="00394A91"/>
    <w:rsid w:val="00394FC0"/>
    <w:rsid w:val="00396938"/>
    <w:rsid w:val="00396EA0"/>
    <w:rsid w:val="00396EED"/>
    <w:rsid w:val="00396F8A"/>
    <w:rsid w:val="0039728B"/>
    <w:rsid w:val="003A1B36"/>
    <w:rsid w:val="003A236D"/>
    <w:rsid w:val="003A37C9"/>
    <w:rsid w:val="003A4417"/>
    <w:rsid w:val="003A4563"/>
    <w:rsid w:val="003A4856"/>
    <w:rsid w:val="003A53A7"/>
    <w:rsid w:val="003B0D2C"/>
    <w:rsid w:val="003B0FD6"/>
    <w:rsid w:val="003B1189"/>
    <w:rsid w:val="003B1593"/>
    <w:rsid w:val="003B1728"/>
    <w:rsid w:val="003B1846"/>
    <w:rsid w:val="003B1916"/>
    <w:rsid w:val="003B1B88"/>
    <w:rsid w:val="003B1D93"/>
    <w:rsid w:val="003B1DC0"/>
    <w:rsid w:val="003B1DD0"/>
    <w:rsid w:val="003B20F3"/>
    <w:rsid w:val="003B2382"/>
    <w:rsid w:val="003B2A9E"/>
    <w:rsid w:val="003B3299"/>
    <w:rsid w:val="003B374B"/>
    <w:rsid w:val="003B3AF3"/>
    <w:rsid w:val="003B409A"/>
    <w:rsid w:val="003B4110"/>
    <w:rsid w:val="003B57C4"/>
    <w:rsid w:val="003B585A"/>
    <w:rsid w:val="003B5C94"/>
    <w:rsid w:val="003B6070"/>
    <w:rsid w:val="003B6137"/>
    <w:rsid w:val="003B62C4"/>
    <w:rsid w:val="003B79F2"/>
    <w:rsid w:val="003C110B"/>
    <w:rsid w:val="003C14EE"/>
    <w:rsid w:val="003C1ACF"/>
    <w:rsid w:val="003C1B31"/>
    <w:rsid w:val="003C1ED3"/>
    <w:rsid w:val="003C2191"/>
    <w:rsid w:val="003C2941"/>
    <w:rsid w:val="003C31D1"/>
    <w:rsid w:val="003C3541"/>
    <w:rsid w:val="003C487F"/>
    <w:rsid w:val="003C5FFF"/>
    <w:rsid w:val="003C69E1"/>
    <w:rsid w:val="003C6CE5"/>
    <w:rsid w:val="003C7229"/>
    <w:rsid w:val="003C7246"/>
    <w:rsid w:val="003C780A"/>
    <w:rsid w:val="003C784C"/>
    <w:rsid w:val="003D0081"/>
    <w:rsid w:val="003D06A8"/>
    <w:rsid w:val="003D1DCE"/>
    <w:rsid w:val="003D1E23"/>
    <w:rsid w:val="003D273A"/>
    <w:rsid w:val="003D339D"/>
    <w:rsid w:val="003D41C9"/>
    <w:rsid w:val="003D4207"/>
    <w:rsid w:val="003D4650"/>
    <w:rsid w:val="003D4818"/>
    <w:rsid w:val="003D64A6"/>
    <w:rsid w:val="003D66AB"/>
    <w:rsid w:val="003D6F14"/>
    <w:rsid w:val="003D7345"/>
    <w:rsid w:val="003D73B4"/>
    <w:rsid w:val="003D7C51"/>
    <w:rsid w:val="003E0023"/>
    <w:rsid w:val="003E0070"/>
    <w:rsid w:val="003E0CA7"/>
    <w:rsid w:val="003E2428"/>
    <w:rsid w:val="003E275B"/>
    <w:rsid w:val="003E2D86"/>
    <w:rsid w:val="003E2F20"/>
    <w:rsid w:val="003E320E"/>
    <w:rsid w:val="003E3468"/>
    <w:rsid w:val="003E3FF3"/>
    <w:rsid w:val="003E479B"/>
    <w:rsid w:val="003E4D55"/>
    <w:rsid w:val="003E52E0"/>
    <w:rsid w:val="003E5E24"/>
    <w:rsid w:val="003E627B"/>
    <w:rsid w:val="003E6FC8"/>
    <w:rsid w:val="003F0323"/>
    <w:rsid w:val="003F054C"/>
    <w:rsid w:val="003F12BE"/>
    <w:rsid w:val="003F174A"/>
    <w:rsid w:val="003F1890"/>
    <w:rsid w:val="003F18DB"/>
    <w:rsid w:val="003F1986"/>
    <w:rsid w:val="003F1DDD"/>
    <w:rsid w:val="003F2723"/>
    <w:rsid w:val="003F2AC3"/>
    <w:rsid w:val="003F54B6"/>
    <w:rsid w:val="003F557B"/>
    <w:rsid w:val="003F58D7"/>
    <w:rsid w:val="003F64FC"/>
    <w:rsid w:val="003F66B4"/>
    <w:rsid w:val="003F6C2D"/>
    <w:rsid w:val="003F7135"/>
    <w:rsid w:val="003F7A9E"/>
    <w:rsid w:val="003F7C7B"/>
    <w:rsid w:val="00400E91"/>
    <w:rsid w:val="0040105B"/>
    <w:rsid w:val="0040116F"/>
    <w:rsid w:val="0040157F"/>
    <w:rsid w:val="0040193D"/>
    <w:rsid w:val="00401B1A"/>
    <w:rsid w:val="004024F5"/>
    <w:rsid w:val="00402619"/>
    <w:rsid w:val="004030FA"/>
    <w:rsid w:val="004038F0"/>
    <w:rsid w:val="00403A78"/>
    <w:rsid w:val="004041D7"/>
    <w:rsid w:val="004042EA"/>
    <w:rsid w:val="004043E2"/>
    <w:rsid w:val="00404B82"/>
    <w:rsid w:val="00406450"/>
    <w:rsid w:val="00406923"/>
    <w:rsid w:val="00406B76"/>
    <w:rsid w:val="00407AE5"/>
    <w:rsid w:val="00407B9D"/>
    <w:rsid w:val="004100FE"/>
    <w:rsid w:val="0041108D"/>
    <w:rsid w:val="00411350"/>
    <w:rsid w:val="004113FE"/>
    <w:rsid w:val="004121D2"/>
    <w:rsid w:val="00414F82"/>
    <w:rsid w:val="00415642"/>
    <w:rsid w:val="0041609D"/>
    <w:rsid w:val="0041732B"/>
    <w:rsid w:val="0041737C"/>
    <w:rsid w:val="0041787C"/>
    <w:rsid w:val="0041788C"/>
    <w:rsid w:val="00417977"/>
    <w:rsid w:val="00417D27"/>
    <w:rsid w:val="00417D7E"/>
    <w:rsid w:val="0042063B"/>
    <w:rsid w:val="00420758"/>
    <w:rsid w:val="004252A7"/>
    <w:rsid w:val="00425D8D"/>
    <w:rsid w:val="00425F87"/>
    <w:rsid w:val="00426FBE"/>
    <w:rsid w:val="00427320"/>
    <w:rsid w:val="00427801"/>
    <w:rsid w:val="0042783C"/>
    <w:rsid w:val="004279EA"/>
    <w:rsid w:val="00430CB0"/>
    <w:rsid w:val="0043129F"/>
    <w:rsid w:val="00431480"/>
    <w:rsid w:val="00431870"/>
    <w:rsid w:val="00431CC8"/>
    <w:rsid w:val="00431DE2"/>
    <w:rsid w:val="0043250C"/>
    <w:rsid w:val="00432B7E"/>
    <w:rsid w:val="004332EC"/>
    <w:rsid w:val="0043359C"/>
    <w:rsid w:val="004348D8"/>
    <w:rsid w:val="004354C0"/>
    <w:rsid w:val="0043558F"/>
    <w:rsid w:val="00435ADE"/>
    <w:rsid w:val="00435FFA"/>
    <w:rsid w:val="004361C3"/>
    <w:rsid w:val="00437711"/>
    <w:rsid w:val="004377B2"/>
    <w:rsid w:val="00437832"/>
    <w:rsid w:val="004403C5"/>
    <w:rsid w:val="00440597"/>
    <w:rsid w:val="0044059D"/>
    <w:rsid w:val="00440975"/>
    <w:rsid w:val="004413B3"/>
    <w:rsid w:val="00442BD0"/>
    <w:rsid w:val="00442D37"/>
    <w:rsid w:val="00442DF5"/>
    <w:rsid w:val="00442E2E"/>
    <w:rsid w:val="004435D2"/>
    <w:rsid w:val="004440C8"/>
    <w:rsid w:val="004447B9"/>
    <w:rsid w:val="00444DE1"/>
    <w:rsid w:val="0044583E"/>
    <w:rsid w:val="00446258"/>
    <w:rsid w:val="00446512"/>
    <w:rsid w:val="00446678"/>
    <w:rsid w:val="00446AAC"/>
    <w:rsid w:val="00446AFB"/>
    <w:rsid w:val="004472D7"/>
    <w:rsid w:val="004478DB"/>
    <w:rsid w:val="00447C4A"/>
    <w:rsid w:val="00447EE5"/>
    <w:rsid w:val="00447FFD"/>
    <w:rsid w:val="00450249"/>
    <w:rsid w:val="00450276"/>
    <w:rsid w:val="0045086C"/>
    <w:rsid w:val="0045143E"/>
    <w:rsid w:val="004516D5"/>
    <w:rsid w:val="00451C27"/>
    <w:rsid w:val="0045266D"/>
    <w:rsid w:val="00454075"/>
    <w:rsid w:val="0045443F"/>
    <w:rsid w:val="004558AB"/>
    <w:rsid w:val="00455B60"/>
    <w:rsid w:val="00456604"/>
    <w:rsid w:val="00457D14"/>
    <w:rsid w:val="0046028B"/>
    <w:rsid w:val="004606CB"/>
    <w:rsid w:val="004608DF"/>
    <w:rsid w:val="00460BCD"/>
    <w:rsid w:val="00461A41"/>
    <w:rsid w:val="00462677"/>
    <w:rsid w:val="004627C4"/>
    <w:rsid w:val="00462EB9"/>
    <w:rsid w:val="00463511"/>
    <w:rsid w:val="0046378A"/>
    <w:rsid w:val="0046489D"/>
    <w:rsid w:val="004648CA"/>
    <w:rsid w:val="00464A6F"/>
    <w:rsid w:val="0046557B"/>
    <w:rsid w:val="004657EA"/>
    <w:rsid w:val="0046640E"/>
    <w:rsid w:val="00467301"/>
    <w:rsid w:val="00467A5D"/>
    <w:rsid w:val="00467C8F"/>
    <w:rsid w:val="004704C1"/>
    <w:rsid w:val="00470A09"/>
    <w:rsid w:val="00472B21"/>
    <w:rsid w:val="00472FF5"/>
    <w:rsid w:val="0047313C"/>
    <w:rsid w:val="00473BF8"/>
    <w:rsid w:val="00473D92"/>
    <w:rsid w:val="00474699"/>
    <w:rsid w:val="00474A0E"/>
    <w:rsid w:val="00475017"/>
    <w:rsid w:val="004757F5"/>
    <w:rsid w:val="00475C63"/>
    <w:rsid w:val="00475E51"/>
    <w:rsid w:val="00476263"/>
    <w:rsid w:val="00476723"/>
    <w:rsid w:val="00481368"/>
    <w:rsid w:val="0048187D"/>
    <w:rsid w:val="00481C1E"/>
    <w:rsid w:val="00483A73"/>
    <w:rsid w:val="00483AF0"/>
    <w:rsid w:val="004847AB"/>
    <w:rsid w:val="00484E03"/>
    <w:rsid w:val="0048519B"/>
    <w:rsid w:val="00485CEB"/>
    <w:rsid w:val="00486764"/>
    <w:rsid w:val="00486CAA"/>
    <w:rsid w:val="00487D9F"/>
    <w:rsid w:val="004902D4"/>
    <w:rsid w:val="004904AF"/>
    <w:rsid w:val="00490B57"/>
    <w:rsid w:val="0049108E"/>
    <w:rsid w:val="004926BE"/>
    <w:rsid w:val="00492735"/>
    <w:rsid w:val="00492952"/>
    <w:rsid w:val="00492DC0"/>
    <w:rsid w:val="00492F33"/>
    <w:rsid w:val="0049358E"/>
    <w:rsid w:val="00493F09"/>
    <w:rsid w:val="0049403D"/>
    <w:rsid w:val="00494A0C"/>
    <w:rsid w:val="004954EC"/>
    <w:rsid w:val="004955CB"/>
    <w:rsid w:val="00495C16"/>
    <w:rsid w:val="004965EF"/>
    <w:rsid w:val="00496A3C"/>
    <w:rsid w:val="004A0144"/>
    <w:rsid w:val="004A0E0B"/>
    <w:rsid w:val="004A114D"/>
    <w:rsid w:val="004A1C20"/>
    <w:rsid w:val="004A1F5C"/>
    <w:rsid w:val="004A21E6"/>
    <w:rsid w:val="004A22EF"/>
    <w:rsid w:val="004A2582"/>
    <w:rsid w:val="004A2DEB"/>
    <w:rsid w:val="004A342C"/>
    <w:rsid w:val="004A3718"/>
    <w:rsid w:val="004A3D30"/>
    <w:rsid w:val="004A3F4F"/>
    <w:rsid w:val="004A3FC2"/>
    <w:rsid w:val="004A4AF1"/>
    <w:rsid w:val="004A4E7A"/>
    <w:rsid w:val="004A50C6"/>
    <w:rsid w:val="004A5676"/>
    <w:rsid w:val="004A5B5E"/>
    <w:rsid w:val="004A63DD"/>
    <w:rsid w:val="004A7190"/>
    <w:rsid w:val="004A7E86"/>
    <w:rsid w:val="004B0970"/>
    <w:rsid w:val="004B0CB4"/>
    <w:rsid w:val="004B0D93"/>
    <w:rsid w:val="004B1163"/>
    <w:rsid w:val="004B1883"/>
    <w:rsid w:val="004B22D3"/>
    <w:rsid w:val="004B285A"/>
    <w:rsid w:val="004B2E53"/>
    <w:rsid w:val="004B30D6"/>
    <w:rsid w:val="004B32B0"/>
    <w:rsid w:val="004B3FB2"/>
    <w:rsid w:val="004B4C04"/>
    <w:rsid w:val="004B58B4"/>
    <w:rsid w:val="004B5BD4"/>
    <w:rsid w:val="004B6185"/>
    <w:rsid w:val="004B691E"/>
    <w:rsid w:val="004B6A23"/>
    <w:rsid w:val="004B6FBC"/>
    <w:rsid w:val="004B7B48"/>
    <w:rsid w:val="004B7EAE"/>
    <w:rsid w:val="004C029B"/>
    <w:rsid w:val="004C0A2C"/>
    <w:rsid w:val="004C0D59"/>
    <w:rsid w:val="004C0F51"/>
    <w:rsid w:val="004C159A"/>
    <w:rsid w:val="004C179C"/>
    <w:rsid w:val="004C1B43"/>
    <w:rsid w:val="004C1BBE"/>
    <w:rsid w:val="004C1C27"/>
    <w:rsid w:val="004C1CA0"/>
    <w:rsid w:val="004C2A16"/>
    <w:rsid w:val="004C3400"/>
    <w:rsid w:val="004C346A"/>
    <w:rsid w:val="004C38F3"/>
    <w:rsid w:val="004C398C"/>
    <w:rsid w:val="004C3AA5"/>
    <w:rsid w:val="004C3E1B"/>
    <w:rsid w:val="004C6898"/>
    <w:rsid w:val="004D0E2B"/>
    <w:rsid w:val="004D1C95"/>
    <w:rsid w:val="004D393C"/>
    <w:rsid w:val="004D3DDE"/>
    <w:rsid w:val="004D4D4A"/>
    <w:rsid w:val="004D6138"/>
    <w:rsid w:val="004D6BCB"/>
    <w:rsid w:val="004D79B6"/>
    <w:rsid w:val="004E00C4"/>
    <w:rsid w:val="004E0801"/>
    <w:rsid w:val="004E13E5"/>
    <w:rsid w:val="004E1550"/>
    <w:rsid w:val="004E2388"/>
    <w:rsid w:val="004E2454"/>
    <w:rsid w:val="004E3167"/>
    <w:rsid w:val="004E3344"/>
    <w:rsid w:val="004E401A"/>
    <w:rsid w:val="004E451E"/>
    <w:rsid w:val="004E48AB"/>
    <w:rsid w:val="004E493D"/>
    <w:rsid w:val="004E58F5"/>
    <w:rsid w:val="004E5DCD"/>
    <w:rsid w:val="004E7D4C"/>
    <w:rsid w:val="004F06D3"/>
    <w:rsid w:val="004F0951"/>
    <w:rsid w:val="004F0B8D"/>
    <w:rsid w:val="004F1A77"/>
    <w:rsid w:val="004F230D"/>
    <w:rsid w:val="004F2531"/>
    <w:rsid w:val="004F2B9F"/>
    <w:rsid w:val="004F3382"/>
    <w:rsid w:val="004F365F"/>
    <w:rsid w:val="004F4564"/>
    <w:rsid w:val="004F4CF0"/>
    <w:rsid w:val="004F4ECF"/>
    <w:rsid w:val="004F4EE9"/>
    <w:rsid w:val="004F56DD"/>
    <w:rsid w:val="004F60E3"/>
    <w:rsid w:val="004F6FF6"/>
    <w:rsid w:val="004F7273"/>
    <w:rsid w:val="004F7B48"/>
    <w:rsid w:val="00500933"/>
    <w:rsid w:val="005013A6"/>
    <w:rsid w:val="005017AA"/>
    <w:rsid w:val="0050181C"/>
    <w:rsid w:val="00501D5C"/>
    <w:rsid w:val="00501EAC"/>
    <w:rsid w:val="00502B96"/>
    <w:rsid w:val="0050377B"/>
    <w:rsid w:val="00503A79"/>
    <w:rsid w:val="0050453B"/>
    <w:rsid w:val="00504D86"/>
    <w:rsid w:val="00504FD0"/>
    <w:rsid w:val="005053DE"/>
    <w:rsid w:val="00505EDE"/>
    <w:rsid w:val="0050780C"/>
    <w:rsid w:val="00507C8E"/>
    <w:rsid w:val="00510597"/>
    <w:rsid w:val="00510933"/>
    <w:rsid w:val="00511095"/>
    <w:rsid w:val="0051116C"/>
    <w:rsid w:val="0051122A"/>
    <w:rsid w:val="00512BE0"/>
    <w:rsid w:val="00514F2C"/>
    <w:rsid w:val="00515D4D"/>
    <w:rsid w:val="00516101"/>
    <w:rsid w:val="00516317"/>
    <w:rsid w:val="00516A05"/>
    <w:rsid w:val="005171D8"/>
    <w:rsid w:val="0051722D"/>
    <w:rsid w:val="00517616"/>
    <w:rsid w:val="00517F14"/>
    <w:rsid w:val="005203AC"/>
    <w:rsid w:val="005205F2"/>
    <w:rsid w:val="00520BA0"/>
    <w:rsid w:val="00520BD7"/>
    <w:rsid w:val="00521754"/>
    <w:rsid w:val="00523082"/>
    <w:rsid w:val="00523781"/>
    <w:rsid w:val="00523828"/>
    <w:rsid w:val="00524E57"/>
    <w:rsid w:val="00524F6A"/>
    <w:rsid w:val="0052503B"/>
    <w:rsid w:val="005252C4"/>
    <w:rsid w:val="00525D66"/>
    <w:rsid w:val="00526023"/>
    <w:rsid w:val="00527093"/>
    <w:rsid w:val="005270B7"/>
    <w:rsid w:val="00527140"/>
    <w:rsid w:val="00527545"/>
    <w:rsid w:val="0053005D"/>
    <w:rsid w:val="005336A9"/>
    <w:rsid w:val="005339CF"/>
    <w:rsid w:val="005340D5"/>
    <w:rsid w:val="00534B18"/>
    <w:rsid w:val="00535290"/>
    <w:rsid w:val="00535544"/>
    <w:rsid w:val="00535745"/>
    <w:rsid w:val="00535EB0"/>
    <w:rsid w:val="00535EC9"/>
    <w:rsid w:val="0053618D"/>
    <w:rsid w:val="005365A2"/>
    <w:rsid w:val="005378D2"/>
    <w:rsid w:val="00540C50"/>
    <w:rsid w:val="005413D5"/>
    <w:rsid w:val="005419F8"/>
    <w:rsid w:val="00541F7D"/>
    <w:rsid w:val="00542EF9"/>
    <w:rsid w:val="005442AE"/>
    <w:rsid w:val="00544FD0"/>
    <w:rsid w:val="0054584C"/>
    <w:rsid w:val="00545885"/>
    <w:rsid w:val="005469C6"/>
    <w:rsid w:val="005476A6"/>
    <w:rsid w:val="00547ACE"/>
    <w:rsid w:val="00550A04"/>
    <w:rsid w:val="00550D91"/>
    <w:rsid w:val="005521EF"/>
    <w:rsid w:val="00552565"/>
    <w:rsid w:val="00552C21"/>
    <w:rsid w:val="005531FC"/>
    <w:rsid w:val="00553B0E"/>
    <w:rsid w:val="00553D66"/>
    <w:rsid w:val="00553DBA"/>
    <w:rsid w:val="005543E4"/>
    <w:rsid w:val="00554AFF"/>
    <w:rsid w:val="0055598C"/>
    <w:rsid w:val="005563B9"/>
    <w:rsid w:val="005569DF"/>
    <w:rsid w:val="00557EA8"/>
    <w:rsid w:val="005603D8"/>
    <w:rsid w:val="00560513"/>
    <w:rsid w:val="00560AFB"/>
    <w:rsid w:val="005626C3"/>
    <w:rsid w:val="00562CB4"/>
    <w:rsid w:val="005631F8"/>
    <w:rsid w:val="00563BA9"/>
    <w:rsid w:val="00563E89"/>
    <w:rsid w:val="00564127"/>
    <w:rsid w:val="005642E1"/>
    <w:rsid w:val="00565A47"/>
    <w:rsid w:val="00565C4B"/>
    <w:rsid w:val="005674D6"/>
    <w:rsid w:val="005674F0"/>
    <w:rsid w:val="00567766"/>
    <w:rsid w:val="00567E09"/>
    <w:rsid w:val="00571200"/>
    <w:rsid w:val="0057122F"/>
    <w:rsid w:val="00571E3F"/>
    <w:rsid w:val="00572820"/>
    <w:rsid w:val="00573129"/>
    <w:rsid w:val="00573584"/>
    <w:rsid w:val="0057411D"/>
    <w:rsid w:val="0057463D"/>
    <w:rsid w:val="00575128"/>
    <w:rsid w:val="005752FD"/>
    <w:rsid w:val="00575572"/>
    <w:rsid w:val="005756C3"/>
    <w:rsid w:val="00575C8F"/>
    <w:rsid w:val="005761B8"/>
    <w:rsid w:val="0057637E"/>
    <w:rsid w:val="00576396"/>
    <w:rsid w:val="00576FC2"/>
    <w:rsid w:val="00577C74"/>
    <w:rsid w:val="0058028B"/>
    <w:rsid w:val="00581D16"/>
    <w:rsid w:val="00581F70"/>
    <w:rsid w:val="005824E2"/>
    <w:rsid w:val="00582CBC"/>
    <w:rsid w:val="00583861"/>
    <w:rsid w:val="00583A33"/>
    <w:rsid w:val="00584613"/>
    <w:rsid w:val="00586006"/>
    <w:rsid w:val="00586951"/>
    <w:rsid w:val="00587DA8"/>
    <w:rsid w:val="00587E5E"/>
    <w:rsid w:val="00587E74"/>
    <w:rsid w:val="00590557"/>
    <w:rsid w:val="00592AA3"/>
    <w:rsid w:val="0059488F"/>
    <w:rsid w:val="00594A59"/>
    <w:rsid w:val="00595241"/>
    <w:rsid w:val="00595316"/>
    <w:rsid w:val="0059601B"/>
    <w:rsid w:val="00596829"/>
    <w:rsid w:val="00597606"/>
    <w:rsid w:val="00597696"/>
    <w:rsid w:val="00597B6C"/>
    <w:rsid w:val="005A02EC"/>
    <w:rsid w:val="005A0926"/>
    <w:rsid w:val="005A0ED8"/>
    <w:rsid w:val="005A1675"/>
    <w:rsid w:val="005A1824"/>
    <w:rsid w:val="005A1A1B"/>
    <w:rsid w:val="005A23EE"/>
    <w:rsid w:val="005A24BE"/>
    <w:rsid w:val="005A2FDE"/>
    <w:rsid w:val="005A34BA"/>
    <w:rsid w:val="005A4140"/>
    <w:rsid w:val="005A42C7"/>
    <w:rsid w:val="005A4411"/>
    <w:rsid w:val="005A4694"/>
    <w:rsid w:val="005A4944"/>
    <w:rsid w:val="005A5D2E"/>
    <w:rsid w:val="005A700F"/>
    <w:rsid w:val="005A709A"/>
    <w:rsid w:val="005A7AB5"/>
    <w:rsid w:val="005A7F9A"/>
    <w:rsid w:val="005B0D54"/>
    <w:rsid w:val="005B124D"/>
    <w:rsid w:val="005B1413"/>
    <w:rsid w:val="005B1C6A"/>
    <w:rsid w:val="005B234F"/>
    <w:rsid w:val="005B2A98"/>
    <w:rsid w:val="005B2E24"/>
    <w:rsid w:val="005B3008"/>
    <w:rsid w:val="005B39C6"/>
    <w:rsid w:val="005B47A6"/>
    <w:rsid w:val="005B4C07"/>
    <w:rsid w:val="005B5FBA"/>
    <w:rsid w:val="005B603B"/>
    <w:rsid w:val="005B6DEA"/>
    <w:rsid w:val="005B6F66"/>
    <w:rsid w:val="005B7781"/>
    <w:rsid w:val="005B790F"/>
    <w:rsid w:val="005B7C23"/>
    <w:rsid w:val="005C0171"/>
    <w:rsid w:val="005C05E4"/>
    <w:rsid w:val="005C0C0A"/>
    <w:rsid w:val="005C0F21"/>
    <w:rsid w:val="005C135E"/>
    <w:rsid w:val="005C17D6"/>
    <w:rsid w:val="005C1CFA"/>
    <w:rsid w:val="005C1D7D"/>
    <w:rsid w:val="005C21F1"/>
    <w:rsid w:val="005C2218"/>
    <w:rsid w:val="005C239E"/>
    <w:rsid w:val="005C3682"/>
    <w:rsid w:val="005C36EB"/>
    <w:rsid w:val="005C3A59"/>
    <w:rsid w:val="005C3D91"/>
    <w:rsid w:val="005C4780"/>
    <w:rsid w:val="005C47C0"/>
    <w:rsid w:val="005C49E5"/>
    <w:rsid w:val="005C5238"/>
    <w:rsid w:val="005C5FB2"/>
    <w:rsid w:val="005C6276"/>
    <w:rsid w:val="005C636B"/>
    <w:rsid w:val="005C6ADC"/>
    <w:rsid w:val="005C7818"/>
    <w:rsid w:val="005C7F99"/>
    <w:rsid w:val="005D0EFF"/>
    <w:rsid w:val="005D2438"/>
    <w:rsid w:val="005D2619"/>
    <w:rsid w:val="005D440D"/>
    <w:rsid w:val="005D45A2"/>
    <w:rsid w:val="005D48AB"/>
    <w:rsid w:val="005D4D36"/>
    <w:rsid w:val="005D58A3"/>
    <w:rsid w:val="005D590B"/>
    <w:rsid w:val="005D5BB0"/>
    <w:rsid w:val="005D5FD8"/>
    <w:rsid w:val="005D6013"/>
    <w:rsid w:val="005D6901"/>
    <w:rsid w:val="005D7267"/>
    <w:rsid w:val="005E00D7"/>
    <w:rsid w:val="005E1CB2"/>
    <w:rsid w:val="005E1E6F"/>
    <w:rsid w:val="005E1FB5"/>
    <w:rsid w:val="005E2713"/>
    <w:rsid w:val="005E3E60"/>
    <w:rsid w:val="005E4A93"/>
    <w:rsid w:val="005E5097"/>
    <w:rsid w:val="005E5203"/>
    <w:rsid w:val="005E5719"/>
    <w:rsid w:val="005E5CC1"/>
    <w:rsid w:val="005E5CE8"/>
    <w:rsid w:val="005E607C"/>
    <w:rsid w:val="005F0DE7"/>
    <w:rsid w:val="005F12A6"/>
    <w:rsid w:val="005F1B5F"/>
    <w:rsid w:val="005F22F4"/>
    <w:rsid w:val="005F2A22"/>
    <w:rsid w:val="005F35FD"/>
    <w:rsid w:val="005F3726"/>
    <w:rsid w:val="005F39C1"/>
    <w:rsid w:val="005F39D5"/>
    <w:rsid w:val="005F3E53"/>
    <w:rsid w:val="005F4430"/>
    <w:rsid w:val="005F45E2"/>
    <w:rsid w:val="005F4646"/>
    <w:rsid w:val="005F5688"/>
    <w:rsid w:val="005F5829"/>
    <w:rsid w:val="005F6505"/>
    <w:rsid w:val="005F728A"/>
    <w:rsid w:val="005F7B4C"/>
    <w:rsid w:val="006000BC"/>
    <w:rsid w:val="00600D91"/>
    <w:rsid w:val="0060188E"/>
    <w:rsid w:val="00601DB9"/>
    <w:rsid w:val="006026E8"/>
    <w:rsid w:val="00602FC9"/>
    <w:rsid w:val="00603300"/>
    <w:rsid w:val="0060359D"/>
    <w:rsid w:val="006043FF"/>
    <w:rsid w:val="00604FF1"/>
    <w:rsid w:val="006059A9"/>
    <w:rsid w:val="00606AD5"/>
    <w:rsid w:val="00607518"/>
    <w:rsid w:val="00611EA7"/>
    <w:rsid w:val="00611F6F"/>
    <w:rsid w:val="00611F8E"/>
    <w:rsid w:val="00612194"/>
    <w:rsid w:val="006121D2"/>
    <w:rsid w:val="00613031"/>
    <w:rsid w:val="00613EDA"/>
    <w:rsid w:val="006145DA"/>
    <w:rsid w:val="00614D35"/>
    <w:rsid w:val="00615902"/>
    <w:rsid w:val="00616F41"/>
    <w:rsid w:val="00617118"/>
    <w:rsid w:val="00620AE0"/>
    <w:rsid w:val="00620C7F"/>
    <w:rsid w:val="00621377"/>
    <w:rsid w:val="006215D4"/>
    <w:rsid w:val="00621BAC"/>
    <w:rsid w:val="00622AB0"/>
    <w:rsid w:val="00623133"/>
    <w:rsid w:val="006240DB"/>
    <w:rsid w:val="00624146"/>
    <w:rsid w:val="00624D1B"/>
    <w:rsid w:val="006251D6"/>
    <w:rsid w:val="00625D90"/>
    <w:rsid w:val="00625E1E"/>
    <w:rsid w:val="00626172"/>
    <w:rsid w:val="00626393"/>
    <w:rsid w:val="0062665D"/>
    <w:rsid w:val="00626C3F"/>
    <w:rsid w:val="006271C5"/>
    <w:rsid w:val="006271EB"/>
    <w:rsid w:val="00627EEA"/>
    <w:rsid w:val="0063006F"/>
    <w:rsid w:val="00630442"/>
    <w:rsid w:val="00630EE1"/>
    <w:rsid w:val="00631151"/>
    <w:rsid w:val="006313B8"/>
    <w:rsid w:val="00632B1F"/>
    <w:rsid w:val="0063318F"/>
    <w:rsid w:val="00633659"/>
    <w:rsid w:val="00633776"/>
    <w:rsid w:val="00633BCD"/>
    <w:rsid w:val="00633C25"/>
    <w:rsid w:val="00635A10"/>
    <w:rsid w:val="00635A7B"/>
    <w:rsid w:val="00636179"/>
    <w:rsid w:val="0063680E"/>
    <w:rsid w:val="0063683D"/>
    <w:rsid w:val="0063693D"/>
    <w:rsid w:val="00637438"/>
    <w:rsid w:val="006375D7"/>
    <w:rsid w:val="00637FB3"/>
    <w:rsid w:val="00641494"/>
    <w:rsid w:val="00642DA4"/>
    <w:rsid w:val="006431FC"/>
    <w:rsid w:val="00643BCA"/>
    <w:rsid w:val="00643C4A"/>
    <w:rsid w:val="00643EC8"/>
    <w:rsid w:val="00644080"/>
    <w:rsid w:val="00644767"/>
    <w:rsid w:val="00645445"/>
    <w:rsid w:val="00645D25"/>
    <w:rsid w:val="006462D1"/>
    <w:rsid w:val="006475B8"/>
    <w:rsid w:val="00647DE3"/>
    <w:rsid w:val="006500E1"/>
    <w:rsid w:val="00650541"/>
    <w:rsid w:val="006505AF"/>
    <w:rsid w:val="0065230B"/>
    <w:rsid w:val="00652392"/>
    <w:rsid w:val="006523E0"/>
    <w:rsid w:val="00652725"/>
    <w:rsid w:val="00653777"/>
    <w:rsid w:val="00653877"/>
    <w:rsid w:val="00653C02"/>
    <w:rsid w:val="0065403A"/>
    <w:rsid w:val="0065440C"/>
    <w:rsid w:val="00654FE4"/>
    <w:rsid w:val="0065549B"/>
    <w:rsid w:val="00655A0C"/>
    <w:rsid w:val="00656525"/>
    <w:rsid w:val="00656B5B"/>
    <w:rsid w:val="00656B9C"/>
    <w:rsid w:val="00657FA4"/>
    <w:rsid w:val="006602B3"/>
    <w:rsid w:val="006603A7"/>
    <w:rsid w:val="00660E03"/>
    <w:rsid w:val="00660FA6"/>
    <w:rsid w:val="00661007"/>
    <w:rsid w:val="00661688"/>
    <w:rsid w:val="006629F5"/>
    <w:rsid w:val="00662B14"/>
    <w:rsid w:val="00662E70"/>
    <w:rsid w:val="00663155"/>
    <w:rsid w:val="00663641"/>
    <w:rsid w:val="006638FA"/>
    <w:rsid w:val="006650A7"/>
    <w:rsid w:val="00665519"/>
    <w:rsid w:val="00665705"/>
    <w:rsid w:val="006669D1"/>
    <w:rsid w:val="00666B41"/>
    <w:rsid w:val="006670B6"/>
    <w:rsid w:val="00667458"/>
    <w:rsid w:val="00667568"/>
    <w:rsid w:val="00667B05"/>
    <w:rsid w:val="00670343"/>
    <w:rsid w:val="006706F1"/>
    <w:rsid w:val="00670AFB"/>
    <w:rsid w:val="0067111D"/>
    <w:rsid w:val="0067175C"/>
    <w:rsid w:val="00671B1C"/>
    <w:rsid w:val="006724E7"/>
    <w:rsid w:val="00673D9A"/>
    <w:rsid w:val="00674244"/>
    <w:rsid w:val="00674264"/>
    <w:rsid w:val="00674DA8"/>
    <w:rsid w:val="00676141"/>
    <w:rsid w:val="0067638C"/>
    <w:rsid w:val="00676654"/>
    <w:rsid w:val="006769B0"/>
    <w:rsid w:val="00676B4B"/>
    <w:rsid w:val="00676F08"/>
    <w:rsid w:val="006771B6"/>
    <w:rsid w:val="00677E46"/>
    <w:rsid w:val="0068007E"/>
    <w:rsid w:val="00680577"/>
    <w:rsid w:val="006805A9"/>
    <w:rsid w:val="006806A6"/>
    <w:rsid w:val="00680F86"/>
    <w:rsid w:val="00681FBB"/>
    <w:rsid w:val="00682209"/>
    <w:rsid w:val="006826CE"/>
    <w:rsid w:val="00682D2C"/>
    <w:rsid w:val="00683098"/>
    <w:rsid w:val="006831D4"/>
    <w:rsid w:val="0068334C"/>
    <w:rsid w:val="0068481C"/>
    <w:rsid w:val="00684C78"/>
    <w:rsid w:val="00684D7C"/>
    <w:rsid w:val="006850C3"/>
    <w:rsid w:val="00685644"/>
    <w:rsid w:val="006856A7"/>
    <w:rsid w:val="00686C05"/>
    <w:rsid w:val="00686E61"/>
    <w:rsid w:val="00687415"/>
    <w:rsid w:val="006906D5"/>
    <w:rsid w:val="0069162B"/>
    <w:rsid w:val="0069512E"/>
    <w:rsid w:val="00695A89"/>
    <w:rsid w:val="0069612C"/>
    <w:rsid w:val="00696A04"/>
    <w:rsid w:val="006A1450"/>
    <w:rsid w:val="006A2A67"/>
    <w:rsid w:val="006A2E8E"/>
    <w:rsid w:val="006A320D"/>
    <w:rsid w:val="006A3820"/>
    <w:rsid w:val="006A402C"/>
    <w:rsid w:val="006A4593"/>
    <w:rsid w:val="006A48FE"/>
    <w:rsid w:val="006A4CAD"/>
    <w:rsid w:val="006A4D34"/>
    <w:rsid w:val="006A4EED"/>
    <w:rsid w:val="006A5002"/>
    <w:rsid w:val="006A506D"/>
    <w:rsid w:val="006A620F"/>
    <w:rsid w:val="006A7911"/>
    <w:rsid w:val="006A7B0D"/>
    <w:rsid w:val="006A7B71"/>
    <w:rsid w:val="006A7C78"/>
    <w:rsid w:val="006A7E84"/>
    <w:rsid w:val="006A7E9A"/>
    <w:rsid w:val="006B00AC"/>
    <w:rsid w:val="006B0C7E"/>
    <w:rsid w:val="006B0E47"/>
    <w:rsid w:val="006B129E"/>
    <w:rsid w:val="006B19C4"/>
    <w:rsid w:val="006B23ED"/>
    <w:rsid w:val="006B25D2"/>
    <w:rsid w:val="006B3290"/>
    <w:rsid w:val="006B3D37"/>
    <w:rsid w:val="006B467A"/>
    <w:rsid w:val="006B4FAE"/>
    <w:rsid w:val="006B6576"/>
    <w:rsid w:val="006B680B"/>
    <w:rsid w:val="006B6EF0"/>
    <w:rsid w:val="006B753D"/>
    <w:rsid w:val="006B7E23"/>
    <w:rsid w:val="006C060B"/>
    <w:rsid w:val="006C17FC"/>
    <w:rsid w:val="006C2621"/>
    <w:rsid w:val="006C274D"/>
    <w:rsid w:val="006C27A4"/>
    <w:rsid w:val="006C3504"/>
    <w:rsid w:val="006C3DD5"/>
    <w:rsid w:val="006C4D63"/>
    <w:rsid w:val="006C5BE4"/>
    <w:rsid w:val="006C6F26"/>
    <w:rsid w:val="006C71E2"/>
    <w:rsid w:val="006C7384"/>
    <w:rsid w:val="006C73DD"/>
    <w:rsid w:val="006C742E"/>
    <w:rsid w:val="006C7D78"/>
    <w:rsid w:val="006D067C"/>
    <w:rsid w:val="006D0722"/>
    <w:rsid w:val="006D21BA"/>
    <w:rsid w:val="006D456E"/>
    <w:rsid w:val="006D4B7F"/>
    <w:rsid w:val="006D5470"/>
    <w:rsid w:val="006D55BB"/>
    <w:rsid w:val="006D5E5C"/>
    <w:rsid w:val="006D6535"/>
    <w:rsid w:val="006D660E"/>
    <w:rsid w:val="006D72B6"/>
    <w:rsid w:val="006D73D5"/>
    <w:rsid w:val="006D78B4"/>
    <w:rsid w:val="006D7DAB"/>
    <w:rsid w:val="006D7EDF"/>
    <w:rsid w:val="006E0291"/>
    <w:rsid w:val="006E13A5"/>
    <w:rsid w:val="006E16E2"/>
    <w:rsid w:val="006E1A4B"/>
    <w:rsid w:val="006E1E57"/>
    <w:rsid w:val="006E238F"/>
    <w:rsid w:val="006E397D"/>
    <w:rsid w:val="006E4403"/>
    <w:rsid w:val="006E543B"/>
    <w:rsid w:val="006E56B1"/>
    <w:rsid w:val="006E6E59"/>
    <w:rsid w:val="006E7198"/>
    <w:rsid w:val="006E7DF6"/>
    <w:rsid w:val="006F0246"/>
    <w:rsid w:val="006F063E"/>
    <w:rsid w:val="006F07F9"/>
    <w:rsid w:val="006F0816"/>
    <w:rsid w:val="006F117B"/>
    <w:rsid w:val="006F1BE9"/>
    <w:rsid w:val="006F1C7B"/>
    <w:rsid w:val="006F1D30"/>
    <w:rsid w:val="006F2363"/>
    <w:rsid w:val="006F296A"/>
    <w:rsid w:val="006F32CE"/>
    <w:rsid w:val="006F3CF0"/>
    <w:rsid w:val="006F584F"/>
    <w:rsid w:val="006F58F8"/>
    <w:rsid w:val="006F5B77"/>
    <w:rsid w:val="006F5FDE"/>
    <w:rsid w:val="006F63E6"/>
    <w:rsid w:val="006F6B41"/>
    <w:rsid w:val="006F6EC0"/>
    <w:rsid w:val="006F6F4B"/>
    <w:rsid w:val="006F7804"/>
    <w:rsid w:val="006F792B"/>
    <w:rsid w:val="007003E1"/>
    <w:rsid w:val="00700DD6"/>
    <w:rsid w:val="00701A4F"/>
    <w:rsid w:val="00703676"/>
    <w:rsid w:val="00703782"/>
    <w:rsid w:val="00703A20"/>
    <w:rsid w:val="00703C44"/>
    <w:rsid w:val="00703D81"/>
    <w:rsid w:val="00704408"/>
    <w:rsid w:val="007045F2"/>
    <w:rsid w:val="00704B74"/>
    <w:rsid w:val="00704C55"/>
    <w:rsid w:val="0070584E"/>
    <w:rsid w:val="00705CF8"/>
    <w:rsid w:val="00705ED1"/>
    <w:rsid w:val="007061D6"/>
    <w:rsid w:val="00706963"/>
    <w:rsid w:val="00706CD6"/>
    <w:rsid w:val="00706D8D"/>
    <w:rsid w:val="00707145"/>
    <w:rsid w:val="007073C1"/>
    <w:rsid w:val="007077A1"/>
    <w:rsid w:val="007077FD"/>
    <w:rsid w:val="00707DF9"/>
    <w:rsid w:val="007107FF"/>
    <w:rsid w:val="00710A15"/>
    <w:rsid w:val="00710EAD"/>
    <w:rsid w:val="00711CD2"/>
    <w:rsid w:val="0071241C"/>
    <w:rsid w:val="00712B19"/>
    <w:rsid w:val="007130C2"/>
    <w:rsid w:val="007132AB"/>
    <w:rsid w:val="007135DF"/>
    <w:rsid w:val="007145C8"/>
    <w:rsid w:val="0071558F"/>
    <w:rsid w:val="00715672"/>
    <w:rsid w:val="00715E1A"/>
    <w:rsid w:val="00716444"/>
    <w:rsid w:val="007174BB"/>
    <w:rsid w:val="00717725"/>
    <w:rsid w:val="00717CA8"/>
    <w:rsid w:val="00721908"/>
    <w:rsid w:val="00721A93"/>
    <w:rsid w:val="007220D0"/>
    <w:rsid w:val="00724625"/>
    <w:rsid w:val="00724B70"/>
    <w:rsid w:val="00725179"/>
    <w:rsid w:val="0072518F"/>
    <w:rsid w:val="00725597"/>
    <w:rsid w:val="00725D97"/>
    <w:rsid w:val="0072672A"/>
    <w:rsid w:val="0072679A"/>
    <w:rsid w:val="00726928"/>
    <w:rsid w:val="0072725E"/>
    <w:rsid w:val="007277EF"/>
    <w:rsid w:val="00727D0D"/>
    <w:rsid w:val="0073098C"/>
    <w:rsid w:val="0073174A"/>
    <w:rsid w:val="0073187E"/>
    <w:rsid w:val="00731BE2"/>
    <w:rsid w:val="00731C8F"/>
    <w:rsid w:val="00731DC0"/>
    <w:rsid w:val="00732697"/>
    <w:rsid w:val="007336F8"/>
    <w:rsid w:val="00733872"/>
    <w:rsid w:val="00733993"/>
    <w:rsid w:val="0073442E"/>
    <w:rsid w:val="007347A9"/>
    <w:rsid w:val="00735803"/>
    <w:rsid w:val="00735C8F"/>
    <w:rsid w:val="007363D6"/>
    <w:rsid w:val="007371F7"/>
    <w:rsid w:val="00740C73"/>
    <w:rsid w:val="0074158F"/>
    <w:rsid w:val="00741741"/>
    <w:rsid w:val="0074209B"/>
    <w:rsid w:val="0074214E"/>
    <w:rsid w:val="007423D4"/>
    <w:rsid w:val="00742AA9"/>
    <w:rsid w:val="00742C37"/>
    <w:rsid w:val="007433CF"/>
    <w:rsid w:val="007443E7"/>
    <w:rsid w:val="00744A8C"/>
    <w:rsid w:val="00744C7E"/>
    <w:rsid w:val="00745172"/>
    <w:rsid w:val="00745DAF"/>
    <w:rsid w:val="007463F8"/>
    <w:rsid w:val="0074675C"/>
    <w:rsid w:val="00746B2B"/>
    <w:rsid w:val="00746CE2"/>
    <w:rsid w:val="00746ED2"/>
    <w:rsid w:val="00750390"/>
    <w:rsid w:val="00751390"/>
    <w:rsid w:val="00751ADA"/>
    <w:rsid w:val="007521D6"/>
    <w:rsid w:val="0075324C"/>
    <w:rsid w:val="00753611"/>
    <w:rsid w:val="00755041"/>
    <w:rsid w:val="007553C1"/>
    <w:rsid w:val="00755C98"/>
    <w:rsid w:val="007565B8"/>
    <w:rsid w:val="00756A14"/>
    <w:rsid w:val="00756A74"/>
    <w:rsid w:val="00756AA1"/>
    <w:rsid w:val="00756F00"/>
    <w:rsid w:val="007578B8"/>
    <w:rsid w:val="0076150C"/>
    <w:rsid w:val="007618A3"/>
    <w:rsid w:val="00762499"/>
    <w:rsid w:val="00763CBC"/>
    <w:rsid w:val="0076466C"/>
    <w:rsid w:val="00764B89"/>
    <w:rsid w:val="007655E5"/>
    <w:rsid w:val="007658CE"/>
    <w:rsid w:val="00766841"/>
    <w:rsid w:val="00766D2E"/>
    <w:rsid w:val="00767046"/>
    <w:rsid w:val="007678CA"/>
    <w:rsid w:val="00767CCD"/>
    <w:rsid w:val="00767EA6"/>
    <w:rsid w:val="007716A5"/>
    <w:rsid w:val="007719ED"/>
    <w:rsid w:val="00771BD2"/>
    <w:rsid w:val="007724EC"/>
    <w:rsid w:val="00773957"/>
    <w:rsid w:val="007748FE"/>
    <w:rsid w:val="00774AD0"/>
    <w:rsid w:val="00774DF0"/>
    <w:rsid w:val="007752A1"/>
    <w:rsid w:val="007756C4"/>
    <w:rsid w:val="007759EB"/>
    <w:rsid w:val="00775C18"/>
    <w:rsid w:val="00775D7E"/>
    <w:rsid w:val="00775E77"/>
    <w:rsid w:val="00776728"/>
    <w:rsid w:val="00776F01"/>
    <w:rsid w:val="00777436"/>
    <w:rsid w:val="00780406"/>
    <w:rsid w:val="0078046C"/>
    <w:rsid w:val="007804D1"/>
    <w:rsid w:val="0078056D"/>
    <w:rsid w:val="00780C51"/>
    <w:rsid w:val="00781B09"/>
    <w:rsid w:val="007821F6"/>
    <w:rsid w:val="007840AE"/>
    <w:rsid w:val="00785049"/>
    <w:rsid w:val="0078659C"/>
    <w:rsid w:val="00786BCC"/>
    <w:rsid w:val="00786CE7"/>
    <w:rsid w:val="00786D3A"/>
    <w:rsid w:val="0078712E"/>
    <w:rsid w:val="0078716D"/>
    <w:rsid w:val="00787544"/>
    <w:rsid w:val="0078763C"/>
    <w:rsid w:val="00787BA5"/>
    <w:rsid w:val="00790741"/>
    <w:rsid w:val="007911B0"/>
    <w:rsid w:val="00791A81"/>
    <w:rsid w:val="00791C59"/>
    <w:rsid w:val="00791EAA"/>
    <w:rsid w:val="00792BE4"/>
    <w:rsid w:val="007934AA"/>
    <w:rsid w:val="0079366B"/>
    <w:rsid w:val="00793ABA"/>
    <w:rsid w:val="00794432"/>
    <w:rsid w:val="00795959"/>
    <w:rsid w:val="00795E7E"/>
    <w:rsid w:val="007965BE"/>
    <w:rsid w:val="00796810"/>
    <w:rsid w:val="00796958"/>
    <w:rsid w:val="00797B2B"/>
    <w:rsid w:val="007A2448"/>
    <w:rsid w:val="007A2539"/>
    <w:rsid w:val="007A42A9"/>
    <w:rsid w:val="007A44B4"/>
    <w:rsid w:val="007A475F"/>
    <w:rsid w:val="007A4F4F"/>
    <w:rsid w:val="007A5D5B"/>
    <w:rsid w:val="007A7124"/>
    <w:rsid w:val="007A71E8"/>
    <w:rsid w:val="007A737C"/>
    <w:rsid w:val="007B043E"/>
    <w:rsid w:val="007B0975"/>
    <w:rsid w:val="007B0C0B"/>
    <w:rsid w:val="007B0F80"/>
    <w:rsid w:val="007B2F0A"/>
    <w:rsid w:val="007B3563"/>
    <w:rsid w:val="007B379F"/>
    <w:rsid w:val="007B39F0"/>
    <w:rsid w:val="007B3C8A"/>
    <w:rsid w:val="007B3CF6"/>
    <w:rsid w:val="007B45DF"/>
    <w:rsid w:val="007B535F"/>
    <w:rsid w:val="007B5742"/>
    <w:rsid w:val="007B5A5A"/>
    <w:rsid w:val="007B5C03"/>
    <w:rsid w:val="007B5EDC"/>
    <w:rsid w:val="007B6008"/>
    <w:rsid w:val="007B694F"/>
    <w:rsid w:val="007B6E94"/>
    <w:rsid w:val="007B7C2D"/>
    <w:rsid w:val="007B7FEB"/>
    <w:rsid w:val="007C052D"/>
    <w:rsid w:val="007C1174"/>
    <w:rsid w:val="007C11C4"/>
    <w:rsid w:val="007C1B54"/>
    <w:rsid w:val="007C3C14"/>
    <w:rsid w:val="007C445F"/>
    <w:rsid w:val="007C4D0B"/>
    <w:rsid w:val="007C4D80"/>
    <w:rsid w:val="007C6697"/>
    <w:rsid w:val="007C753E"/>
    <w:rsid w:val="007C7616"/>
    <w:rsid w:val="007D09C6"/>
    <w:rsid w:val="007D166A"/>
    <w:rsid w:val="007D1F69"/>
    <w:rsid w:val="007D2693"/>
    <w:rsid w:val="007D303F"/>
    <w:rsid w:val="007D37B2"/>
    <w:rsid w:val="007D388C"/>
    <w:rsid w:val="007D38B5"/>
    <w:rsid w:val="007D4412"/>
    <w:rsid w:val="007D45E4"/>
    <w:rsid w:val="007D493C"/>
    <w:rsid w:val="007D5493"/>
    <w:rsid w:val="007D5B70"/>
    <w:rsid w:val="007D5E34"/>
    <w:rsid w:val="007D60DC"/>
    <w:rsid w:val="007D68B2"/>
    <w:rsid w:val="007D68E9"/>
    <w:rsid w:val="007D6CEA"/>
    <w:rsid w:val="007D7257"/>
    <w:rsid w:val="007D7588"/>
    <w:rsid w:val="007D7B6B"/>
    <w:rsid w:val="007E0181"/>
    <w:rsid w:val="007E1D5A"/>
    <w:rsid w:val="007E24EE"/>
    <w:rsid w:val="007E2D6D"/>
    <w:rsid w:val="007E41F6"/>
    <w:rsid w:val="007E5311"/>
    <w:rsid w:val="007E5354"/>
    <w:rsid w:val="007E5451"/>
    <w:rsid w:val="007E66B2"/>
    <w:rsid w:val="007E74C1"/>
    <w:rsid w:val="007E7628"/>
    <w:rsid w:val="007E78AA"/>
    <w:rsid w:val="007F14EC"/>
    <w:rsid w:val="007F2397"/>
    <w:rsid w:val="007F31FC"/>
    <w:rsid w:val="007F3E52"/>
    <w:rsid w:val="007F3E5E"/>
    <w:rsid w:val="007F421B"/>
    <w:rsid w:val="007F5492"/>
    <w:rsid w:val="007F5A0C"/>
    <w:rsid w:val="007F5F5D"/>
    <w:rsid w:val="007F625A"/>
    <w:rsid w:val="007F72BA"/>
    <w:rsid w:val="008003CE"/>
    <w:rsid w:val="008005FF"/>
    <w:rsid w:val="00801416"/>
    <w:rsid w:val="00801D1A"/>
    <w:rsid w:val="008023FC"/>
    <w:rsid w:val="0080274B"/>
    <w:rsid w:val="00802F48"/>
    <w:rsid w:val="008031C6"/>
    <w:rsid w:val="00803684"/>
    <w:rsid w:val="00803BFA"/>
    <w:rsid w:val="008042E4"/>
    <w:rsid w:val="00805889"/>
    <w:rsid w:val="0080719C"/>
    <w:rsid w:val="00807380"/>
    <w:rsid w:val="00807AD7"/>
    <w:rsid w:val="00807E34"/>
    <w:rsid w:val="008111A7"/>
    <w:rsid w:val="0081161F"/>
    <w:rsid w:val="00811B94"/>
    <w:rsid w:val="00811BB8"/>
    <w:rsid w:val="008120ED"/>
    <w:rsid w:val="00812A49"/>
    <w:rsid w:val="00813CF9"/>
    <w:rsid w:val="00813E84"/>
    <w:rsid w:val="00813EE2"/>
    <w:rsid w:val="00815737"/>
    <w:rsid w:val="008159FA"/>
    <w:rsid w:val="00815BC8"/>
    <w:rsid w:val="00816053"/>
    <w:rsid w:val="008160FB"/>
    <w:rsid w:val="00816255"/>
    <w:rsid w:val="00816550"/>
    <w:rsid w:val="008167E3"/>
    <w:rsid w:val="00817451"/>
    <w:rsid w:val="00820092"/>
    <w:rsid w:val="008206A5"/>
    <w:rsid w:val="0082151D"/>
    <w:rsid w:val="00821D88"/>
    <w:rsid w:val="008221CC"/>
    <w:rsid w:val="00822439"/>
    <w:rsid w:val="00822690"/>
    <w:rsid w:val="00822D88"/>
    <w:rsid w:val="00823EB6"/>
    <w:rsid w:val="00823F8E"/>
    <w:rsid w:val="008243FF"/>
    <w:rsid w:val="00824A95"/>
    <w:rsid w:val="00825ED6"/>
    <w:rsid w:val="00825EF2"/>
    <w:rsid w:val="00826215"/>
    <w:rsid w:val="008265ED"/>
    <w:rsid w:val="008266F8"/>
    <w:rsid w:val="00826920"/>
    <w:rsid w:val="008270A6"/>
    <w:rsid w:val="008276B3"/>
    <w:rsid w:val="00827AB6"/>
    <w:rsid w:val="00830243"/>
    <w:rsid w:val="00831658"/>
    <w:rsid w:val="008316A4"/>
    <w:rsid w:val="008332B7"/>
    <w:rsid w:val="008338D4"/>
    <w:rsid w:val="008343F7"/>
    <w:rsid w:val="00834877"/>
    <w:rsid w:val="008349A0"/>
    <w:rsid w:val="008350AA"/>
    <w:rsid w:val="008352A0"/>
    <w:rsid w:val="00835E35"/>
    <w:rsid w:val="00836481"/>
    <w:rsid w:val="00836991"/>
    <w:rsid w:val="008369F8"/>
    <w:rsid w:val="00837987"/>
    <w:rsid w:val="00837F9F"/>
    <w:rsid w:val="008402F0"/>
    <w:rsid w:val="0084069E"/>
    <w:rsid w:val="008411C4"/>
    <w:rsid w:val="00841B3C"/>
    <w:rsid w:val="00842E13"/>
    <w:rsid w:val="008438E6"/>
    <w:rsid w:val="00843CC6"/>
    <w:rsid w:val="00843D5C"/>
    <w:rsid w:val="008446B6"/>
    <w:rsid w:val="008449EC"/>
    <w:rsid w:val="00844C77"/>
    <w:rsid w:val="00844DC5"/>
    <w:rsid w:val="008456C9"/>
    <w:rsid w:val="00846F77"/>
    <w:rsid w:val="0085067B"/>
    <w:rsid w:val="00850AC0"/>
    <w:rsid w:val="008519F7"/>
    <w:rsid w:val="00851C48"/>
    <w:rsid w:val="00851E12"/>
    <w:rsid w:val="00851FD9"/>
    <w:rsid w:val="00853BBA"/>
    <w:rsid w:val="0085448E"/>
    <w:rsid w:val="008545FC"/>
    <w:rsid w:val="00854A03"/>
    <w:rsid w:val="00854B9D"/>
    <w:rsid w:val="008551FB"/>
    <w:rsid w:val="00856295"/>
    <w:rsid w:val="008563AF"/>
    <w:rsid w:val="00856DC3"/>
    <w:rsid w:val="00856FEF"/>
    <w:rsid w:val="00857112"/>
    <w:rsid w:val="008576DF"/>
    <w:rsid w:val="00860464"/>
    <w:rsid w:val="00860506"/>
    <w:rsid w:val="00860540"/>
    <w:rsid w:val="008606B8"/>
    <w:rsid w:val="00861329"/>
    <w:rsid w:val="008625F8"/>
    <w:rsid w:val="00862B33"/>
    <w:rsid w:val="00864B6D"/>
    <w:rsid w:val="008652BD"/>
    <w:rsid w:val="00865897"/>
    <w:rsid w:val="00865B64"/>
    <w:rsid w:val="00865FAA"/>
    <w:rsid w:val="00866913"/>
    <w:rsid w:val="00866D52"/>
    <w:rsid w:val="0086772F"/>
    <w:rsid w:val="00867B79"/>
    <w:rsid w:val="00867D5F"/>
    <w:rsid w:val="00870155"/>
    <w:rsid w:val="00870AC0"/>
    <w:rsid w:val="00871119"/>
    <w:rsid w:val="00871666"/>
    <w:rsid w:val="00871A7F"/>
    <w:rsid w:val="00872231"/>
    <w:rsid w:val="00872EB1"/>
    <w:rsid w:val="00872F57"/>
    <w:rsid w:val="00872F84"/>
    <w:rsid w:val="00873A30"/>
    <w:rsid w:val="00873A6D"/>
    <w:rsid w:val="00874B6A"/>
    <w:rsid w:val="00874C2B"/>
    <w:rsid w:val="00876340"/>
    <w:rsid w:val="0087775E"/>
    <w:rsid w:val="008818AB"/>
    <w:rsid w:val="00881919"/>
    <w:rsid w:val="008834BD"/>
    <w:rsid w:val="008844C0"/>
    <w:rsid w:val="00884744"/>
    <w:rsid w:val="00885254"/>
    <w:rsid w:val="008853ED"/>
    <w:rsid w:val="00885D7C"/>
    <w:rsid w:val="00886AE7"/>
    <w:rsid w:val="00890095"/>
    <w:rsid w:val="008908BA"/>
    <w:rsid w:val="008908F3"/>
    <w:rsid w:val="00890AAA"/>
    <w:rsid w:val="00890D35"/>
    <w:rsid w:val="0089118E"/>
    <w:rsid w:val="008927E0"/>
    <w:rsid w:val="00892B03"/>
    <w:rsid w:val="00892F86"/>
    <w:rsid w:val="008932CB"/>
    <w:rsid w:val="008934D3"/>
    <w:rsid w:val="008934FC"/>
    <w:rsid w:val="00893695"/>
    <w:rsid w:val="00894418"/>
    <w:rsid w:val="00894DFD"/>
    <w:rsid w:val="00895B2F"/>
    <w:rsid w:val="008960D0"/>
    <w:rsid w:val="00896186"/>
    <w:rsid w:val="0089677F"/>
    <w:rsid w:val="0089690F"/>
    <w:rsid w:val="008972FB"/>
    <w:rsid w:val="00897704"/>
    <w:rsid w:val="008A0791"/>
    <w:rsid w:val="008A0B53"/>
    <w:rsid w:val="008A1A89"/>
    <w:rsid w:val="008A241E"/>
    <w:rsid w:val="008A2BE3"/>
    <w:rsid w:val="008A3FA3"/>
    <w:rsid w:val="008A42D7"/>
    <w:rsid w:val="008A4702"/>
    <w:rsid w:val="008A48B3"/>
    <w:rsid w:val="008A4B2C"/>
    <w:rsid w:val="008A547E"/>
    <w:rsid w:val="008A6EDF"/>
    <w:rsid w:val="008A7A2E"/>
    <w:rsid w:val="008A7D6A"/>
    <w:rsid w:val="008B005A"/>
    <w:rsid w:val="008B056D"/>
    <w:rsid w:val="008B12CD"/>
    <w:rsid w:val="008B1C83"/>
    <w:rsid w:val="008B1E6E"/>
    <w:rsid w:val="008B38B5"/>
    <w:rsid w:val="008B55C0"/>
    <w:rsid w:val="008B576B"/>
    <w:rsid w:val="008B61BA"/>
    <w:rsid w:val="008B6C3A"/>
    <w:rsid w:val="008B79CC"/>
    <w:rsid w:val="008C00F5"/>
    <w:rsid w:val="008C012C"/>
    <w:rsid w:val="008C0578"/>
    <w:rsid w:val="008C0B2F"/>
    <w:rsid w:val="008C0DA3"/>
    <w:rsid w:val="008C102A"/>
    <w:rsid w:val="008C18A0"/>
    <w:rsid w:val="008C18E8"/>
    <w:rsid w:val="008C27FE"/>
    <w:rsid w:val="008C2F7F"/>
    <w:rsid w:val="008C3A64"/>
    <w:rsid w:val="008C48E3"/>
    <w:rsid w:val="008C594B"/>
    <w:rsid w:val="008C5E7A"/>
    <w:rsid w:val="008C61B9"/>
    <w:rsid w:val="008C64BB"/>
    <w:rsid w:val="008C67A3"/>
    <w:rsid w:val="008C7664"/>
    <w:rsid w:val="008C7EAD"/>
    <w:rsid w:val="008D1AD0"/>
    <w:rsid w:val="008D2ED7"/>
    <w:rsid w:val="008D400D"/>
    <w:rsid w:val="008D4053"/>
    <w:rsid w:val="008D4703"/>
    <w:rsid w:val="008D4A47"/>
    <w:rsid w:val="008D4BEE"/>
    <w:rsid w:val="008D4C5D"/>
    <w:rsid w:val="008D5DCB"/>
    <w:rsid w:val="008D6141"/>
    <w:rsid w:val="008D61DF"/>
    <w:rsid w:val="008D671A"/>
    <w:rsid w:val="008D677D"/>
    <w:rsid w:val="008D731A"/>
    <w:rsid w:val="008D7701"/>
    <w:rsid w:val="008D7D97"/>
    <w:rsid w:val="008E09CA"/>
    <w:rsid w:val="008E1025"/>
    <w:rsid w:val="008E1D32"/>
    <w:rsid w:val="008E1D83"/>
    <w:rsid w:val="008E1F2B"/>
    <w:rsid w:val="008E2679"/>
    <w:rsid w:val="008E2DD8"/>
    <w:rsid w:val="008E37B4"/>
    <w:rsid w:val="008E39E4"/>
    <w:rsid w:val="008E3F29"/>
    <w:rsid w:val="008E4909"/>
    <w:rsid w:val="008E4B5F"/>
    <w:rsid w:val="008E4DA0"/>
    <w:rsid w:val="008E61C9"/>
    <w:rsid w:val="008F00CE"/>
    <w:rsid w:val="008F04DB"/>
    <w:rsid w:val="008F0997"/>
    <w:rsid w:val="008F0B1C"/>
    <w:rsid w:val="008F11DF"/>
    <w:rsid w:val="008F14B9"/>
    <w:rsid w:val="008F2DAE"/>
    <w:rsid w:val="008F3361"/>
    <w:rsid w:val="008F3A41"/>
    <w:rsid w:val="008F3AE1"/>
    <w:rsid w:val="008F423E"/>
    <w:rsid w:val="008F49F2"/>
    <w:rsid w:val="008F4CBA"/>
    <w:rsid w:val="008F528D"/>
    <w:rsid w:val="008F5385"/>
    <w:rsid w:val="008F5C34"/>
    <w:rsid w:val="008F7076"/>
    <w:rsid w:val="008F74A7"/>
    <w:rsid w:val="008F7629"/>
    <w:rsid w:val="008F78E1"/>
    <w:rsid w:val="008F7A96"/>
    <w:rsid w:val="008F7F30"/>
    <w:rsid w:val="009002BC"/>
    <w:rsid w:val="009005B0"/>
    <w:rsid w:val="009006D8"/>
    <w:rsid w:val="00900944"/>
    <w:rsid w:val="00900BD2"/>
    <w:rsid w:val="00900E0C"/>
    <w:rsid w:val="009013B3"/>
    <w:rsid w:val="009017EE"/>
    <w:rsid w:val="009018EE"/>
    <w:rsid w:val="00902ADE"/>
    <w:rsid w:val="00902E9F"/>
    <w:rsid w:val="00903834"/>
    <w:rsid w:val="00904345"/>
    <w:rsid w:val="009043E0"/>
    <w:rsid w:val="009050C1"/>
    <w:rsid w:val="009052E3"/>
    <w:rsid w:val="00905D72"/>
    <w:rsid w:val="009067A4"/>
    <w:rsid w:val="009069F2"/>
    <w:rsid w:val="00906E1E"/>
    <w:rsid w:val="009106D3"/>
    <w:rsid w:val="00912601"/>
    <w:rsid w:val="00912987"/>
    <w:rsid w:val="009129FF"/>
    <w:rsid w:val="00912CE2"/>
    <w:rsid w:val="00913E80"/>
    <w:rsid w:val="00915F25"/>
    <w:rsid w:val="009167E3"/>
    <w:rsid w:val="00916D22"/>
    <w:rsid w:val="00917C98"/>
    <w:rsid w:val="00920312"/>
    <w:rsid w:val="0092090D"/>
    <w:rsid w:val="00921404"/>
    <w:rsid w:val="00921991"/>
    <w:rsid w:val="00921A95"/>
    <w:rsid w:val="00921B6A"/>
    <w:rsid w:val="00921F4E"/>
    <w:rsid w:val="00922152"/>
    <w:rsid w:val="00923BCB"/>
    <w:rsid w:val="00923D2A"/>
    <w:rsid w:val="00924048"/>
    <w:rsid w:val="0092450A"/>
    <w:rsid w:val="00924B34"/>
    <w:rsid w:val="00925369"/>
    <w:rsid w:val="009257EE"/>
    <w:rsid w:val="0092760E"/>
    <w:rsid w:val="0092789A"/>
    <w:rsid w:val="00927BBA"/>
    <w:rsid w:val="00927CC7"/>
    <w:rsid w:val="00930095"/>
    <w:rsid w:val="009305D8"/>
    <w:rsid w:val="009306E1"/>
    <w:rsid w:val="00931235"/>
    <w:rsid w:val="00931FFF"/>
    <w:rsid w:val="009323D1"/>
    <w:rsid w:val="00932C5D"/>
    <w:rsid w:val="00932D0D"/>
    <w:rsid w:val="00935234"/>
    <w:rsid w:val="009363E0"/>
    <w:rsid w:val="0093698C"/>
    <w:rsid w:val="00936D3A"/>
    <w:rsid w:val="009377C4"/>
    <w:rsid w:val="0094083E"/>
    <w:rsid w:val="00940970"/>
    <w:rsid w:val="00940A37"/>
    <w:rsid w:val="00940B9E"/>
    <w:rsid w:val="00940C5C"/>
    <w:rsid w:val="00940F97"/>
    <w:rsid w:val="00941571"/>
    <w:rsid w:val="009431CA"/>
    <w:rsid w:val="00943666"/>
    <w:rsid w:val="00944285"/>
    <w:rsid w:val="0094429C"/>
    <w:rsid w:val="00944F3D"/>
    <w:rsid w:val="0094503B"/>
    <w:rsid w:val="00945A51"/>
    <w:rsid w:val="00945D36"/>
    <w:rsid w:val="009466C5"/>
    <w:rsid w:val="009478BC"/>
    <w:rsid w:val="00947B3F"/>
    <w:rsid w:val="00947D2F"/>
    <w:rsid w:val="00950E28"/>
    <w:rsid w:val="00951611"/>
    <w:rsid w:val="00951CE1"/>
    <w:rsid w:val="00951EB7"/>
    <w:rsid w:val="009521A7"/>
    <w:rsid w:val="00952CAE"/>
    <w:rsid w:val="009538D7"/>
    <w:rsid w:val="009540CC"/>
    <w:rsid w:val="00954294"/>
    <w:rsid w:val="00954AE3"/>
    <w:rsid w:val="00956FE2"/>
    <w:rsid w:val="00957135"/>
    <w:rsid w:val="00957374"/>
    <w:rsid w:val="009574B7"/>
    <w:rsid w:val="00957DBA"/>
    <w:rsid w:val="00960006"/>
    <w:rsid w:val="00960398"/>
    <w:rsid w:val="0096068E"/>
    <w:rsid w:val="009613F3"/>
    <w:rsid w:val="00961977"/>
    <w:rsid w:val="00961B64"/>
    <w:rsid w:val="009620C9"/>
    <w:rsid w:val="0096463E"/>
    <w:rsid w:val="009662B8"/>
    <w:rsid w:val="00966797"/>
    <w:rsid w:val="009673C0"/>
    <w:rsid w:val="00967851"/>
    <w:rsid w:val="00967C94"/>
    <w:rsid w:val="00970396"/>
    <w:rsid w:val="009706BB"/>
    <w:rsid w:val="00970851"/>
    <w:rsid w:val="00971D8D"/>
    <w:rsid w:val="0097235A"/>
    <w:rsid w:val="00972ED4"/>
    <w:rsid w:val="00973638"/>
    <w:rsid w:val="009739EC"/>
    <w:rsid w:val="00973EFA"/>
    <w:rsid w:val="00974448"/>
    <w:rsid w:val="00975B17"/>
    <w:rsid w:val="00975BA0"/>
    <w:rsid w:val="00976B2F"/>
    <w:rsid w:val="00980C98"/>
    <w:rsid w:val="00981F39"/>
    <w:rsid w:val="0098267F"/>
    <w:rsid w:val="00982712"/>
    <w:rsid w:val="00983B1C"/>
    <w:rsid w:val="00983DA6"/>
    <w:rsid w:val="0098477C"/>
    <w:rsid w:val="00985C09"/>
    <w:rsid w:val="0099027D"/>
    <w:rsid w:val="00990769"/>
    <w:rsid w:val="00991CC3"/>
    <w:rsid w:val="009924FC"/>
    <w:rsid w:val="00992ED7"/>
    <w:rsid w:val="0099396B"/>
    <w:rsid w:val="009941D9"/>
    <w:rsid w:val="009943EF"/>
    <w:rsid w:val="00995002"/>
    <w:rsid w:val="009963E5"/>
    <w:rsid w:val="00996FD0"/>
    <w:rsid w:val="0099708B"/>
    <w:rsid w:val="009977B6"/>
    <w:rsid w:val="009A0318"/>
    <w:rsid w:val="009A0403"/>
    <w:rsid w:val="009A0443"/>
    <w:rsid w:val="009A09F3"/>
    <w:rsid w:val="009A159B"/>
    <w:rsid w:val="009A18F5"/>
    <w:rsid w:val="009A1C6E"/>
    <w:rsid w:val="009A1C84"/>
    <w:rsid w:val="009A1EFF"/>
    <w:rsid w:val="009A2572"/>
    <w:rsid w:val="009A28A8"/>
    <w:rsid w:val="009A2C52"/>
    <w:rsid w:val="009A2CFE"/>
    <w:rsid w:val="009A31E1"/>
    <w:rsid w:val="009A31EA"/>
    <w:rsid w:val="009A3E4F"/>
    <w:rsid w:val="009A4446"/>
    <w:rsid w:val="009A4650"/>
    <w:rsid w:val="009A49C0"/>
    <w:rsid w:val="009A4BA5"/>
    <w:rsid w:val="009A5D23"/>
    <w:rsid w:val="009A67A1"/>
    <w:rsid w:val="009A6FEE"/>
    <w:rsid w:val="009A7030"/>
    <w:rsid w:val="009A730D"/>
    <w:rsid w:val="009A7DBD"/>
    <w:rsid w:val="009B0079"/>
    <w:rsid w:val="009B04AF"/>
    <w:rsid w:val="009B0B21"/>
    <w:rsid w:val="009B13AA"/>
    <w:rsid w:val="009B19D9"/>
    <w:rsid w:val="009B1C5E"/>
    <w:rsid w:val="009B2324"/>
    <w:rsid w:val="009B27E5"/>
    <w:rsid w:val="009B2C0E"/>
    <w:rsid w:val="009B2F11"/>
    <w:rsid w:val="009B31A2"/>
    <w:rsid w:val="009B35F9"/>
    <w:rsid w:val="009B3B94"/>
    <w:rsid w:val="009B4ACD"/>
    <w:rsid w:val="009B4EAC"/>
    <w:rsid w:val="009B5061"/>
    <w:rsid w:val="009B58B2"/>
    <w:rsid w:val="009B6896"/>
    <w:rsid w:val="009B6B0B"/>
    <w:rsid w:val="009C0AA7"/>
    <w:rsid w:val="009C16EE"/>
    <w:rsid w:val="009C176E"/>
    <w:rsid w:val="009C178C"/>
    <w:rsid w:val="009C1935"/>
    <w:rsid w:val="009C21FB"/>
    <w:rsid w:val="009C25ED"/>
    <w:rsid w:val="009C2602"/>
    <w:rsid w:val="009C2C8C"/>
    <w:rsid w:val="009C38DA"/>
    <w:rsid w:val="009C392E"/>
    <w:rsid w:val="009C3E15"/>
    <w:rsid w:val="009C4648"/>
    <w:rsid w:val="009C4887"/>
    <w:rsid w:val="009C4F55"/>
    <w:rsid w:val="009C5924"/>
    <w:rsid w:val="009C5961"/>
    <w:rsid w:val="009C5E06"/>
    <w:rsid w:val="009C6003"/>
    <w:rsid w:val="009C62B6"/>
    <w:rsid w:val="009C70F9"/>
    <w:rsid w:val="009C7442"/>
    <w:rsid w:val="009C775E"/>
    <w:rsid w:val="009C7944"/>
    <w:rsid w:val="009D09EA"/>
    <w:rsid w:val="009D0D10"/>
    <w:rsid w:val="009D234B"/>
    <w:rsid w:val="009D251C"/>
    <w:rsid w:val="009D2559"/>
    <w:rsid w:val="009D2638"/>
    <w:rsid w:val="009D2EE4"/>
    <w:rsid w:val="009D54B6"/>
    <w:rsid w:val="009D628C"/>
    <w:rsid w:val="009D6BF1"/>
    <w:rsid w:val="009D6FC7"/>
    <w:rsid w:val="009D7219"/>
    <w:rsid w:val="009D7E35"/>
    <w:rsid w:val="009E39E3"/>
    <w:rsid w:val="009E4361"/>
    <w:rsid w:val="009E4836"/>
    <w:rsid w:val="009E4F5C"/>
    <w:rsid w:val="009E5073"/>
    <w:rsid w:val="009E55F0"/>
    <w:rsid w:val="009E6651"/>
    <w:rsid w:val="009E6875"/>
    <w:rsid w:val="009E6CF6"/>
    <w:rsid w:val="009E725F"/>
    <w:rsid w:val="009E74BE"/>
    <w:rsid w:val="009E74FD"/>
    <w:rsid w:val="009F082A"/>
    <w:rsid w:val="009F08D6"/>
    <w:rsid w:val="009F0B7A"/>
    <w:rsid w:val="009F11CC"/>
    <w:rsid w:val="009F21E9"/>
    <w:rsid w:val="009F259E"/>
    <w:rsid w:val="009F39C1"/>
    <w:rsid w:val="009F4056"/>
    <w:rsid w:val="009F489D"/>
    <w:rsid w:val="009F4AF8"/>
    <w:rsid w:val="009F4E20"/>
    <w:rsid w:val="009F66F0"/>
    <w:rsid w:val="009F6815"/>
    <w:rsid w:val="009F730A"/>
    <w:rsid w:val="009F7391"/>
    <w:rsid w:val="00A00164"/>
    <w:rsid w:val="00A005EC"/>
    <w:rsid w:val="00A00A5F"/>
    <w:rsid w:val="00A00EC5"/>
    <w:rsid w:val="00A01082"/>
    <w:rsid w:val="00A010E1"/>
    <w:rsid w:val="00A01664"/>
    <w:rsid w:val="00A018A1"/>
    <w:rsid w:val="00A02391"/>
    <w:rsid w:val="00A029F5"/>
    <w:rsid w:val="00A02F92"/>
    <w:rsid w:val="00A030FE"/>
    <w:rsid w:val="00A03FAE"/>
    <w:rsid w:val="00A047C5"/>
    <w:rsid w:val="00A04B84"/>
    <w:rsid w:val="00A04CBF"/>
    <w:rsid w:val="00A04F66"/>
    <w:rsid w:val="00A05154"/>
    <w:rsid w:val="00A05AAB"/>
    <w:rsid w:val="00A05D0D"/>
    <w:rsid w:val="00A06945"/>
    <w:rsid w:val="00A078C6"/>
    <w:rsid w:val="00A07BC9"/>
    <w:rsid w:val="00A10195"/>
    <w:rsid w:val="00A101E5"/>
    <w:rsid w:val="00A1073F"/>
    <w:rsid w:val="00A1114C"/>
    <w:rsid w:val="00A116C5"/>
    <w:rsid w:val="00A1186E"/>
    <w:rsid w:val="00A11B88"/>
    <w:rsid w:val="00A122A0"/>
    <w:rsid w:val="00A123B2"/>
    <w:rsid w:val="00A12D3B"/>
    <w:rsid w:val="00A13EE1"/>
    <w:rsid w:val="00A13FC5"/>
    <w:rsid w:val="00A14162"/>
    <w:rsid w:val="00A1450B"/>
    <w:rsid w:val="00A148C1"/>
    <w:rsid w:val="00A14F5C"/>
    <w:rsid w:val="00A159CF"/>
    <w:rsid w:val="00A15F8C"/>
    <w:rsid w:val="00A20576"/>
    <w:rsid w:val="00A20AB5"/>
    <w:rsid w:val="00A20C63"/>
    <w:rsid w:val="00A20EFD"/>
    <w:rsid w:val="00A20F10"/>
    <w:rsid w:val="00A20FFA"/>
    <w:rsid w:val="00A210FA"/>
    <w:rsid w:val="00A21444"/>
    <w:rsid w:val="00A22624"/>
    <w:rsid w:val="00A232E5"/>
    <w:rsid w:val="00A236DC"/>
    <w:rsid w:val="00A239C8"/>
    <w:rsid w:val="00A239CE"/>
    <w:rsid w:val="00A240F2"/>
    <w:rsid w:val="00A244B2"/>
    <w:rsid w:val="00A247E7"/>
    <w:rsid w:val="00A24852"/>
    <w:rsid w:val="00A25940"/>
    <w:rsid w:val="00A2685F"/>
    <w:rsid w:val="00A26D61"/>
    <w:rsid w:val="00A30151"/>
    <w:rsid w:val="00A30605"/>
    <w:rsid w:val="00A30C83"/>
    <w:rsid w:val="00A30DB4"/>
    <w:rsid w:val="00A311BF"/>
    <w:rsid w:val="00A3152E"/>
    <w:rsid w:val="00A325CF"/>
    <w:rsid w:val="00A32BFE"/>
    <w:rsid w:val="00A32EC5"/>
    <w:rsid w:val="00A33A30"/>
    <w:rsid w:val="00A33AF3"/>
    <w:rsid w:val="00A33E67"/>
    <w:rsid w:val="00A343C3"/>
    <w:rsid w:val="00A34631"/>
    <w:rsid w:val="00A3475B"/>
    <w:rsid w:val="00A35D91"/>
    <w:rsid w:val="00A361D1"/>
    <w:rsid w:val="00A368E4"/>
    <w:rsid w:val="00A36CED"/>
    <w:rsid w:val="00A40271"/>
    <w:rsid w:val="00A40614"/>
    <w:rsid w:val="00A40CC3"/>
    <w:rsid w:val="00A40FD8"/>
    <w:rsid w:val="00A410EE"/>
    <w:rsid w:val="00A41191"/>
    <w:rsid w:val="00A41935"/>
    <w:rsid w:val="00A425E2"/>
    <w:rsid w:val="00A42902"/>
    <w:rsid w:val="00A42C51"/>
    <w:rsid w:val="00A42EE5"/>
    <w:rsid w:val="00A430CA"/>
    <w:rsid w:val="00A43B5E"/>
    <w:rsid w:val="00A45E51"/>
    <w:rsid w:val="00A463E3"/>
    <w:rsid w:val="00A46ACB"/>
    <w:rsid w:val="00A46C5E"/>
    <w:rsid w:val="00A46C79"/>
    <w:rsid w:val="00A47079"/>
    <w:rsid w:val="00A47511"/>
    <w:rsid w:val="00A5285D"/>
    <w:rsid w:val="00A52AC6"/>
    <w:rsid w:val="00A52FC9"/>
    <w:rsid w:val="00A539ED"/>
    <w:rsid w:val="00A53EDB"/>
    <w:rsid w:val="00A546FB"/>
    <w:rsid w:val="00A54B6C"/>
    <w:rsid w:val="00A55775"/>
    <w:rsid w:val="00A55A16"/>
    <w:rsid w:val="00A565AF"/>
    <w:rsid w:val="00A5766E"/>
    <w:rsid w:val="00A60C71"/>
    <w:rsid w:val="00A60FCB"/>
    <w:rsid w:val="00A610A6"/>
    <w:rsid w:val="00A61368"/>
    <w:rsid w:val="00A620AB"/>
    <w:rsid w:val="00A622E7"/>
    <w:rsid w:val="00A627D6"/>
    <w:rsid w:val="00A62AEA"/>
    <w:rsid w:val="00A62D2A"/>
    <w:rsid w:val="00A62E38"/>
    <w:rsid w:val="00A631EA"/>
    <w:rsid w:val="00A6339E"/>
    <w:rsid w:val="00A637E7"/>
    <w:rsid w:val="00A6462B"/>
    <w:rsid w:val="00A6468C"/>
    <w:rsid w:val="00A64C94"/>
    <w:rsid w:val="00A65AB0"/>
    <w:rsid w:val="00A65D1D"/>
    <w:rsid w:val="00A66338"/>
    <w:rsid w:val="00A66548"/>
    <w:rsid w:val="00A6693E"/>
    <w:rsid w:val="00A70333"/>
    <w:rsid w:val="00A703B7"/>
    <w:rsid w:val="00A70F9C"/>
    <w:rsid w:val="00A71013"/>
    <w:rsid w:val="00A715DB"/>
    <w:rsid w:val="00A71619"/>
    <w:rsid w:val="00A72665"/>
    <w:rsid w:val="00A72F7E"/>
    <w:rsid w:val="00A730BA"/>
    <w:rsid w:val="00A7311C"/>
    <w:rsid w:val="00A738DC"/>
    <w:rsid w:val="00A73C55"/>
    <w:rsid w:val="00A73C67"/>
    <w:rsid w:val="00A73F9D"/>
    <w:rsid w:val="00A74049"/>
    <w:rsid w:val="00A75931"/>
    <w:rsid w:val="00A75FF5"/>
    <w:rsid w:val="00A76045"/>
    <w:rsid w:val="00A76202"/>
    <w:rsid w:val="00A7623D"/>
    <w:rsid w:val="00A76A8B"/>
    <w:rsid w:val="00A76C2C"/>
    <w:rsid w:val="00A76EDB"/>
    <w:rsid w:val="00A77B4C"/>
    <w:rsid w:val="00A8005F"/>
    <w:rsid w:val="00A80CA8"/>
    <w:rsid w:val="00A811BB"/>
    <w:rsid w:val="00A81799"/>
    <w:rsid w:val="00A81839"/>
    <w:rsid w:val="00A81E00"/>
    <w:rsid w:val="00A81E09"/>
    <w:rsid w:val="00A82C2A"/>
    <w:rsid w:val="00A83295"/>
    <w:rsid w:val="00A8456D"/>
    <w:rsid w:val="00A848E9"/>
    <w:rsid w:val="00A84DCB"/>
    <w:rsid w:val="00A850FD"/>
    <w:rsid w:val="00A856D6"/>
    <w:rsid w:val="00A85AE3"/>
    <w:rsid w:val="00A85C05"/>
    <w:rsid w:val="00A8727A"/>
    <w:rsid w:val="00A87307"/>
    <w:rsid w:val="00A879A8"/>
    <w:rsid w:val="00A87D7A"/>
    <w:rsid w:val="00A90E9C"/>
    <w:rsid w:val="00A912BF"/>
    <w:rsid w:val="00A9152D"/>
    <w:rsid w:val="00A91AD3"/>
    <w:rsid w:val="00A91EBA"/>
    <w:rsid w:val="00A92378"/>
    <w:rsid w:val="00A93065"/>
    <w:rsid w:val="00A93A07"/>
    <w:rsid w:val="00A93CBD"/>
    <w:rsid w:val="00A93E8A"/>
    <w:rsid w:val="00A94849"/>
    <w:rsid w:val="00A9488A"/>
    <w:rsid w:val="00A9555E"/>
    <w:rsid w:val="00A9573F"/>
    <w:rsid w:val="00A95B5F"/>
    <w:rsid w:val="00A95BC1"/>
    <w:rsid w:val="00A96595"/>
    <w:rsid w:val="00A96630"/>
    <w:rsid w:val="00A96C7D"/>
    <w:rsid w:val="00A97588"/>
    <w:rsid w:val="00A97C46"/>
    <w:rsid w:val="00AA023C"/>
    <w:rsid w:val="00AA1425"/>
    <w:rsid w:val="00AA16F8"/>
    <w:rsid w:val="00AA1F19"/>
    <w:rsid w:val="00AA20FB"/>
    <w:rsid w:val="00AA22D8"/>
    <w:rsid w:val="00AA26EB"/>
    <w:rsid w:val="00AA26FB"/>
    <w:rsid w:val="00AA2AB7"/>
    <w:rsid w:val="00AA2F31"/>
    <w:rsid w:val="00AA2F8A"/>
    <w:rsid w:val="00AA2FB0"/>
    <w:rsid w:val="00AA3D8C"/>
    <w:rsid w:val="00AA49D5"/>
    <w:rsid w:val="00AA4AED"/>
    <w:rsid w:val="00AA4D0F"/>
    <w:rsid w:val="00AA5226"/>
    <w:rsid w:val="00AA53A7"/>
    <w:rsid w:val="00AA54A4"/>
    <w:rsid w:val="00AA5A74"/>
    <w:rsid w:val="00AA7294"/>
    <w:rsid w:val="00AA787D"/>
    <w:rsid w:val="00AA7DFD"/>
    <w:rsid w:val="00AB01FE"/>
    <w:rsid w:val="00AB0558"/>
    <w:rsid w:val="00AB0BBC"/>
    <w:rsid w:val="00AB0D95"/>
    <w:rsid w:val="00AB0F65"/>
    <w:rsid w:val="00AB2131"/>
    <w:rsid w:val="00AB2593"/>
    <w:rsid w:val="00AB3A68"/>
    <w:rsid w:val="00AB3BB2"/>
    <w:rsid w:val="00AB41D8"/>
    <w:rsid w:val="00AB4EEB"/>
    <w:rsid w:val="00AB5141"/>
    <w:rsid w:val="00AB6F36"/>
    <w:rsid w:val="00AB7179"/>
    <w:rsid w:val="00AB7380"/>
    <w:rsid w:val="00AB7550"/>
    <w:rsid w:val="00AC04F7"/>
    <w:rsid w:val="00AC0C09"/>
    <w:rsid w:val="00AC1300"/>
    <w:rsid w:val="00AC17CA"/>
    <w:rsid w:val="00AC2005"/>
    <w:rsid w:val="00AC24EE"/>
    <w:rsid w:val="00AC260E"/>
    <w:rsid w:val="00AC2F47"/>
    <w:rsid w:val="00AC3122"/>
    <w:rsid w:val="00AC3128"/>
    <w:rsid w:val="00AC32C4"/>
    <w:rsid w:val="00AC3664"/>
    <w:rsid w:val="00AC3D79"/>
    <w:rsid w:val="00AC423F"/>
    <w:rsid w:val="00AC52D7"/>
    <w:rsid w:val="00AC5EC5"/>
    <w:rsid w:val="00AC6A45"/>
    <w:rsid w:val="00AC72AD"/>
    <w:rsid w:val="00AC7503"/>
    <w:rsid w:val="00AD196E"/>
    <w:rsid w:val="00AD212C"/>
    <w:rsid w:val="00AD231B"/>
    <w:rsid w:val="00AD2A9C"/>
    <w:rsid w:val="00AD2EC0"/>
    <w:rsid w:val="00AD37D9"/>
    <w:rsid w:val="00AD453C"/>
    <w:rsid w:val="00AD5D63"/>
    <w:rsid w:val="00AD5E3A"/>
    <w:rsid w:val="00AD614F"/>
    <w:rsid w:val="00AD669C"/>
    <w:rsid w:val="00AD67C1"/>
    <w:rsid w:val="00AD67EF"/>
    <w:rsid w:val="00AD6902"/>
    <w:rsid w:val="00AD75B9"/>
    <w:rsid w:val="00AD77CB"/>
    <w:rsid w:val="00AD7A5D"/>
    <w:rsid w:val="00AE00BC"/>
    <w:rsid w:val="00AE0A3D"/>
    <w:rsid w:val="00AE19B5"/>
    <w:rsid w:val="00AE1C6E"/>
    <w:rsid w:val="00AE2249"/>
    <w:rsid w:val="00AE22F0"/>
    <w:rsid w:val="00AE2D87"/>
    <w:rsid w:val="00AE2ECE"/>
    <w:rsid w:val="00AE3476"/>
    <w:rsid w:val="00AE34F4"/>
    <w:rsid w:val="00AE3663"/>
    <w:rsid w:val="00AE38CD"/>
    <w:rsid w:val="00AE399E"/>
    <w:rsid w:val="00AE3CE7"/>
    <w:rsid w:val="00AE5214"/>
    <w:rsid w:val="00AE5D0F"/>
    <w:rsid w:val="00AE5DCA"/>
    <w:rsid w:val="00AE6D6C"/>
    <w:rsid w:val="00AE7EB3"/>
    <w:rsid w:val="00AF0192"/>
    <w:rsid w:val="00AF1241"/>
    <w:rsid w:val="00AF19DD"/>
    <w:rsid w:val="00AF1E1F"/>
    <w:rsid w:val="00AF207C"/>
    <w:rsid w:val="00AF344E"/>
    <w:rsid w:val="00AF3A45"/>
    <w:rsid w:val="00AF3ACA"/>
    <w:rsid w:val="00AF3F57"/>
    <w:rsid w:val="00AF4E94"/>
    <w:rsid w:val="00AF6162"/>
    <w:rsid w:val="00AF70F7"/>
    <w:rsid w:val="00AF77F9"/>
    <w:rsid w:val="00AF7EB9"/>
    <w:rsid w:val="00B00191"/>
    <w:rsid w:val="00B003E9"/>
    <w:rsid w:val="00B007B8"/>
    <w:rsid w:val="00B018CB"/>
    <w:rsid w:val="00B024EE"/>
    <w:rsid w:val="00B046A3"/>
    <w:rsid w:val="00B053A5"/>
    <w:rsid w:val="00B06B3B"/>
    <w:rsid w:val="00B070C3"/>
    <w:rsid w:val="00B07609"/>
    <w:rsid w:val="00B07906"/>
    <w:rsid w:val="00B07D98"/>
    <w:rsid w:val="00B10ECE"/>
    <w:rsid w:val="00B1133A"/>
    <w:rsid w:val="00B12FD9"/>
    <w:rsid w:val="00B1316F"/>
    <w:rsid w:val="00B1391E"/>
    <w:rsid w:val="00B14231"/>
    <w:rsid w:val="00B148AD"/>
    <w:rsid w:val="00B151DC"/>
    <w:rsid w:val="00B1547D"/>
    <w:rsid w:val="00B16495"/>
    <w:rsid w:val="00B16613"/>
    <w:rsid w:val="00B1666F"/>
    <w:rsid w:val="00B16684"/>
    <w:rsid w:val="00B16A76"/>
    <w:rsid w:val="00B174D6"/>
    <w:rsid w:val="00B17E74"/>
    <w:rsid w:val="00B20BD6"/>
    <w:rsid w:val="00B215A2"/>
    <w:rsid w:val="00B2173A"/>
    <w:rsid w:val="00B21B68"/>
    <w:rsid w:val="00B22A7B"/>
    <w:rsid w:val="00B236F6"/>
    <w:rsid w:val="00B23853"/>
    <w:rsid w:val="00B24147"/>
    <w:rsid w:val="00B24296"/>
    <w:rsid w:val="00B24B5E"/>
    <w:rsid w:val="00B24C3E"/>
    <w:rsid w:val="00B25542"/>
    <w:rsid w:val="00B258AC"/>
    <w:rsid w:val="00B25E5E"/>
    <w:rsid w:val="00B264C1"/>
    <w:rsid w:val="00B26957"/>
    <w:rsid w:val="00B26E0A"/>
    <w:rsid w:val="00B2747B"/>
    <w:rsid w:val="00B2765B"/>
    <w:rsid w:val="00B30C1E"/>
    <w:rsid w:val="00B30FC2"/>
    <w:rsid w:val="00B3287B"/>
    <w:rsid w:val="00B33021"/>
    <w:rsid w:val="00B33149"/>
    <w:rsid w:val="00B332E1"/>
    <w:rsid w:val="00B33C0C"/>
    <w:rsid w:val="00B34958"/>
    <w:rsid w:val="00B35499"/>
    <w:rsid w:val="00B36A9D"/>
    <w:rsid w:val="00B36DD5"/>
    <w:rsid w:val="00B3741E"/>
    <w:rsid w:val="00B430F8"/>
    <w:rsid w:val="00B43645"/>
    <w:rsid w:val="00B43826"/>
    <w:rsid w:val="00B43A53"/>
    <w:rsid w:val="00B4432B"/>
    <w:rsid w:val="00B443C6"/>
    <w:rsid w:val="00B44490"/>
    <w:rsid w:val="00B44A3A"/>
    <w:rsid w:val="00B44A8F"/>
    <w:rsid w:val="00B44E77"/>
    <w:rsid w:val="00B46239"/>
    <w:rsid w:val="00B46BA4"/>
    <w:rsid w:val="00B46D87"/>
    <w:rsid w:val="00B47232"/>
    <w:rsid w:val="00B4738E"/>
    <w:rsid w:val="00B47AF0"/>
    <w:rsid w:val="00B47E0B"/>
    <w:rsid w:val="00B511ED"/>
    <w:rsid w:val="00B51524"/>
    <w:rsid w:val="00B5155C"/>
    <w:rsid w:val="00B5188D"/>
    <w:rsid w:val="00B51FDC"/>
    <w:rsid w:val="00B525E3"/>
    <w:rsid w:val="00B535AD"/>
    <w:rsid w:val="00B548AE"/>
    <w:rsid w:val="00B550BE"/>
    <w:rsid w:val="00B550FE"/>
    <w:rsid w:val="00B5526A"/>
    <w:rsid w:val="00B557BE"/>
    <w:rsid w:val="00B55A7F"/>
    <w:rsid w:val="00B56802"/>
    <w:rsid w:val="00B56BCC"/>
    <w:rsid w:val="00B56E5D"/>
    <w:rsid w:val="00B5737E"/>
    <w:rsid w:val="00B57DFC"/>
    <w:rsid w:val="00B6040C"/>
    <w:rsid w:val="00B6048D"/>
    <w:rsid w:val="00B60521"/>
    <w:rsid w:val="00B61BCF"/>
    <w:rsid w:val="00B62100"/>
    <w:rsid w:val="00B621A4"/>
    <w:rsid w:val="00B62207"/>
    <w:rsid w:val="00B6264E"/>
    <w:rsid w:val="00B629CF"/>
    <w:rsid w:val="00B63C0E"/>
    <w:rsid w:val="00B64193"/>
    <w:rsid w:val="00B6475B"/>
    <w:rsid w:val="00B65A62"/>
    <w:rsid w:val="00B65E5E"/>
    <w:rsid w:val="00B65E81"/>
    <w:rsid w:val="00B67128"/>
    <w:rsid w:val="00B67170"/>
    <w:rsid w:val="00B673B4"/>
    <w:rsid w:val="00B67CCA"/>
    <w:rsid w:val="00B70F46"/>
    <w:rsid w:val="00B7138F"/>
    <w:rsid w:val="00B71530"/>
    <w:rsid w:val="00B71E50"/>
    <w:rsid w:val="00B72164"/>
    <w:rsid w:val="00B722B1"/>
    <w:rsid w:val="00B730D5"/>
    <w:rsid w:val="00B73A58"/>
    <w:rsid w:val="00B73C0E"/>
    <w:rsid w:val="00B741DC"/>
    <w:rsid w:val="00B7422D"/>
    <w:rsid w:val="00B75152"/>
    <w:rsid w:val="00B76976"/>
    <w:rsid w:val="00B76D3E"/>
    <w:rsid w:val="00B76D63"/>
    <w:rsid w:val="00B77701"/>
    <w:rsid w:val="00B77E9F"/>
    <w:rsid w:val="00B81086"/>
    <w:rsid w:val="00B81262"/>
    <w:rsid w:val="00B812D4"/>
    <w:rsid w:val="00B81F67"/>
    <w:rsid w:val="00B8245E"/>
    <w:rsid w:val="00B82EDC"/>
    <w:rsid w:val="00B8387F"/>
    <w:rsid w:val="00B83BC4"/>
    <w:rsid w:val="00B83E8A"/>
    <w:rsid w:val="00B84561"/>
    <w:rsid w:val="00B849D9"/>
    <w:rsid w:val="00B86186"/>
    <w:rsid w:val="00B863D8"/>
    <w:rsid w:val="00B86FD4"/>
    <w:rsid w:val="00B87649"/>
    <w:rsid w:val="00B8784F"/>
    <w:rsid w:val="00B903BB"/>
    <w:rsid w:val="00B91562"/>
    <w:rsid w:val="00B91900"/>
    <w:rsid w:val="00B91D69"/>
    <w:rsid w:val="00B92246"/>
    <w:rsid w:val="00B9299F"/>
    <w:rsid w:val="00B935C6"/>
    <w:rsid w:val="00B93D82"/>
    <w:rsid w:val="00B94F1A"/>
    <w:rsid w:val="00B95994"/>
    <w:rsid w:val="00B95EBA"/>
    <w:rsid w:val="00B95FD2"/>
    <w:rsid w:val="00B9666C"/>
    <w:rsid w:val="00B97A1D"/>
    <w:rsid w:val="00B97C17"/>
    <w:rsid w:val="00BA0F6D"/>
    <w:rsid w:val="00BA3B3A"/>
    <w:rsid w:val="00BA3E19"/>
    <w:rsid w:val="00BA4608"/>
    <w:rsid w:val="00BA4B63"/>
    <w:rsid w:val="00BA4CCF"/>
    <w:rsid w:val="00BA4E53"/>
    <w:rsid w:val="00BA5008"/>
    <w:rsid w:val="00BA5531"/>
    <w:rsid w:val="00BA56EC"/>
    <w:rsid w:val="00BA57D1"/>
    <w:rsid w:val="00BA599E"/>
    <w:rsid w:val="00BA633F"/>
    <w:rsid w:val="00BA666A"/>
    <w:rsid w:val="00BA676F"/>
    <w:rsid w:val="00BA74B0"/>
    <w:rsid w:val="00BB0436"/>
    <w:rsid w:val="00BB09A4"/>
    <w:rsid w:val="00BB1646"/>
    <w:rsid w:val="00BB271C"/>
    <w:rsid w:val="00BB2951"/>
    <w:rsid w:val="00BB3544"/>
    <w:rsid w:val="00BB3E7C"/>
    <w:rsid w:val="00BB45F0"/>
    <w:rsid w:val="00BB5682"/>
    <w:rsid w:val="00BB611B"/>
    <w:rsid w:val="00BB6BCE"/>
    <w:rsid w:val="00BB740E"/>
    <w:rsid w:val="00BB74BD"/>
    <w:rsid w:val="00BB7502"/>
    <w:rsid w:val="00BB7780"/>
    <w:rsid w:val="00BB7A49"/>
    <w:rsid w:val="00BC01F4"/>
    <w:rsid w:val="00BC060F"/>
    <w:rsid w:val="00BC0D3C"/>
    <w:rsid w:val="00BC0EA5"/>
    <w:rsid w:val="00BC1B9D"/>
    <w:rsid w:val="00BC1CE4"/>
    <w:rsid w:val="00BC1EF8"/>
    <w:rsid w:val="00BC29A8"/>
    <w:rsid w:val="00BC4B1B"/>
    <w:rsid w:val="00BC507D"/>
    <w:rsid w:val="00BC5400"/>
    <w:rsid w:val="00BC59C0"/>
    <w:rsid w:val="00BC64CB"/>
    <w:rsid w:val="00BC6726"/>
    <w:rsid w:val="00BC6EAB"/>
    <w:rsid w:val="00BC707C"/>
    <w:rsid w:val="00BC71BE"/>
    <w:rsid w:val="00BC7409"/>
    <w:rsid w:val="00BC747A"/>
    <w:rsid w:val="00BC75C5"/>
    <w:rsid w:val="00BC78DD"/>
    <w:rsid w:val="00BC7E83"/>
    <w:rsid w:val="00BD0182"/>
    <w:rsid w:val="00BD0509"/>
    <w:rsid w:val="00BD0A39"/>
    <w:rsid w:val="00BD0E95"/>
    <w:rsid w:val="00BD0FDF"/>
    <w:rsid w:val="00BD1110"/>
    <w:rsid w:val="00BD139A"/>
    <w:rsid w:val="00BD1F07"/>
    <w:rsid w:val="00BD2309"/>
    <w:rsid w:val="00BD2400"/>
    <w:rsid w:val="00BD2697"/>
    <w:rsid w:val="00BD2E98"/>
    <w:rsid w:val="00BD427D"/>
    <w:rsid w:val="00BD428F"/>
    <w:rsid w:val="00BD4EB2"/>
    <w:rsid w:val="00BD6BEF"/>
    <w:rsid w:val="00BD7227"/>
    <w:rsid w:val="00BE0A3D"/>
    <w:rsid w:val="00BE20AA"/>
    <w:rsid w:val="00BE4AD0"/>
    <w:rsid w:val="00BE543A"/>
    <w:rsid w:val="00BE5617"/>
    <w:rsid w:val="00BE5A5D"/>
    <w:rsid w:val="00BE6567"/>
    <w:rsid w:val="00BE6926"/>
    <w:rsid w:val="00BE774F"/>
    <w:rsid w:val="00BE7B51"/>
    <w:rsid w:val="00BE7E2C"/>
    <w:rsid w:val="00BF0304"/>
    <w:rsid w:val="00BF090F"/>
    <w:rsid w:val="00BF228D"/>
    <w:rsid w:val="00BF2398"/>
    <w:rsid w:val="00BF261E"/>
    <w:rsid w:val="00BF3336"/>
    <w:rsid w:val="00BF3C06"/>
    <w:rsid w:val="00BF40AA"/>
    <w:rsid w:val="00BF4505"/>
    <w:rsid w:val="00BF4833"/>
    <w:rsid w:val="00BF526D"/>
    <w:rsid w:val="00BF55FD"/>
    <w:rsid w:val="00BF64A6"/>
    <w:rsid w:val="00BF6DC5"/>
    <w:rsid w:val="00BF7726"/>
    <w:rsid w:val="00BF7E04"/>
    <w:rsid w:val="00C00FD6"/>
    <w:rsid w:val="00C00FE5"/>
    <w:rsid w:val="00C01003"/>
    <w:rsid w:val="00C02A7C"/>
    <w:rsid w:val="00C03555"/>
    <w:rsid w:val="00C03A3A"/>
    <w:rsid w:val="00C03BC9"/>
    <w:rsid w:val="00C04160"/>
    <w:rsid w:val="00C041FC"/>
    <w:rsid w:val="00C042B2"/>
    <w:rsid w:val="00C05EDA"/>
    <w:rsid w:val="00C05F3D"/>
    <w:rsid w:val="00C06289"/>
    <w:rsid w:val="00C064FA"/>
    <w:rsid w:val="00C0665F"/>
    <w:rsid w:val="00C06C73"/>
    <w:rsid w:val="00C07F87"/>
    <w:rsid w:val="00C07FEE"/>
    <w:rsid w:val="00C100FB"/>
    <w:rsid w:val="00C101DF"/>
    <w:rsid w:val="00C10EBC"/>
    <w:rsid w:val="00C110F4"/>
    <w:rsid w:val="00C11499"/>
    <w:rsid w:val="00C11735"/>
    <w:rsid w:val="00C11988"/>
    <w:rsid w:val="00C11CFF"/>
    <w:rsid w:val="00C12448"/>
    <w:rsid w:val="00C12483"/>
    <w:rsid w:val="00C12756"/>
    <w:rsid w:val="00C130D6"/>
    <w:rsid w:val="00C13182"/>
    <w:rsid w:val="00C13237"/>
    <w:rsid w:val="00C15642"/>
    <w:rsid w:val="00C15A1E"/>
    <w:rsid w:val="00C1638D"/>
    <w:rsid w:val="00C16466"/>
    <w:rsid w:val="00C164F0"/>
    <w:rsid w:val="00C1763A"/>
    <w:rsid w:val="00C203CF"/>
    <w:rsid w:val="00C208C7"/>
    <w:rsid w:val="00C2276C"/>
    <w:rsid w:val="00C233D9"/>
    <w:rsid w:val="00C237E2"/>
    <w:rsid w:val="00C24625"/>
    <w:rsid w:val="00C24B10"/>
    <w:rsid w:val="00C25178"/>
    <w:rsid w:val="00C251CF"/>
    <w:rsid w:val="00C25683"/>
    <w:rsid w:val="00C2633F"/>
    <w:rsid w:val="00C264DE"/>
    <w:rsid w:val="00C26F4F"/>
    <w:rsid w:val="00C270B1"/>
    <w:rsid w:val="00C279ED"/>
    <w:rsid w:val="00C27D1B"/>
    <w:rsid w:val="00C27D61"/>
    <w:rsid w:val="00C302EB"/>
    <w:rsid w:val="00C303C2"/>
    <w:rsid w:val="00C30BF4"/>
    <w:rsid w:val="00C30C2E"/>
    <w:rsid w:val="00C31C10"/>
    <w:rsid w:val="00C3369C"/>
    <w:rsid w:val="00C338FB"/>
    <w:rsid w:val="00C33A5D"/>
    <w:rsid w:val="00C341D3"/>
    <w:rsid w:val="00C345E2"/>
    <w:rsid w:val="00C34E4B"/>
    <w:rsid w:val="00C355C2"/>
    <w:rsid w:val="00C35AF4"/>
    <w:rsid w:val="00C36098"/>
    <w:rsid w:val="00C36568"/>
    <w:rsid w:val="00C3664D"/>
    <w:rsid w:val="00C36930"/>
    <w:rsid w:val="00C373D7"/>
    <w:rsid w:val="00C377EB"/>
    <w:rsid w:val="00C379A8"/>
    <w:rsid w:val="00C402C1"/>
    <w:rsid w:val="00C40443"/>
    <w:rsid w:val="00C4047D"/>
    <w:rsid w:val="00C41838"/>
    <w:rsid w:val="00C43144"/>
    <w:rsid w:val="00C43472"/>
    <w:rsid w:val="00C437C3"/>
    <w:rsid w:val="00C4399B"/>
    <w:rsid w:val="00C43CE2"/>
    <w:rsid w:val="00C444D6"/>
    <w:rsid w:val="00C44EC9"/>
    <w:rsid w:val="00C451A3"/>
    <w:rsid w:val="00C456C8"/>
    <w:rsid w:val="00C45F63"/>
    <w:rsid w:val="00C461D7"/>
    <w:rsid w:val="00C46765"/>
    <w:rsid w:val="00C46C81"/>
    <w:rsid w:val="00C474D9"/>
    <w:rsid w:val="00C47A33"/>
    <w:rsid w:val="00C47B5B"/>
    <w:rsid w:val="00C500B5"/>
    <w:rsid w:val="00C51FCB"/>
    <w:rsid w:val="00C52725"/>
    <w:rsid w:val="00C5308D"/>
    <w:rsid w:val="00C5315E"/>
    <w:rsid w:val="00C53760"/>
    <w:rsid w:val="00C53D11"/>
    <w:rsid w:val="00C54CF3"/>
    <w:rsid w:val="00C55699"/>
    <w:rsid w:val="00C55985"/>
    <w:rsid w:val="00C56A13"/>
    <w:rsid w:val="00C57154"/>
    <w:rsid w:val="00C60316"/>
    <w:rsid w:val="00C60BF2"/>
    <w:rsid w:val="00C60D6B"/>
    <w:rsid w:val="00C6175A"/>
    <w:rsid w:val="00C62328"/>
    <w:rsid w:val="00C62BB1"/>
    <w:rsid w:val="00C62F27"/>
    <w:rsid w:val="00C62F79"/>
    <w:rsid w:val="00C634A8"/>
    <w:rsid w:val="00C6485B"/>
    <w:rsid w:val="00C659AE"/>
    <w:rsid w:val="00C66138"/>
    <w:rsid w:val="00C662B2"/>
    <w:rsid w:val="00C662C1"/>
    <w:rsid w:val="00C67246"/>
    <w:rsid w:val="00C67632"/>
    <w:rsid w:val="00C67EBA"/>
    <w:rsid w:val="00C70033"/>
    <w:rsid w:val="00C704F0"/>
    <w:rsid w:val="00C70F1D"/>
    <w:rsid w:val="00C70F9E"/>
    <w:rsid w:val="00C71538"/>
    <w:rsid w:val="00C722AF"/>
    <w:rsid w:val="00C72B23"/>
    <w:rsid w:val="00C72D9C"/>
    <w:rsid w:val="00C7344A"/>
    <w:rsid w:val="00C742EE"/>
    <w:rsid w:val="00C743F6"/>
    <w:rsid w:val="00C745C4"/>
    <w:rsid w:val="00C74BA9"/>
    <w:rsid w:val="00C758A4"/>
    <w:rsid w:val="00C758B4"/>
    <w:rsid w:val="00C760B4"/>
    <w:rsid w:val="00C76B8F"/>
    <w:rsid w:val="00C76BA6"/>
    <w:rsid w:val="00C77240"/>
    <w:rsid w:val="00C775A0"/>
    <w:rsid w:val="00C77859"/>
    <w:rsid w:val="00C778AD"/>
    <w:rsid w:val="00C77CE2"/>
    <w:rsid w:val="00C80038"/>
    <w:rsid w:val="00C80182"/>
    <w:rsid w:val="00C80600"/>
    <w:rsid w:val="00C80603"/>
    <w:rsid w:val="00C80AEA"/>
    <w:rsid w:val="00C81BD4"/>
    <w:rsid w:val="00C81DDD"/>
    <w:rsid w:val="00C84833"/>
    <w:rsid w:val="00C849E9"/>
    <w:rsid w:val="00C84D29"/>
    <w:rsid w:val="00C8501B"/>
    <w:rsid w:val="00C857D2"/>
    <w:rsid w:val="00C85919"/>
    <w:rsid w:val="00C87160"/>
    <w:rsid w:val="00C8744C"/>
    <w:rsid w:val="00C902AB"/>
    <w:rsid w:val="00C90510"/>
    <w:rsid w:val="00C90D63"/>
    <w:rsid w:val="00C9259C"/>
    <w:rsid w:val="00C933B2"/>
    <w:rsid w:val="00C937CF"/>
    <w:rsid w:val="00C94322"/>
    <w:rsid w:val="00C95400"/>
    <w:rsid w:val="00C95FBB"/>
    <w:rsid w:val="00C96610"/>
    <w:rsid w:val="00C970B7"/>
    <w:rsid w:val="00C97338"/>
    <w:rsid w:val="00C97557"/>
    <w:rsid w:val="00C97989"/>
    <w:rsid w:val="00CA1CF9"/>
    <w:rsid w:val="00CA3274"/>
    <w:rsid w:val="00CA34AA"/>
    <w:rsid w:val="00CA3F0F"/>
    <w:rsid w:val="00CA4273"/>
    <w:rsid w:val="00CA4C0F"/>
    <w:rsid w:val="00CA539A"/>
    <w:rsid w:val="00CA585E"/>
    <w:rsid w:val="00CA622B"/>
    <w:rsid w:val="00CA6641"/>
    <w:rsid w:val="00CA7B45"/>
    <w:rsid w:val="00CB05C5"/>
    <w:rsid w:val="00CB3E1A"/>
    <w:rsid w:val="00CB4121"/>
    <w:rsid w:val="00CB4C71"/>
    <w:rsid w:val="00CB5454"/>
    <w:rsid w:val="00CB54E4"/>
    <w:rsid w:val="00CB5C90"/>
    <w:rsid w:val="00CB61BB"/>
    <w:rsid w:val="00CB65F4"/>
    <w:rsid w:val="00CB76C4"/>
    <w:rsid w:val="00CB76F2"/>
    <w:rsid w:val="00CB7D12"/>
    <w:rsid w:val="00CC0128"/>
    <w:rsid w:val="00CC097B"/>
    <w:rsid w:val="00CC0BB8"/>
    <w:rsid w:val="00CC11FD"/>
    <w:rsid w:val="00CC16E5"/>
    <w:rsid w:val="00CC21C0"/>
    <w:rsid w:val="00CC2631"/>
    <w:rsid w:val="00CC277D"/>
    <w:rsid w:val="00CC299E"/>
    <w:rsid w:val="00CC4CDE"/>
    <w:rsid w:val="00CC4FDD"/>
    <w:rsid w:val="00CC5217"/>
    <w:rsid w:val="00CC5DEE"/>
    <w:rsid w:val="00CC5E03"/>
    <w:rsid w:val="00CC69D4"/>
    <w:rsid w:val="00CC6DD9"/>
    <w:rsid w:val="00CC763A"/>
    <w:rsid w:val="00CC7A32"/>
    <w:rsid w:val="00CD0A4D"/>
    <w:rsid w:val="00CD105D"/>
    <w:rsid w:val="00CD13E3"/>
    <w:rsid w:val="00CD2233"/>
    <w:rsid w:val="00CD29F1"/>
    <w:rsid w:val="00CD2A79"/>
    <w:rsid w:val="00CD2A87"/>
    <w:rsid w:val="00CD3240"/>
    <w:rsid w:val="00CD4590"/>
    <w:rsid w:val="00CD504C"/>
    <w:rsid w:val="00CD51A8"/>
    <w:rsid w:val="00CD57C8"/>
    <w:rsid w:val="00CD5940"/>
    <w:rsid w:val="00CD6028"/>
    <w:rsid w:val="00CD62E6"/>
    <w:rsid w:val="00CD7F86"/>
    <w:rsid w:val="00CE05F0"/>
    <w:rsid w:val="00CE0BF2"/>
    <w:rsid w:val="00CE1B2B"/>
    <w:rsid w:val="00CE2B6A"/>
    <w:rsid w:val="00CE3194"/>
    <w:rsid w:val="00CE3B5D"/>
    <w:rsid w:val="00CE402F"/>
    <w:rsid w:val="00CE42ED"/>
    <w:rsid w:val="00CE4642"/>
    <w:rsid w:val="00CE46FD"/>
    <w:rsid w:val="00CE4D67"/>
    <w:rsid w:val="00CE52DD"/>
    <w:rsid w:val="00CE6818"/>
    <w:rsid w:val="00CE68B9"/>
    <w:rsid w:val="00CE785F"/>
    <w:rsid w:val="00CE7CA1"/>
    <w:rsid w:val="00CE7F93"/>
    <w:rsid w:val="00CF0434"/>
    <w:rsid w:val="00CF0472"/>
    <w:rsid w:val="00CF05A0"/>
    <w:rsid w:val="00CF06CE"/>
    <w:rsid w:val="00CF07C9"/>
    <w:rsid w:val="00CF1072"/>
    <w:rsid w:val="00CF13B0"/>
    <w:rsid w:val="00CF17A8"/>
    <w:rsid w:val="00CF1AD3"/>
    <w:rsid w:val="00CF1BDF"/>
    <w:rsid w:val="00CF2C51"/>
    <w:rsid w:val="00CF33EA"/>
    <w:rsid w:val="00CF34D7"/>
    <w:rsid w:val="00CF354C"/>
    <w:rsid w:val="00CF3687"/>
    <w:rsid w:val="00CF48AE"/>
    <w:rsid w:val="00CF49EF"/>
    <w:rsid w:val="00CF5009"/>
    <w:rsid w:val="00CF5E15"/>
    <w:rsid w:val="00CF6279"/>
    <w:rsid w:val="00CF79A4"/>
    <w:rsid w:val="00CF7B3B"/>
    <w:rsid w:val="00CF7F42"/>
    <w:rsid w:val="00D00180"/>
    <w:rsid w:val="00D008AC"/>
    <w:rsid w:val="00D00A28"/>
    <w:rsid w:val="00D0110B"/>
    <w:rsid w:val="00D014B5"/>
    <w:rsid w:val="00D01664"/>
    <w:rsid w:val="00D01B6E"/>
    <w:rsid w:val="00D01C03"/>
    <w:rsid w:val="00D025CD"/>
    <w:rsid w:val="00D04C1B"/>
    <w:rsid w:val="00D04C6E"/>
    <w:rsid w:val="00D05E4F"/>
    <w:rsid w:val="00D06021"/>
    <w:rsid w:val="00D06046"/>
    <w:rsid w:val="00D06247"/>
    <w:rsid w:val="00D066BF"/>
    <w:rsid w:val="00D069ED"/>
    <w:rsid w:val="00D07A11"/>
    <w:rsid w:val="00D10BC9"/>
    <w:rsid w:val="00D112DC"/>
    <w:rsid w:val="00D11372"/>
    <w:rsid w:val="00D1171F"/>
    <w:rsid w:val="00D12AB0"/>
    <w:rsid w:val="00D13A45"/>
    <w:rsid w:val="00D14215"/>
    <w:rsid w:val="00D14631"/>
    <w:rsid w:val="00D147C5"/>
    <w:rsid w:val="00D14FCD"/>
    <w:rsid w:val="00D167BB"/>
    <w:rsid w:val="00D16DDA"/>
    <w:rsid w:val="00D17457"/>
    <w:rsid w:val="00D179BC"/>
    <w:rsid w:val="00D2132E"/>
    <w:rsid w:val="00D2137E"/>
    <w:rsid w:val="00D215CF"/>
    <w:rsid w:val="00D21C14"/>
    <w:rsid w:val="00D21C41"/>
    <w:rsid w:val="00D21D8D"/>
    <w:rsid w:val="00D22758"/>
    <w:rsid w:val="00D228F8"/>
    <w:rsid w:val="00D23065"/>
    <w:rsid w:val="00D230AB"/>
    <w:rsid w:val="00D242BA"/>
    <w:rsid w:val="00D24E72"/>
    <w:rsid w:val="00D2595C"/>
    <w:rsid w:val="00D267F6"/>
    <w:rsid w:val="00D26EA6"/>
    <w:rsid w:val="00D2728B"/>
    <w:rsid w:val="00D300D2"/>
    <w:rsid w:val="00D302C6"/>
    <w:rsid w:val="00D3053A"/>
    <w:rsid w:val="00D30E49"/>
    <w:rsid w:val="00D3141F"/>
    <w:rsid w:val="00D32129"/>
    <w:rsid w:val="00D32289"/>
    <w:rsid w:val="00D32439"/>
    <w:rsid w:val="00D32786"/>
    <w:rsid w:val="00D32D6B"/>
    <w:rsid w:val="00D32FA0"/>
    <w:rsid w:val="00D333F6"/>
    <w:rsid w:val="00D33D46"/>
    <w:rsid w:val="00D3445B"/>
    <w:rsid w:val="00D34F50"/>
    <w:rsid w:val="00D35021"/>
    <w:rsid w:val="00D356D0"/>
    <w:rsid w:val="00D358AB"/>
    <w:rsid w:val="00D3596F"/>
    <w:rsid w:val="00D36FD2"/>
    <w:rsid w:val="00D375D5"/>
    <w:rsid w:val="00D37B75"/>
    <w:rsid w:val="00D4013D"/>
    <w:rsid w:val="00D41000"/>
    <w:rsid w:val="00D41A05"/>
    <w:rsid w:val="00D41EC4"/>
    <w:rsid w:val="00D41F27"/>
    <w:rsid w:val="00D4270D"/>
    <w:rsid w:val="00D42D9F"/>
    <w:rsid w:val="00D42DA5"/>
    <w:rsid w:val="00D42DDF"/>
    <w:rsid w:val="00D43AF3"/>
    <w:rsid w:val="00D44DEA"/>
    <w:rsid w:val="00D45387"/>
    <w:rsid w:val="00D45484"/>
    <w:rsid w:val="00D459CE"/>
    <w:rsid w:val="00D461AE"/>
    <w:rsid w:val="00D5052D"/>
    <w:rsid w:val="00D52173"/>
    <w:rsid w:val="00D524BC"/>
    <w:rsid w:val="00D52BED"/>
    <w:rsid w:val="00D5312A"/>
    <w:rsid w:val="00D5320D"/>
    <w:rsid w:val="00D534E2"/>
    <w:rsid w:val="00D5390D"/>
    <w:rsid w:val="00D5407A"/>
    <w:rsid w:val="00D54201"/>
    <w:rsid w:val="00D54F76"/>
    <w:rsid w:val="00D556CF"/>
    <w:rsid w:val="00D55F86"/>
    <w:rsid w:val="00D56039"/>
    <w:rsid w:val="00D566C7"/>
    <w:rsid w:val="00D56A9A"/>
    <w:rsid w:val="00D57678"/>
    <w:rsid w:val="00D57BD3"/>
    <w:rsid w:val="00D611B1"/>
    <w:rsid w:val="00D61669"/>
    <w:rsid w:val="00D619CD"/>
    <w:rsid w:val="00D61A2F"/>
    <w:rsid w:val="00D62342"/>
    <w:rsid w:val="00D6274C"/>
    <w:rsid w:val="00D62E4C"/>
    <w:rsid w:val="00D64262"/>
    <w:rsid w:val="00D64520"/>
    <w:rsid w:val="00D652DC"/>
    <w:rsid w:val="00D66545"/>
    <w:rsid w:val="00D66839"/>
    <w:rsid w:val="00D6697B"/>
    <w:rsid w:val="00D6740F"/>
    <w:rsid w:val="00D679DC"/>
    <w:rsid w:val="00D7161C"/>
    <w:rsid w:val="00D71C9C"/>
    <w:rsid w:val="00D725FD"/>
    <w:rsid w:val="00D736A0"/>
    <w:rsid w:val="00D73847"/>
    <w:rsid w:val="00D738D4"/>
    <w:rsid w:val="00D74577"/>
    <w:rsid w:val="00D74691"/>
    <w:rsid w:val="00D75739"/>
    <w:rsid w:val="00D75CB4"/>
    <w:rsid w:val="00D75EAB"/>
    <w:rsid w:val="00D75EEC"/>
    <w:rsid w:val="00D764C0"/>
    <w:rsid w:val="00D77269"/>
    <w:rsid w:val="00D808A2"/>
    <w:rsid w:val="00D80A24"/>
    <w:rsid w:val="00D81902"/>
    <w:rsid w:val="00D81C02"/>
    <w:rsid w:val="00D81C22"/>
    <w:rsid w:val="00D81F20"/>
    <w:rsid w:val="00D82DF3"/>
    <w:rsid w:val="00D8348D"/>
    <w:rsid w:val="00D836AB"/>
    <w:rsid w:val="00D83C16"/>
    <w:rsid w:val="00D84A79"/>
    <w:rsid w:val="00D85731"/>
    <w:rsid w:val="00D859CB"/>
    <w:rsid w:val="00D85DE4"/>
    <w:rsid w:val="00D86B49"/>
    <w:rsid w:val="00D87194"/>
    <w:rsid w:val="00D87BAC"/>
    <w:rsid w:val="00D87ECF"/>
    <w:rsid w:val="00D9122F"/>
    <w:rsid w:val="00D91595"/>
    <w:rsid w:val="00D91DBE"/>
    <w:rsid w:val="00D91FD0"/>
    <w:rsid w:val="00D91FE3"/>
    <w:rsid w:val="00D922E9"/>
    <w:rsid w:val="00D9270F"/>
    <w:rsid w:val="00D927C7"/>
    <w:rsid w:val="00D92B5E"/>
    <w:rsid w:val="00D931B8"/>
    <w:rsid w:val="00D94243"/>
    <w:rsid w:val="00D945B7"/>
    <w:rsid w:val="00D950DC"/>
    <w:rsid w:val="00D95DCF"/>
    <w:rsid w:val="00D95EE9"/>
    <w:rsid w:val="00D9629A"/>
    <w:rsid w:val="00D96315"/>
    <w:rsid w:val="00D96A5D"/>
    <w:rsid w:val="00D977C7"/>
    <w:rsid w:val="00DA2118"/>
    <w:rsid w:val="00DA2619"/>
    <w:rsid w:val="00DA26DC"/>
    <w:rsid w:val="00DA2971"/>
    <w:rsid w:val="00DA321D"/>
    <w:rsid w:val="00DA362F"/>
    <w:rsid w:val="00DA3CDE"/>
    <w:rsid w:val="00DA51F6"/>
    <w:rsid w:val="00DA57CB"/>
    <w:rsid w:val="00DA63C1"/>
    <w:rsid w:val="00DA7FBE"/>
    <w:rsid w:val="00DB0509"/>
    <w:rsid w:val="00DB0712"/>
    <w:rsid w:val="00DB0FC5"/>
    <w:rsid w:val="00DB14D3"/>
    <w:rsid w:val="00DB211D"/>
    <w:rsid w:val="00DB227B"/>
    <w:rsid w:val="00DB422B"/>
    <w:rsid w:val="00DB47E2"/>
    <w:rsid w:val="00DB496C"/>
    <w:rsid w:val="00DB5629"/>
    <w:rsid w:val="00DB5859"/>
    <w:rsid w:val="00DB5F39"/>
    <w:rsid w:val="00DB61D0"/>
    <w:rsid w:val="00DB7531"/>
    <w:rsid w:val="00DB7B81"/>
    <w:rsid w:val="00DB7D04"/>
    <w:rsid w:val="00DC0038"/>
    <w:rsid w:val="00DC0179"/>
    <w:rsid w:val="00DC053A"/>
    <w:rsid w:val="00DC0849"/>
    <w:rsid w:val="00DC118C"/>
    <w:rsid w:val="00DC13E7"/>
    <w:rsid w:val="00DC16DE"/>
    <w:rsid w:val="00DC1975"/>
    <w:rsid w:val="00DC299E"/>
    <w:rsid w:val="00DC2B7F"/>
    <w:rsid w:val="00DC4029"/>
    <w:rsid w:val="00DC4CD4"/>
    <w:rsid w:val="00DC4E40"/>
    <w:rsid w:val="00DC5386"/>
    <w:rsid w:val="00DC5549"/>
    <w:rsid w:val="00DC59D2"/>
    <w:rsid w:val="00DC5DDC"/>
    <w:rsid w:val="00DC6AE3"/>
    <w:rsid w:val="00DC70A4"/>
    <w:rsid w:val="00DC736F"/>
    <w:rsid w:val="00DC7C4D"/>
    <w:rsid w:val="00DC7D92"/>
    <w:rsid w:val="00DD01B3"/>
    <w:rsid w:val="00DD1588"/>
    <w:rsid w:val="00DD15EE"/>
    <w:rsid w:val="00DD1ACA"/>
    <w:rsid w:val="00DD2915"/>
    <w:rsid w:val="00DD2A4C"/>
    <w:rsid w:val="00DD4BE1"/>
    <w:rsid w:val="00DD504D"/>
    <w:rsid w:val="00DD57BB"/>
    <w:rsid w:val="00DD5A38"/>
    <w:rsid w:val="00DD5EE2"/>
    <w:rsid w:val="00DD628B"/>
    <w:rsid w:val="00DD6C8E"/>
    <w:rsid w:val="00DD6CEC"/>
    <w:rsid w:val="00DD6E4B"/>
    <w:rsid w:val="00DD734D"/>
    <w:rsid w:val="00DD75B4"/>
    <w:rsid w:val="00DD7C0E"/>
    <w:rsid w:val="00DD7D9F"/>
    <w:rsid w:val="00DE04CA"/>
    <w:rsid w:val="00DE05BB"/>
    <w:rsid w:val="00DE1739"/>
    <w:rsid w:val="00DE19CD"/>
    <w:rsid w:val="00DE1A53"/>
    <w:rsid w:val="00DE1C14"/>
    <w:rsid w:val="00DE1D67"/>
    <w:rsid w:val="00DE236E"/>
    <w:rsid w:val="00DE3B21"/>
    <w:rsid w:val="00DE3E7B"/>
    <w:rsid w:val="00DE469A"/>
    <w:rsid w:val="00DE4775"/>
    <w:rsid w:val="00DE4DE2"/>
    <w:rsid w:val="00DE4E8A"/>
    <w:rsid w:val="00DE601D"/>
    <w:rsid w:val="00DE6422"/>
    <w:rsid w:val="00DE6F8C"/>
    <w:rsid w:val="00DF0111"/>
    <w:rsid w:val="00DF04E8"/>
    <w:rsid w:val="00DF05DB"/>
    <w:rsid w:val="00DF136A"/>
    <w:rsid w:val="00DF158A"/>
    <w:rsid w:val="00DF1D5F"/>
    <w:rsid w:val="00DF1E4C"/>
    <w:rsid w:val="00DF280C"/>
    <w:rsid w:val="00DF2BD7"/>
    <w:rsid w:val="00DF3A19"/>
    <w:rsid w:val="00DF4503"/>
    <w:rsid w:val="00DF4792"/>
    <w:rsid w:val="00DF4C17"/>
    <w:rsid w:val="00DF5E2D"/>
    <w:rsid w:val="00DF672B"/>
    <w:rsid w:val="00DF6745"/>
    <w:rsid w:val="00DF69DE"/>
    <w:rsid w:val="00DF7CDC"/>
    <w:rsid w:val="00DF7F5B"/>
    <w:rsid w:val="00E003C4"/>
    <w:rsid w:val="00E00C11"/>
    <w:rsid w:val="00E00E3C"/>
    <w:rsid w:val="00E01503"/>
    <w:rsid w:val="00E0154F"/>
    <w:rsid w:val="00E0167D"/>
    <w:rsid w:val="00E01BB1"/>
    <w:rsid w:val="00E02054"/>
    <w:rsid w:val="00E0273A"/>
    <w:rsid w:val="00E02B1E"/>
    <w:rsid w:val="00E03700"/>
    <w:rsid w:val="00E03EB3"/>
    <w:rsid w:val="00E0471D"/>
    <w:rsid w:val="00E054F8"/>
    <w:rsid w:val="00E05766"/>
    <w:rsid w:val="00E06921"/>
    <w:rsid w:val="00E071B9"/>
    <w:rsid w:val="00E074E6"/>
    <w:rsid w:val="00E1019F"/>
    <w:rsid w:val="00E10519"/>
    <w:rsid w:val="00E1210C"/>
    <w:rsid w:val="00E12609"/>
    <w:rsid w:val="00E13486"/>
    <w:rsid w:val="00E14D02"/>
    <w:rsid w:val="00E15F3F"/>
    <w:rsid w:val="00E1677D"/>
    <w:rsid w:val="00E16FFA"/>
    <w:rsid w:val="00E20078"/>
    <w:rsid w:val="00E20A76"/>
    <w:rsid w:val="00E21379"/>
    <w:rsid w:val="00E219D0"/>
    <w:rsid w:val="00E21C85"/>
    <w:rsid w:val="00E22A64"/>
    <w:rsid w:val="00E22B51"/>
    <w:rsid w:val="00E234D4"/>
    <w:rsid w:val="00E2378D"/>
    <w:rsid w:val="00E24A01"/>
    <w:rsid w:val="00E24BBE"/>
    <w:rsid w:val="00E2512A"/>
    <w:rsid w:val="00E2538D"/>
    <w:rsid w:val="00E25708"/>
    <w:rsid w:val="00E26C7C"/>
    <w:rsid w:val="00E26FD4"/>
    <w:rsid w:val="00E2718E"/>
    <w:rsid w:val="00E27B46"/>
    <w:rsid w:val="00E27B81"/>
    <w:rsid w:val="00E3025E"/>
    <w:rsid w:val="00E303D8"/>
    <w:rsid w:val="00E30610"/>
    <w:rsid w:val="00E30896"/>
    <w:rsid w:val="00E3129E"/>
    <w:rsid w:val="00E31EC6"/>
    <w:rsid w:val="00E32A3D"/>
    <w:rsid w:val="00E32C2C"/>
    <w:rsid w:val="00E3305A"/>
    <w:rsid w:val="00E332C5"/>
    <w:rsid w:val="00E33DA8"/>
    <w:rsid w:val="00E33E74"/>
    <w:rsid w:val="00E34AA6"/>
    <w:rsid w:val="00E34F28"/>
    <w:rsid w:val="00E34F2E"/>
    <w:rsid w:val="00E350B3"/>
    <w:rsid w:val="00E36385"/>
    <w:rsid w:val="00E36918"/>
    <w:rsid w:val="00E36CDA"/>
    <w:rsid w:val="00E3766A"/>
    <w:rsid w:val="00E377DE"/>
    <w:rsid w:val="00E40324"/>
    <w:rsid w:val="00E417ED"/>
    <w:rsid w:val="00E41CA3"/>
    <w:rsid w:val="00E41F28"/>
    <w:rsid w:val="00E42050"/>
    <w:rsid w:val="00E42088"/>
    <w:rsid w:val="00E42739"/>
    <w:rsid w:val="00E429B7"/>
    <w:rsid w:val="00E42AC2"/>
    <w:rsid w:val="00E42C59"/>
    <w:rsid w:val="00E431C9"/>
    <w:rsid w:val="00E44B2B"/>
    <w:rsid w:val="00E44C96"/>
    <w:rsid w:val="00E45374"/>
    <w:rsid w:val="00E45439"/>
    <w:rsid w:val="00E45476"/>
    <w:rsid w:val="00E455E0"/>
    <w:rsid w:val="00E4594D"/>
    <w:rsid w:val="00E46CB3"/>
    <w:rsid w:val="00E46DE0"/>
    <w:rsid w:val="00E5000A"/>
    <w:rsid w:val="00E501EA"/>
    <w:rsid w:val="00E51466"/>
    <w:rsid w:val="00E51C0E"/>
    <w:rsid w:val="00E5322E"/>
    <w:rsid w:val="00E53519"/>
    <w:rsid w:val="00E536CA"/>
    <w:rsid w:val="00E53908"/>
    <w:rsid w:val="00E53A12"/>
    <w:rsid w:val="00E54074"/>
    <w:rsid w:val="00E55070"/>
    <w:rsid w:val="00E55A35"/>
    <w:rsid w:val="00E5634D"/>
    <w:rsid w:val="00E60CB4"/>
    <w:rsid w:val="00E61094"/>
    <w:rsid w:val="00E6118E"/>
    <w:rsid w:val="00E61967"/>
    <w:rsid w:val="00E61CBA"/>
    <w:rsid w:val="00E620DF"/>
    <w:rsid w:val="00E62595"/>
    <w:rsid w:val="00E6263E"/>
    <w:rsid w:val="00E6311D"/>
    <w:rsid w:val="00E6411A"/>
    <w:rsid w:val="00E64333"/>
    <w:rsid w:val="00E6436B"/>
    <w:rsid w:val="00E6455B"/>
    <w:rsid w:val="00E648EE"/>
    <w:rsid w:val="00E64AE7"/>
    <w:rsid w:val="00E64DBE"/>
    <w:rsid w:val="00E6589A"/>
    <w:rsid w:val="00E65D82"/>
    <w:rsid w:val="00E660CB"/>
    <w:rsid w:val="00E67C9B"/>
    <w:rsid w:val="00E67EF5"/>
    <w:rsid w:val="00E70244"/>
    <w:rsid w:val="00E70564"/>
    <w:rsid w:val="00E7076A"/>
    <w:rsid w:val="00E70D95"/>
    <w:rsid w:val="00E718E1"/>
    <w:rsid w:val="00E71DF0"/>
    <w:rsid w:val="00E71EEE"/>
    <w:rsid w:val="00E71FFB"/>
    <w:rsid w:val="00E72005"/>
    <w:rsid w:val="00E748F6"/>
    <w:rsid w:val="00E755B0"/>
    <w:rsid w:val="00E7584C"/>
    <w:rsid w:val="00E75E06"/>
    <w:rsid w:val="00E75ED1"/>
    <w:rsid w:val="00E76060"/>
    <w:rsid w:val="00E76493"/>
    <w:rsid w:val="00E80202"/>
    <w:rsid w:val="00E802A3"/>
    <w:rsid w:val="00E80365"/>
    <w:rsid w:val="00E82C72"/>
    <w:rsid w:val="00E82CDC"/>
    <w:rsid w:val="00E830ED"/>
    <w:rsid w:val="00E83641"/>
    <w:rsid w:val="00E83B8C"/>
    <w:rsid w:val="00E84C9C"/>
    <w:rsid w:val="00E856E9"/>
    <w:rsid w:val="00E8593D"/>
    <w:rsid w:val="00E86C14"/>
    <w:rsid w:val="00E8773B"/>
    <w:rsid w:val="00E87BD5"/>
    <w:rsid w:val="00E90014"/>
    <w:rsid w:val="00E91A21"/>
    <w:rsid w:val="00E92D39"/>
    <w:rsid w:val="00E931A0"/>
    <w:rsid w:val="00E93566"/>
    <w:rsid w:val="00E93A27"/>
    <w:rsid w:val="00E93A8D"/>
    <w:rsid w:val="00E94AC2"/>
    <w:rsid w:val="00E951F3"/>
    <w:rsid w:val="00E95F76"/>
    <w:rsid w:val="00E9631E"/>
    <w:rsid w:val="00E96982"/>
    <w:rsid w:val="00E97F59"/>
    <w:rsid w:val="00EA022A"/>
    <w:rsid w:val="00EA04EC"/>
    <w:rsid w:val="00EA0D90"/>
    <w:rsid w:val="00EA1414"/>
    <w:rsid w:val="00EA191A"/>
    <w:rsid w:val="00EA29A4"/>
    <w:rsid w:val="00EA58D3"/>
    <w:rsid w:val="00EA62A4"/>
    <w:rsid w:val="00EA7457"/>
    <w:rsid w:val="00EA7A9A"/>
    <w:rsid w:val="00EA7AC3"/>
    <w:rsid w:val="00EA7CEB"/>
    <w:rsid w:val="00EB0223"/>
    <w:rsid w:val="00EB2D4B"/>
    <w:rsid w:val="00EB3555"/>
    <w:rsid w:val="00EB3B80"/>
    <w:rsid w:val="00EB51A8"/>
    <w:rsid w:val="00EB5563"/>
    <w:rsid w:val="00EB5DCE"/>
    <w:rsid w:val="00EB6539"/>
    <w:rsid w:val="00EB6B1F"/>
    <w:rsid w:val="00EB7DF0"/>
    <w:rsid w:val="00EC0068"/>
    <w:rsid w:val="00EC128F"/>
    <w:rsid w:val="00EC12E4"/>
    <w:rsid w:val="00EC17E2"/>
    <w:rsid w:val="00EC23C7"/>
    <w:rsid w:val="00EC23E4"/>
    <w:rsid w:val="00EC2AAF"/>
    <w:rsid w:val="00EC2CF6"/>
    <w:rsid w:val="00EC3279"/>
    <w:rsid w:val="00EC3E4A"/>
    <w:rsid w:val="00EC4077"/>
    <w:rsid w:val="00EC5112"/>
    <w:rsid w:val="00EC62D0"/>
    <w:rsid w:val="00EC7031"/>
    <w:rsid w:val="00ED0CD3"/>
    <w:rsid w:val="00ED0E67"/>
    <w:rsid w:val="00ED1270"/>
    <w:rsid w:val="00ED1446"/>
    <w:rsid w:val="00ED1CD5"/>
    <w:rsid w:val="00ED207C"/>
    <w:rsid w:val="00ED31A8"/>
    <w:rsid w:val="00ED36D3"/>
    <w:rsid w:val="00ED3F50"/>
    <w:rsid w:val="00ED3F79"/>
    <w:rsid w:val="00ED44CE"/>
    <w:rsid w:val="00ED4CAB"/>
    <w:rsid w:val="00ED5317"/>
    <w:rsid w:val="00ED64F6"/>
    <w:rsid w:val="00ED6D28"/>
    <w:rsid w:val="00ED7A8F"/>
    <w:rsid w:val="00EE0215"/>
    <w:rsid w:val="00EE0858"/>
    <w:rsid w:val="00EE08D4"/>
    <w:rsid w:val="00EE0C3C"/>
    <w:rsid w:val="00EE0D22"/>
    <w:rsid w:val="00EE1C9E"/>
    <w:rsid w:val="00EE1F0A"/>
    <w:rsid w:val="00EE2595"/>
    <w:rsid w:val="00EE2601"/>
    <w:rsid w:val="00EE2C2D"/>
    <w:rsid w:val="00EE31F5"/>
    <w:rsid w:val="00EE399E"/>
    <w:rsid w:val="00EE48E9"/>
    <w:rsid w:val="00EE505C"/>
    <w:rsid w:val="00EE5E08"/>
    <w:rsid w:val="00EE600D"/>
    <w:rsid w:val="00EF101C"/>
    <w:rsid w:val="00EF1216"/>
    <w:rsid w:val="00EF2B6A"/>
    <w:rsid w:val="00EF2D06"/>
    <w:rsid w:val="00EF3378"/>
    <w:rsid w:val="00EF35F5"/>
    <w:rsid w:val="00EF373A"/>
    <w:rsid w:val="00EF4335"/>
    <w:rsid w:val="00EF53CA"/>
    <w:rsid w:val="00EF5437"/>
    <w:rsid w:val="00EF56AA"/>
    <w:rsid w:val="00EF6315"/>
    <w:rsid w:val="00EF70AE"/>
    <w:rsid w:val="00EF73E5"/>
    <w:rsid w:val="00EF75C3"/>
    <w:rsid w:val="00EF7CCE"/>
    <w:rsid w:val="00EF7FEE"/>
    <w:rsid w:val="00F003C8"/>
    <w:rsid w:val="00F00AAA"/>
    <w:rsid w:val="00F01920"/>
    <w:rsid w:val="00F01B08"/>
    <w:rsid w:val="00F02B2A"/>
    <w:rsid w:val="00F02CC8"/>
    <w:rsid w:val="00F035ED"/>
    <w:rsid w:val="00F04B4A"/>
    <w:rsid w:val="00F05CA1"/>
    <w:rsid w:val="00F05CBC"/>
    <w:rsid w:val="00F0677E"/>
    <w:rsid w:val="00F06D64"/>
    <w:rsid w:val="00F07EE5"/>
    <w:rsid w:val="00F103AE"/>
    <w:rsid w:val="00F10469"/>
    <w:rsid w:val="00F10AD0"/>
    <w:rsid w:val="00F1101E"/>
    <w:rsid w:val="00F118A5"/>
    <w:rsid w:val="00F11BB1"/>
    <w:rsid w:val="00F122AA"/>
    <w:rsid w:val="00F12C0D"/>
    <w:rsid w:val="00F13F06"/>
    <w:rsid w:val="00F158C8"/>
    <w:rsid w:val="00F15E7C"/>
    <w:rsid w:val="00F16174"/>
    <w:rsid w:val="00F162D2"/>
    <w:rsid w:val="00F16757"/>
    <w:rsid w:val="00F168BF"/>
    <w:rsid w:val="00F201C3"/>
    <w:rsid w:val="00F2117F"/>
    <w:rsid w:val="00F21409"/>
    <w:rsid w:val="00F2142D"/>
    <w:rsid w:val="00F244C3"/>
    <w:rsid w:val="00F24AF9"/>
    <w:rsid w:val="00F24FBB"/>
    <w:rsid w:val="00F25DA5"/>
    <w:rsid w:val="00F2686E"/>
    <w:rsid w:val="00F27506"/>
    <w:rsid w:val="00F3292E"/>
    <w:rsid w:val="00F32DC7"/>
    <w:rsid w:val="00F33281"/>
    <w:rsid w:val="00F338A8"/>
    <w:rsid w:val="00F33D52"/>
    <w:rsid w:val="00F3403E"/>
    <w:rsid w:val="00F3436B"/>
    <w:rsid w:val="00F3680E"/>
    <w:rsid w:val="00F36A61"/>
    <w:rsid w:val="00F37040"/>
    <w:rsid w:val="00F37613"/>
    <w:rsid w:val="00F41B18"/>
    <w:rsid w:val="00F41D32"/>
    <w:rsid w:val="00F427CF"/>
    <w:rsid w:val="00F43709"/>
    <w:rsid w:val="00F438E1"/>
    <w:rsid w:val="00F439CA"/>
    <w:rsid w:val="00F43AE5"/>
    <w:rsid w:val="00F441B6"/>
    <w:rsid w:val="00F4423A"/>
    <w:rsid w:val="00F44355"/>
    <w:rsid w:val="00F452E5"/>
    <w:rsid w:val="00F455B4"/>
    <w:rsid w:val="00F459CE"/>
    <w:rsid w:val="00F46CBF"/>
    <w:rsid w:val="00F47766"/>
    <w:rsid w:val="00F51187"/>
    <w:rsid w:val="00F51D8D"/>
    <w:rsid w:val="00F51E93"/>
    <w:rsid w:val="00F5243A"/>
    <w:rsid w:val="00F52B5D"/>
    <w:rsid w:val="00F532B7"/>
    <w:rsid w:val="00F532F7"/>
    <w:rsid w:val="00F536E0"/>
    <w:rsid w:val="00F53ADA"/>
    <w:rsid w:val="00F53D1D"/>
    <w:rsid w:val="00F53E09"/>
    <w:rsid w:val="00F53EE2"/>
    <w:rsid w:val="00F542BA"/>
    <w:rsid w:val="00F54AB0"/>
    <w:rsid w:val="00F55395"/>
    <w:rsid w:val="00F5553D"/>
    <w:rsid w:val="00F572A2"/>
    <w:rsid w:val="00F60E16"/>
    <w:rsid w:val="00F6123A"/>
    <w:rsid w:val="00F61A2F"/>
    <w:rsid w:val="00F61FDA"/>
    <w:rsid w:val="00F6254D"/>
    <w:rsid w:val="00F65048"/>
    <w:rsid w:val="00F65E85"/>
    <w:rsid w:val="00F67A21"/>
    <w:rsid w:val="00F67EFF"/>
    <w:rsid w:val="00F70398"/>
    <w:rsid w:val="00F70443"/>
    <w:rsid w:val="00F70AD4"/>
    <w:rsid w:val="00F70B2A"/>
    <w:rsid w:val="00F70DC9"/>
    <w:rsid w:val="00F711C4"/>
    <w:rsid w:val="00F71774"/>
    <w:rsid w:val="00F72020"/>
    <w:rsid w:val="00F7216F"/>
    <w:rsid w:val="00F722CE"/>
    <w:rsid w:val="00F7239A"/>
    <w:rsid w:val="00F72760"/>
    <w:rsid w:val="00F72D0F"/>
    <w:rsid w:val="00F72F35"/>
    <w:rsid w:val="00F7353D"/>
    <w:rsid w:val="00F73614"/>
    <w:rsid w:val="00F7480B"/>
    <w:rsid w:val="00F74AA0"/>
    <w:rsid w:val="00F75B28"/>
    <w:rsid w:val="00F762D9"/>
    <w:rsid w:val="00F76D50"/>
    <w:rsid w:val="00F76E64"/>
    <w:rsid w:val="00F807F3"/>
    <w:rsid w:val="00F8131C"/>
    <w:rsid w:val="00F81936"/>
    <w:rsid w:val="00F819AF"/>
    <w:rsid w:val="00F8234F"/>
    <w:rsid w:val="00F824E6"/>
    <w:rsid w:val="00F826BC"/>
    <w:rsid w:val="00F82CD5"/>
    <w:rsid w:val="00F82D5B"/>
    <w:rsid w:val="00F82E4F"/>
    <w:rsid w:val="00F82FD8"/>
    <w:rsid w:val="00F833F5"/>
    <w:rsid w:val="00F83A1B"/>
    <w:rsid w:val="00F83C1E"/>
    <w:rsid w:val="00F8442F"/>
    <w:rsid w:val="00F8529A"/>
    <w:rsid w:val="00F85377"/>
    <w:rsid w:val="00F85A43"/>
    <w:rsid w:val="00F85DD1"/>
    <w:rsid w:val="00F8623F"/>
    <w:rsid w:val="00F8628E"/>
    <w:rsid w:val="00F86ADB"/>
    <w:rsid w:val="00F9040D"/>
    <w:rsid w:val="00F9041C"/>
    <w:rsid w:val="00F90675"/>
    <w:rsid w:val="00F90B90"/>
    <w:rsid w:val="00F90D95"/>
    <w:rsid w:val="00F91083"/>
    <w:rsid w:val="00F918D5"/>
    <w:rsid w:val="00F918FF"/>
    <w:rsid w:val="00F9242B"/>
    <w:rsid w:val="00F92446"/>
    <w:rsid w:val="00F92824"/>
    <w:rsid w:val="00F9309E"/>
    <w:rsid w:val="00F93C88"/>
    <w:rsid w:val="00F93C8F"/>
    <w:rsid w:val="00F95916"/>
    <w:rsid w:val="00F95A8D"/>
    <w:rsid w:val="00F95F67"/>
    <w:rsid w:val="00F96814"/>
    <w:rsid w:val="00F96CDB"/>
    <w:rsid w:val="00F96F6D"/>
    <w:rsid w:val="00F97175"/>
    <w:rsid w:val="00F97CFD"/>
    <w:rsid w:val="00FA038A"/>
    <w:rsid w:val="00FA1055"/>
    <w:rsid w:val="00FA133C"/>
    <w:rsid w:val="00FA1F33"/>
    <w:rsid w:val="00FA2495"/>
    <w:rsid w:val="00FA2D80"/>
    <w:rsid w:val="00FA2E83"/>
    <w:rsid w:val="00FA448F"/>
    <w:rsid w:val="00FA4829"/>
    <w:rsid w:val="00FA4BF4"/>
    <w:rsid w:val="00FA4EAE"/>
    <w:rsid w:val="00FA52F0"/>
    <w:rsid w:val="00FA5389"/>
    <w:rsid w:val="00FA558A"/>
    <w:rsid w:val="00FA5A04"/>
    <w:rsid w:val="00FA5CE1"/>
    <w:rsid w:val="00FA6859"/>
    <w:rsid w:val="00FA7DA8"/>
    <w:rsid w:val="00FA7DBA"/>
    <w:rsid w:val="00FB06EF"/>
    <w:rsid w:val="00FB1514"/>
    <w:rsid w:val="00FB2C8A"/>
    <w:rsid w:val="00FB34F6"/>
    <w:rsid w:val="00FB36E6"/>
    <w:rsid w:val="00FB4067"/>
    <w:rsid w:val="00FB51FE"/>
    <w:rsid w:val="00FB545B"/>
    <w:rsid w:val="00FB5FBD"/>
    <w:rsid w:val="00FB72E7"/>
    <w:rsid w:val="00FB76DC"/>
    <w:rsid w:val="00FB7727"/>
    <w:rsid w:val="00FC0362"/>
    <w:rsid w:val="00FC1BB6"/>
    <w:rsid w:val="00FC2077"/>
    <w:rsid w:val="00FC2229"/>
    <w:rsid w:val="00FC24BB"/>
    <w:rsid w:val="00FC2631"/>
    <w:rsid w:val="00FC3026"/>
    <w:rsid w:val="00FC3D0D"/>
    <w:rsid w:val="00FC47C1"/>
    <w:rsid w:val="00FC4A71"/>
    <w:rsid w:val="00FC4F77"/>
    <w:rsid w:val="00FC57A0"/>
    <w:rsid w:val="00FC5A42"/>
    <w:rsid w:val="00FC60DF"/>
    <w:rsid w:val="00FC6682"/>
    <w:rsid w:val="00FC68C2"/>
    <w:rsid w:val="00FD0D8F"/>
    <w:rsid w:val="00FD1009"/>
    <w:rsid w:val="00FD151A"/>
    <w:rsid w:val="00FD22D9"/>
    <w:rsid w:val="00FD2475"/>
    <w:rsid w:val="00FD24C9"/>
    <w:rsid w:val="00FD2C33"/>
    <w:rsid w:val="00FD2F3E"/>
    <w:rsid w:val="00FD3819"/>
    <w:rsid w:val="00FD3D88"/>
    <w:rsid w:val="00FD44A2"/>
    <w:rsid w:val="00FD4DB8"/>
    <w:rsid w:val="00FD4F08"/>
    <w:rsid w:val="00FD51E8"/>
    <w:rsid w:val="00FD70BF"/>
    <w:rsid w:val="00FD7127"/>
    <w:rsid w:val="00FE01DE"/>
    <w:rsid w:val="00FE0C12"/>
    <w:rsid w:val="00FE0D6F"/>
    <w:rsid w:val="00FE0D9A"/>
    <w:rsid w:val="00FE0DB0"/>
    <w:rsid w:val="00FE15C4"/>
    <w:rsid w:val="00FE238D"/>
    <w:rsid w:val="00FE24A9"/>
    <w:rsid w:val="00FE31A6"/>
    <w:rsid w:val="00FE3433"/>
    <w:rsid w:val="00FE3B7C"/>
    <w:rsid w:val="00FE4230"/>
    <w:rsid w:val="00FE43A9"/>
    <w:rsid w:val="00FE49B3"/>
    <w:rsid w:val="00FE7C9B"/>
    <w:rsid w:val="00FF00F7"/>
    <w:rsid w:val="00FF06B1"/>
    <w:rsid w:val="00FF08D8"/>
    <w:rsid w:val="00FF0E0F"/>
    <w:rsid w:val="00FF1AE8"/>
    <w:rsid w:val="00FF229E"/>
    <w:rsid w:val="00FF245E"/>
    <w:rsid w:val="00FF2472"/>
    <w:rsid w:val="00FF31A8"/>
    <w:rsid w:val="00FF385F"/>
    <w:rsid w:val="00FF5ADD"/>
    <w:rsid w:val="00FF5F0C"/>
    <w:rsid w:val="00FF6B37"/>
    <w:rsid w:val="00FF6CE1"/>
    <w:rsid w:val="00FF7984"/>
    <w:rsid w:val="00FF7A94"/>
    <w:rsid w:val="01C25044"/>
    <w:rsid w:val="02502671"/>
    <w:rsid w:val="02BD2DDC"/>
    <w:rsid w:val="02CB09BE"/>
    <w:rsid w:val="03611042"/>
    <w:rsid w:val="03712275"/>
    <w:rsid w:val="03D00114"/>
    <w:rsid w:val="03D26405"/>
    <w:rsid w:val="045C176A"/>
    <w:rsid w:val="04BF0DCC"/>
    <w:rsid w:val="04FE15F6"/>
    <w:rsid w:val="05AB145F"/>
    <w:rsid w:val="05C3315A"/>
    <w:rsid w:val="06530855"/>
    <w:rsid w:val="069A5DA2"/>
    <w:rsid w:val="07035F04"/>
    <w:rsid w:val="0742566C"/>
    <w:rsid w:val="078B4285"/>
    <w:rsid w:val="07B937A7"/>
    <w:rsid w:val="07E9236E"/>
    <w:rsid w:val="08D8516E"/>
    <w:rsid w:val="094B3B92"/>
    <w:rsid w:val="095C7B4D"/>
    <w:rsid w:val="09A06AF8"/>
    <w:rsid w:val="0A1942A2"/>
    <w:rsid w:val="0A4C526E"/>
    <w:rsid w:val="0B0F299D"/>
    <w:rsid w:val="0C4D5E73"/>
    <w:rsid w:val="0CD3449B"/>
    <w:rsid w:val="0D0F4ED6"/>
    <w:rsid w:val="0D1741E2"/>
    <w:rsid w:val="0D90611F"/>
    <w:rsid w:val="0E4A683E"/>
    <w:rsid w:val="0E630118"/>
    <w:rsid w:val="0E707BF7"/>
    <w:rsid w:val="0FD7617F"/>
    <w:rsid w:val="10FB7C4C"/>
    <w:rsid w:val="117E6EFD"/>
    <w:rsid w:val="118934A9"/>
    <w:rsid w:val="126637EB"/>
    <w:rsid w:val="133F43F9"/>
    <w:rsid w:val="136D7CF9"/>
    <w:rsid w:val="13D5487D"/>
    <w:rsid w:val="15007E85"/>
    <w:rsid w:val="157B57FF"/>
    <w:rsid w:val="165F2A2B"/>
    <w:rsid w:val="17231CAA"/>
    <w:rsid w:val="174B2A95"/>
    <w:rsid w:val="17D64F6F"/>
    <w:rsid w:val="17F81389"/>
    <w:rsid w:val="185A308E"/>
    <w:rsid w:val="18F115D9"/>
    <w:rsid w:val="197912C3"/>
    <w:rsid w:val="19D706F0"/>
    <w:rsid w:val="19E03401"/>
    <w:rsid w:val="19F17E3E"/>
    <w:rsid w:val="1BD04E1A"/>
    <w:rsid w:val="1C2A0212"/>
    <w:rsid w:val="1C4172CD"/>
    <w:rsid w:val="1CC50DD2"/>
    <w:rsid w:val="1D366FB5"/>
    <w:rsid w:val="1DB21FDA"/>
    <w:rsid w:val="1E222CBC"/>
    <w:rsid w:val="1E465341"/>
    <w:rsid w:val="1E9D3BAA"/>
    <w:rsid w:val="1EE9698C"/>
    <w:rsid w:val="1F3908DF"/>
    <w:rsid w:val="1F613BBB"/>
    <w:rsid w:val="1F6966C8"/>
    <w:rsid w:val="1FCB1131"/>
    <w:rsid w:val="211E4007"/>
    <w:rsid w:val="2122788E"/>
    <w:rsid w:val="212B2081"/>
    <w:rsid w:val="21771570"/>
    <w:rsid w:val="21786C27"/>
    <w:rsid w:val="21CF1C62"/>
    <w:rsid w:val="22842735"/>
    <w:rsid w:val="2288155B"/>
    <w:rsid w:val="22EA4682"/>
    <w:rsid w:val="23246E8C"/>
    <w:rsid w:val="24182F31"/>
    <w:rsid w:val="24341EB9"/>
    <w:rsid w:val="24A26904"/>
    <w:rsid w:val="25370D4E"/>
    <w:rsid w:val="253A5D0E"/>
    <w:rsid w:val="270544AB"/>
    <w:rsid w:val="27AC35F6"/>
    <w:rsid w:val="28A44863"/>
    <w:rsid w:val="28F05635"/>
    <w:rsid w:val="292A3439"/>
    <w:rsid w:val="2A5B4287"/>
    <w:rsid w:val="2AEE7DAB"/>
    <w:rsid w:val="2B422177"/>
    <w:rsid w:val="2B6F32B8"/>
    <w:rsid w:val="2B7F4D23"/>
    <w:rsid w:val="2B7F799F"/>
    <w:rsid w:val="2BEB2F53"/>
    <w:rsid w:val="2C025EDA"/>
    <w:rsid w:val="2C07309C"/>
    <w:rsid w:val="2C123755"/>
    <w:rsid w:val="2C29790B"/>
    <w:rsid w:val="2D550D2F"/>
    <w:rsid w:val="2D6055AE"/>
    <w:rsid w:val="2D656721"/>
    <w:rsid w:val="2D860F88"/>
    <w:rsid w:val="2E5547E9"/>
    <w:rsid w:val="2EAB2859"/>
    <w:rsid w:val="2EBB4D00"/>
    <w:rsid w:val="2EE046F4"/>
    <w:rsid w:val="2F1539F6"/>
    <w:rsid w:val="2F154177"/>
    <w:rsid w:val="2FD929ED"/>
    <w:rsid w:val="310E5321"/>
    <w:rsid w:val="32472FFF"/>
    <w:rsid w:val="342509B8"/>
    <w:rsid w:val="344E6D6F"/>
    <w:rsid w:val="34AE31D8"/>
    <w:rsid w:val="34F83B89"/>
    <w:rsid w:val="35931883"/>
    <w:rsid w:val="36EF6F12"/>
    <w:rsid w:val="372E4412"/>
    <w:rsid w:val="38651CCB"/>
    <w:rsid w:val="386817BB"/>
    <w:rsid w:val="3A7F3DAE"/>
    <w:rsid w:val="3AA24499"/>
    <w:rsid w:val="3BAA5C47"/>
    <w:rsid w:val="3C9A2385"/>
    <w:rsid w:val="3D2E5441"/>
    <w:rsid w:val="3E2C62E2"/>
    <w:rsid w:val="3E483C21"/>
    <w:rsid w:val="3EE73FCA"/>
    <w:rsid w:val="3F495A34"/>
    <w:rsid w:val="3F664218"/>
    <w:rsid w:val="3F6C6107"/>
    <w:rsid w:val="3F791263"/>
    <w:rsid w:val="3F8D012F"/>
    <w:rsid w:val="3F9F3D14"/>
    <w:rsid w:val="3FCC0B73"/>
    <w:rsid w:val="410059A2"/>
    <w:rsid w:val="41252451"/>
    <w:rsid w:val="41A2189A"/>
    <w:rsid w:val="41A55D24"/>
    <w:rsid w:val="422E5823"/>
    <w:rsid w:val="4234324C"/>
    <w:rsid w:val="42530DE6"/>
    <w:rsid w:val="42932922"/>
    <w:rsid w:val="4368266F"/>
    <w:rsid w:val="43EC14F2"/>
    <w:rsid w:val="457F0E3F"/>
    <w:rsid w:val="45873490"/>
    <w:rsid w:val="45F047BB"/>
    <w:rsid w:val="465515D1"/>
    <w:rsid w:val="47EA7AF7"/>
    <w:rsid w:val="47FD3E69"/>
    <w:rsid w:val="48BF115A"/>
    <w:rsid w:val="4A6812B2"/>
    <w:rsid w:val="4A84548A"/>
    <w:rsid w:val="4B031163"/>
    <w:rsid w:val="4B3F45FD"/>
    <w:rsid w:val="4B58746D"/>
    <w:rsid w:val="4BBF74EC"/>
    <w:rsid w:val="4BCA036B"/>
    <w:rsid w:val="4BE447B1"/>
    <w:rsid w:val="4C08208A"/>
    <w:rsid w:val="4C804ECE"/>
    <w:rsid w:val="4CCE6D61"/>
    <w:rsid w:val="4CF80F08"/>
    <w:rsid w:val="4D1A2C2C"/>
    <w:rsid w:val="4D267823"/>
    <w:rsid w:val="4D537EEC"/>
    <w:rsid w:val="4D583754"/>
    <w:rsid w:val="4E537216"/>
    <w:rsid w:val="4F587A3C"/>
    <w:rsid w:val="4F751524"/>
    <w:rsid w:val="4F850775"/>
    <w:rsid w:val="4FD73056"/>
    <w:rsid w:val="50350FAC"/>
    <w:rsid w:val="50F10148"/>
    <w:rsid w:val="52275994"/>
    <w:rsid w:val="52391EA0"/>
    <w:rsid w:val="52917BCA"/>
    <w:rsid w:val="532540D5"/>
    <w:rsid w:val="537B2BBB"/>
    <w:rsid w:val="54AA0D3A"/>
    <w:rsid w:val="54CA318A"/>
    <w:rsid w:val="55F36710"/>
    <w:rsid w:val="5609406B"/>
    <w:rsid w:val="56E03E85"/>
    <w:rsid w:val="56E14ABA"/>
    <w:rsid w:val="573C5E95"/>
    <w:rsid w:val="574B7E86"/>
    <w:rsid w:val="58556597"/>
    <w:rsid w:val="58FA0183"/>
    <w:rsid w:val="59771406"/>
    <w:rsid w:val="59DD74BB"/>
    <w:rsid w:val="5A00649B"/>
    <w:rsid w:val="5A8B5169"/>
    <w:rsid w:val="5AE44879"/>
    <w:rsid w:val="5B5279BC"/>
    <w:rsid w:val="5E8C5954"/>
    <w:rsid w:val="5EF01DA4"/>
    <w:rsid w:val="5F0E6369"/>
    <w:rsid w:val="603D5158"/>
    <w:rsid w:val="604D4C6F"/>
    <w:rsid w:val="6071095D"/>
    <w:rsid w:val="60D2634B"/>
    <w:rsid w:val="60E26EF2"/>
    <w:rsid w:val="615A7643"/>
    <w:rsid w:val="617142FF"/>
    <w:rsid w:val="63021D41"/>
    <w:rsid w:val="631F6D97"/>
    <w:rsid w:val="63760A2B"/>
    <w:rsid w:val="6488096B"/>
    <w:rsid w:val="652452A5"/>
    <w:rsid w:val="657131AE"/>
    <w:rsid w:val="65D774B5"/>
    <w:rsid w:val="6615622F"/>
    <w:rsid w:val="670F3CD7"/>
    <w:rsid w:val="6756295F"/>
    <w:rsid w:val="6760797E"/>
    <w:rsid w:val="67E1286C"/>
    <w:rsid w:val="68A602F9"/>
    <w:rsid w:val="6ABE59D6"/>
    <w:rsid w:val="6B146AB5"/>
    <w:rsid w:val="6C6B1649"/>
    <w:rsid w:val="6CD82AD2"/>
    <w:rsid w:val="6F704CEE"/>
    <w:rsid w:val="6FA63648"/>
    <w:rsid w:val="6FE96D4B"/>
    <w:rsid w:val="70AB487B"/>
    <w:rsid w:val="70F43CF9"/>
    <w:rsid w:val="72473C14"/>
    <w:rsid w:val="725620A9"/>
    <w:rsid w:val="72872262"/>
    <w:rsid w:val="72A03324"/>
    <w:rsid w:val="72AC7F1B"/>
    <w:rsid w:val="737126B2"/>
    <w:rsid w:val="74381A66"/>
    <w:rsid w:val="74B96C79"/>
    <w:rsid w:val="76AA29C3"/>
    <w:rsid w:val="77740D08"/>
    <w:rsid w:val="7797301C"/>
    <w:rsid w:val="779F1DFC"/>
    <w:rsid w:val="77D20625"/>
    <w:rsid w:val="78FF6335"/>
    <w:rsid w:val="79EC4BD4"/>
    <w:rsid w:val="7A187C44"/>
    <w:rsid w:val="7A344A7E"/>
    <w:rsid w:val="7A3506CB"/>
    <w:rsid w:val="7A3B6D9D"/>
    <w:rsid w:val="7AF51A17"/>
    <w:rsid w:val="7B590514"/>
    <w:rsid w:val="7C3A4231"/>
    <w:rsid w:val="7CB72738"/>
    <w:rsid w:val="7CE27FB6"/>
    <w:rsid w:val="7E3F75FE"/>
    <w:rsid w:val="7F076C05"/>
    <w:rsid w:val="7F2679BA"/>
    <w:rsid w:val="7F4D3857"/>
    <w:rsid w:val="7F797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9"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qFormat="1"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0"/>
    <w:autoRedefine/>
    <w:qFormat/>
    <w:uiPriority w:val="0"/>
    <w:pPr>
      <w:pageBreakBefore/>
      <w:numPr>
        <w:ilvl w:val="0"/>
        <w:numId w:val="1"/>
      </w:numPr>
      <w:spacing w:before="240" w:after="120"/>
      <w:jc w:val="center"/>
      <w:outlineLvl w:val="0"/>
    </w:pPr>
    <w:rPr>
      <w:rFonts w:ascii="方正小标宋简体" w:hAnsi="方正小标宋简体"/>
      <w:b/>
      <w:bCs/>
      <w:kern w:val="44"/>
      <w:sz w:val="32"/>
      <w:szCs w:val="32"/>
    </w:rPr>
  </w:style>
  <w:style w:type="paragraph" w:styleId="4">
    <w:name w:val="heading 2"/>
    <w:basedOn w:val="1"/>
    <w:next w:val="1"/>
    <w:link w:val="61"/>
    <w:autoRedefine/>
    <w:unhideWhenUsed/>
    <w:qFormat/>
    <w:uiPriority w:val="0"/>
    <w:pPr>
      <w:numPr>
        <w:ilvl w:val="1"/>
        <w:numId w:val="1"/>
      </w:numPr>
      <w:spacing w:line="360" w:lineRule="auto"/>
      <w:ind w:firstLine="562" w:firstLineChars="200"/>
      <w:outlineLvl w:val="1"/>
    </w:pPr>
    <w:rPr>
      <w:rFonts w:ascii="宋体" w:hAnsi="宋体"/>
      <w:b/>
      <w:bCs/>
      <w:sz w:val="28"/>
      <w:szCs w:val="28"/>
    </w:rPr>
  </w:style>
  <w:style w:type="paragraph" w:styleId="5">
    <w:name w:val="heading 3"/>
    <w:basedOn w:val="1"/>
    <w:next w:val="1"/>
    <w:link w:val="62"/>
    <w:autoRedefine/>
    <w:unhideWhenUsed/>
    <w:qFormat/>
    <w:uiPriority w:val="0"/>
    <w:pPr>
      <w:numPr>
        <w:ilvl w:val="2"/>
        <w:numId w:val="1"/>
      </w:numPr>
      <w:spacing w:line="360" w:lineRule="auto"/>
      <w:ind w:firstLine="482" w:firstLineChars="200"/>
      <w:outlineLvl w:val="2"/>
    </w:pPr>
    <w:rPr>
      <w:b/>
      <w:bCs/>
      <w:sz w:val="24"/>
      <w:szCs w:val="28"/>
    </w:rPr>
  </w:style>
  <w:style w:type="paragraph" w:styleId="6">
    <w:name w:val="heading 4"/>
    <w:basedOn w:val="1"/>
    <w:next w:val="1"/>
    <w:link w:val="63"/>
    <w:autoRedefine/>
    <w:unhideWhenUsed/>
    <w:qFormat/>
    <w:uiPriority w:val="0"/>
    <w:pPr>
      <w:keepLines/>
      <w:numPr>
        <w:ilvl w:val="3"/>
        <w:numId w:val="1"/>
      </w:numPr>
      <w:spacing w:line="360" w:lineRule="auto"/>
      <w:ind w:firstLine="482" w:firstLineChars="200"/>
      <w:outlineLvl w:val="3"/>
    </w:pPr>
    <w:rPr>
      <w:rFonts w:eastAsia="仿宋"/>
      <w:b/>
      <w:bCs/>
      <w:sz w:val="24"/>
      <w:szCs w:val="28"/>
    </w:rPr>
  </w:style>
  <w:style w:type="paragraph" w:styleId="7">
    <w:name w:val="heading 5"/>
    <w:basedOn w:val="1"/>
    <w:next w:val="1"/>
    <w:link w:val="95"/>
    <w:autoRedefine/>
    <w:unhideWhenUsed/>
    <w:qFormat/>
    <w:uiPriority w:val="0"/>
    <w:pPr>
      <w:spacing w:line="360" w:lineRule="auto"/>
      <w:ind w:firstLine="482" w:firstLineChars="200"/>
      <w:outlineLvl w:val="4"/>
    </w:pPr>
    <w:rPr>
      <w:rFonts w:ascii="宋体" w:hAnsi="宋体"/>
      <w:b/>
      <w:sz w:val="24"/>
    </w:rPr>
  </w:style>
  <w:style w:type="paragraph" w:styleId="8">
    <w:name w:val="heading 6"/>
    <w:basedOn w:val="1"/>
    <w:next w:val="1"/>
    <w:link w:val="96"/>
    <w:autoRedefine/>
    <w:qFormat/>
    <w:uiPriority w:val="0"/>
    <w:pPr>
      <w:spacing w:line="360" w:lineRule="auto"/>
      <w:ind w:firstLine="482" w:firstLineChars="200"/>
      <w:outlineLvl w:val="5"/>
    </w:pPr>
    <w:rPr>
      <w:rFonts w:ascii="宋体" w:hAnsi="宋体"/>
      <w:b/>
      <w:sz w:val="24"/>
    </w:rPr>
  </w:style>
  <w:style w:type="paragraph" w:styleId="9">
    <w:name w:val="heading 7"/>
    <w:basedOn w:val="1"/>
    <w:next w:val="1"/>
    <w:link w:val="97"/>
    <w:qFormat/>
    <w:uiPriority w:val="0"/>
    <w:pPr>
      <w:keepNext/>
      <w:keepLines/>
      <w:spacing w:before="240" w:after="64" w:line="317" w:lineRule="auto"/>
      <w:outlineLvl w:val="6"/>
    </w:pPr>
    <w:rPr>
      <w:rFonts w:ascii="Arial" w:hAnsi="Arial" w:eastAsia="Calibri" w:cs="Arial"/>
      <w:b/>
      <w:color w:val="FF00FF"/>
      <w:sz w:val="24"/>
      <w:szCs w:val="20"/>
    </w:rPr>
  </w:style>
  <w:style w:type="paragraph" w:styleId="10">
    <w:name w:val="heading 8"/>
    <w:basedOn w:val="1"/>
    <w:next w:val="1"/>
    <w:link w:val="98"/>
    <w:qFormat/>
    <w:uiPriority w:val="0"/>
    <w:pPr>
      <w:keepNext/>
      <w:keepLines/>
      <w:spacing w:before="240" w:after="64" w:line="317" w:lineRule="auto"/>
      <w:outlineLvl w:val="7"/>
    </w:pPr>
    <w:rPr>
      <w:rFonts w:ascii="Tms Rmn" w:hAnsi="Tms Rmn" w:eastAsia="Courier New" w:cs="Arial"/>
      <w:color w:val="FF00FF"/>
      <w:sz w:val="24"/>
      <w:szCs w:val="20"/>
    </w:rPr>
  </w:style>
  <w:style w:type="paragraph" w:styleId="11">
    <w:name w:val="heading 9"/>
    <w:basedOn w:val="1"/>
    <w:next w:val="1"/>
    <w:link w:val="99"/>
    <w:qFormat/>
    <w:uiPriority w:val="0"/>
    <w:pPr>
      <w:keepNext/>
      <w:keepLines/>
      <w:spacing w:before="240" w:after="64" w:line="317" w:lineRule="auto"/>
      <w:outlineLvl w:val="8"/>
    </w:pPr>
    <w:rPr>
      <w:rFonts w:ascii="Tms Rmn" w:hAnsi="Tms Rmn" w:eastAsia="Courier New" w:cs="Arial"/>
      <w:color w:val="FF00FF"/>
      <w:szCs w:val="20"/>
    </w:rPr>
  </w:style>
  <w:style w:type="character" w:default="1" w:styleId="52">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link w:val="27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alibri" w:hAnsi="Calibri" w:eastAsia="宋体" w:cs="Arial"/>
      <w:kern w:val="2"/>
      <w:sz w:val="24"/>
      <w:lang w:val="en-US" w:eastAsia="zh-CN" w:bidi="ar-SA"/>
    </w:rPr>
  </w:style>
  <w:style w:type="paragraph" w:styleId="12">
    <w:name w:val="List 3"/>
    <w:basedOn w:val="1"/>
    <w:qFormat/>
    <w:uiPriority w:val="0"/>
    <w:pPr>
      <w:ind w:left="100" w:leftChars="400" w:hanging="200" w:hangingChars="200"/>
    </w:pPr>
    <w:rPr>
      <w:rFonts w:ascii="Arial" w:hAnsi="Arial" w:cs="Arial"/>
      <w:szCs w:val="20"/>
    </w:rPr>
  </w:style>
  <w:style w:type="paragraph" w:styleId="13">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14">
    <w:name w:val="Normal Indent"/>
    <w:basedOn w:val="1"/>
    <w:qFormat/>
    <w:uiPriority w:val="0"/>
    <w:pPr>
      <w:spacing w:line="360" w:lineRule="auto"/>
      <w:ind w:firstLine="480" w:firstLineChars="200"/>
    </w:pPr>
    <w:rPr>
      <w:sz w:val="24"/>
      <w:szCs w:val="20"/>
    </w:rPr>
  </w:style>
  <w:style w:type="paragraph" w:styleId="15">
    <w:name w:val="caption"/>
    <w:next w:val="16"/>
    <w:link w:val="201"/>
    <w:autoRedefine/>
    <w:unhideWhenUsed/>
    <w:qFormat/>
    <w:uiPriority w:val="9"/>
    <w:pPr>
      <w:keepNext/>
      <w:keepLines/>
      <w:spacing w:line="360" w:lineRule="auto"/>
      <w:jc w:val="center"/>
    </w:pPr>
    <w:rPr>
      <w:rFonts w:ascii="宋体" w:hAnsi="宋体" w:eastAsia="宋体" w:cs="宋体"/>
      <w:sz w:val="24"/>
      <w:szCs w:val="24"/>
      <w:lang w:val="en-US" w:eastAsia="zh-CN" w:bidi="ar-SA"/>
    </w:rPr>
  </w:style>
  <w:style w:type="paragraph" w:customStyle="1" w:styleId="16">
    <w:name w:val="表格"/>
    <w:link w:val="202"/>
    <w:autoRedefine/>
    <w:qFormat/>
    <w:uiPriority w:val="9"/>
    <w:pPr>
      <w:adjustRightInd w:val="0"/>
      <w:snapToGrid w:val="0"/>
      <w:jc w:val="center"/>
    </w:pPr>
    <w:rPr>
      <w:rFonts w:ascii="宋体" w:hAnsi="宋体" w:eastAsia="宋体" w:cs="微软雅黑"/>
      <w:kern w:val="2"/>
      <w:sz w:val="18"/>
      <w:szCs w:val="18"/>
      <w:lang w:val="en-US" w:eastAsia="zh-CN" w:bidi="ar-SA"/>
    </w:rPr>
  </w:style>
  <w:style w:type="paragraph" w:styleId="17">
    <w:name w:val="Document Map"/>
    <w:basedOn w:val="1"/>
    <w:link w:val="121"/>
    <w:qFormat/>
    <w:uiPriority w:val="0"/>
    <w:pPr>
      <w:shd w:val="clear" w:color="auto" w:fill="000080"/>
    </w:pPr>
  </w:style>
  <w:style w:type="paragraph" w:styleId="18">
    <w:name w:val="annotation text"/>
    <w:basedOn w:val="1"/>
    <w:link w:val="115"/>
    <w:unhideWhenUsed/>
    <w:qFormat/>
    <w:uiPriority w:val="0"/>
    <w:pPr>
      <w:jc w:val="left"/>
    </w:pPr>
    <w:rPr>
      <w:rFonts w:asciiTheme="minorHAnsi" w:hAnsiTheme="minorHAnsi" w:eastAsiaTheme="minorEastAsia" w:cstheme="minorBidi"/>
      <w:szCs w:val="22"/>
    </w:rPr>
  </w:style>
  <w:style w:type="paragraph" w:styleId="19">
    <w:name w:val="Body Text"/>
    <w:basedOn w:val="1"/>
    <w:link w:val="100"/>
    <w:unhideWhenUsed/>
    <w:qFormat/>
    <w:uiPriority w:val="0"/>
    <w:pPr>
      <w:spacing w:after="120"/>
    </w:pPr>
    <w:rPr>
      <w:rFonts w:cs="宋体"/>
      <w:szCs w:val="21"/>
    </w:rPr>
  </w:style>
  <w:style w:type="paragraph" w:styleId="20">
    <w:name w:val="Body Text Indent"/>
    <w:basedOn w:val="1"/>
    <w:link w:val="181"/>
    <w:qFormat/>
    <w:uiPriority w:val="0"/>
    <w:pPr>
      <w:ind w:firstLine="560" w:firstLineChars="200"/>
    </w:pPr>
    <w:rPr>
      <w:rFonts w:ascii="宋体" w:hAnsi="宋体"/>
      <w:sz w:val="28"/>
    </w:rPr>
  </w:style>
  <w:style w:type="paragraph" w:styleId="21">
    <w:name w:val="Block Text"/>
    <w:basedOn w:val="1"/>
    <w:qFormat/>
    <w:uiPriority w:val="0"/>
    <w:pPr>
      <w:spacing w:line="240" w:lineRule="exact"/>
      <w:ind w:left="-78" w:leftChars="-37" w:right="-130" w:rightChars="-62"/>
      <w:jc w:val="center"/>
    </w:pPr>
    <w:rPr>
      <w:rFonts w:ascii="宋体" w:hAnsi="宋体"/>
      <w:bCs/>
      <w:color w:val="FF0000"/>
      <w:szCs w:val="18"/>
    </w:rPr>
  </w:style>
  <w:style w:type="paragraph" w:styleId="22">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23">
    <w:name w:val="toc 3"/>
    <w:basedOn w:val="1"/>
    <w:next w:val="1"/>
    <w:autoRedefine/>
    <w:qFormat/>
    <w:uiPriority w:val="39"/>
    <w:pPr>
      <w:tabs>
        <w:tab w:val="right" w:leader="dot" w:pos="8302"/>
      </w:tabs>
      <w:spacing w:line="360" w:lineRule="auto"/>
      <w:ind w:left="400" w:leftChars="400"/>
    </w:pPr>
    <w:rPr>
      <w:sz w:val="24"/>
    </w:rPr>
  </w:style>
  <w:style w:type="paragraph" w:styleId="24">
    <w:name w:val="Plain Text"/>
    <w:basedOn w:val="1"/>
    <w:link w:val="122"/>
    <w:qFormat/>
    <w:uiPriority w:val="0"/>
    <w:rPr>
      <w:rFonts w:ascii="宋体" w:hAnsi="Courier New"/>
      <w:szCs w:val="21"/>
    </w:rPr>
  </w:style>
  <w:style w:type="paragraph" w:styleId="25">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26">
    <w:name w:val="Date"/>
    <w:basedOn w:val="1"/>
    <w:next w:val="1"/>
    <w:link w:val="67"/>
    <w:qFormat/>
    <w:uiPriority w:val="0"/>
    <w:pPr>
      <w:ind w:left="100" w:leftChars="2500"/>
    </w:pPr>
  </w:style>
  <w:style w:type="paragraph" w:styleId="27">
    <w:name w:val="Body Text Indent 2"/>
    <w:basedOn w:val="1"/>
    <w:link w:val="157"/>
    <w:qFormat/>
    <w:uiPriority w:val="0"/>
    <w:pPr>
      <w:adjustRightInd w:val="0"/>
      <w:spacing w:after="120" w:line="480" w:lineRule="auto"/>
      <w:ind w:left="420" w:leftChars="200"/>
      <w:jc w:val="left"/>
      <w:textAlignment w:val="baseline"/>
    </w:pPr>
    <w:rPr>
      <w:rFonts w:ascii="宋体"/>
      <w:kern w:val="0"/>
      <w:sz w:val="24"/>
      <w:szCs w:val="20"/>
    </w:rPr>
  </w:style>
  <w:style w:type="paragraph" w:styleId="28">
    <w:name w:val="Balloon Text"/>
    <w:basedOn w:val="1"/>
    <w:link w:val="104"/>
    <w:qFormat/>
    <w:uiPriority w:val="0"/>
    <w:rPr>
      <w:sz w:val="18"/>
      <w:szCs w:val="18"/>
    </w:rPr>
  </w:style>
  <w:style w:type="paragraph" w:styleId="29">
    <w:name w:val="footer"/>
    <w:basedOn w:val="1"/>
    <w:link w:val="65"/>
    <w:qFormat/>
    <w:uiPriority w:val="99"/>
    <w:pPr>
      <w:tabs>
        <w:tab w:val="center" w:pos="4153"/>
        <w:tab w:val="right" w:pos="8306"/>
      </w:tabs>
      <w:snapToGrid w:val="0"/>
      <w:jc w:val="left"/>
    </w:pPr>
    <w:rPr>
      <w:sz w:val="18"/>
      <w:szCs w:val="18"/>
    </w:rPr>
  </w:style>
  <w:style w:type="paragraph" w:styleId="30">
    <w:name w:val="header"/>
    <w:basedOn w:val="1"/>
    <w:link w:val="64"/>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39"/>
    <w:pPr>
      <w:tabs>
        <w:tab w:val="right" w:leader="dot" w:pos="8302"/>
      </w:tabs>
      <w:spacing w:line="360" w:lineRule="auto"/>
    </w:pPr>
    <w:rPr>
      <w:sz w:val="24"/>
    </w:rPr>
  </w:style>
  <w:style w:type="paragraph" w:styleId="32">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33">
    <w:name w:val="Subtitle"/>
    <w:basedOn w:val="1"/>
    <w:next w:val="1"/>
    <w:link w:val="277"/>
    <w:qFormat/>
    <w:uiPriority w:val="0"/>
    <w:pPr>
      <w:jc w:val="center"/>
    </w:pPr>
    <w:rPr>
      <w:rFonts w:ascii="BatangChe" w:hAnsi="BatangChe" w:eastAsia="Courier New" w:cs="Arial"/>
      <w:b/>
      <w:kern w:val="28"/>
      <w:sz w:val="44"/>
      <w:szCs w:val="20"/>
    </w:rPr>
  </w:style>
  <w:style w:type="paragraph" w:styleId="34">
    <w:name w:val="List"/>
    <w:basedOn w:val="1"/>
    <w:qFormat/>
    <w:uiPriority w:val="0"/>
    <w:pPr>
      <w:ind w:left="200" w:hanging="200" w:hangingChars="200"/>
    </w:pPr>
    <w:rPr>
      <w:rFonts w:ascii="Calibri" w:hAnsi="Calibri"/>
    </w:rPr>
  </w:style>
  <w:style w:type="paragraph" w:styleId="35">
    <w:name w:val="footnote text"/>
    <w:basedOn w:val="1"/>
    <w:link w:val="117"/>
    <w:qFormat/>
    <w:uiPriority w:val="0"/>
    <w:pPr>
      <w:snapToGrid w:val="0"/>
      <w:jc w:val="left"/>
    </w:pPr>
    <w:rPr>
      <w:sz w:val="18"/>
    </w:rPr>
  </w:style>
  <w:style w:type="paragraph" w:styleId="36">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37">
    <w:name w:val="Body Text Indent 3"/>
    <w:basedOn w:val="1"/>
    <w:link w:val="102"/>
    <w:qFormat/>
    <w:uiPriority w:val="0"/>
    <w:pPr>
      <w:ind w:firstLine="433" w:firstLineChars="154"/>
    </w:pPr>
    <w:rPr>
      <w:rFonts w:ascii="楷体_GB2312" w:hAnsi="宋体" w:eastAsia="楷体_GB2312"/>
      <w:b/>
      <w:bCs/>
      <w:kern w:val="0"/>
      <w:sz w:val="28"/>
      <w:szCs w:val="21"/>
    </w:rPr>
  </w:style>
  <w:style w:type="paragraph" w:styleId="38">
    <w:name w:val="table of figures"/>
    <w:basedOn w:val="1"/>
    <w:next w:val="1"/>
    <w:qFormat/>
    <w:uiPriority w:val="99"/>
    <w:pPr>
      <w:ind w:left="842" w:leftChars="200" w:hanging="422" w:hangingChars="200"/>
    </w:pPr>
    <w:rPr>
      <w:rFonts w:ascii="楷体_GB2312" w:hAnsi="Arial" w:eastAsia="楷体_GB2312" w:cs="Arial"/>
      <w:b/>
      <w:bCs/>
      <w:color w:val="000000"/>
      <w:kern w:val="0"/>
      <w:szCs w:val="20"/>
    </w:rPr>
  </w:style>
  <w:style w:type="paragraph" w:styleId="39">
    <w:name w:val="toc 2"/>
    <w:basedOn w:val="1"/>
    <w:next w:val="1"/>
    <w:autoRedefine/>
    <w:qFormat/>
    <w:uiPriority w:val="39"/>
    <w:pPr>
      <w:tabs>
        <w:tab w:val="right" w:leader="dot" w:pos="8302"/>
      </w:tabs>
      <w:spacing w:line="360" w:lineRule="auto"/>
      <w:ind w:left="200" w:leftChars="200"/>
    </w:pPr>
    <w:rPr>
      <w:sz w:val="24"/>
    </w:rPr>
  </w:style>
  <w:style w:type="paragraph" w:styleId="40">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41">
    <w:name w:val="Body Text 2"/>
    <w:basedOn w:val="1"/>
    <w:link w:val="243"/>
    <w:qFormat/>
    <w:uiPriority w:val="0"/>
    <w:pPr>
      <w:spacing w:after="120" w:line="480" w:lineRule="auto"/>
      <w:ind w:firstLine="200" w:firstLineChars="200"/>
    </w:pPr>
    <w:rPr>
      <w:sz w:val="24"/>
    </w:rPr>
  </w:style>
  <w:style w:type="paragraph" w:styleId="42">
    <w:name w:val="HTML Preformatted"/>
    <w:basedOn w:val="1"/>
    <w:link w:val="1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43">
    <w:name w:val="Normal (Web)"/>
    <w:basedOn w:val="1"/>
    <w:link w:val="183"/>
    <w:unhideWhenUsed/>
    <w:qFormat/>
    <w:uiPriority w:val="0"/>
    <w:pPr>
      <w:widowControl/>
      <w:spacing w:before="100" w:beforeAutospacing="1" w:after="100" w:afterAutospacing="1"/>
      <w:jc w:val="left"/>
    </w:pPr>
    <w:rPr>
      <w:rFonts w:ascii="宋体" w:hAnsi="宋体" w:cs="宋体"/>
      <w:kern w:val="0"/>
      <w:sz w:val="24"/>
    </w:rPr>
  </w:style>
  <w:style w:type="paragraph" w:styleId="44">
    <w:name w:val="index 1"/>
    <w:basedOn w:val="1"/>
    <w:next w:val="1"/>
    <w:qFormat/>
    <w:uiPriority w:val="0"/>
    <w:rPr>
      <w:rFonts w:ascii="Arial" w:hAnsi="Arial" w:cs="Arial"/>
      <w:szCs w:val="20"/>
    </w:rPr>
  </w:style>
  <w:style w:type="paragraph" w:styleId="45">
    <w:name w:val="Title"/>
    <w:basedOn w:val="1"/>
    <w:link w:val="106"/>
    <w:qFormat/>
    <w:uiPriority w:val="0"/>
    <w:pPr>
      <w:jc w:val="center"/>
    </w:pPr>
    <w:rPr>
      <w:sz w:val="32"/>
      <w:szCs w:val="20"/>
    </w:rPr>
  </w:style>
  <w:style w:type="paragraph" w:styleId="46">
    <w:name w:val="annotation subject"/>
    <w:basedOn w:val="18"/>
    <w:next w:val="18"/>
    <w:link w:val="116"/>
    <w:qFormat/>
    <w:uiPriority w:val="0"/>
    <w:rPr>
      <w:rFonts w:ascii="Times New Roman" w:hAnsi="Times New Roman" w:eastAsia="宋体" w:cs="Times New Roman"/>
      <w:b/>
      <w:bCs/>
      <w:szCs w:val="24"/>
    </w:rPr>
  </w:style>
  <w:style w:type="paragraph" w:styleId="47">
    <w:name w:val="Body Text First Indent"/>
    <w:basedOn w:val="19"/>
    <w:link w:val="240"/>
    <w:qFormat/>
    <w:uiPriority w:val="0"/>
    <w:pPr>
      <w:ind w:firstLine="420" w:firstLineChars="100"/>
    </w:pPr>
    <w:rPr>
      <w:rFonts w:eastAsia="Calibri" w:cs="Times New Roman"/>
      <w:szCs w:val="20"/>
    </w:rPr>
  </w:style>
  <w:style w:type="table" w:styleId="49">
    <w:name w:val="Table Grid"/>
    <w:basedOn w:val="4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0">
    <w:name w:val="Table Theme"/>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Grid 1"/>
    <w:basedOn w:val="48"/>
    <w:qFormat/>
    <w:uiPriority w:val="0"/>
    <w:pPr>
      <w:widowControl w:val="0"/>
      <w:jc w:val="both"/>
    </w:pPr>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53">
    <w:name w:val="Strong"/>
    <w:qFormat/>
    <w:uiPriority w:val="0"/>
    <w:rPr>
      <w:b/>
      <w:bCs/>
    </w:rPr>
  </w:style>
  <w:style w:type="character" w:styleId="54">
    <w:name w:val="page number"/>
    <w:basedOn w:val="52"/>
    <w:qFormat/>
    <w:uiPriority w:val="0"/>
  </w:style>
  <w:style w:type="character" w:styleId="55">
    <w:name w:val="FollowedHyperlink"/>
    <w:unhideWhenUsed/>
    <w:qFormat/>
    <w:uiPriority w:val="99"/>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styleId="59">
    <w:name w:val="footnote reference"/>
    <w:qFormat/>
    <w:uiPriority w:val="0"/>
    <w:rPr>
      <w:vertAlign w:val="superscript"/>
    </w:rPr>
  </w:style>
  <w:style w:type="character" w:customStyle="1" w:styleId="60">
    <w:name w:val="标题 1 Char"/>
    <w:link w:val="3"/>
    <w:qFormat/>
    <w:uiPriority w:val="0"/>
    <w:rPr>
      <w:rFonts w:ascii="方正小标宋简体" w:hAnsi="方正小标宋简体" w:eastAsia="宋体" w:cs="Times New Roman"/>
      <w:b/>
      <w:bCs/>
      <w:kern w:val="44"/>
      <w:sz w:val="32"/>
      <w:szCs w:val="32"/>
      <w:lang w:val="en-US" w:eastAsia="zh-CN" w:bidi="ar-SA"/>
    </w:rPr>
  </w:style>
  <w:style w:type="character" w:customStyle="1" w:styleId="61">
    <w:name w:val="标题 2 Char"/>
    <w:link w:val="4"/>
    <w:qFormat/>
    <w:uiPriority w:val="0"/>
    <w:rPr>
      <w:rFonts w:ascii="宋体" w:hAnsi="宋体"/>
      <w:b/>
      <w:bCs/>
      <w:kern w:val="2"/>
      <w:sz w:val="28"/>
      <w:szCs w:val="28"/>
    </w:rPr>
  </w:style>
  <w:style w:type="character" w:customStyle="1" w:styleId="62">
    <w:name w:val="标题 3 Char"/>
    <w:link w:val="5"/>
    <w:qFormat/>
    <w:uiPriority w:val="0"/>
    <w:rPr>
      <w:b/>
      <w:bCs/>
      <w:kern w:val="2"/>
      <w:sz w:val="24"/>
      <w:szCs w:val="28"/>
    </w:rPr>
  </w:style>
  <w:style w:type="character" w:customStyle="1" w:styleId="63">
    <w:name w:val="标题 4 Char"/>
    <w:link w:val="6"/>
    <w:qFormat/>
    <w:uiPriority w:val="0"/>
    <w:rPr>
      <w:rFonts w:eastAsia="仿宋"/>
      <w:b/>
      <w:bCs/>
      <w:kern w:val="2"/>
      <w:sz w:val="24"/>
      <w:szCs w:val="28"/>
    </w:rPr>
  </w:style>
  <w:style w:type="character" w:customStyle="1" w:styleId="64">
    <w:name w:val="页眉 Char"/>
    <w:basedOn w:val="52"/>
    <w:link w:val="30"/>
    <w:qFormat/>
    <w:uiPriority w:val="99"/>
    <w:rPr>
      <w:kern w:val="2"/>
      <w:sz w:val="18"/>
      <w:szCs w:val="18"/>
    </w:rPr>
  </w:style>
  <w:style w:type="character" w:customStyle="1" w:styleId="65">
    <w:name w:val="页脚 Char"/>
    <w:link w:val="29"/>
    <w:qFormat/>
    <w:uiPriority w:val="99"/>
    <w:rPr>
      <w:kern w:val="2"/>
      <w:sz w:val="18"/>
      <w:szCs w:val="18"/>
    </w:rPr>
  </w:style>
  <w:style w:type="paragraph" w:customStyle="1" w:styleId="66">
    <w:name w:val="Char Char Char Char Char Char Char"/>
    <w:basedOn w:val="1"/>
    <w:qFormat/>
    <w:uiPriority w:val="0"/>
    <w:pPr>
      <w:widowControl/>
      <w:spacing w:after="160" w:line="240" w:lineRule="exact"/>
      <w:jc w:val="left"/>
    </w:pPr>
    <w:rPr>
      <w:rFonts w:ascii="Arial" w:hAnsi="Arial" w:eastAsia="Times New Roman" w:cs="Verdana"/>
      <w:b/>
      <w:spacing w:val="20"/>
      <w:kern w:val="0"/>
      <w:sz w:val="24"/>
      <w:lang w:eastAsia="en-US"/>
    </w:rPr>
  </w:style>
  <w:style w:type="character" w:customStyle="1" w:styleId="67">
    <w:name w:val="日期 Char"/>
    <w:link w:val="26"/>
    <w:qFormat/>
    <w:uiPriority w:val="0"/>
    <w:rPr>
      <w:kern w:val="2"/>
      <w:sz w:val="21"/>
      <w:szCs w:val="24"/>
    </w:rPr>
  </w:style>
  <w:style w:type="paragraph" w:customStyle="1" w:styleId="6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9">
    <w:name w:val="xl64"/>
    <w:basedOn w:val="1"/>
    <w:qFormat/>
    <w:uiPriority w:val="0"/>
    <w:pPr>
      <w:widowControl/>
      <w:spacing w:before="100" w:beforeAutospacing="1" w:after="100" w:afterAutospacing="1"/>
      <w:jc w:val="left"/>
    </w:pPr>
    <w:rPr>
      <w:rFonts w:ascii="宋体" w:hAnsi="宋体" w:cs="宋体"/>
      <w:kern w:val="0"/>
      <w:szCs w:val="21"/>
    </w:rPr>
  </w:style>
  <w:style w:type="paragraph" w:customStyle="1" w:styleId="7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71">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color w:val="FF0000"/>
      <w:kern w:val="0"/>
      <w:szCs w:val="21"/>
    </w:rPr>
  </w:style>
  <w:style w:type="paragraph" w:customStyle="1" w:styleId="72">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color w:val="FF0000"/>
      <w:kern w:val="0"/>
      <w:szCs w:val="21"/>
    </w:rPr>
  </w:style>
  <w:style w:type="paragraph" w:customStyle="1" w:styleId="7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Cs w:val="21"/>
    </w:rPr>
  </w:style>
  <w:style w:type="paragraph" w:customStyle="1" w:styleId="7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Cs w:val="21"/>
    </w:rPr>
  </w:style>
  <w:style w:type="paragraph" w:customStyle="1" w:styleId="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Cs w:val="21"/>
    </w:rPr>
  </w:style>
  <w:style w:type="paragraph" w:customStyle="1" w:styleId="76">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Cs w:val="21"/>
    </w:rPr>
  </w:style>
  <w:style w:type="paragraph" w:customStyle="1" w:styleId="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customStyle="1" w:styleId="7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7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8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8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Cs w:val="21"/>
    </w:rPr>
  </w:style>
  <w:style w:type="paragraph" w:customStyle="1" w:styleId="82">
    <w:name w:val="xl77"/>
    <w:basedOn w:val="1"/>
    <w:qFormat/>
    <w:uiPriority w:val="0"/>
    <w:pPr>
      <w:widowControl/>
      <w:spacing w:before="100" w:beforeAutospacing="1" w:after="100" w:afterAutospacing="1"/>
      <w:jc w:val="center"/>
      <w:textAlignment w:val="center"/>
    </w:pPr>
    <w:rPr>
      <w:rFonts w:ascii="宋体" w:hAnsi="宋体" w:cs="宋体"/>
      <w:kern w:val="0"/>
      <w:szCs w:val="21"/>
    </w:rPr>
  </w:style>
  <w:style w:type="paragraph" w:customStyle="1" w:styleId="8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8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customStyle="1" w:styleId="86">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8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character" w:styleId="89">
    <w:name w:val="Placeholder Text"/>
    <w:basedOn w:val="52"/>
    <w:unhideWhenUsed/>
    <w:qFormat/>
    <w:uiPriority w:val="99"/>
    <w:rPr>
      <w:color w:val="808080"/>
    </w:rPr>
  </w:style>
  <w:style w:type="paragraph" w:styleId="90">
    <w:name w:val="List Paragraph"/>
    <w:basedOn w:val="1"/>
    <w:qFormat/>
    <w:uiPriority w:val="0"/>
    <w:pPr>
      <w:ind w:firstLine="420" w:firstLineChars="200"/>
    </w:pPr>
  </w:style>
  <w:style w:type="paragraph" w:customStyle="1" w:styleId="91">
    <w:name w:val="表格1"/>
    <w:basedOn w:val="1"/>
    <w:qFormat/>
    <w:uiPriority w:val="0"/>
    <w:pPr>
      <w:widowControl/>
      <w:tabs>
        <w:tab w:val="left" w:pos="8218"/>
      </w:tabs>
      <w:jc w:val="center"/>
    </w:pPr>
    <w:rPr>
      <w:rFonts w:ascii="宋体" w:hAnsi="宋体"/>
      <w:color w:val="000000"/>
      <w:spacing w:val="4"/>
      <w:kern w:val="0"/>
      <w:szCs w:val="21"/>
    </w:rPr>
  </w:style>
  <w:style w:type="character" w:customStyle="1" w:styleId="92">
    <w:name w:val="font01"/>
    <w:basedOn w:val="52"/>
    <w:qFormat/>
    <w:uiPriority w:val="0"/>
    <w:rPr>
      <w:rFonts w:hint="eastAsia" w:ascii="宋体" w:hAnsi="宋体" w:eastAsia="宋体" w:cs="宋体"/>
      <w:color w:val="000000"/>
      <w:sz w:val="24"/>
      <w:szCs w:val="24"/>
      <w:u w:val="none"/>
    </w:rPr>
  </w:style>
  <w:style w:type="paragraph" w:customStyle="1" w:styleId="93">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Cs w:val="21"/>
    </w:rPr>
  </w:style>
  <w:style w:type="paragraph" w:customStyle="1" w:styleId="94">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character" w:customStyle="1" w:styleId="95">
    <w:name w:val="标题 5 Char"/>
    <w:basedOn w:val="52"/>
    <w:link w:val="7"/>
    <w:qFormat/>
    <w:uiPriority w:val="0"/>
    <w:rPr>
      <w:rFonts w:ascii="宋体" w:hAnsi="宋体"/>
      <w:b/>
      <w:kern w:val="2"/>
      <w:sz w:val="24"/>
      <w:szCs w:val="24"/>
    </w:rPr>
  </w:style>
  <w:style w:type="character" w:customStyle="1" w:styleId="96">
    <w:name w:val="标题 6 Char"/>
    <w:basedOn w:val="52"/>
    <w:link w:val="8"/>
    <w:qFormat/>
    <w:uiPriority w:val="0"/>
    <w:rPr>
      <w:rFonts w:ascii="宋体" w:hAnsi="宋体"/>
      <w:b/>
      <w:kern w:val="2"/>
      <w:sz w:val="24"/>
      <w:szCs w:val="24"/>
    </w:rPr>
  </w:style>
  <w:style w:type="character" w:customStyle="1" w:styleId="97">
    <w:name w:val="标题 7 Char"/>
    <w:basedOn w:val="52"/>
    <w:link w:val="9"/>
    <w:qFormat/>
    <w:uiPriority w:val="0"/>
    <w:rPr>
      <w:rFonts w:ascii="Arial" w:hAnsi="Arial" w:eastAsia="Calibri" w:cs="Arial"/>
      <w:b/>
      <w:color w:val="FF00FF"/>
      <w:kern w:val="2"/>
      <w:sz w:val="24"/>
    </w:rPr>
  </w:style>
  <w:style w:type="character" w:customStyle="1" w:styleId="98">
    <w:name w:val="标题 8 Char"/>
    <w:basedOn w:val="52"/>
    <w:link w:val="10"/>
    <w:qFormat/>
    <w:uiPriority w:val="0"/>
    <w:rPr>
      <w:rFonts w:ascii="Tms Rmn" w:hAnsi="Tms Rmn" w:eastAsia="Courier New" w:cs="Arial"/>
      <w:color w:val="FF00FF"/>
      <w:kern w:val="2"/>
      <w:sz w:val="24"/>
    </w:rPr>
  </w:style>
  <w:style w:type="character" w:customStyle="1" w:styleId="99">
    <w:name w:val="标题 9 Char"/>
    <w:basedOn w:val="52"/>
    <w:link w:val="11"/>
    <w:qFormat/>
    <w:uiPriority w:val="0"/>
    <w:rPr>
      <w:rFonts w:ascii="Tms Rmn" w:hAnsi="Tms Rmn" w:eastAsia="Courier New" w:cs="Arial"/>
      <w:color w:val="FF00FF"/>
      <w:kern w:val="2"/>
      <w:sz w:val="21"/>
    </w:rPr>
  </w:style>
  <w:style w:type="character" w:customStyle="1" w:styleId="100">
    <w:name w:val="正文文本 Char"/>
    <w:basedOn w:val="52"/>
    <w:link w:val="19"/>
    <w:qFormat/>
    <w:uiPriority w:val="0"/>
    <w:rPr>
      <w:rFonts w:cs="宋体"/>
      <w:kern w:val="2"/>
      <w:sz w:val="21"/>
      <w:szCs w:val="21"/>
    </w:rPr>
  </w:style>
  <w:style w:type="paragraph" w:customStyle="1" w:styleId="101">
    <w:name w:val="列出段落1"/>
    <w:basedOn w:val="1"/>
    <w:qFormat/>
    <w:uiPriority w:val="0"/>
    <w:pPr>
      <w:widowControl/>
      <w:spacing w:after="200" w:line="276" w:lineRule="auto"/>
      <w:ind w:left="720"/>
      <w:contextualSpacing/>
      <w:jc w:val="left"/>
    </w:pPr>
    <w:rPr>
      <w:rFonts w:ascii="Calibri" w:hAnsi="Calibri"/>
      <w:kern w:val="0"/>
      <w:sz w:val="22"/>
      <w:szCs w:val="22"/>
      <w:lang w:val="en-ZA" w:eastAsia="en-US"/>
    </w:rPr>
  </w:style>
  <w:style w:type="character" w:customStyle="1" w:styleId="102">
    <w:name w:val="正文文本缩进 3 Char"/>
    <w:basedOn w:val="52"/>
    <w:link w:val="37"/>
    <w:qFormat/>
    <w:uiPriority w:val="0"/>
    <w:rPr>
      <w:rFonts w:ascii="楷体_GB2312" w:hAnsi="宋体" w:eastAsia="楷体_GB2312"/>
      <w:b/>
      <w:bCs/>
      <w:sz w:val="28"/>
      <w:szCs w:val="21"/>
    </w:rPr>
  </w:style>
  <w:style w:type="character" w:customStyle="1" w:styleId="103">
    <w:name w:val="正文文本缩进 3 Char1"/>
    <w:basedOn w:val="52"/>
    <w:qFormat/>
    <w:uiPriority w:val="99"/>
    <w:rPr>
      <w:kern w:val="2"/>
      <w:sz w:val="16"/>
      <w:szCs w:val="16"/>
    </w:rPr>
  </w:style>
  <w:style w:type="character" w:customStyle="1" w:styleId="104">
    <w:name w:val="批注框文本 Char"/>
    <w:basedOn w:val="52"/>
    <w:link w:val="28"/>
    <w:qFormat/>
    <w:uiPriority w:val="0"/>
    <w:rPr>
      <w:kern w:val="2"/>
      <w:sz w:val="18"/>
      <w:szCs w:val="18"/>
    </w:rPr>
  </w:style>
  <w:style w:type="character" w:customStyle="1" w:styleId="105">
    <w:name w:val="批注框文本 Char1"/>
    <w:basedOn w:val="52"/>
    <w:qFormat/>
    <w:uiPriority w:val="0"/>
    <w:rPr>
      <w:sz w:val="18"/>
      <w:szCs w:val="18"/>
    </w:rPr>
  </w:style>
  <w:style w:type="character" w:customStyle="1" w:styleId="106">
    <w:name w:val="标题 Char"/>
    <w:basedOn w:val="52"/>
    <w:link w:val="45"/>
    <w:qFormat/>
    <w:uiPriority w:val="0"/>
    <w:rPr>
      <w:kern w:val="2"/>
      <w:sz w:val="32"/>
    </w:rPr>
  </w:style>
  <w:style w:type="paragraph" w:customStyle="1" w:styleId="107">
    <w:name w:val="M4 Head"/>
    <w:basedOn w:val="108"/>
    <w:autoRedefine/>
    <w:qFormat/>
    <w:uiPriority w:val="0"/>
    <w:pPr>
      <w:tabs>
        <w:tab w:val="left" w:pos="1080"/>
      </w:tabs>
      <w:ind w:left="0" w:leftChars="0" w:firstLine="200" w:firstLineChars="200"/>
    </w:pPr>
    <w:rPr>
      <w:b w:val="0"/>
    </w:rPr>
  </w:style>
  <w:style w:type="paragraph" w:customStyle="1" w:styleId="108">
    <w:name w:val="M2 Head"/>
    <w:basedOn w:val="1"/>
    <w:autoRedefine/>
    <w:qFormat/>
    <w:uiPriority w:val="0"/>
    <w:pPr>
      <w:spacing w:line="420" w:lineRule="exact"/>
      <w:ind w:left="687" w:leftChars="327" w:firstLine="480"/>
      <w:outlineLvl w:val="1"/>
    </w:pPr>
    <w:rPr>
      <w:rFonts w:ascii="Arial" w:hAnsi="Arial"/>
      <w:b/>
      <w:color w:val="000000"/>
      <w:kern w:val="32"/>
      <w:sz w:val="24"/>
    </w:rPr>
  </w:style>
  <w:style w:type="paragraph" w:customStyle="1" w:styleId="109">
    <w:name w:val="M2 Text"/>
    <w:basedOn w:val="1"/>
    <w:qFormat/>
    <w:uiPriority w:val="0"/>
    <w:pPr>
      <w:spacing w:after="200" w:line="276" w:lineRule="auto"/>
      <w:ind w:left="1440" w:firstLine="480"/>
    </w:pPr>
    <w:rPr>
      <w:rFonts w:ascii="Arial" w:hAnsi="Arial"/>
      <w:iCs/>
      <w:color w:val="000000"/>
      <w:kern w:val="0"/>
      <w:sz w:val="22"/>
      <w:szCs w:val="26"/>
      <w:lang w:eastAsia="en-US"/>
    </w:rPr>
  </w:style>
  <w:style w:type="paragraph" w:customStyle="1" w:styleId="110">
    <w:name w:val="M3 Head"/>
    <w:basedOn w:val="108"/>
    <w:autoRedefine/>
    <w:qFormat/>
    <w:uiPriority w:val="0"/>
    <w:pPr>
      <w:ind w:left="0" w:leftChars="0" w:firstLine="200" w:firstLineChars="200"/>
    </w:pPr>
    <w:rPr>
      <w:b w:val="0"/>
    </w:rPr>
  </w:style>
  <w:style w:type="paragraph" w:customStyle="1" w:styleId="111">
    <w:name w:val="xl46"/>
    <w:basedOn w:val="1"/>
    <w:qFormat/>
    <w:uiPriority w:val="0"/>
    <w:pPr>
      <w:widowControl/>
      <w:pBdr>
        <w:left w:val="single" w:color="auto" w:sz="8" w:space="0"/>
      </w:pBdr>
      <w:spacing w:beforeAutospacing="1" w:afterAutospacing="1"/>
      <w:jc w:val="center"/>
    </w:pPr>
    <w:rPr>
      <w:rFonts w:ascii="宋体" w:hAnsi="宋体" w:cs="宋体"/>
      <w:kern w:val="0"/>
      <w:sz w:val="24"/>
    </w:rPr>
  </w:style>
  <w:style w:type="character" w:customStyle="1" w:styleId="112">
    <w:name w:val="页码1"/>
    <w:basedOn w:val="52"/>
    <w:qFormat/>
    <w:uiPriority w:val="0"/>
  </w:style>
  <w:style w:type="character" w:customStyle="1" w:styleId="113">
    <w:name w:val="页眉 字符1"/>
    <w:qFormat/>
    <w:uiPriority w:val="99"/>
    <w:rPr>
      <w:sz w:val="24"/>
      <w:szCs w:val="24"/>
    </w:rPr>
  </w:style>
  <w:style w:type="character" w:customStyle="1" w:styleId="114">
    <w:name w:val="日期 字符1"/>
    <w:qFormat/>
    <w:uiPriority w:val="0"/>
    <w:rPr>
      <w:szCs w:val="24"/>
    </w:rPr>
  </w:style>
  <w:style w:type="character" w:customStyle="1" w:styleId="115">
    <w:name w:val="批注文字 Char"/>
    <w:basedOn w:val="52"/>
    <w:link w:val="18"/>
    <w:qFormat/>
    <w:uiPriority w:val="0"/>
    <w:rPr>
      <w:rFonts w:asciiTheme="minorHAnsi" w:hAnsiTheme="minorHAnsi" w:eastAsiaTheme="minorEastAsia" w:cstheme="minorBidi"/>
      <w:kern w:val="2"/>
      <w:sz w:val="21"/>
      <w:szCs w:val="22"/>
    </w:rPr>
  </w:style>
  <w:style w:type="character" w:customStyle="1" w:styleId="116">
    <w:name w:val="批注主题 Char"/>
    <w:basedOn w:val="115"/>
    <w:link w:val="46"/>
    <w:qFormat/>
    <w:uiPriority w:val="0"/>
    <w:rPr>
      <w:rFonts w:asciiTheme="minorHAnsi" w:hAnsiTheme="minorHAnsi" w:eastAsiaTheme="minorEastAsia" w:cstheme="minorBidi"/>
      <w:b/>
      <w:bCs/>
      <w:kern w:val="2"/>
      <w:sz w:val="21"/>
      <w:szCs w:val="24"/>
    </w:rPr>
  </w:style>
  <w:style w:type="character" w:customStyle="1" w:styleId="117">
    <w:name w:val="脚注文本 Char"/>
    <w:basedOn w:val="52"/>
    <w:link w:val="35"/>
    <w:qFormat/>
    <w:uiPriority w:val="0"/>
    <w:rPr>
      <w:kern w:val="2"/>
      <w:sz w:val="18"/>
      <w:szCs w:val="24"/>
    </w:rPr>
  </w:style>
  <w:style w:type="paragraph" w:styleId="118">
    <w:name w:val="No Spacing"/>
    <w:link w:val="119"/>
    <w:qFormat/>
    <w:uiPriority w:val="1"/>
    <w:rPr>
      <w:rFonts w:ascii="Calibri" w:hAnsi="Calibri" w:eastAsia="宋体" w:cs="Times New Roman"/>
      <w:sz w:val="22"/>
      <w:szCs w:val="22"/>
      <w:lang w:val="en-US" w:eastAsia="zh-CN" w:bidi="ar-SA"/>
    </w:rPr>
  </w:style>
  <w:style w:type="character" w:customStyle="1" w:styleId="119">
    <w:name w:val="无间隔 Char"/>
    <w:link w:val="118"/>
    <w:qFormat/>
    <w:uiPriority w:val="1"/>
    <w:rPr>
      <w:rFonts w:ascii="Calibri" w:hAnsi="Calibri"/>
      <w:sz w:val="22"/>
      <w:szCs w:val="22"/>
    </w:rPr>
  </w:style>
  <w:style w:type="character" w:customStyle="1" w:styleId="120">
    <w:name w:val="页脚 字符1"/>
    <w:qFormat/>
    <w:uiPriority w:val="99"/>
    <w:rPr>
      <w:rFonts w:ascii="Times New Roman" w:hAnsi="Times New Roman" w:eastAsia="宋体" w:cs="Times New Roman"/>
      <w:sz w:val="18"/>
      <w:szCs w:val="18"/>
    </w:rPr>
  </w:style>
  <w:style w:type="character" w:customStyle="1" w:styleId="121">
    <w:name w:val="文档结构图 Char"/>
    <w:basedOn w:val="52"/>
    <w:link w:val="17"/>
    <w:qFormat/>
    <w:uiPriority w:val="0"/>
    <w:rPr>
      <w:kern w:val="2"/>
      <w:sz w:val="21"/>
      <w:szCs w:val="24"/>
      <w:shd w:val="clear" w:color="auto" w:fill="000080"/>
    </w:rPr>
  </w:style>
  <w:style w:type="character" w:customStyle="1" w:styleId="122">
    <w:name w:val="纯文本 Char"/>
    <w:basedOn w:val="52"/>
    <w:link w:val="24"/>
    <w:qFormat/>
    <w:uiPriority w:val="0"/>
    <w:rPr>
      <w:rFonts w:ascii="宋体" w:hAnsi="Courier New"/>
      <w:kern w:val="2"/>
      <w:sz w:val="21"/>
      <w:szCs w:val="21"/>
    </w:rPr>
  </w:style>
  <w:style w:type="paragraph" w:customStyle="1" w:styleId="123">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4">
    <w:name w:val="font7"/>
    <w:basedOn w:val="1"/>
    <w:qFormat/>
    <w:uiPriority w:val="0"/>
    <w:pPr>
      <w:widowControl/>
      <w:spacing w:before="100" w:beforeAutospacing="1" w:after="100" w:afterAutospacing="1"/>
      <w:jc w:val="left"/>
    </w:pPr>
    <w:rPr>
      <w:rFonts w:ascii="宋体" w:hAnsi="宋体" w:cs="宋体"/>
      <w:b/>
      <w:bCs/>
      <w:color w:val="000000"/>
      <w:kern w:val="0"/>
      <w:sz w:val="30"/>
      <w:szCs w:val="30"/>
    </w:rPr>
  </w:style>
  <w:style w:type="paragraph" w:customStyle="1" w:styleId="125">
    <w:name w:val="font8"/>
    <w:basedOn w:val="1"/>
    <w:qFormat/>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126">
    <w:name w:val="font9"/>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27">
    <w:name w:val="font10"/>
    <w:basedOn w:val="1"/>
    <w:qFormat/>
    <w:uiPriority w:val="0"/>
    <w:pPr>
      <w:widowControl/>
      <w:spacing w:before="100" w:beforeAutospacing="1" w:after="100" w:afterAutospacing="1"/>
      <w:jc w:val="left"/>
    </w:pPr>
    <w:rPr>
      <w:color w:val="000000"/>
      <w:kern w:val="0"/>
      <w:sz w:val="18"/>
      <w:szCs w:val="18"/>
    </w:rPr>
  </w:style>
  <w:style w:type="paragraph" w:customStyle="1" w:styleId="128">
    <w:name w:val="font11"/>
    <w:basedOn w:val="1"/>
    <w:qFormat/>
    <w:uiPriority w:val="0"/>
    <w:pPr>
      <w:widowControl/>
      <w:spacing w:before="100" w:beforeAutospacing="1" w:after="100" w:afterAutospacing="1"/>
      <w:jc w:val="left"/>
    </w:pPr>
    <w:rPr>
      <w:color w:val="FF0000"/>
      <w:kern w:val="0"/>
      <w:sz w:val="18"/>
      <w:szCs w:val="18"/>
    </w:rPr>
  </w:style>
  <w:style w:type="paragraph" w:customStyle="1" w:styleId="129">
    <w:name w:val="font12"/>
    <w:basedOn w:val="1"/>
    <w:qFormat/>
    <w:uiPriority w:val="0"/>
    <w:pPr>
      <w:widowControl/>
      <w:spacing w:before="100" w:beforeAutospacing="1" w:after="100" w:afterAutospacing="1"/>
      <w:jc w:val="left"/>
    </w:pPr>
    <w:rPr>
      <w:color w:val="000000"/>
      <w:kern w:val="0"/>
      <w:sz w:val="22"/>
      <w:szCs w:val="22"/>
    </w:rPr>
  </w:style>
  <w:style w:type="paragraph" w:customStyle="1" w:styleId="130">
    <w:name w:val="font1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31">
    <w:name w:val="font14"/>
    <w:basedOn w:val="1"/>
    <w:qFormat/>
    <w:uiPriority w:val="0"/>
    <w:pPr>
      <w:widowControl/>
      <w:spacing w:before="100" w:beforeAutospacing="1" w:after="100" w:afterAutospacing="1"/>
      <w:jc w:val="left"/>
    </w:pPr>
    <w:rPr>
      <w:rFonts w:ascii="黑体" w:hAnsi="宋体" w:eastAsia="黑体" w:cs="宋体"/>
      <w:color w:val="000000"/>
      <w:kern w:val="0"/>
      <w:sz w:val="22"/>
      <w:szCs w:val="22"/>
    </w:rPr>
  </w:style>
  <w:style w:type="paragraph" w:customStyle="1" w:styleId="132">
    <w:name w:val="font15"/>
    <w:basedOn w:val="1"/>
    <w:qFormat/>
    <w:uiPriority w:val="0"/>
    <w:pPr>
      <w:widowControl/>
      <w:spacing w:before="100" w:beforeAutospacing="1" w:after="100" w:afterAutospacing="1"/>
      <w:jc w:val="left"/>
    </w:pPr>
    <w:rPr>
      <w:b/>
      <w:bCs/>
      <w:color w:val="000000"/>
      <w:kern w:val="0"/>
      <w:sz w:val="30"/>
      <w:szCs w:val="30"/>
    </w:rPr>
  </w:style>
  <w:style w:type="paragraph" w:customStyle="1" w:styleId="13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4">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3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138">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139">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
    <w:name w:val="xl94"/>
    <w:basedOn w:val="1"/>
    <w:qFormat/>
    <w:uiPriority w:val="0"/>
    <w:pPr>
      <w:widowControl/>
      <w:spacing w:before="100" w:beforeAutospacing="1" w:after="100" w:afterAutospacing="1"/>
      <w:jc w:val="left"/>
    </w:pPr>
    <w:rPr>
      <w:kern w:val="0"/>
      <w:sz w:val="20"/>
      <w:szCs w:val="20"/>
    </w:rPr>
  </w:style>
  <w:style w:type="paragraph" w:customStyle="1" w:styleId="14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3">
    <w:name w:val="xl9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4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5">
    <w:name w:val="xl98"/>
    <w:basedOn w:val="1"/>
    <w:qFormat/>
    <w:uiPriority w:val="0"/>
    <w:pPr>
      <w:widowControl/>
      <w:pBdr>
        <w:top w:val="single" w:color="auto" w:sz="4" w:space="0"/>
      </w:pBdr>
      <w:spacing w:before="100" w:beforeAutospacing="1" w:after="100" w:afterAutospacing="1"/>
      <w:jc w:val="left"/>
    </w:pPr>
    <w:rPr>
      <w:rFonts w:ascii="宋体" w:hAnsi="宋体" w:cs="宋体"/>
      <w:kern w:val="0"/>
      <w:sz w:val="24"/>
    </w:rPr>
  </w:style>
  <w:style w:type="paragraph" w:customStyle="1" w:styleId="146">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47">
    <w:name w:val="xl100"/>
    <w:basedOn w:val="1"/>
    <w:qFormat/>
    <w:uiPriority w:val="0"/>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148">
    <w:name w:val="xl10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
    <w:name w:val="xl10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0">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1">
    <w:name w:val="xl10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color w:val="FF0000"/>
      <w:kern w:val="0"/>
      <w:sz w:val="18"/>
      <w:szCs w:val="18"/>
    </w:rPr>
  </w:style>
  <w:style w:type="paragraph" w:customStyle="1" w:styleId="152">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color w:val="FF0000"/>
      <w:kern w:val="0"/>
      <w:sz w:val="18"/>
      <w:szCs w:val="18"/>
    </w:rPr>
  </w:style>
  <w:style w:type="paragraph" w:customStyle="1" w:styleId="153">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30"/>
      <w:szCs w:val="30"/>
    </w:rPr>
  </w:style>
  <w:style w:type="paragraph" w:customStyle="1" w:styleId="154">
    <w:name w:val="xl10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
    <w:name w:val="xl10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
    <w:name w:val="xl10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157">
    <w:name w:val="正文文本缩进 2 Char"/>
    <w:basedOn w:val="52"/>
    <w:link w:val="27"/>
    <w:qFormat/>
    <w:uiPriority w:val="0"/>
    <w:rPr>
      <w:rFonts w:ascii="宋体"/>
      <w:sz w:val="24"/>
    </w:rPr>
  </w:style>
  <w:style w:type="paragraph" w:customStyle="1" w:styleId="158">
    <w:name w:val="msolistparagraph"/>
    <w:basedOn w:val="1"/>
    <w:qFormat/>
    <w:uiPriority w:val="0"/>
    <w:pPr>
      <w:ind w:firstLine="420" w:firstLineChars="200"/>
    </w:pPr>
  </w:style>
  <w:style w:type="character" w:customStyle="1" w:styleId="159">
    <w:name w:val="Unresolved Mention"/>
    <w:basedOn w:val="52"/>
    <w:semiHidden/>
    <w:unhideWhenUsed/>
    <w:qFormat/>
    <w:uiPriority w:val="99"/>
    <w:rPr>
      <w:color w:val="808080"/>
      <w:shd w:val="clear" w:color="auto" w:fill="E6E6E6"/>
    </w:rPr>
  </w:style>
  <w:style w:type="character" w:customStyle="1" w:styleId="160">
    <w:name w:val="Char Char2"/>
    <w:basedOn w:val="52"/>
    <w:qFormat/>
    <w:uiPriority w:val="0"/>
    <w:rPr>
      <w:rFonts w:cs="Times New Roman"/>
      <w:kern w:val="2"/>
      <w:sz w:val="18"/>
    </w:rPr>
  </w:style>
  <w:style w:type="character" w:customStyle="1" w:styleId="161">
    <w:name w:val="Char Char5"/>
    <w:basedOn w:val="52"/>
    <w:qFormat/>
    <w:uiPriority w:val="0"/>
    <w:rPr>
      <w:rFonts w:cs="Times New Roman"/>
      <w:kern w:val="2"/>
      <w:sz w:val="18"/>
    </w:rPr>
  </w:style>
  <w:style w:type="character" w:customStyle="1" w:styleId="162">
    <w:name w:val="Balloon Text Char"/>
    <w:basedOn w:val="52"/>
    <w:semiHidden/>
    <w:qFormat/>
    <w:locked/>
    <w:uiPriority w:val="0"/>
    <w:rPr>
      <w:rFonts w:ascii="Times New Roman" w:hAnsi="Times New Roman" w:cs="Times New Roman"/>
      <w:sz w:val="2"/>
    </w:rPr>
  </w:style>
  <w:style w:type="character" w:customStyle="1" w:styleId="163">
    <w:name w:val="批注文字 Char1"/>
    <w:basedOn w:val="52"/>
    <w:semiHidden/>
    <w:qFormat/>
    <w:uiPriority w:val="99"/>
  </w:style>
  <w:style w:type="paragraph" w:customStyle="1" w:styleId="16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165">
    <w:name w:val="xl110"/>
    <w:basedOn w:val="1"/>
    <w:qFormat/>
    <w:uiPriority w:val="0"/>
    <w:pPr>
      <w:widowControl/>
      <w:pBdr>
        <w:top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66">
    <w:name w:val="xl111"/>
    <w:basedOn w:val="1"/>
    <w:qFormat/>
    <w:uiPriority w:val="0"/>
    <w:pPr>
      <w:widowControl/>
      <w:pBdr>
        <w:left w:val="single" w:color="auto" w:sz="8" w:space="0"/>
        <w:right w:val="single" w:color="auto" w:sz="8" w:space="0"/>
      </w:pBdr>
      <w:spacing w:before="100" w:beforeAutospacing="1" w:after="100" w:afterAutospacing="1"/>
      <w:jc w:val="left"/>
      <w:textAlignment w:val="center"/>
    </w:pPr>
    <w:rPr>
      <w:color w:val="000000"/>
      <w:kern w:val="0"/>
      <w:sz w:val="20"/>
      <w:szCs w:val="20"/>
    </w:rPr>
  </w:style>
  <w:style w:type="paragraph" w:customStyle="1" w:styleId="167">
    <w:name w:val="xl112"/>
    <w:basedOn w:val="1"/>
    <w:qFormat/>
    <w:uiPriority w:val="0"/>
    <w:pPr>
      <w:widowControl/>
      <w:pBdr>
        <w:top w:val="single" w:color="auto" w:sz="8" w:space="0"/>
        <w:left w:val="single" w:color="auto" w:sz="8" w:space="0"/>
        <w:right w:val="single" w:color="auto" w:sz="8" w:space="0"/>
      </w:pBdr>
      <w:spacing w:before="100" w:beforeAutospacing="1" w:after="100" w:afterAutospacing="1"/>
      <w:jc w:val="left"/>
      <w:textAlignment w:val="center"/>
    </w:pPr>
    <w:rPr>
      <w:color w:val="000000"/>
      <w:kern w:val="0"/>
      <w:sz w:val="20"/>
      <w:szCs w:val="20"/>
    </w:rPr>
  </w:style>
  <w:style w:type="paragraph" w:customStyle="1" w:styleId="168">
    <w:name w:val="xl113"/>
    <w:basedOn w:val="1"/>
    <w:qFormat/>
    <w:uiPriority w:val="0"/>
    <w:pPr>
      <w:widowControl/>
      <w:pBdr>
        <w:top w:val="single" w:color="auto" w:sz="8"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69">
    <w:name w:val="xl114"/>
    <w:basedOn w:val="1"/>
    <w:qFormat/>
    <w:uiPriority w:val="0"/>
    <w:pPr>
      <w:widowControl/>
      <w:pBdr>
        <w:top w:val="single" w:color="auto" w:sz="8" w:space="0"/>
        <w:left w:val="single" w:color="auto" w:sz="8"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70">
    <w:name w:val="xl115"/>
    <w:basedOn w:val="1"/>
    <w:qFormat/>
    <w:uiPriority w:val="0"/>
    <w:pPr>
      <w:widowControl/>
      <w:pBdr>
        <w:top w:val="single" w:color="auto" w:sz="8" w:space="0"/>
        <w:right w:val="single" w:color="auto" w:sz="8"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71">
    <w:name w:val="xl116"/>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72">
    <w:name w:val="TOC 标题1"/>
    <w:basedOn w:val="3"/>
    <w:next w:val="1"/>
    <w:qFormat/>
    <w:uiPriority w:val="0"/>
    <w:pPr>
      <w:keepNext/>
      <w:keepLines/>
      <w:pageBreakBefore w:val="0"/>
      <w:widowControl/>
      <w:spacing w:before="480" w:after="0" w:line="276" w:lineRule="auto"/>
      <w:jc w:val="left"/>
      <w:outlineLvl w:val="9"/>
    </w:pPr>
    <w:rPr>
      <w:rFonts w:ascii="Cambria" w:hAnsi="Cambria"/>
      <w:color w:val="365F91"/>
      <w:kern w:val="0"/>
      <w:sz w:val="28"/>
      <w:szCs w:val="28"/>
    </w:rPr>
  </w:style>
  <w:style w:type="paragraph" w:customStyle="1" w:styleId="173">
    <w:name w:val="标准书眉_偶数页"/>
    <w:basedOn w:val="1"/>
    <w:next w:val="1"/>
    <w:qFormat/>
    <w:uiPriority w:val="0"/>
    <w:pPr>
      <w:widowControl/>
      <w:tabs>
        <w:tab w:val="center" w:pos="4154"/>
        <w:tab w:val="right" w:pos="8306"/>
      </w:tabs>
      <w:spacing w:after="120"/>
      <w:jc w:val="left"/>
    </w:pPr>
    <w:rPr>
      <w:kern w:val="0"/>
      <w:szCs w:val="20"/>
    </w:rPr>
  </w:style>
  <w:style w:type="character" w:customStyle="1" w:styleId="174">
    <w:name w:val="font21"/>
    <w:qFormat/>
    <w:uiPriority w:val="0"/>
    <w:rPr>
      <w:rFonts w:hint="eastAsia" w:ascii="宋体" w:hAnsi="宋体" w:eastAsia="宋体"/>
      <w:b/>
      <w:bCs/>
      <w:color w:val="000000"/>
      <w:sz w:val="22"/>
      <w:szCs w:val="22"/>
      <w:u w:val="none"/>
    </w:rPr>
  </w:style>
  <w:style w:type="character" w:customStyle="1" w:styleId="175">
    <w:name w:val="font51"/>
    <w:qFormat/>
    <w:uiPriority w:val="0"/>
    <w:rPr>
      <w:rFonts w:hint="eastAsia" w:ascii="宋体" w:hAnsi="宋体" w:eastAsia="宋体"/>
      <w:b/>
      <w:bCs/>
      <w:color w:val="000000"/>
      <w:sz w:val="22"/>
      <w:szCs w:val="22"/>
      <w:u w:val="none"/>
      <w:vertAlign w:val="superscript"/>
    </w:rPr>
  </w:style>
  <w:style w:type="character" w:customStyle="1" w:styleId="176">
    <w:name w:val="font61"/>
    <w:qFormat/>
    <w:uiPriority w:val="0"/>
    <w:rPr>
      <w:rFonts w:hint="eastAsia" w:ascii="宋体" w:hAnsi="宋体" w:eastAsia="宋体"/>
      <w:color w:val="000000"/>
      <w:sz w:val="24"/>
      <w:szCs w:val="24"/>
      <w:u w:val="none"/>
    </w:rPr>
  </w:style>
  <w:style w:type="character" w:customStyle="1" w:styleId="177">
    <w:name w:val="font41"/>
    <w:qFormat/>
    <w:uiPriority w:val="0"/>
    <w:rPr>
      <w:rFonts w:hint="eastAsia" w:ascii="宋体" w:hAnsi="宋体" w:eastAsia="宋体"/>
      <w:color w:val="000000"/>
      <w:sz w:val="24"/>
      <w:szCs w:val="24"/>
      <w:u w:val="none"/>
      <w:vertAlign w:val="superscript"/>
    </w:rPr>
  </w:style>
  <w:style w:type="character" w:customStyle="1" w:styleId="178">
    <w:name w:val="font31"/>
    <w:qFormat/>
    <w:uiPriority w:val="0"/>
    <w:rPr>
      <w:rFonts w:hint="eastAsia" w:ascii="宋体" w:hAnsi="宋体" w:eastAsia="宋体"/>
      <w:color w:val="FF0000"/>
      <w:sz w:val="16"/>
      <w:szCs w:val="16"/>
      <w:u w:val="none"/>
    </w:rPr>
  </w:style>
  <w:style w:type="paragraph" w:customStyle="1" w:styleId="179">
    <w:name w:val="p0"/>
    <w:basedOn w:val="1"/>
    <w:qFormat/>
    <w:uiPriority w:val="0"/>
    <w:pPr>
      <w:widowControl/>
    </w:pPr>
    <w:rPr>
      <w:kern w:val="0"/>
      <w:szCs w:val="21"/>
    </w:rPr>
  </w:style>
  <w:style w:type="paragraph" w:customStyle="1" w:styleId="180">
    <w:name w:val="Char"/>
    <w:basedOn w:val="1"/>
    <w:qFormat/>
    <w:uiPriority w:val="0"/>
  </w:style>
  <w:style w:type="character" w:customStyle="1" w:styleId="181">
    <w:name w:val="正文文本缩进 Char"/>
    <w:basedOn w:val="52"/>
    <w:link w:val="20"/>
    <w:qFormat/>
    <w:uiPriority w:val="0"/>
    <w:rPr>
      <w:rFonts w:ascii="宋体" w:hAnsi="宋体"/>
      <w:kern w:val="2"/>
      <w:sz w:val="28"/>
      <w:szCs w:val="24"/>
    </w:rPr>
  </w:style>
  <w:style w:type="paragraph" w:customStyle="1" w:styleId="182">
    <w:name w:val="表标"/>
    <w:next w:val="1"/>
    <w:qFormat/>
    <w:uiPriority w:val="0"/>
    <w:pPr>
      <w:jc w:val="center"/>
      <w:textAlignment w:val="center"/>
    </w:pPr>
    <w:rPr>
      <w:rFonts w:ascii="宋体" w:hAnsi="宋体" w:eastAsia="宋体" w:cs="Times New Roman"/>
      <w:color w:val="000000"/>
      <w:kern w:val="2"/>
      <w:sz w:val="18"/>
      <w:szCs w:val="28"/>
      <w:lang w:val="en-US" w:eastAsia="zh-CN" w:bidi="ar-SA"/>
    </w:rPr>
  </w:style>
  <w:style w:type="character" w:customStyle="1" w:styleId="183">
    <w:name w:val="普通(网站) Char"/>
    <w:link w:val="43"/>
    <w:qFormat/>
    <w:locked/>
    <w:uiPriority w:val="0"/>
    <w:rPr>
      <w:rFonts w:ascii="宋体" w:hAnsi="宋体" w:cs="宋体"/>
      <w:sz w:val="24"/>
      <w:szCs w:val="24"/>
    </w:rPr>
  </w:style>
  <w:style w:type="character" w:customStyle="1" w:styleId="184">
    <w:name w:val="apple-converted-space"/>
    <w:qFormat/>
    <w:uiPriority w:val="0"/>
  </w:style>
  <w:style w:type="paragraph" w:customStyle="1" w:styleId="185">
    <w:name w:val="目录"/>
    <w:qFormat/>
    <w:uiPriority w:val="0"/>
    <w:pPr>
      <w:jc w:val="center"/>
      <w:outlineLvl w:val="0"/>
    </w:pPr>
    <w:rPr>
      <w:rFonts w:ascii="宋体" w:hAnsi="Times New Roman" w:eastAsia="宋体" w:cs="Times New Roman"/>
      <w:color w:val="FF0000"/>
      <w:sz w:val="32"/>
      <w:lang w:val="en-US" w:eastAsia="zh-CN" w:bidi="ar-SA"/>
    </w:rPr>
  </w:style>
  <w:style w:type="paragraph" w:customStyle="1" w:styleId="186">
    <w:name w:val="Char2"/>
    <w:basedOn w:val="1"/>
    <w:qFormat/>
    <w:uiPriority w:val="0"/>
    <w:rPr>
      <w:sz w:val="18"/>
      <w:szCs w:val="18"/>
    </w:rPr>
  </w:style>
  <w:style w:type="paragraph" w:customStyle="1" w:styleId="187">
    <w:name w:val="Char1"/>
    <w:basedOn w:val="1"/>
    <w:qFormat/>
    <w:uiPriority w:val="0"/>
    <w:pPr>
      <w:tabs>
        <w:tab w:val="left" w:pos="4665"/>
        <w:tab w:val="left" w:pos="8970"/>
      </w:tabs>
      <w:ind w:firstLine="400"/>
    </w:pPr>
    <w:rPr>
      <w:rFonts w:ascii="Tahoma" w:hAnsi="Tahoma"/>
      <w:sz w:val="24"/>
      <w:szCs w:val="20"/>
    </w:rPr>
  </w:style>
  <w:style w:type="paragraph" w:customStyle="1" w:styleId="188">
    <w:name w:val="表格正文"/>
    <w:next w:val="1"/>
    <w:link w:val="363"/>
    <w:autoRedefine/>
    <w:qFormat/>
    <w:uiPriority w:val="0"/>
    <w:pPr>
      <w:widowControl w:val="0"/>
      <w:tabs>
        <w:tab w:val="left" w:pos="374"/>
      </w:tabs>
      <w:jc w:val="center"/>
    </w:pPr>
    <w:rPr>
      <w:rFonts w:ascii="宋体" w:hAnsi="宋体" w:eastAsia="宋体" w:cs="Times New Roman"/>
      <w:sz w:val="21"/>
      <w:lang w:val="en-US" w:eastAsia="zh-CN" w:bidi="ar-SA"/>
    </w:rPr>
  </w:style>
  <w:style w:type="character" w:customStyle="1" w:styleId="189">
    <w:name w:val="gray f12"/>
    <w:qFormat/>
    <w:uiPriority w:val="0"/>
  </w:style>
  <w:style w:type="character" w:customStyle="1" w:styleId="190">
    <w:name w:val="HTML 预设格式 Char"/>
    <w:basedOn w:val="52"/>
    <w:link w:val="42"/>
    <w:qFormat/>
    <w:uiPriority w:val="0"/>
    <w:rPr>
      <w:rFonts w:ascii="Arial" w:hAnsi="Arial" w:cs="Arial"/>
      <w:sz w:val="21"/>
      <w:szCs w:val="21"/>
    </w:rPr>
  </w:style>
  <w:style w:type="paragraph" w:customStyle="1" w:styleId="191">
    <w:name w:val="cjk"/>
    <w:basedOn w:val="1"/>
    <w:qFormat/>
    <w:uiPriority w:val="0"/>
    <w:pPr>
      <w:widowControl/>
      <w:spacing w:before="100" w:beforeAutospacing="1" w:line="360" w:lineRule="auto"/>
    </w:pPr>
    <w:rPr>
      <w:rFonts w:ascii="仿宋_GB2312" w:hAnsi="宋体" w:eastAsia="仿宋_GB2312" w:cs="宋体"/>
      <w:color w:val="000000"/>
      <w:kern w:val="0"/>
      <w:sz w:val="32"/>
      <w:szCs w:val="32"/>
    </w:rPr>
  </w:style>
  <w:style w:type="character" w:customStyle="1" w:styleId="192">
    <w:name w:val="content11"/>
    <w:qFormat/>
    <w:uiPriority w:val="0"/>
    <w:rPr>
      <w:rFonts w:hint="default" w:ascii="ˎ̥" w:hAnsi="ˎ̥"/>
      <w:color w:val="000000"/>
      <w:sz w:val="14"/>
      <w:szCs w:val="14"/>
    </w:rPr>
  </w:style>
  <w:style w:type="paragraph" w:customStyle="1" w:styleId="193">
    <w:name w:val="Default"/>
    <w:link w:val="373"/>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4">
    <w:name w:val="段 Char"/>
    <w:link w:val="195"/>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195">
    <w:name w:val="段 Char Char"/>
    <w:link w:val="194"/>
    <w:qFormat/>
    <w:uiPriority w:val="0"/>
    <w:rPr>
      <w:rFonts w:ascii="宋体"/>
      <w:sz w:val="21"/>
    </w:rPr>
  </w:style>
  <w:style w:type="character" w:customStyle="1" w:styleId="196">
    <w:name w:val="论文正文格式 Char"/>
    <w:link w:val="197"/>
    <w:qFormat/>
    <w:uiPriority w:val="0"/>
    <w:rPr>
      <w:color w:val="000000"/>
      <w:kern w:val="2"/>
      <w:sz w:val="24"/>
    </w:rPr>
  </w:style>
  <w:style w:type="paragraph" w:customStyle="1" w:styleId="197">
    <w:name w:val="论文正文格式"/>
    <w:basedOn w:val="14"/>
    <w:link w:val="196"/>
    <w:qFormat/>
    <w:uiPriority w:val="0"/>
    <w:pPr>
      <w:adjustRightInd w:val="0"/>
      <w:snapToGrid w:val="0"/>
      <w:spacing w:line="300" w:lineRule="auto"/>
      <w:ind w:firstLine="578"/>
      <w:jc w:val="left"/>
    </w:pPr>
    <w:rPr>
      <w:color w:val="000000"/>
    </w:rPr>
  </w:style>
  <w:style w:type="character" w:customStyle="1" w:styleId="198">
    <w:name w:val="zi1"/>
    <w:qFormat/>
    <w:uiPriority w:val="0"/>
    <w:rPr>
      <w:color w:val="000000"/>
      <w:sz w:val="18"/>
      <w:szCs w:val="18"/>
      <w:u w:val="none"/>
    </w:rPr>
  </w:style>
  <w:style w:type="paragraph" w:customStyle="1" w:styleId="199">
    <w:name w:val="pic-info"/>
    <w:basedOn w:val="1"/>
    <w:qFormat/>
    <w:uiPriority w:val="0"/>
    <w:pPr>
      <w:widowControl/>
      <w:spacing w:before="100" w:beforeAutospacing="1" w:after="100" w:afterAutospacing="1"/>
      <w:jc w:val="left"/>
    </w:pPr>
    <w:rPr>
      <w:rFonts w:ascii="宋体" w:hAnsi="宋体" w:cs="宋体"/>
      <w:kern w:val="0"/>
      <w:sz w:val="24"/>
    </w:rPr>
  </w:style>
  <w:style w:type="paragraph" w:customStyle="1" w:styleId="200">
    <w:name w:val="Char11"/>
    <w:basedOn w:val="1"/>
    <w:qFormat/>
    <w:uiPriority w:val="0"/>
    <w:rPr>
      <w:rFonts w:ascii="宋体" w:hAnsi="宋体" w:cs="Courier New"/>
      <w:sz w:val="32"/>
      <w:szCs w:val="32"/>
    </w:rPr>
  </w:style>
  <w:style w:type="character" w:customStyle="1" w:styleId="201">
    <w:name w:val="题注 Char"/>
    <w:link w:val="15"/>
    <w:qFormat/>
    <w:uiPriority w:val="9"/>
    <w:rPr>
      <w:rFonts w:ascii="宋体" w:hAnsi="宋体" w:cs="宋体"/>
      <w:sz w:val="24"/>
      <w:szCs w:val="24"/>
    </w:rPr>
  </w:style>
  <w:style w:type="character" w:customStyle="1" w:styleId="202">
    <w:name w:val="表格 Char"/>
    <w:link w:val="16"/>
    <w:qFormat/>
    <w:uiPriority w:val="9"/>
    <w:rPr>
      <w:rFonts w:ascii="宋体" w:hAnsi="宋体" w:cs="微软雅黑"/>
      <w:kern w:val="2"/>
      <w:sz w:val="18"/>
      <w:szCs w:val="18"/>
    </w:rPr>
  </w:style>
  <w:style w:type="paragraph" w:customStyle="1" w:styleId="203">
    <w:name w:val="[1]表格"/>
    <w:basedOn w:val="1"/>
    <w:qFormat/>
    <w:uiPriority w:val="0"/>
    <w:pPr>
      <w:widowControl/>
      <w:adjustRightInd w:val="0"/>
      <w:snapToGrid w:val="0"/>
      <w:spacing w:line="360" w:lineRule="exact"/>
      <w:jc w:val="center"/>
    </w:pPr>
    <w:rPr>
      <w:rFonts w:cs="宋体"/>
      <w:kern w:val="0"/>
      <w:sz w:val="24"/>
      <w:szCs w:val="20"/>
    </w:rPr>
  </w:style>
  <w:style w:type="paragraph" w:customStyle="1" w:styleId="204">
    <w:name w:val="[1]标题3"/>
    <w:basedOn w:val="5"/>
    <w:link w:val="205"/>
    <w:qFormat/>
    <w:uiPriority w:val="0"/>
    <w:pPr>
      <w:tabs>
        <w:tab w:val="center" w:pos="5040"/>
      </w:tabs>
      <w:adjustRightInd w:val="0"/>
      <w:snapToGrid w:val="0"/>
      <w:spacing w:line="500" w:lineRule="exact"/>
      <w:jc w:val="left"/>
    </w:pPr>
    <w:rPr>
      <w:bCs w:val="0"/>
      <w:spacing w:val="6"/>
    </w:rPr>
  </w:style>
  <w:style w:type="character" w:customStyle="1" w:styleId="205">
    <w:name w:val="[1]标题3 Char"/>
    <w:link w:val="204"/>
    <w:qFormat/>
    <w:uiPriority w:val="0"/>
    <w:rPr>
      <w:b/>
      <w:spacing w:val="6"/>
      <w:kern w:val="2"/>
      <w:sz w:val="24"/>
      <w:szCs w:val="28"/>
    </w:rPr>
  </w:style>
  <w:style w:type="paragraph" w:customStyle="1" w:styleId="206">
    <w:name w:val="[1]正文"/>
    <w:basedOn w:val="1"/>
    <w:link w:val="207"/>
    <w:qFormat/>
    <w:uiPriority w:val="0"/>
    <w:pPr>
      <w:tabs>
        <w:tab w:val="center" w:pos="5040"/>
      </w:tabs>
      <w:adjustRightInd w:val="0"/>
      <w:snapToGrid w:val="0"/>
      <w:spacing w:line="500" w:lineRule="exact"/>
      <w:ind w:firstLine="200" w:firstLineChars="200"/>
    </w:pPr>
    <w:rPr>
      <w:snapToGrid w:val="0"/>
      <w:kern w:val="28"/>
      <w:sz w:val="28"/>
      <w:szCs w:val="28"/>
    </w:rPr>
  </w:style>
  <w:style w:type="character" w:customStyle="1" w:styleId="207">
    <w:name w:val="[1]正文 Char"/>
    <w:link w:val="206"/>
    <w:qFormat/>
    <w:uiPriority w:val="0"/>
    <w:rPr>
      <w:snapToGrid w:val="0"/>
      <w:kern w:val="28"/>
      <w:sz w:val="28"/>
      <w:szCs w:val="28"/>
    </w:rPr>
  </w:style>
  <w:style w:type="paragraph" w:customStyle="1" w:styleId="208">
    <w:name w:val="[1]标题4"/>
    <w:basedOn w:val="6"/>
    <w:next w:val="1"/>
    <w:qFormat/>
    <w:uiPriority w:val="0"/>
    <w:pPr>
      <w:keepLines w:val="0"/>
      <w:spacing w:line="520" w:lineRule="exact"/>
      <w:ind w:firstLine="200"/>
    </w:pPr>
    <w:rPr>
      <w:rFonts w:eastAsia="宋体"/>
      <w:szCs w:val="20"/>
    </w:rPr>
  </w:style>
  <w:style w:type="paragraph" w:customStyle="1" w:styleId="209">
    <w:name w:val="三级正文"/>
    <w:basedOn w:val="1"/>
    <w:qFormat/>
    <w:uiPriority w:val="0"/>
    <w:pPr>
      <w:widowControl/>
      <w:adjustRightInd w:val="0"/>
      <w:spacing w:line="300" w:lineRule="auto"/>
      <w:ind w:firstLine="567"/>
      <w:textAlignment w:val="baseline"/>
    </w:pPr>
    <w:rPr>
      <w:kern w:val="28"/>
      <w:sz w:val="28"/>
      <w:szCs w:val="20"/>
    </w:rPr>
  </w:style>
  <w:style w:type="paragraph" w:customStyle="1" w:styleId="210">
    <w:name w:val="表格文字"/>
    <w:basedOn w:val="1"/>
    <w:link w:val="362"/>
    <w:autoRedefine/>
    <w:qFormat/>
    <w:uiPriority w:val="0"/>
    <w:pPr>
      <w:wordWrap w:val="0"/>
      <w:adjustRightInd w:val="0"/>
      <w:snapToGrid w:val="0"/>
      <w:jc w:val="center"/>
      <w:textAlignment w:val="baseline"/>
    </w:pPr>
    <w:rPr>
      <w:szCs w:val="20"/>
    </w:rPr>
  </w:style>
  <w:style w:type="paragraph" w:customStyle="1" w:styleId="211">
    <w:name w:val="段"/>
    <w:qFormat/>
    <w:uiPriority w:val="0"/>
    <w:pPr>
      <w:widowControl w:val="0"/>
      <w:autoSpaceDE w:val="0"/>
      <w:autoSpaceDN w:val="0"/>
      <w:adjustRightInd w:val="0"/>
      <w:spacing w:line="360" w:lineRule="atLeast"/>
      <w:ind w:firstLine="200" w:firstLineChars="200"/>
      <w:jc w:val="both"/>
      <w:textAlignment w:val="baseline"/>
    </w:pPr>
    <w:rPr>
      <w:rFonts w:ascii="宋体" w:hAnsi="Times New Roman" w:eastAsia="宋体" w:cs="Times New Roman"/>
      <w:sz w:val="21"/>
      <w:lang w:val="en-US" w:eastAsia="zh-CN" w:bidi="ar-SA"/>
    </w:rPr>
  </w:style>
  <w:style w:type="character" w:customStyle="1" w:styleId="212">
    <w:name w:val="15"/>
    <w:qFormat/>
    <w:uiPriority w:val="0"/>
  </w:style>
  <w:style w:type="paragraph" w:customStyle="1" w:styleId="213">
    <w:name w:val="报告表标题"/>
    <w:basedOn w:val="1"/>
    <w:link w:val="357"/>
    <w:qFormat/>
    <w:uiPriority w:val="0"/>
    <w:pPr>
      <w:widowControl/>
      <w:numPr>
        <w:ilvl w:val="0"/>
        <w:numId w:val="2"/>
      </w:numPr>
      <w:ind w:firstLine="200" w:firstLineChars="200"/>
      <w:jc w:val="left"/>
    </w:pPr>
    <w:rPr>
      <w:rFonts w:ascii="宋体" w:hAnsi="宋体" w:cs="宋体"/>
      <w:kern w:val="0"/>
      <w:sz w:val="24"/>
    </w:rPr>
  </w:style>
  <w:style w:type="character" w:customStyle="1" w:styleId="214">
    <w:name w:val="样式 四号 Char"/>
    <w:link w:val="215"/>
    <w:qFormat/>
    <w:uiPriority w:val="0"/>
    <w:rPr>
      <w:sz w:val="28"/>
    </w:rPr>
  </w:style>
  <w:style w:type="paragraph" w:customStyle="1" w:styleId="215">
    <w:name w:val="样式 四号"/>
    <w:basedOn w:val="1"/>
    <w:link w:val="214"/>
    <w:qFormat/>
    <w:uiPriority w:val="0"/>
    <w:pPr>
      <w:widowControl/>
      <w:ind w:firstLine="200" w:firstLineChars="200"/>
      <w:jc w:val="left"/>
    </w:pPr>
    <w:rPr>
      <w:kern w:val="0"/>
      <w:sz w:val="28"/>
      <w:szCs w:val="20"/>
    </w:rPr>
  </w:style>
  <w:style w:type="paragraph" w:customStyle="1" w:styleId="216">
    <w:name w:val="Char Char Char Char"/>
    <w:basedOn w:val="1"/>
    <w:qFormat/>
    <w:uiPriority w:val="0"/>
    <w:rPr>
      <w:rFonts w:ascii="Calibri" w:hAnsi="Calibri"/>
    </w:rPr>
  </w:style>
  <w:style w:type="character" w:customStyle="1" w:styleId="217">
    <w:name w:val="纯文本 Char3"/>
    <w:qFormat/>
    <w:uiPriority w:val="0"/>
    <w:rPr>
      <w:rFonts w:ascii="宋体" w:hAnsi="Courier New" w:eastAsia="宋体" w:cs="Courier New"/>
      <w:kern w:val="2"/>
      <w:sz w:val="21"/>
      <w:szCs w:val="21"/>
      <w:lang w:val="en-US" w:eastAsia="zh-CN" w:bidi="ar-SA"/>
    </w:rPr>
  </w:style>
  <w:style w:type="character" w:customStyle="1" w:styleId="218">
    <w:name w:val="Char Char16"/>
    <w:qFormat/>
    <w:uiPriority w:val="0"/>
    <w:rPr>
      <w:rFonts w:ascii="BatangChe" w:hAnsi="BatangChe" w:eastAsia="Calibri"/>
      <w:b/>
      <w:kern w:val="2"/>
      <w:sz w:val="28"/>
    </w:rPr>
  </w:style>
  <w:style w:type="character" w:customStyle="1" w:styleId="219">
    <w:name w:val="Char Char13"/>
    <w:qFormat/>
    <w:uiPriority w:val="0"/>
    <w:rPr>
      <w:rFonts w:ascii="Tms Rmn" w:hAnsi="Tms Rmn" w:eastAsia="Courier New"/>
      <w:b/>
      <w:bCs/>
      <w:kern w:val="2"/>
      <w:sz w:val="24"/>
      <w:szCs w:val="24"/>
      <w:lang w:val="en-US" w:eastAsia="zh-CN" w:bidi="ar-SA"/>
    </w:rPr>
  </w:style>
  <w:style w:type="character" w:customStyle="1" w:styleId="220">
    <w:name w:val="Char Char"/>
    <w:qFormat/>
    <w:uiPriority w:val="0"/>
    <w:rPr>
      <w:rFonts w:ascii="Calibri" w:hAnsi="Calibri" w:eastAsia="黑体"/>
      <w:kern w:val="2"/>
      <w:sz w:val="21"/>
      <w:lang w:val="en-US" w:eastAsia="zh-CN"/>
    </w:rPr>
  </w:style>
  <w:style w:type="character" w:customStyle="1" w:styleId="221">
    <w:name w:val="普通文字 Char Char Char"/>
    <w:qFormat/>
    <w:uiPriority w:val="0"/>
    <w:rPr>
      <w:rFonts w:ascii="Calibri" w:hAnsi="Calibri" w:eastAsia="黑体"/>
      <w:kern w:val="2"/>
      <w:sz w:val="21"/>
      <w:lang w:val="en-US" w:eastAsia="zh-CN"/>
    </w:rPr>
  </w:style>
  <w:style w:type="character" w:customStyle="1" w:styleId="222">
    <w:name w:val="样式 表格"/>
    <w:qFormat/>
    <w:uiPriority w:val="0"/>
    <w:rPr>
      <w:rFonts w:ascii="Arial" w:hAnsi="Arial" w:eastAsia="黑体"/>
      <w:spacing w:val="0"/>
      <w:w w:val="100"/>
      <w:kern w:val="28"/>
      <w:position w:val="0"/>
      <w:sz w:val="21"/>
      <w:szCs w:val="28"/>
      <w:vertAlign w:val="baseline"/>
    </w:rPr>
  </w:style>
  <w:style w:type="character" w:customStyle="1" w:styleId="223">
    <w:name w:val="样式 正文 +"/>
    <w:qFormat/>
    <w:uiPriority w:val="0"/>
    <w:rPr>
      <w:rFonts w:eastAsia="仿宋_GB2312"/>
      <w:spacing w:val="0"/>
      <w:w w:val="100"/>
      <w:kern w:val="28"/>
      <w:position w:val="0"/>
      <w:sz w:val="28"/>
      <w:szCs w:val="28"/>
      <w:vertAlign w:val="baseline"/>
    </w:rPr>
  </w:style>
  <w:style w:type="character" w:customStyle="1" w:styleId="224">
    <w:name w:val="Char Char18"/>
    <w:qFormat/>
    <w:uiPriority w:val="0"/>
    <w:rPr>
      <w:rFonts w:eastAsia="黑体"/>
      <w:b/>
      <w:bCs/>
      <w:kern w:val="2"/>
      <w:sz w:val="30"/>
      <w:szCs w:val="30"/>
      <w:lang w:val="en-US" w:eastAsia="zh-CN" w:bidi="ar-SA"/>
    </w:rPr>
  </w:style>
  <w:style w:type="character" w:customStyle="1" w:styleId="225">
    <w:name w:val="标题 3 Char1"/>
    <w:qFormat/>
    <w:uiPriority w:val="0"/>
    <w:rPr>
      <w:rFonts w:ascii="宋体" w:hAnsi="Tms Rmn" w:eastAsia="宋体"/>
      <w:b/>
      <w:color w:val="008000"/>
      <w:sz w:val="28"/>
      <w:lang w:val="en-US" w:eastAsia="zh-CN" w:bidi="ar-SA"/>
    </w:rPr>
  </w:style>
  <w:style w:type="character" w:customStyle="1" w:styleId="226">
    <w:name w:val="Char Char15"/>
    <w:qFormat/>
    <w:uiPriority w:val="0"/>
    <w:rPr>
      <w:rFonts w:eastAsia="Calibri"/>
      <w:b/>
      <w:bCs/>
      <w:kern w:val="2"/>
      <w:sz w:val="28"/>
      <w:szCs w:val="28"/>
      <w:lang w:val="en-US" w:eastAsia="zh-CN" w:bidi="ar-SA"/>
    </w:rPr>
  </w:style>
  <w:style w:type="character" w:customStyle="1" w:styleId="227">
    <w:name w:val="Char Char32"/>
    <w:qFormat/>
    <w:uiPriority w:val="0"/>
    <w:rPr>
      <w:rFonts w:ascii="Arial" w:hAnsi="Arial" w:eastAsia="Calibri" w:cs="Arial"/>
      <w:b/>
      <w:color w:val="FF00FF"/>
      <w:kern w:val="2"/>
      <w:sz w:val="32"/>
      <w:lang w:val="en-US" w:eastAsia="zh-CN" w:bidi="ar-SA"/>
    </w:rPr>
  </w:style>
  <w:style w:type="character" w:customStyle="1" w:styleId="228">
    <w:name w:val="font71"/>
    <w:qFormat/>
    <w:uiPriority w:val="0"/>
    <w:rPr>
      <w:rFonts w:hint="eastAsia" w:ascii="宋体" w:hAnsi="宋体" w:eastAsia="宋体"/>
      <w:color w:val="000000"/>
      <w:sz w:val="18"/>
      <w:szCs w:val="18"/>
      <w:u w:val="single"/>
    </w:rPr>
  </w:style>
  <w:style w:type="character" w:customStyle="1" w:styleId="229">
    <w:name w:val="Char Char8"/>
    <w:qFormat/>
    <w:uiPriority w:val="0"/>
    <w:rPr>
      <w:rFonts w:eastAsia="Calibri"/>
      <w:kern w:val="2"/>
      <w:sz w:val="21"/>
      <w:lang w:val="en-US" w:eastAsia="zh-CN"/>
    </w:rPr>
  </w:style>
  <w:style w:type="character" w:customStyle="1" w:styleId="230">
    <w:name w:val="样式 红色1"/>
    <w:qFormat/>
    <w:uiPriority w:val="0"/>
    <w:rPr>
      <w:color w:val="auto"/>
    </w:rPr>
  </w:style>
  <w:style w:type="character" w:customStyle="1" w:styleId="231">
    <w:name w:val="样式 首行缩进:  2 字符 Char"/>
    <w:link w:val="232"/>
    <w:qFormat/>
    <w:uiPriority w:val="0"/>
    <w:rPr>
      <w:rFonts w:ascii="仿宋_GB2312" w:eastAsia="仿宋_GB2312"/>
      <w:kern w:val="2"/>
      <w:sz w:val="28"/>
    </w:rPr>
  </w:style>
  <w:style w:type="paragraph" w:customStyle="1" w:styleId="232">
    <w:name w:val="样式 首行缩进:  2 字符"/>
    <w:basedOn w:val="1"/>
    <w:link w:val="231"/>
    <w:qFormat/>
    <w:uiPriority w:val="0"/>
    <w:pPr>
      <w:spacing w:line="480" w:lineRule="exact"/>
      <w:ind w:firstLine="200" w:firstLineChars="200"/>
    </w:pPr>
    <w:rPr>
      <w:rFonts w:ascii="仿宋_GB2312" w:eastAsia="仿宋_GB2312"/>
      <w:sz w:val="28"/>
      <w:szCs w:val="20"/>
    </w:rPr>
  </w:style>
  <w:style w:type="character" w:customStyle="1" w:styleId="233">
    <w:name w:val="Char Char9"/>
    <w:qFormat/>
    <w:uiPriority w:val="0"/>
    <w:rPr>
      <w:rFonts w:eastAsia="Calibri"/>
      <w:kern w:val="2"/>
      <w:sz w:val="18"/>
      <w:lang w:val="en-US" w:eastAsia="zh-CN"/>
    </w:rPr>
  </w:style>
  <w:style w:type="character" w:customStyle="1" w:styleId="234">
    <w:name w:val="font91"/>
    <w:qFormat/>
    <w:uiPriority w:val="0"/>
    <w:rPr>
      <w:rFonts w:hint="eastAsia" w:ascii="新宋体" w:hAnsi="新宋体" w:eastAsia="新宋体"/>
      <w:color w:val="000000"/>
      <w:sz w:val="20"/>
      <w:szCs w:val="20"/>
      <w:u w:val="none"/>
      <w:vertAlign w:val="superscript"/>
    </w:rPr>
  </w:style>
  <w:style w:type="character" w:customStyle="1" w:styleId="235">
    <w:name w:val="表内容 Char"/>
    <w:link w:val="236"/>
    <w:qFormat/>
    <w:uiPriority w:val="0"/>
    <w:rPr>
      <w:rFonts w:ascii="宋体" w:hAnsi="宋体"/>
      <w:kern w:val="2"/>
      <w:sz w:val="21"/>
      <w:szCs w:val="21"/>
    </w:rPr>
  </w:style>
  <w:style w:type="paragraph" w:customStyle="1" w:styleId="236">
    <w:name w:val="表内容"/>
    <w:basedOn w:val="1"/>
    <w:next w:val="1"/>
    <w:link w:val="235"/>
    <w:qFormat/>
    <w:uiPriority w:val="0"/>
    <w:pPr>
      <w:jc w:val="center"/>
    </w:pPr>
    <w:rPr>
      <w:rFonts w:ascii="宋体" w:hAnsi="宋体"/>
      <w:szCs w:val="21"/>
    </w:rPr>
  </w:style>
  <w:style w:type="character" w:customStyle="1" w:styleId="237">
    <w:name w:val="Char Char6"/>
    <w:qFormat/>
    <w:uiPriority w:val="0"/>
    <w:rPr>
      <w:kern w:val="2"/>
      <w:sz w:val="18"/>
      <w:szCs w:val="18"/>
    </w:rPr>
  </w:style>
  <w:style w:type="character" w:customStyle="1" w:styleId="238">
    <w:name w:val="标题  4 Char"/>
    <w:link w:val="239"/>
    <w:qFormat/>
    <w:uiPriority w:val="0"/>
    <w:rPr>
      <w:rFonts w:eastAsia="Calibri"/>
      <w:b/>
      <w:sz w:val="24"/>
      <w:lang w:val="en-GB"/>
    </w:rPr>
  </w:style>
  <w:style w:type="paragraph" w:customStyle="1" w:styleId="239">
    <w:name w:val="标题  4"/>
    <w:basedOn w:val="6"/>
    <w:next w:val="6"/>
    <w:link w:val="238"/>
    <w:qFormat/>
    <w:uiPriority w:val="0"/>
    <w:rPr>
      <w:rFonts w:eastAsia="Calibri"/>
      <w:bCs w:val="0"/>
      <w:kern w:val="0"/>
      <w:szCs w:val="20"/>
      <w:lang w:val="en-GB"/>
    </w:rPr>
  </w:style>
  <w:style w:type="character" w:customStyle="1" w:styleId="240">
    <w:name w:val="正文首行缩进 Char"/>
    <w:link w:val="47"/>
    <w:qFormat/>
    <w:uiPriority w:val="0"/>
    <w:rPr>
      <w:rFonts w:eastAsia="Calibri"/>
      <w:kern w:val="2"/>
      <w:sz w:val="21"/>
    </w:rPr>
  </w:style>
  <w:style w:type="character" w:customStyle="1" w:styleId="241">
    <w:name w:val="正文首行缩进 Char1"/>
    <w:basedOn w:val="100"/>
    <w:qFormat/>
    <w:uiPriority w:val="99"/>
    <w:rPr>
      <w:rFonts w:cs="宋体"/>
      <w:kern w:val="2"/>
      <w:sz w:val="21"/>
      <w:szCs w:val="21"/>
    </w:rPr>
  </w:style>
  <w:style w:type="character" w:customStyle="1" w:styleId="242">
    <w:name w:val="正文文本 Char1"/>
    <w:semiHidden/>
    <w:qFormat/>
    <w:uiPriority w:val="99"/>
    <w:rPr>
      <w:kern w:val="2"/>
      <w:sz w:val="21"/>
      <w:szCs w:val="22"/>
    </w:rPr>
  </w:style>
  <w:style w:type="character" w:customStyle="1" w:styleId="243">
    <w:name w:val="正文文本 2 Char"/>
    <w:link w:val="41"/>
    <w:qFormat/>
    <w:uiPriority w:val="0"/>
    <w:rPr>
      <w:kern w:val="2"/>
      <w:sz w:val="24"/>
      <w:szCs w:val="24"/>
    </w:rPr>
  </w:style>
  <w:style w:type="character" w:customStyle="1" w:styleId="244">
    <w:name w:val="正文文本 2 Char1"/>
    <w:basedOn w:val="52"/>
    <w:qFormat/>
    <w:uiPriority w:val="99"/>
    <w:rPr>
      <w:kern w:val="2"/>
      <w:sz w:val="21"/>
      <w:szCs w:val="24"/>
    </w:rPr>
  </w:style>
  <w:style w:type="character" w:customStyle="1" w:styleId="245">
    <w:name w:val="Char Char25"/>
    <w:qFormat/>
    <w:uiPriority w:val="0"/>
    <w:rPr>
      <w:rFonts w:eastAsia="Calibri"/>
      <w:color w:val="FF00FF"/>
      <w:kern w:val="2"/>
      <w:sz w:val="18"/>
      <w:lang w:val="en-US" w:eastAsia="zh-CN" w:bidi="ar-SA"/>
    </w:rPr>
  </w:style>
  <w:style w:type="character" w:customStyle="1" w:styleId="246">
    <w:name w:val="样式 表格1 Char Char"/>
    <w:link w:val="247"/>
    <w:qFormat/>
    <w:uiPriority w:val="0"/>
    <w:rPr>
      <w:rFonts w:eastAsia="Calibri"/>
      <w:sz w:val="28"/>
    </w:rPr>
  </w:style>
  <w:style w:type="paragraph" w:customStyle="1" w:styleId="247">
    <w:name w:val="样式 表格1 Char"/>
    <w:basedOn w:val="1"/>
    <w:next w:val="6"/>
    <w:link w:val="246"/>
    <w:qFormat/>
    <w:uiPriority w:val="0"/>
    <w:pPr>
      <w:spacing w:line="360" w:lineRule="auto"/>
      <w:jc w:val="center"/>
      <w:outlineLvl w:val="5"/>
    </w:pPr>
    <w:rPr>
      <w:rFonts w:eastAsia="Calibri"/>
      <w:kern w:val="0"/>
      <w:sz w:val="28"/>
      <w:szCs w:val="20"/>
    </w:rPr>
  </w:style>
  <w:style w:type="character" w:customStyle="1" w:styleId="248">
    <w:name w:val="Char Char11"/>
    <w:qFormat/>
    <w:uiPriority w:val="0"/>
    <w:rPr>
      <w:rFonts w:ascii="Tms Rmn" w:hAnsi="Tms Rmn" w:eastAsia="Courier New"/>
      <w:kern w:val="2"/>
      <w:sz w:val="24"/>
      <w:szCs w:val="24"/>
      <w:lang w:val="en-US" w:eastAsia="zh-CN" w:bidi="ar-SA"/>
    </w:rPr>
  </w:style>
  <w:style w:type="character" w:customStyle="1" w:styleId="249">
    <w:name w:val="Char Char12"/>
    <w:qFormat/>
    <w:uiPriority w:val="0"/>
    <w:rPr>
      <w:rFonts w:eastAsia="Calibri"/>
      <w:b/>
      <w:bCs/>
      <w:kern w:val="2"/>
      <w:sz w:val="24"/>
      <w:szCs w:val="24"/>
      <w:lang w:val="en-US" w:eastAsia="zh-CN" w:bidi="ar-SA"/>
    </w:rPr>
  </w:style>
  <w:style w:type="character" w:customStyle="1" w:styleId="250">
    <w:name w:val="正文文本缩进 Char1"/>
    <w:qFormat/>
    <w:uiPriority w:val="0"/>
    <w:rPr>
      <w:kern w:val="2"/>
      <w:sz w:val="21"/>
    </w:rPr>
  </w:style>
  <w:style w:type="character" w:customStyle="1" w:styleId="251">
    <w:name w:val="3号宋体居中行距2倍 Char1"/>
    <w:qFormat/>
    <w:uiPriority w:val="0"/>
    <w:rPr>
      <w:rFonts w:ascii="Garamond" w:hAnsi="Garamond" w:eastAsia="宋体"/>
      <w:kern w:val="2"/>
      <w:sz w:val="28"/>
      <w:lang w:val="en-US" w:eastAsia="zh-CN" w:bidi="ar-SA"/>
    </w:rPr>
  </w:style>
  <w:style w:type="character" w:customStyle="1" w:styleId="252">
    <w:name w:val="Char Char7"/>
    <w:qFormat/>
    <w:uiPriority w:val="0"/>
    <w:rPr>
      <w:rFonts w:ascii="Arial" w:hAnsi="Arial" w:eastAsia="黑体"/>
      <w:b/>
      <w:bCs/>
      <w:kern w:val="2"/>
      <w:sz w:val="32"/>
      <w:szCs w:val="32"/>
    </w:rPr>
  </w:style>
  <w:style w:type="character" w:customStyle="1" w:styleId="253">
    <w:name w:val="font81"/>
    <w:qFormat/>
    <w:uiPriority w:val="0"/>
    <w:rPr>
      <w:rFonts w:hint="eastAsia" w:ascii="宋体" w:hAnsi="宋体" w:eastAsia="宋体"/>
      <w:color w:val="000000"/>
      <w:sz w:val="18"/>
      <w:szCs w:val="18"/>
      <w:u w:val="none"/>
    </w:rPr>
  </w:style>
  <w:style w:type="character" w:customStyle="1" w:styleId="254">
    <w:name w:val="Char Char10"/>
    <w:qFormat/>
    <w:uiPriority w:val="0"/>
    <w:rPr>
      <w:rFonts w:ascii="Tms Rmn" w:hAnsi="Tms Rmn" w:eastAsia="Courier New"/>
      <w:kern w:val="2"/>
      <w:sz w:val="21"/>
      <w:szCs w:val="21"/>
      <w:lang w:val="en-US" w:eastAsia="zh-CN" w:bidi="ar-SA"/>
    </w:rPr>
  </w:style>
  <w:style w:type="character" w:customStyle="1" w:styleId="255">
    <w:name w:val="Char Char14"/>
    <w:qFormat/>
    <w:uiPriority w:val="0"/>
    <w:rPr>
      <w:rFonts w:ascii="BatangChe" w:hAnsi="BatangChe"/>
      <w:kern w:val="2"/>
      <w:sz w:val="28"/>
    </w:rPr>
  </w:style>
  <w:style w:type="character" w:customStyle="1" w:styleId="256">
    <w:name w:val="Char Char26"/>
    <w:qFormat/>
    <w:uiPriority w:val="0"/>
    <w:rPr>
      <w:rFonts w:eastAsia="Calibri"/>
      <w:color w:val="FF00FF"/>
      <w:kern w:val="2"/>
      <w:sz w:val="18"/>
      <w:lang w:val="en-US" w:eastAsia="zh-CN"/>
    </w:rPr>
  </w:style>
  <w:style w:type="character" w:customStyle="1" w:styleId="257">
    <w:name w:val="样式 表格 2 Char Char"/>
    <w:link w:val="258"/>
    <w:qFormat/>
    <w:uiPriority w:val="0"/>
    <w:rPr>
      <w:rFonts w:eastAsia="Calibri"/>
      <w:kern w:val="2"/>
      <w:sz w:val="21"/>
    </w:rPr>
  </w:style>
  <w:style w:type="paragraph" w:customStyle="1" w:styleId="258">
    <w:name w:val="样式 表格 2 Char"/>
    <w:basedOn w:val="1"/>
    <w:link w:val="257"/>
    <w:qFormat/>
    <w:uiPriority w:val="0"/>
    <w:pPr>
      <w:tabs>
        <w:tab w:val="left" w:pos="0"/>
      </w:tabs>
      <w:jc w:val="center"/>
      <w:outlineLvl w:val="5"/>
    </w:pPr>
    <w:rPr>
      <w:rFonts w:eastAsia="Calibri"/>
      <w:szCs w:val="20"/>
    </w:rPr>
  </w:style>
  <w:style w:type="character" w:customStyle="1" w:styleId="259">
    <w:name w:val="Char Char19"/>
    <w:qFormat/>
    <w:uiPriority w:val="0"/>
    <w:rPr>
      <w:rFonts w:eastAsia="Calibri"/>
      <w:b/>
      <w:kern w:val="44"/>
      <w:sz w:val="44"/>
      <w:lang w:val="en-US" w:eastAsia="zh-CN"/>
    </w:rPr>
  </w:style>
  <w:style w:type="character" w:customStyle="1" w:styleId="260">
    <w:name w:val="Char Char17"/>
    <w:qFormat/>
    <w:uiPriority w:val="0"/>
    <w:rPr>
      <w:rFonts w:eastAsia="Calibri"/>
      <w:b/>
      <w:kern w:val="2"/>
      <w:sz w:val="32"/>
      <w:lang w:val="en-US" w:eastAsia="zh-CN"/>
    </w:rPr>
  </w:style>
  <w:style w:type="character" w:customStyle="1" w:styleId="261">
    <w:name w:val="Char Char Char"/>
    <w:qFormat/>
    <w:uiPriority w:val="0"/>
    <w:rPr>
      <w:rFonts w:ascii="Arial" w:hAnsi="Arial" w:eastAsia="黑体" w:cs="Arial"/>
      <w:b/>
      <w:color w:val="FF00FF"/>
      <w:kern w:val="2"/>
      <w:sz w:val="30"/>
      <w:lang w:val="en-US" w:eastAsia="zh-CN" w:bidi="ar-SA"/>
    </w:rPr>
  </w:style>
  <w:style w:type="character" w:customStyle="1" w:styleId="262">
    <w:name w:val="表头 Char"/>
    <w:link w:val="263"/>
    <w:qFormat/>
    <w:uiPriority w:val="0"/>
    <w:rPr>
      <w:b/>
      <w:kern w:val="2"/>
      <w:sz w:val="28"/>
      <w:szCs w:val="24"/>
    </w:rPr>
  </w:style>
  <w:style w:type="paragraph" w:customStyle="1" w:styleId="263">
    <w:name w:val="表头"/>
    <w:basedOn w:val="1"/>
    <w:link w:val="262"/>
    <w:qFormat/>
    <w:uiPriority w:val="0"/>
    <w:pPr>
      <w:adjustRightInd w:val="0"/>
      <w:snapToGrid w:val="0"/>
      <w:spacing w:line="640" w:lineRule="exact"/>
      <w:jc w:val="right"/>
    </w:pPr>
    <w:rPr>
      <w:b/>
      <w:sz w:val="28"/>
    </w:rPr>
  </w:style>
  <w:style w:type="character" w:customStyle="1" w:styleId="264">
    <w:name w:val="普通文字 Char Char Char1"/>
    <w:qFormat/>
    <w:uiPriority w:val="0"/>
    <w:rPr>
      <w:rFonts w:ascii="Calibri" w:hAnsi="Calibri" w:eastAsia="Calibri"/>
      <w:sz w:val="21"/>
      <w:lang w:val="en-US" w:eastAsia="zh-CN"/>
    </w:rPr>
  </w:style>
  <w:style w:type="character" w:customStyle="1" w:styleId="265">
    <w:name w:val="Char Char23"/>
    <w:qFormat/>
    <w:uiPriority w:val="0"/>
    <w:rPr>
      <w:rFonts w:eastAsia="Calibri"/>
      <w:color w:val="333333"/>
      <w:kern w:val="2"/>
      <w:sz w:val="24"/>
      <w:lang w:val="en-US" w:eastAsia="zh-CN" w:bidi="ar-SA"/>
    </w:rPr>
  </w:style>
  <w:style w:type="character" w:customStyle="1" w:styleId="266">
    <w:name w:val="标题 4 Char Char Char"/>
    <w:qFormat/>
    <w:locked/>
    <w:uiPriority w:val="0"/>
    <w:rPr>
      <w:rFonts w:ascii="Tms Rmn" w:hAnsi="Tms Rmn" w:eastAsia="Courier New"/>
      <w:b/>
      <w:bCs/>
      <w:kern w:val="2"/>
      <w:sz w:val="28"/>
      <w:szCs w:val="28"/>
      <w:lang w:val="en-US" w:eastAsia="zh-CN" w:bidi="ar-SA"/>
    </w:rPr>
  </w:style>
  <w:style w:type="paragraph" w:customStyle="1" w:styleId="267">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Calibri" w:hAnsi="Calibri"/>
      <w:kern w:val="0"/>
      <w:szCs w:val="21"/>
    </w:rPr>
  </w:style>
  <w:style w:type="paragraph" w:customStyle="1" w:styleId="268">
    <w:name w:val="Char Char Char Char1"/>
    <w:basedOn w:val="1"/>
    <w:qFormat/>
    <w:uiPriority w:val="0"/>
    <w:rPr>
      <w:rFonts w:ascii="Calibri" w:hAnsi="Calibri"/>
      <w:szCs w:val="20"/>
    </w:rPr>
  </w:style>
  <w:style w:type="character" w:customStyle="1" w:styleId="269">
    <w:name w:val="标题 Char1"/>
    <w:qFormat/>
    <w:uiPriority w:val="10"/>
    <w:rPr>
      <w:rFonts w:ascii="Cambria" w:hAnsi="Cambria" w:cs="Times New Roman"/>
      <w:b/>
      <w:bCs/>
      <w:kern w:val="2"/>
      <w:sz w:val="32"/>
      <w:szCs w:val="32"/>
    </w:rPr>
  </w:style>
  <w:style w:type="paragraph" w:customStyle="1" w:styleId="270">
    <w:name w:val="样式1"/>
    <w:basedOn w:val="1"/>
    <w:next w:val="6"/>
    <w:qFormat/>
    <w:uiPriority w:val="0"/>
    <w:pPr>
      <w:ind w:firstLine="600" w:firstLineChars="200"/>
    </w:pPr>
    <w:rPr>
      <w:rFonts w:ascii="黑体" w:hAnsi="Arial" w:eastAsia="黑体" w:cs="Arial"/>
      <w:sz w:val="30"/>
      <w:szCs w:val="20"/>
    </w:rPr>
  </w:style>
  <w:style w:type="paragraph" w:customStyle="1" w:styleId="271">
    <w:name w:val="xl49"/>
    <w:basedOn w:val="1"/>
    <w:qFormat/>
    <w:uiPriority w:val="0"/>
    <w:pPr>
      <w:widowControl/>
      <w:pBdr>
        <w:top w:val="single" w:color="auto" w:sz="4" w:space="0"/>
        <w:right w:val="single" w:color="auto" w:sz="4" w:space="0"/>
      </w:pBdr>
      <w:spacing w:before="100" w:beforeAutospacing="1" w:after="100" w:afterAutospacing="1"/>
      <w:jc w:val="left"/>
    </w:pPr>
    <w:rPr>
      <w:rFonts w:ascii="Calibri" w:hAnsi="Calibri" w:cs="Arial"/>
      <w:kern w:val="0"/>
      <w:sz w:val="24"/>
      <w:szCs w:val="20"/>
    </w:rPr>
  </w:style>
  <w:style w:type="character" w:customStyle="1" w:styleId="272">
    <w:name w:val="宏文本 Char"/>
    <w:basedOn w:val="52"/>
    <w:link w:val="2"/>
    <w:qFormat/>
    <w:uiPriority w:val="0"/>
    <w:rPr>
      <w:rFonts w:ascii="Calibri" w:hAnsi="Calibri" w:cs="Arial"/>
      <w:kern w:val="2"/>
      <w:sz w:val="24"/>
    </w:rPr>
  </w:style>
  <w:style w:type="paragraph" w:customStyle="1" w:styleId="273">
    <w:name w:val="标题二"/>
    <w:basedOn w:val="1"/>
    <w:next w:val="1"/>
    <w:qFormat/>
    <w:uiPriority w:val="0"/>
    <w:pPr>
      <w:spacing w:line="360" w:lineRule="auto"/>
      <w:ind w:firstLine="560" w:firstLineChars="200"/>
    </w:pPr>
    <w:rPr>
      <w:rFonts w:ascii="Calibri" w:hAnsi="Calibri"/>
      <w:sz w:val="28"/>
      <w:szCs w:val="20"/>
    </w:rPr>
  </w:style>
  <w:style w:type="paragraph" w:customStyle="1" w:styleId="274">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275">
    <w:name w:val="xl48"/>
    <w:basedOn w:val="1"/>
    <w:qFormat/>
    <w:uiPriority w:val="0"/>
    <w:pPr>
      <w:widowControl/>
      <w:pBdr>
        <w:bottom w:val="single" w:color="auto" w:sz="4" w:space="0"/>
        <w:right w:val="single" w:color="auto" w:sz="4" w:space="0"/>
      </w:pBdr>
      <w:spacing w:before="100" w:beforeAutospacing="1" w:after="100" w:afterAutospacing="1"/>
      <w:jc w:val="left"/>
    </w:pPr>
    <w:rPr>
      <w:rFonts w:ascii="Calibri" w:hAnsi="Calibri" w:cs="Arial"/>
      <w:kern w:val="0"/>
      <w:sz w:val="24"/>
      <w:szCs w:val="20"/>
    </w:rPr>
  </w:style>
  <w:style w:type="paragraph" w:customStyle="1" w:styleId="276">
    <w:name w:val="样式 五号 居中"/>
    <w:basedOn w:val="1"/>
    <w:qFormat/>
    <w:uiPriority w:val="0"/>
    <w:pPr>
      <w:ind w:firstLine="200" w:firstLineChars="200"/>
      <w:jc w:val="center"/>
      <w:outlineLvl w:val="8"/>
    </w:pPr>
    <w:rPr>
      <w:rFonts w:ascii="Calibri" w:hAnsi="Arial" w:cs="Arial"/>
      <w:kern w:val="0"/>
      <w:szCs w:val="20"/>
    </w:rPr>
  </w:style>
  <w:style w:type="character" w:customStyle="1" w:styleId="277">
    <w:name w:val="副标题 Char"/>
    <w:basedOn w:val="52"/>
    <w:link w:val="33"/>
    <w:qFormat/>
    <w:uiPriority w:val="0"/>
    <w:rPr>
      <w:rFonts w:ascii="BatangChe" w:hAnsi="BatangChe" w:eastAsia="Courier New" w:cs="Arial"/>
      <w:b/>
      <w:kern w:val="28"/>
      <w:sz w:val="44"/>
    </w:rPr>
  </w:style>
  <w:style w:type="paragraph" w:customStyle="1" w:styleId="27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szCs w:val="20"/>
    </w:rPr>
  </w:style>
  <w:style w:type="paragraph" w:customStyle="1" w:styleId="279">
    <w:name w:val="Char Char Char4 Char"/>
    <w:basedOn w:val="1"/>
    <w:qFormat/>
    <w:uiPriority w:val="0"/>
    <w:rPr>
      <w:rFonts w:ascii="Calibri" w:hAnsi="Calibri"/>
    </w:rPr>
  </w:style>
  <w:style w:type="paragraph" w:customStyle="1" w:styleId="280">
    <w:name w:val="Char Char Char1 Char Char Char Char Char Char Char Char Char Char Char Char Char Char Char Char Char Char Char"/>
    <w:basedOn w:val="1"/>
    <w:next w:val="2"/>
    <w:qFormat/>
    <w:uiPriority w:val="0"/>
    <w:rPr>
      <w:rFonts w:ascii="Arial" w:hAnsi="Arial" w:cs="Arial"/>
      <w:sz w:val="28"/>
      <w:szCs w:val="20"/>
    </w:rPr>
  </w:style>
  <w:style w:type="paragraph" w:customStyle="1" w:styleId="281">
    <w:name w:val="bgbt2节标题"/>
    <w:basedOn w:val="1"/>
    <w:next w:val="1"/>
    <w:qFormat/>
    <w:uiPriority w:val="0"/>
    <w:pPr>
      <w:spacing w:before="300" w:after="60"/>
      <w:jc w:val="center"/>
      <w:outlineLvl w:val="1"/>
    </w:pPr>
    <w:rPr>
      <w:rFonts w:ascii="Calibri" w:hAnsi="Calibri" w:eastAsia="黑体"/>
      <w:sz w:val="30"/>
      <w:szCs w:val="20"/>
    </w:rPr>
  </w:style>
  <w:style w:type="paragraph" w:customStyle="1" w:styleId="282">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Calibri" w:hAnsi="Calibri" w:cs="Arial"/>
      <w:kern w:val="0"/>
      <w:sz w:val="24"/>
      <w:szCs w:val="20"/>
    </w:rPr>
  </w:style>
  <w:style w:type="paragraph" w:customStyle="1" w:styleId="283">
    <w:name w:val="Char Char Char Char Char Char Char Char Char1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84">
    <w:name w:val="xl45"/>
    <w:basedOn w:val="1"/>
    <w:qFormat/>
    <w:uiPriority w:val="0"/>
    <w:pPr>
      <w:widowControl/>
      <w:pBdr>
        <w:top w:val="single" w:color="auto" w:sz="4" w:space="0"/>
        <w:left w:val="single" w:color="auto" w:sz="4" w:space="0"/>
      </w:pBdr>
      <w:spacing w:before="100" w:beforeAutospacing="1" w:after="100" w:afterAutospacing="1"/>
      <w:jc w:val="left"/>
    </w:pPr>
    <w:rPr>
      <w:rFonts w:ascii="Calibri" w:hAnsi="Calibri" w:cs="Arial"/>
      <w:kern w:val="0"/>
      <w:sz w:val="24"/>
      <w:szCs w:val="20"/>
    </w:rPr>
  </w:style>
  <w:style w:type="paragraph" w:customStyle="1" w:styleId="28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Calibri" w:hAnsi="Calibri" w:cs="Arial"/>
      <w:kern w:val="0"/>
      <w:sz w:val="24"/>
      <w:szCs w:val="20"/>
    </w:rPr>
  </w:style>
  <w:style w:type="paragraph" w:customStyle="1" w:styleId="286">
    <w:name w:val="xl25"/>
    <w:basedOn w:val="1"/>
    <w:qFormat/>
    <w:uiPriority w:val="0"/>
    <w:pPr>
      <w:widowControl/>
      <w:spacing w:before="100" w:beforeAutospacing="1" w:after="100" w:afterAutospacing="1"/>
      <w:jc w:val="left"/>
    </w:pPr>
    <w:rPr>
      <w:rFonts w:ascii="Calibri" w:hAnsi="Calibri"/>
      <w:kern w:val="0"/>
      <w:sz w:val="24"/>
    </w:rPr>
  </w:style>
  <w:style w:type="paragraph" w:customStyle="1" w:styleId="287">
    <w:name w:val="Char9"/>
    <w:basedOn w:val="1"/>
    <w:qFormat/>
    <w:uiPriority w:val="0"/>
    <w:rPr>
      <w:rFonts w:ascii="Calibri" w:hAnsi="Calibri"/>
      <w:szCs w:val="21"/>
    </w:rPr>
  </w:style>
  <w:style w:type="paragraph" w:customStyle="1" w:styleId="288">
    <w:name w:val="标题（二）"/>
    <w:basedOn w:val="1"/>
    <w:qFormat/>
    <w:uiPriority w:val="0"/>
    <w:pPr>
      <w:spacing w:line="360" w:lineRule="auto"/>
      <w:ind w:firstLine="200" w:firstLineChars="200"/>
      <w:outlineLvl w:val="1"/>
    </w:pPr>
    <w:rPr>
      <w:rFonts w:ascii="Calibri" w:hAnsi="Calibri"/>
      <w:sz w:val="28"/>
      <w:szCs w:val="20"/>
    </w:rPr>
  </w:style>
  <w:style w:type="paragraph" w:customStyle="1" w:styleId="289">
    <w:name w:val="xl36"/>
    <w:basedOn w:val="1"/>
    <w:qFormat/>
    <w:uiPriority w:val="0"/>
    <w:pPr>
      <w:widowControl/>
      <w:spacing w:before="100" w:beforeAutospacing="1" w:after="100" w:afterAutospacing="1"/>
      <w:jc w:val="left"/>
    </w:pPr>
    <w:rPr>
      <w:rFonts w:ascii="宋体" w:hAnsi="宋体"/>
      <w:b/>
      <w:bCs/>
      <w:color w:val="FF0000"/>
      <w:kern w:val="0"/>
      <w:sz w:val="24"/>
    </w:rPr>
  </w:style>
  <w:style w:type="paragraph" w:customStyle="1" w:styleId="290">
    <w:name w:val="xl43"/>
    <w:basedOn w:val="1"/>
    <w:qFormat/>
    <w:uiPriority w:val="0"/>
    <w:pPr>
      <w:widowControl/>
      <w:pBdr>
        <w:top w:val="single" w:color="auto" w:sz="4" w:space="0"/>
        <w:left w:val="single" w:color="auto" w:sz="4" w:space="0"/>
        <w:right w:val="single" w:color="auto" w:sz="4" w:space="0"/>
      </w:pBdr>
      <w:spacing w:before="100" w:beforeAutospacing="1" w:after="100" w:afterAutospacing="1"/>
    </w:pPr>
    <w:rPr>
      <w:rFonts w:ascii="Calibri" w:hAnsi="Calibri" w:cs="Arial"/>
      <w:kern w:val="0"/>
      <w:sz w:val="24"/>
      <w:szCs w:val="20"/>
    </w:rPr>
  </w:style>
  <w:style w:type="paragraph" w:customStyle="1" w:styleId="291">
    <w:name w:val="xl24"/>
    <w:basedOn w:val="1"/>
    <w:qFormat/>
    <w:uiPriority w:val="0"/>
    <w:pPr>
      <w:widowControl/>
      <w:spacing w:before="100" w:beforeAutospacing="1" w:after="100" w:afterAutospacing="1"/>
      <w:jc w:val="center"/>
    </w:pPr>
    <w:rPr>
      <w:rFonts w:ascii="宋体" w:hAnsi="宋体"/>
      <w:kern w:val="0"/>
      <w:sz w:val="24"/>
    </w:rPr>
  </w:style>
  <w:style w:type="paragraph" w:customStyle="1" w:styleId="292">
    <w:name w:val="xl34"/>
    <w:basedOn w:val="1"/>
    <w:qFormat/>
    <w:uiPriority w:val="0"/>
    <w:pPr>
      <w:widowControl/>
      <w:spacing w:before="100" w:beforeAutospacing="1" w:after="100" w:afterAutospacing="1"/>
      <w:jc w:val="left"/>
    </w:pPr>
    <w:rPr>
      <w:rFonts w:ascii="Calibri" w:hAnsi="Calibri"/>
      <w:color w:val="FF0000"/>
      <w:kern w:val="0"/>
      <w:sz w:val="24"/>
    </w:rPr>
  </w:style>
  <w:style w:type="paragraph" w:customStyle="1" w:styleId="293">
    <w:name w:val="Char3 Char Char Char"/>
    <w:basedOn w:val="1"/>
    <w:qFormat/>
    <w:uiPriority w:val="0"/>
    <w:rPr>
      <w:rFonts w:ascii="Calibri" w:hAnsi="Calibri"/>
    </w:rPr>
  </w:style>
  <w:style w:type="paragraph" w:customStyle="1" w:styleId="294">
    <w:name w:val="Char Char Char Char1 Char Char Char"/>
    <w:basedOn w:val="1"/>
    <w:qFormat/>
    <w:uiPriority w:val="0"/>
    <w:rPr>
      <w:rFonts w:ascii="Calibri" w:hAnsi="Calibri"/>
    </w:rPr>
  </w:style>
  <w:style w:type="paragraph" w:customStyle="1" w:styleId="295">
    <w:name w:val="xl32"/>
    <w:basedOn w:val="1"/>
    <w:qFormat/>
    <w:uiPriority w:val="0"/>
    <w:pPr>
      <w:widowControl/>
      <w:spacing w:before="100" w:beforeAutospacing="1" w:after="100" w:afterAutospacing="1"/>
      <w:jc w:val="center"/>
    </w:pPr>
    <w:rPr>
      <w:rFonts w:ascii="宋体" w:hAnsi="宋体"/>
      <w:color w:val="FF0000"/>
      <w:kern w:val="0"/>
      <w:sz w:val="24"/>
    </w:rPr>
  </w:style>
  <w:style w:type="paragraph" w:customStyle="1" w:styleId="296">
    <w:name w:val="xl30"/>
    <w:basedOn w:val="1"/>
    <w:qFormat/>
    <w:uiPriority w:val="0"/>
    <w:pPr>
      <w:widowControl/>
      <w:spacing w:before="100" w:beforeAutospacing="1" w:after="100" w:afterAutospacing="1"/>
      <w:jc w:val="center"/>
    </w:pPr>
    <w:rPr>
      <w:rFonts w:ascii="Calibri" w:hAnsi="Calibri"/>
      <w:b/>
      <w:bCs/>
      <w:kern w:val="0"/>
      <w:sz w:val="24"/>
    </w:rPr>
  </w:style>
  <w:style w:type="paragraph" w:customStyle="1" w:styleId="297">
    <w:name w:val="xl31"/>
    <w:basedOn w:val="1"/>
    <w:qFormat/>
    <w:uiPriority w:val="0"/>
    <w:pPr>
      <w:widowControl/>
      <w:spacing w:before="100" w:beforeAutospacing="1" w:after="100" w:afterAutospacing="1"/>
      <w:jc w:val="left"/>
    </w:pPr>
    <w:rPr>
      <w:rFonts w:ascii="宋体" w:hAnsi="宋体"/>
      <w:color w:val="FF0000"/>
      <w:kern w:val="0"/>
      <w:sz w:val="24"/>
    </w:rPr>
  </w:style>
  <w:style w:type="paragraph" w:customStyle="1" w:styleId="298">
    <w:name w:val="标题（一）"/>
    <w:basedOn w:val="1"/>
    <w:qFormat/>
    <w:uiPriority w:val="0"/>
    <w:pPr>
      <w:spacing w:line="360" w:lineRule="auto"/>
      <w:ind w:firstLine="200" w:firstLineChars="200"/>
      <w:outlineLvl w:val="0"/>
    </w:pPr>
    <w:rPr>
      <w:rFonts w:ascii="Calibri" w:hAnsi="Calibri"/>
      <w:b/>
      <w:sz w:val="28"/>
      <w:szCs w:val="20"/>
    </w:rPr>
  </w:style>
  <w:style w:type="paragraph" w:customStyle="1" w:styleId="299">
    <w:name w:val="表标题"/>
    <w:basedOn w:val="90"/>
    <w:qFormat/>
    <w:uiPriority w:val="0"/>
    <w:pPr>
      <w:spacing w:before="156" w:beforeLines="50" w:after="156" w:afterLines="50"/>
      <w:ind w:firstLine="0" w:firstLineChars="0"/>
      <w:jc w:val="center"/>
      <w:outlineLvl w:val="6"/>
    </w:pPr>
    <w:rPr>
      <w:rFonts w:ascii="仿宋_GB2312" w:hAnsi="仿宋_GB2312" w:cs="Arial"/>
      <w:sz w:val="24"/>
      <w:szCs w:val="20"/>
    </w:rPr>
  </w:style>
  <w:style w:type="paragraph" w:customStyle="1" w:styleId="300">
    <w:name w:val="xl4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Calibri" w:hAnsi="Calibri" w:cs="Arial"/>
      <w:kern w:val="0"/>
      <w:sz w:val="24"/>
      <w:szCs w:val="20"/>
    </w:rPr>
  </w:style>
  <w:style w:type="paragraph" w:customStyle="1" w:styleId="301">
    <w:name w:val="标题四"/>
    <w:basedOn w:val="1"/>
    <w:qFormat/>
    <w:uiPriority w:val="0"/>
    <w:pPr>
      <w:ind w:firstLine="2530" w:firstLineChars="900"/>
    </w:pPr>
    <w:rPr>
      <w:rFonts w:ascii="宋体" w:hAnsi="宋体"/>
      <w:b/>
      <w:sz w:val="28"/>
      <w:szCs w:val="28"/>
    </w:rPr>
  </w:style>
  <w:style w:type="paragraph" w:customStyle="1" w:styleId="302">
    <w:name w:val="xl29"/>
    <w:basedOn w:val="1"/>
    <w:qFormat/>
    <w:uiPriority w:val="0"/>
    <w:pPr>
      <w:widowControl/>
      <w:spacing w:before="100" w:beforeAutospacing="1" w:after="100" w:afterAutospacing="1"/>
      <w:jc w:val="center"/>
    </w:pPr>
    <w:rPr>
      <w:rFonts w:ascii="宋体" w:hAnsi="宋体"/>
      <w:b/>
      <w:bCs/>
      <w:kern w:val="0"/>
      <w:sz w:val="24"/>
    </w:rPr>
  </w:style>
  <w:style w:type="paragraph" w:customStyle="1" w:styleId="303">
    <w:name w:val="xl28"/>
    <w:basedOn w:val="1"/>
    <w:qFormat/>
    <w:uiPriority w:val="0"/>
    <w:pPr>
      <w:widowControl/>
      <w:spacing w:before="100" w:beforeAutospacing="1" w:after="100" w:afterAutospacing="1"/>
      <w:jc w:val="left"/>
    </w:pPr>
    <w:rPr>
      <w:rFonts w:ascii="宋体" w:hAnsi="宋体"/>
      <w:b/>
      <w:bCs/>
      <w:kern w:val="0"/>
      <w:sz w:val="24"/>
    </w:rPr>
  </w:style>
  <w:style w:type="paragraph" w:customStyle="1" w:styleId="304">
    <w:name w:val="xl37"/>
    <w:basedOn w:val="1"/>
    <w:qFormat/>
    <w:uiPriority w:val="0"/>
    <w:pPr>
      <w:widowControl/>
      <w:spacing w:before="100" w:beforeAutospacing="1" w:after="100" w:afterAutospacing="1"/>
      <w:jc w:val="center"/>
    </w:pPr>
    <w:rPr>
      <w:rFonts w:ascii="宋体" w:hAnsi="宋体"/>
      <w:b/>
      <w:bCs/>
      <w:color w:val="FF0000"/>
      <w:kern w:val="0"/>
      <w:sz w:val="24"/>
    </w:rPr>
  </w:style>
  <w:style w:type="paragraph" w:customStyle="1" w:styleId="305">
    <w:name w:val="font1"/>
    <w:basedOn w:val="1"/>
    <w:qFormat/>
    <w:uiPriority w:val="0"/>
    <w:pPr>
      <w:widowControl/>
      <w:spacing w:before="100" w:beforeAutospacing="1" w:after="100" w:afterAutospacing="1"/>
      <w:jc w:val="left"/>
    </w:pPr>
    <w:rPr>
      <w:rFonts w:ascii="Calibri" w:hAnsi="Calibri" w:cs="Arial"/>
      <w:kern w:val="0"/>
      <w:sz w:val="24"/>
      <w:szCs w:val="20"/>
    </w:rPr>
  </w:style>
  <w:style w:type="paragraph" w:customStyle="1" w:styleId="306">
    <w:name w:val="xl50"/>
    <w:basedOn w:val="1"/>
    <w:qFormat/>
    <w:uiPriority w:val="0"/>
    <w:pPr>
      <w:widowControl/>
      <w:pBdr>
        <w:top w:val="single" w:color="auto" w:sz="4" w:space="0"/>
        <w:right w:val="single" w:color="auto" w:sz="4" w:space="0"/>
      </w:pBdr>
      <w:spacing w:before="100" w:beforeAutospacing="1" w:after="100" w:afterAutospacing="1"/>
      <w:jc w:val="left"/>
    </w:pPr>
    <w:rPr>
      <w:rFonts w:ascii="Calibri" w:hAnsi="Calibri" w:cs="Arial"/>
      <w:kern w:val="0"/>
      <w:sz w:val="24"/>
      <w:szCs w:val="20"/>
    </w:rPr>
  </w:style>
  <w:style w:type="paragraph" w:customStyle="1" w:styleId="307">
    <w:name w:val="样式2"/>
    <w:basedOn w:val="31"/>
    <w:qFormat/>
    <w:uiPriority w:val="0"/>
    <w:pPr>
      <w:tabs>
        <w:tab w:val="clear" w:pos="8302"/>
      </w:tabs>
      <w:spacing w:line="240" w:lineRule="auto"/>
    </w:pPr>
    <w:rPr>
      <w:rFonts w:ascii="Arial" w:hAnsi="Arial" w:eastAsia="Courier New" w:cs="Arial"/>
      <w:sz w:val="28"/>
      <w:szCs w:val="20"/>
    </w:rPr>
  </w:style>
  <w:style w:type="paragraph" w:customStyle="1" w:styleId="308">
    <w:name w:val="xl5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Calibri" w:hAnsi="Calibri" w:cs="Arial"/>
      <w:kern w:val="0"/>
      <w:sz w:val="24"/>
      <w:szCs w:val="20"/>
    </w:rPr>
  </w:style>
  <w:style w:type="paragraph" w:customStyle="1" w:styleId="309">
    <w:name w:val="xl57"/>
    <w:basedOn w:val="1"/>
    <w:qFormat/>
    <w:uiPriority w:val="0"/>
    <w:pPr>
      <w:widowControl/>
      <w:pBdr>
        <w:bottom w:val="single" w:color="auto" w:sz="4" w:space="0"/>
      </w:pBdr>
      <w:spacing w:before="100" w:beforeAutospacing="1" w:after="100" w:afterAutospacing="1"/>
      <w:jc w:val="center"/>
    </w:pPr>
    <w:rPr>
      <w:rFonts w:ascii="Calibri" w:hAnsi="Calibri" w:cs="Arial"/>
      <w:kern w:val="0"/>
      <w:sz w:val="24"/>
      <w:szCs w:val="20"/>
    </w:rPr>
  </w:style>
  <w:style w:type="paragraph" w:customStyle="1" w:styleId="310">
    <w:name w:val="Char Char Char Char Char Char Char Char Char Char"/>
    <w:basedOn w:val="1"/>
    <w:qFormat/>
    <w:uiPriority w:val="0"/>
    <w:pPr>
      <w:jc w:val="left"/>
    </w:pPr>
    <w:rPr>
      <w:rFonts w:ascii="Calibri" w:hAnsi="Calibri"/>
      <w:szCs w:val="21"/>
    </w:rPr>
  </w:style>
  <w:style w:type="paragraph" w:customStyle="1" w:styleId="311">
    <w:name w:val="xl5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Calibri" w:hAnsi="Calibri" w:cs="Arial"/>
      <w:kern w:val="0"/>
      <w:sz w:val="24"/>
      <w:szCs w:val="20"/>
    </w:rPr>
  </w:style>
  <w:style w:type="paragraph" w:customStyle="1" w:styleId="312">
    <w:name w:val="样式 标题 3 + 宋体 加粗"/>
    <w:basedOn w:val="5"/>
    <w:qFormat/>
    <w:uiPriority w:val="0"/>
    <w:pPr>
      <w:keepNext/>
      <w:keepLines/>
      <w:spacing w:before="260" w:after="260" w:line="240" w:lineRule="auto"/>
      <w:ind w:firstLine="413" w:firstLineChars="147"/>
    </w:pPr>
    <w:rPr>
      <w:rFonts w:ascii="宋体" w:hAnsi="宋体" w:cs="宋体"/>
      <w:b w:val="0"/>
      <w:szCs w:val="20"/>
    </w:rPr>
  </w:style>
  <w:style w:type="paragraph" w:customStyle="1" w:styleId="313">
    <w:name w:val="表格内容"/>
    <w:basedOn w:val="1"/>
    <w:qFormat/>
    <w:uiPriority w:val="0"/>
    <w:pPr>
      <w:widowControl/>
      <w:tabs>
        <w:tab w:val="left" w:pos="5327"/>
        <w:tab w:val="left" w:pos="6326"/>
        <w:tab w:val="left" w:pos="7230"/>
        <w:tab w:val="left" w:pos="9301"/>
      </w:tabs>
      <w:adjustRightInd w:val="0"/>
      <w:snapToGrid w:val="0"/>
      <w:spacing w:line="360" w:lineRule="exact"/>
      <w:jc w:val="center"/>
    </w:pPr>
    <w:rPr>
      <w:rFonts w:ascii="Arial" w:hAnsi="Arial"/>
      <w:bCs/>
      <w:kern w:val="0"/>
      <w:sz w:val="24"/>
      <w:lang w:val="zh-CN"/>
    </w:rPr>
  </w:style>
  <w:style w:type="paragraph" w:customStyle="1" w:styleId="314">
    <w:name w:val="xl35"/>
    <w:basedOn w:val="1"/>
    <w:qFormat/>
    <w:uiPriority w:val="0"/>
    <w:pPr>
      <w:widowControl/>
      <w:spacing w:before="100" w:beforeAutospacing="1" w:after="100" w:afterAutospacing="1"/>
      <w:jc w:val="center"/>
    </w:pPr>
    <w:rPr>
      <w:rFonts w:ascii="Calibri" w:hAnsi="Calibri"/>
      <w:color w:val="FF0000"/>
      <w:kern w:val="0"/>
      <w:sz w:val="24"/>
    </w:rPr>
  </w:style>
  <w:style w:type="paragraph" w:customStyle="1" w:styleId="315">
    <w:name w:val="正文文字缩进 2"/>
    <w:basedOn w:val="1"/>
    <w:qFormat/>
    <w:uiPriority w:val="0"/>
    <w:pPr>
      <w:autoSpaceDE w:val="0"/>
      <w:autoSpaceDN w:val="0"/>
      <w:adjustRightInd w:val="0"/>
      <w:ind w:right="-154" w:firstLine="560"/>
      <w:textAlignment w:val="baseline"/>
    </w:pPr>
    <w:rPr>
      <w:rFonts w:ascii="宋体" w:hAnsi="Calibri"/>
      <w:sz w:val="30"/>
      <w:szCs w:val="20"/>
    </w:rPr>
  </w:style>
  <w:style w:type="paragraph" w:customStyle="1" w:styleId="31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Calibri" w:hAnsi="Calibri" w:cs="Arial"/>
      <w:kern w:val="0"/>
      <w:sz w:val="24"/>
      <w:szCs w:val="20"/>
    </w:rPr>
  </w:style>
  <w:style w:type="paragraph" w:customStyle="1" w:styleId="317">
    <w:name w:val="Char4 Char Char Char"/>
    <w:basedOn w:val="1"/>
    <w:qFormat/>
    <w:uiPriority w:val="0"/>
    <w:pPr>
      <w:adjustRightInd w:val="0"/>
      <w:snapToGrid w:val="0"/>
      <w:spacing w:line="360" w:lineRule="auto"/>
      <w:ind w:firstLine="200" w:firstLineChars="200"/>
    </w:pPr>
    <w:rPr>
      <w:rFonts w:ascii="Calibri" w:hAnsi="Calibri" w:cs="Arial"/>
      <w:sz w:val="24"/>
      <w:szCs w:val="20"/>
    </w:rPr>
  </w:style>
  <w:style w:type="paragraph" w:customStyle="1" w:styleId="318">
    <w:name w:val="Char Char Char Char Char Char Char1"/>
    <w:basedOn w:val="1"/>
    <w:qFormat/>
    <w:uiPriority w:val="0"/>
    <w:rPr>
      <w:rFonts w:ascii="Arial" w:hAnsi="Arial" w:cs="Arial"/>
      <w:szCs w:val="20"/>
    </w:rPr>
  </w:style>
  <w:style w:type="paragraph" w:customStyle="1" w:styleId="319">
    <w:name w:val="xl33"/>
    <w:basedOn w:val="1"/>
    <w:qFormat/>
    <w:uiPriority w:val="0"/>
    <w:pPr>
      <w:widowControl/>
      <w:spacing w:before="100" w:beforeAutospacing="1" w:after="100" w:afterAutospacing="1"/>
      <w:jc w:val="left"/>
    </w:pPr>
    <w:rPr>
      <w:rFonts w:ascii="宋体" w:hAnsi="宋体"/>
      <w:color w:val="FF0000"/>
      <w:kern w:val="0"/>
      <w:sz w:val="24"/>
    </w:rPr>
  </w:style>
  <w:style w:type="paragraph" w:customStyle="1" w:styleId="320">
    <w:name w:val="xl38"/>
    <w:basedOn w:val="1"/>
    <w:qFormat/>
    <w:uiPriority w:val="0"/>
    <w:pPr>
      <w:widowControl/>
      <w:spacing w:before="100" w:beforeAutospacing="1" w:after="100" w:afterAutospacing="1"/>
      <w:jc w:val="center"/>
    </w:pPr>
    <w:rPr>
      <w:rFonts w:ascii="宋体" w:hAnsi="宋体"/>
      <w:kern w:val="0"/>
      <w:sz w:val="24"/>
    </w:rPr>
  </w:style>
  <w:style w:type="paragraph" w:customStyle="1" w:styleId="321">
    <w:name w:val="Char Char2 Char Char Char Char Char Char"/>
    <w:basedOn w:val="1"/>
    <w:qFormat/>
    <w:uiPriority w:val="0"/>
    <w:rPr>
      <w:rFonts w:ascii="Calibri" w:hAnsi="Calibri"/>
      <w:sz w:val="44"/>
      <w:szCs w:val="20"/>
    </w:rPr>
  </w:style>
  <w:style w:type="paragraph" w:customStyle="1" w:styleId="322">
    <w:name w:val="石榴石正文 (中文) 仿宋_GB2312 四号 首行缩进:  2 字符"/>
    <w:basedOn w:val="14"/>
    <w:qFormat/>
    <w:uiPriority w:val="0"/>
    <w:pPr>
      <w:spacing w:line="240" w:lineRule="auto"/>
      <w:ind w:firstLine="544"/>
      <w:jc w:val="left"/>
    </w:pPr>
    <w:rPr>
      <w:rFonts w:ascii="仿宋_GB2312" w:hAnsi="Calibri" w:eastAsia="仿宋_GB2312" w:cs="新宋体"/>
      <w:bCs/>
      <w:spacing w:val="-4"/>
      <w:sz w:val="28"/>
      <w:szCs w:val="28"/>
    </w:rPr>
  </w:style>
  <w:style w:type="paragraph" w:customStyle="1" w:styleId="323">
    <w:name w:val="xl26"/>
    <w:basedOn w:val="1"/>
    <w:qFormat/>
    <w:uiPriority w:val="0"/>
    <w:pPr>
      <w:widowControl/>
      <w:spacing w:before="100" w:beforeAutospacing="1" w:after="100" w:afterAutospacing="1"/>
      <w:jc w:val="center"/>
    </w:pPr>
    <w:rPr>
      <w:rFonts w:ascii="宋体" w:hAnsi="宋体"/>
      <w:color w:val="FF0000"/>
      <w:kern w:val="0"/>
      <w:sz w:val="24"/>
    </w:rPr>
  </w:style>
  <w:style w:type="paragraph" w:customStyle="1" w:styleId="324">
    <w:name w:val="样式3"/>
    <w:basedOn w:val="32"/>
    <w:qFormat/>
    <w:uiPriority w:val="0"/>
    <w:pPr>
      <w:tabs>
        <w:tab w:val="right" w:leader="dot" w:pos="9628"/>
      </w:tabs>
      <w:spacing w:line="360" w:lineRule="auto"/>
      <w:ind w:left="600" w:leftChars="258" w:firstLine="200" w:firstLineChars="200"/>
      <w:jc w:val="left"/>
    </w:pPr>
    <w:rPr>
      <w:rFonts w:ascii="宋体" w:hAnsi="宋体" w:eastAsia="宋体" w:cs="Times New Roman"/>
      <w:b/>
      <w:sz w:val="28"/>
      <w:szCs w:val="20"/>
    </w:rPr>
  </w:style>
  <w:style w:type="paragraph" w:customStyle="1" w:styleId="325">
    <w:name w:val="Char1 Char Char"/>
    <w:basedOn w:val="1"/>
    <w:qFormat/>
    <w:uiPriority w:val="0"/>
    <w:rPr>
      <w:rFonts w:ascii="Calibri" w:hAnsi="Calibri"/>
    </w:rPr>
  </w:style>
  <w:style w:type="paragraph" w:customStyle="1" w:styleId="326">
    <w:name w:val="xl39"/>
    <w:basedOn w:val="1"/>
    <w:qFormat/>
    <w:uiPriority w:val="0"/>
    <w:pPr>
      <w:widowControl/>
      <w:spacing w:before="100" w:beforeAutospacing="1" w:after="100" w:afterAutospacing="1"/>
      <w:jc w:val="center"/>
    </w:pPr>
    <w:rPr>
      <w:rFonts w:ascii="宋体" w:hAnsi="宋体"/>
      <w:kern w:val="0"/>
      <w:sz w:val="24"/>
    </w:rPr>
  </w:style>
  <w:style w:type="paragraph" w:customStyle="1" w:styleId="327">
    <w:name w:val="封面"/>
    <w:basedOn w:val="1"/>
    <w:qFormat/>
    <w:uiPriority w:val="0"/>
    <w:pPr>
      <w:spacing w:line="360" w:lineRule="auto"/>
      <w:ind w:firstLine="560" w:firstLineChars="200"/>
      <w:jc w:val="center"/>
      <w:outlineLvl w:val="0"/>
    </w:pPr>
    <w:rPr>
      <w:rFonts w:ascii="仿宋_GB2312" w:hAnsi="Calibri" w:eastAsia="仿宋_GB2312"/>
      <w:b/>
      <w:bCs/>
      <w:kern w:val="44"/>
      <w:sz w:val="32"/>
      <w:szCs w:val="32"/>
    </w:rPr>
  </w:style>
  <w:style w:type="paragraph" w:customStyle="1" w:styleId="328">
    <w:name w:val="样式 标题 3 + 宋体"/>
    <w:basedOn w:val="5"/>
    <w:qFormat/>
    <w:uiPriority w:val="0"/>
    <w:pPr>
      <w:keepNext/>
      <w:keepLines/>
      <w:spacing w:before="260" w:after="260" w:line="413" w:lineRule="auto"/>
    </w:pPr>
    <w:rPr>
      <w:rFonts w:ascii="Calibri" w:hAnsi="Calibri" w:eastAsia="Calibri" w:cs="Arial"/>
      <w:b w:val="0"/>
      <w:bCs w:val="0"/>
      <w:color w:val="FF00FF"/>
      <w:szCs w:val="20"/>
    </w:rPr>
  </w:style>
  <w:style w:type="paragraph" w:customStyle="1" w:styleId="329">
    <w:name w:val="Char Char Char Char Char Char Char Char Char Char Char Char Char Char"/>
    <w:qFormat/>
    <w:uiPriority w:val="0"/>
    <w:pPr>
      <w:widowControl w:val="0"/>
      <w:spacing w:line="300" w:lineRule="auto"/>
      <w:ind w:firstLine="480" w:firstLineChars="200"/>
      <w:jc w:val="both"/>
    </w:pPr>
    <w:rPr>
      <w:rFonts w:ascii="Calibri" w:hAnsi="Calibri" w:eastAsia="仿宋_GB2312" w:cs="Times New Roman"/>
      <w:kern w:val="2"/>
      <w:sz w:val="24"/>
      <w:szCs w:val="24"/>
      <w:lang w:val="en-US" w:eastAsia="zh-CN" w:bidi="ar-SA"/>
    </w:rPr>
  </w:style>
  <w:style w:type="paragraph" w:customStyle="1" w:styleId="330">
    <w:name w:val="默认段落字体 Para Char"/>
    <w:basedOn w:val="1"/>
    <w:qFormat/>
    <w:uiPriority w:val="0"/>
    <w:pPr>
      <w:spacing w:line="360" w:lineRule="auto"/>
      <w:ind w:firstLine="200" w:firstLineChars="200"/>
    </w:pPr>
    <w:rPr>
      <w:rFonts w:ascii="宋体" w:hAnsi="宋体" w:cs="宋体"/>
      <w:sz w:val="24"/>
    </w:rPr>
  </w:style>
  <w:style w:type="paragraph" w:customStyle="1" w:styleId="331">
    <w:name w:val="xl54"/>
    <w:basedOn w:val="1"/>
    <w:qFormat/>
    <w:uiPriority w:val="0"/>
    <w:pPr>
      <w:widowControl/>
      <w:spacing w:before="100" w:beforeAutospacing="1" w:after="100" w:afterAutospacing="1"/>
      <w:jc w:val="right"/>
    </w:pPr>
    <w:rPr>
      <w:rFonts w:ascii="Calibri" w:hAnsi="Calibri" w:cs="Arial"/>
      <w:kern w:val="0"/>
      <w:sz w:val="24"/>
      <w:szCs w:val="20"/>
    </w:rPr>
  </w:style>
  <w:style w:type="paragraph" w:customStyle="1" w:styleId="332">
    <w:name w:val="样式4"/>
    <w:basedOn w:val="1"/>
    <w:qFormat/>
    <w:uiPriority w:val="0"/>
    <w:pPr>
      <w:spacing w:line="360" w:lineRule="auto"/>
      <w:ind w:firstLine="600" w:firstLineChars="200"/>
    </w:pPr>
    <w:rPr>
      <w:rFonts w:ascii="Calibri" w:hAnsi="Calibri" w:cs="Arial"/>
      <w:sz w:val="28"/>
      <w:szCs w:val="20"/>
    </w:rPr>
  </w:style>
  <w:style w:type="paragraph" w:customStyle="1" w:styleId="333">
    <w:name w:val="样式 标题 2 + 左侧:  2 字符"/>
    <w:basedOn w:val="4"/>
    <w:qFormat/>
    <w:uiPriority w:val="0"/>
    <w:pPr>
      <w:keepNext/>
      <w:keepLines/>
      <w:spacing w:before="260" w:after="260" w:line="415" w:lineRule="auto"/>
      <w:ind w:left="420" w:leftChars="200"/>
    </w:pPr>
    <w:rPr>
      <w:rFonts w:ascii="Arial" w:hAnsi="Arial" w:cs="宋体"/>
      <w:bCs w:val="0"/>
      <w:sz w:val="32"/>
      <w:szCs w:val="20"/>
    </w:rPr>
  </w:style>
  <w:style w:type="paragraph" w:customStyle="1" w:styleId="334">
    <w:name w:val="xl40"/>
    <w:basedOn w:val="1"/>
    <w:qFormat/>
    <w:uiPriority w:val="0"/>
    <w:pPr>
      <w:widowControl/>
      <w:pBdr>
        <w:left w:val="single" w:color="auto" w:sz="4" w:space="0"/>
        <w:bottom w:val="single" w:color="auto" w:sz="4" w:space="0"/>
      </w:pBdr>
      <w:spacing w:before="100" w:beforeAutospacing="1" w:after="100" w:afterAutospacing="1"/>
      <w:jc w:val="left"/>
    </w:pPr>
    <w:rPr>
      <w:rFonts w:ascii="Calibri" w:hAnsi="Calibri" w:cs="Arial"/>
      <w:kern w:val="0"/>
      <w:sz w:val="24"/>
      <w:szCs w:val="20"/>
    </w:rPr>
  </w:style>
  <w:style w:type="paragraph" w:customStyle="1" w:styleId="335">
    <w:name w:val="Char Char Char Char11"/>
    <w:basedOn w:val="1"/>
    <w:qFormat/>
    <w:uiPriority w:val="0"/>
    <w:rPr>
      <w:rFonts w:ascii="Calibri" w:hAnsi="Calibri"/>
      <w:szCs w:val="21"/>
    </w:rPr>
  </w:style>
  <w:style w:type="paragraph" w:customStyle="1" w:styleId="336">
    <w:name w:val="xl27"/>
    <w:basedOn w:val="1"/>
    <w:qFormat/>
    <w:uiPriority w:val="0"/>
    <w:pPr>
      <w:widowControl/>
      <w:spacing w:before="100" w:beforeAutospacing="1" w:after="100" w:afterAutospacing="1"/>
      <w:jc w:val="center"/>
    </w:pPr>
    <w:rPr>
      <w:rFonts w:ascii="Calibri" w:hAnsi="Calibri"/>
      <w:kern w:val="0"/>
      <w:sz w:val="24"/>
    </w:rPr>
  </w:style>
  <w:style w:type="paragraph" w:customStyle="1" w:styleId="337">
    <w:name w:val="Char Char Char Char Char"/>
    <w:basedOn w:val="1"/>
    <w:qFormat/>
    <w:uiPriority w:val="0"/>
    <w:rPr>
      <w:rFonts w:ascii="Calibri" w:hAnsi="Calibri"/>
      <w:szCs w:val="21"/>
    </w:rPr>
  </w:style>
  <w:style w:type="paragraph" w:customStyle="1" w:styleId="338">
    <w:name w:val="正文文字缩进 3"/>
    <w:basedOn w:val="1"/>
    <w:qFormat/>
    <w:uiPriority w:val="0"/>
    <w:pPr>
      <w:autoSpaceDE w:val="0"/>
      <w:autoSpaceDN w:val="0"/>
      <w:adjustRightInd w:val="0"/>
      <w:ind w:right="-154" w:firstLine="560"/>
      <w:textAlignment w:val="baseline"/>
    </w:pPr>
    <w:rPr>
      <w:rFonts w:ascii="宋体" w:hAnsi="Calibri"/>
      <w:color w:val="FF0000"/>
      <w:sz w:val="30"/>
      <w:szCs w:val="20"/>
    </w:rPr>
  </w:style>
  <w:style w:type="paragraph" w:customStyle="1" w:styleId="339">
    <w:name w:val="xl56"/>
    <w:basedOn w:val="1"/>
    <w:qFormat/>
    <w:uiPriority w:val="0"/>
    <w:pPr>
      <w:widowControl/>
      <w:spacing w:before="100" w:beforeAutospacing="1" w:after="100" w:afterAutospacing="1"/>
      <w:jc w:val="center"/>
    </w:pPr>
    <w:rPr>
      <w:rFonts w:ascii="Calibri" w:hAnsi="Calibri" w:cs="Arial"/>
      <w:kern w:val="0"/>
      <w:sz w:val="36"/>
      <w:szCs w:val="20"/>
    </w:rPr>
  </w:style>
  <w:style w:type="paragraph" w:customStyle="1" w:styleId="340">
    <w:name w:val="xl53"/>
    <w:basedOn w:val="1"/>
    <w:qFormat/>
    <w:uiPriority w:val="0"/>
    <w:pPr>
      <w:widowControl/>
      <w:spacing w:before="100" w:beforeAutospacing="1" w:after="100" w:afterAutospacing="1"/>
      <w:jc w:val="center"/>
    </w:pPr>
    <w:rPr>
      <w:rFonts w:ascii="Calibri" w:hAnsi="Calibri" w:cs="Arial"/>
      <w:kern w:val="0"/>
      <w:sz w:val="32"/>
      <w:szCs w:val="20"/>
    </w:rPr>
  </w:style>
  <w:style w:type="table" w:customStyle="1" w:styleId="341">
    <w:name w:val="网格型1"/>
    <w:basedOn w:val="48"/>
    <w:qFormat/>
    <w:uiPriority w:val="0"/>
    <w:pPr>
      <w:widowControl w:val="0"/>
      <w:autoSpaceDE w:val="0"/>
      <w:autoSpaceDN w:val="0"/>
      <w:adjustRightInd w:val="0"/>
      <w:jc w:val="both"/>
      <w:textAlignment w:val="baseline"/>
    </w:pPr>
    <w:rPr>
      <w:rFonts w:ascii="Arial" w:hAnsi="Arial" w:eastAsia="Times New Roman"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
    <w:name w:val="网格型2"/>
    <w:basedOn w:val="48"/>
    <w:qFormat/>
    <w:uiPriority w:val="0"/>
    <w:pPr>
      <w:widowControl w:val="0"/>
      <w:adjustRightInd w:val="0"/>
      <w:spacing w:line="312" w:lineRule="atLeast"/>
      <w:jc w:val="both"/>
      <w:textAlignment w:val="baseline"/>
    </w:pPr>
    <w:rPr>
      <w:rFonts w:ascii="Arial" w:hAnsi="Arial" w:eastAsia="Times New Roman"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43">
    <w:name w:val="标题1"/>
    <w:basedOn w:val="1"/>
    <w:next w:val="1"/>
    <w:semiHidden/>
    <w:qFormat/>
    <w:uiPriority w:val="0"/>
    <w:rPr>
      <w:rFonts w:ascii="Calibri" w:hAnsi="Calibri"/>
    </w:rPr>
  </w:style>
  <w:style w:type="paragraph" w:customStyle="1" w:styleId="344">
    <w:name w:val="表体-格式"/>
    <w:basedOn w:val="1"/>
    <w:link w:val="345"/>
    <w:qFormat/>
    <w:uiPriority w:val="0"/>
    <w:pPr>
      <w:adjustRightInd w:val="0"/>
      <w:snapToGrid w:val="0"/>
      <w:jc w:val="center"/>
    </w:pPr>
    <w:rPr>
      <w:kern w:val="0"/>
      <w:szCs w:val="18"/>
      <w:lang w:eastAsia="en-US" w:bidi="en-US"/>
    </w:rPr>
  </w:style>
  <w:style w:type="character" w:customStyle="1" w:styleId="345">
    <w:name w:val="表体-格式 Char"/>
    <w:link w:val="344"/>
    <w:qFormat/>
    <w:uiPriority w:val="0"/>
    <w:rPr>
      <w:sz w:val="21"/>
      <w:szCs w:val="18"/>
      <w:lang w:eastAsia="en-US" w:bidi="en-US"/>
    </w:rPr>
  </w:style>
  <w:style w:type="paragraph" w:customStyle="1" w:styleId="346">
    <w:name w:val="可研正文"/>
    <w:basedOn w:val="1"/>
    <w:link w:val="347"/>
    <w:qFormat/>
    <w:uiPriority w:val="0"/>
    <w:pPr>
      <w:ind w:firstLine="480" w:firstLineChars="200"/>
    </w:pPr>
    <w:rPr>
      <w:rFonts w:hAnsi="微软雅黑" w:asciiTheme="minorEastAsia" w:eastAsiaTheme="minorEastAsia"/>
      <w:sz w:val="28"/>
    </w:rPr>
  </w:style>
  <w:style w:type="character" w:customStyle="1" w:styleId="347">
    <w:name w:val="可研正文 Char"/>
    <w:basedOn w:val="52"/>
    <w:link w:val="346"/>
    <w:qFormat/>
    <w:uiPriority w:val="0"/>
    <w:rPr>
      <w:rFonts w:hAnsi="微软雅黑" w:asciiTheme="minorEastAsia" w:eastAsiaTheme="minorEastAsia"/>
      <w:kern w:val="2"/>
      <w:sz w:val="28"/>
      <w:szCs w:val="24"/>
    </w:rPr>
  </w:style>
  <w:style w:type="paragraph" w:customStyle="1" w:styleId="348">
    <w:name w:val="可研标题 1"/>
    <w:basedOn w:val="45"/>
    <w:next w:val="349"/>
    <w:qFormat/>
    <w:uiPriority w:val="0"/>
    <w:pPr>
      <w:numPr>
        <w:ilvl w:val="0"/>
        <w:numId w:val="3"/>
      </w:numPr>
      <w:ind w:firstLine="200" w:firstLineChars="200"/>
      <w:outlineLvl w:val="0"/>
    </w:pPr>
    <w:rPr>
      <w:rFonts w:ascii="微软雅黑" w:hAnsi="微软雅黑" w:eastAsiaTheme="minorEastAsia" w:cstheme="majorBidi"/>
      <w:b/>
      <w:bCs/>
      <w:sz w:val="44"/>
      <w:szCs w:val="44"/>
    </w:rPr>
  </w:style>
  <w:style w:type="paragraph" w:customStyle="1" w:styleId="349">
    <w:name w:val="可研标题 2"/>
    <w:basedOn w:val="33"/>
    <w:next w:val="346"/>
    <w:autoRedefine/>
    <w:qFormat/>
    <w:uiPriority w:val="0"/>
    <w:pPr>
      <w:keepNext/>
      <w:numPr>
        <w:ilvl w:val="1"/>
        <w:numId w:val="3"/>
      </w:numPr>
      <w:jc w:val="left"/>
      <w:outlineLvl w:val="1"/>
    </w:pPr>
    <w:rPr>
      <w:rFonts w:hAnsi="微软雅黑" w:asciiTheme="minorEastAsia" w:eastAsiaTheme="minorEastAsia" w:cstheme="majorBidi"/>
      <w:bCs/>
      <w:sz w:val="32"/>
      <w:szCs w:val="32"/>
    </w:rPr>
  </w:style>
  <w:style w:type="paragraph" w:customStyle="1" w:styleId="350">
    <w:name w:val="可研标题 3"/>
    <w:basedOn w:val="1"/>
    <w:next w:val="346"/>
    <w:link w:val="351"/>
    <w:autoRedefine/>
    <w:qFormat/>
    <w:uiPriority w:val="0"/>
    <w:pPr>
      <w:keepNext/>
      <w:numPr>
        <w:ilvl w:val="2"/>
        <w:numId w:val="3"/>
      </w:numPr>
    </w:pPr>
    <w:rPr>
      <w:rFonts w:hAnsi="微软雅黑" w:asciiTheme="minorEastAsia" w:eastAsiaTheme="minorEastAsia" w:cstheme="minorBidi"/>
      <w:b/>
      <w:sz w:val="28"/>
    </w:rPr>
  </w:style>
  <w:style w:type="character" w:customStyle="1" w:styleId="351">
    <w:name w:val="可研标题 3 Char"/>
    <w:basedOn w:val="52"/>
    <w:link w:val="350"/>
    <w:qFormat/>
    <w:uiPriority w:val="0"/>
    <w:rPr>
      <w:rFonts w:hAnsi="微软雅黑" w:asciiTheme="minorEastAsia" w:eastAsiaTheme="minorEastAsia" w:cstheme="minorBidi"/>
      <w:b/>
      <w:kern w:val="2"/>
      <w:sz w:val="28"/>
      <w:szCs w:val="24"/>
    </w:rPr>
  </w:style>
  <w:style w:type="paragraph" w:customStyle="1" w:styleId="352">
    <w:name w:val="可研标题 4"/>
    <w:basedOn w:val="1"/>
    <w:next w:val="346"/>
    <w:autoRedefine/>
    <w:qFormat/>
    <w:uiPriority w:val="0"/>
    <w:pPr>
      <w:keepNext/>
      <w:numPr>
        <w:ilvl w:val="3"/>
        <w:numId w:val="3"/>
      </w:numPr>
    </w:pPr>
    <w:rPr>
      <w:rFonts w:ascii="宋体" w:hAnsi="宋体" w:eastAsiaTheme="minorEastAsia" w:cstheme="minorBidi"/>
      <w:b/>
      <w:sz w:val="28"/>
    </w:rPr>
  </w:style>
  <w:style w:type="paragraph" w:customStyle="1" w:styleId="353">
    <w:name w:val="可研标题5"/>
    <w:basedOn w:val="1"/>
    <w:next w:val="346"/>
    <w:autoRedefine/>
    <w:qFormat/>
    <w:uiPriority w:val="0"/>
    <w:pPr>
      <w:numPr>
        <w:ilvl w:val="6"/>
        <w:numId w:val="3"/>
      </w:numPr>
    </w:pPr>
    <w:rPr>
      <w:rFonts w:hAnsi="微软雅黑" w:asciiTheme="minorEastAsia" w:eastAsiaTheme="minorEastAsia"/>
      <w:sz w:val="28"/>
    </w:rPr>
  </w:style>
  <w:style w:type="paragraph" w:customStyle="1" w:styleId="354">
    <w:name w:val="可研标题6"/>
    <w:basedOn w:val="346"/>
    <w:qFormat/>
    <w:uiPriority w:val="0"/>
    <w:pPr>
      <w:numPr>
        <w:ilvl w:val="7"/>
        <w:numId w:val="3"/>
      </w:numPr>
      <w:ind w:left="0" w:firstLine="200"/>
    </w:pPr>
  </w:style>
  <w:style w:type="paragraph" w:customStyle="1" w:styleId="355">
    <w:name w:val="可研图标题"/>
    <w:next w:val="1"/>
    <w:qFormat/>
    <w:uiPriority w:val="0"/>
    <w:pPr>
      <w:numPr>
        <w:ilvl w:val="5"/>
        <w:numId w:val="3"/>
      </w:numPr>
      <w:jc w:val="center"/>
    </w:pPr>
    <w:rPr>
      <w:rFonts w:eastAsia="宋体" w:cs="Times New Roman" w:asciiTheme="minorEastAsia" w:hAnsiTheme="minorEastAsia"/>
      <w:kern w:val="2"/>
      <w:sz w:val="24"/>
      <w:szCs w:val="21"/>
      <w:lang w:val="en-US" w:eastAsia="zh-CN" w:bidi="ar-SA"/>
    </w:rPr>
  </w:style>
  <w:style w:type="paragraph" w:customStyle="1" w:styleId="356">
    <w:name w:val="可研标题7"/>
    <w:basedOn w:val="346"/>
    <w:qFormat/>
    <w:uiPriority w:val="0"/>
    <w:pPr>
      <w:numPr>
        <w:ilvl w:val="8"/>
        <w:numId w:val="3"/>
      </w:numPr>
      <w:ind w:left="4340" w:firstLine="200"/>
    </w:pPr>
  </w:style>
  <w:style w:type="character" w:customStyle="1" w:styleId="357">
    <w:name w:val="报告表标题 Char"/>
    <w:basedOn w:val="52"/>
    <w:link w:val="213"/>
    <w:qFormat/>
    <w:uiPriority w:val="0"/>
    <w:rPr>
      <w:rFonts w:ascii="宋体" w:hAnsi="宋体" w:cs="宋体"/>
      <w:sz w:val="24"/>
      <w:szCs w:val="24"/>
    </w:rPr>
  </w:style>
  <w:style w:type="paragraph" w:customStyle="1" w:styleId="358">
    <w:name w:val="图标题"/>
    <w:basedOn w:val="1"/>
    <w:next w:val="1"/>
    <w:qFormat/>
    <w:uiPriority w:val="2"/>
    <w:pPr>
      <w:spacing w:after="120" w:line="400" w:lineRule="exact"/>
      <w:jc w:val="center"/>
    </w:pPr>
    <w:rPr>
      <w:sz w:val="24"/>
      <w:szCs w:val="22"/>
    </w:rPr>
  </w:style>
  <w:style w:type="paragraph" w:customStyle="1" w:styleId="359">
    <w:name w:val="样式 首行缩进:  0.99 厘米"/>
    <w:basedOn w:val="1"/>
    <w:qFormat/>
    <w:uiPriority w:val="0"/>
    <w:pPr>
      <w:spacing w:line="360" w:lineRule="auto"/>
      <w:ind w:firstLine="561"/>
    </w:pPr>
    <w:rPr>
      <w:rFonts w:cs="宋体"/>
      <w:sz w:val="28"/>
      <w:szCs w:val="20"/>
    </w:rPr>
  </w:style>
  <w:style w:type="paragraph" w:customStyle="1" w:styleId="360">
    <w:name w:val="Char Char10 Char Char Char Char"/>
    <w:basedOn w:val="1"/>
    <w:qFormat/>
    <w:uiPriority w:val="0"/>
    <w:pPr>
      <w:spacing w:line="360" w:lineRule="auto"/>
      <w:ind w:firstLine="200" w:firstLineChars="200"/>
    </w:pPr>
    <w:rPr>
      <w:rFonts w:ascii="宋体" w:hAnsi="宋体" w:cs="宋体"/>
      <w:sz w:val="24"/>
    </w:rPr>
  </w:style>
  <w:style w:type="table" w:customStyle="1" w:styleId="361">
    <w:name w:val="Table Normal"/>
    <w:basedOn w:val="48"/>
    <w:qFormat/>
    <w:uiPriority w:val="0"/>
    <w:rPr>
      <w:rFonts w:eastAsia="Times New Roman"/>
    </w:rPr>
    <w:tblPr>
      <w:tblCellMar>
        <w:top w:w="0" w:type="dxa"/>
        <w:left w:w="0" w:type="dxa"/>
        <w:bottom w:w="0" w:type="dxa"/>
        <w:right w:w="0" w:type="dxa"/>
      </w:tblCellMar>
    </w:tblPr>
  </w:style>
  <w:style w:type="character" w:customStyle="1" w:styleId="362">
    <w:name w:val="表格文字 Char"/>
    <w:link w:val="210"/>
    <w:qFormat/>
    <w:uiPriority w:val="0"/>
    <w:rPr>
      <w:kern w:val="2"/>
      <w:sz w:val="21"/>
    </w:rPr>
  </w:style>
  <w:style w:type="character" w:customStyle="1" w:styleId="363">
    <w:name w:val="表格正文 字符"/>
    <w:link w:val="188"/>
    <w:qFormat/>
    <w:uiPriority w:val="0"/>
    <w:rPr>
      <w:rFonts w:ascii="宋体" w:hAnsi="宋体"/>
      <w:sz w:val="21"/>
    </w:rPr>
  </w:style>
  <w:style w:type="character" w:customStyle="1" w:styleId="364">
    <w:name w:val="无"/>
    <w:qFormat/>
    <w:uiPriority w:val="0"/>
  </w:style>
  <w:style w:type="paragraph" w:customStyle="1" w:styleId="365">
    <w:name w:val="正文一"/>
    <w:basedOn w:val="1"/>
    <w:link w:val="366"/>
    <w:semiHidden/>
    <w:qFormat/>
    <w:uiPriority w:val="0"/>
    <w:pPr>
      <w:widowControl/>
      <w:spacing w:before="120" w:after="120" w:line="360" w:lineRule="auto"/>
      <w:ind w:firstLine="1044" w:firstLineChars="200"/>
      <w:jc w:val="left"/>
    </w:pPr>
    <w:rPr>
      <w:rFonts w:eastAsia="等线" w:cs="宋体"/>
      <w:kern w:val="0"/>
      <w:szCs w:val="21"/>
    </w:rPr>
  </w:style>
  <w:style w:type="character" w:customStyle="1" w:styleId="366">
    <w:name w:val="正文一 Char"/>
    <w:link w:val="365"/>
    <w:semiHidden/>
    <w:qFormat/>
    <w:uiPriority w:val="0"/>
    <w:rPr>
      <w:rFonts w:eastAsia="等线" w:cs="宋体"/>
      <w:sz w:val="21"/>
      <w:szCs w:val="21"/>
    </w:rPr>
  </w:style>
  <w:style w:type="character" w:customStyle="1" w:styleId="367">
    <w:name w:val="Hyperlink.0"/>
    <w:qFormat/>
    <w:uiPriority w:val="0"/>
    <w:rPr>
      <w:rFonts w:ascii="宋体" w:hAnsi="宋体" w:eastAsia="宋体" w:cs="宋体"/>
      <w:sz w:val="20"/>
      <w:szCs w:val="20"/>
    </w:rPr>
  </w:style>
  <w:style w:type="character" w:customStyle="1" w:styleId="368">
    <w:name w:val="Hyperlink.1"/>
    <w:qFormat/>
    <w:uiPriority w:val="0"/>
    <w:rPr>
      <w:rFonts w:ascii="宋体" w:hAnsi="宋体" w:eastAsia="宋体" w:cs="宋体"/>
      <w:sz w:val="20"/>
      <w:szCs w:val="20"/>
      <w:lang w:val="zh-TW" w:eastAsia="zh-TW"/>
    </w:rPr>
  </w:style>
  <w:style w:type="character" w:customStyle="1" w:styleId="369">
    <w:name w:val="样式 小四"/>
    <w:qFormat/>
    <w:uiPriority w:val="0"/>
    <w:rPr>
      <w:rFonts w:ascii="Arial" w:hAnsi="Arial" w:eastAsia="宋体"/>
      <w:sz w:val="24"/>
      <w:szCs w:val="24"/>
    </w:rPr>
  </w:style>
  <w:style w:type="paragraph" w:customStyle="1" w:styleId="370">
    <w:name w:val="!正文"/>
    <w:basedOn w:val="1"/>
    <w:qFormat/>
    <w:uiPriority w:val="0"/>
    <w:pPr>
      <w:wordWrap w:val="0"/>
      <w:spacing w:line="360" w:lineRule="auto"/>
      <w:ind w:firstLine="200" w:firstLineChars="200"/>
    </w:pPr>
    <w:rPr>
      <w:sz w:val="24"/>
      <w:szCs w:val="28"/>
      <w:lang w:val="zh-CN"/>
    </w:rPr>
  </w:style>
  <w:style w:type="character" w:customStyle="1" w:styleId="371">
    <w:name w:val="7 正文 字符"/>
    <w:link w:val="372"/>
    <w:qFormat/>
    <w:uiPriority w:val="0"/>
    <w:rPr>
      <w:rFonts w:ascii="宋体" w:hAnsi="Arial"/>
      <w:sz w:val="24"/>
      <w:szCs w:val="24"/>
    </w:rPr>
  </w:style>
  <w:style w:type="paragraph" w:customStyle="1" w:styleId="372">
    <w:name w:val="7 正文"/>
    <w:link w:val="371"/>
    <w:qFormat/>
    <w:uiPriority w:val="0"/>
    <w:pPr>
      <w:spacing w:before="100" w:beforeAutospacing="1" w:after="100" w:afterAutospacing="1" w:line="300" w:lineRule="auto"/>
      <w:ind w:firstLine="480"/>
    </w:pPr>
    <w:rPr>
      <w:rFonts w:ascii="宋体" w:hAnsi="Arial" w:eastAsia="宋体" w:cs="Times New Roman"/>
      <w:sz w:val="24"/>
      <w:szCs w:val="24"/>
      <w:lang w:val="en-US" w:eastAsia="zh-CN" w:bidi="ar-SA"/>
    </w:rPr>
  </w:style>
  <w:style w:type="character" w:customStyle="1" w:styleId="373">
    <w:name w:val="Default Char"/>
    <w:link w:val="193"/>
    <w:qFormat/>
    <w:uiPriority w:val="0"/>
    <w:rPr>
      <w:rFonts w:ascii="宋体" w:cs="宋体"/>
      <w:color w:val="000000"/>
      <w:sz w:val="24"/>
      <w:szCs w:val="24"/>
    </w:rPr>
  </w:style>
  <w:style w:type="character" w:customStyle="1" w:styleId="374">
    <w:name w:val="_正文段落 Char"/>
    <w:link w:val="375"/>
    <w:qFormat/>
    <w:uiPriority w:val="0"/>
    <w:rPr>
      <w:rFonts w:ascii="宋体" w:hAnsi="Courier New"/>
      <w:sz w:val="24"/>
      <w:szCs w:val="32"/>
    </w:rPr>
  </w:style>
  <w:style w:type="paragraph" w:customStyle="1" w:styleId="375">
    <w:name w:val="_正文段落"/>
    <w:basedOn w:val="1"/>
    <w:next w:val="1"/>
    <w:link w:val="374"/>
    <w:qFormat/>
    <w:uiPriority w:val="0"/>
    <w:pPr>
      <w:spacing w:beforeLines="15" w:afterLines="30" w:line="360" w:lineRule="auto"/>
      <w:ind w:firstLine="200" w:firstLineChars="200"/>
    </w:pPr>
    <w:rPr>
      <w:rFonts w:ascii="宋体" w:hAnsi="Courier New"/>
      <w:kern w:val="0"/>
      <w:sz w:val="24"/>
      <w:szCs w:val="32"/>
    </w:rPr>
  </w:style>
  <w:style w:type="paragraph" w:customStyle="1" w:styleId="376">
    <w:name w:val="*正文"/>
    <w:basedOn w:val="1"/>
    <w:link w:val="377"/>
    <w:qFormat/>
    <w:uiPriority w:val="0"/>
    <w:pPr>
      <w:spacing w:line="360" w:lineRule="auto"/>
      <w:ind w:firstLine="200" w:firstLineChars="200"/>
    </w:pPr>
    <w:rPr>
      <w:rFonts w:ascii="等线" w:hAnsi="等线" w:eastAsia="等线"/>
      <w:sz w:val="22"/>
      <w:lang w:val="zh-CN"/>
    </w:rPr>
  </w:style>
  <w:style w:type="character" w:customStyle="1" w:styleId="377">
    <w:name w:val="*正文 Char"/>
    <w:link w:val="376"/>
    <w:qFormat/>
    <w:uiPriority w:val="0"/>
    <w:rPr>
      <w:rFonts w:ascii="等线" w:hAnsi="等线" w:eastAsia="等线"/>
      <w:kern w:val="2"/>
      <w:sz w:val="22"/>
      <w:szCs w:val="24"/>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1A507-7152-47FB-9200-74003BBAE0A7}">
  <ds:schemaRefs/>
</ds:datastoreItem>
</file>

<file path=docProps/app.xml><?xml version="1.0" encoding="utf-8"?>
<Properties xmlns="http://schemas.openxmlformats.org/officeDocument/2006/extended-properties" xmlns:vt="http://schemas.openxmlformats.org/officeDocument/2006/docPropsVTypes">
  <Template>Normal</Template>
  <Pages>168</Pages>
  <Words>156111</Words>
  <Characters>165022</Characters>
  <Lines>1256</Lines>
  <Paragraphs>353</Paragraphs>
  <TotalTime>2</TotalTime>
  <ScaleCrop>false</ScaleCrop>
  <LinksUpToDate>false</LinksUpToDate>
  <CharactersWithSpaces>165069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2025-04-02T03:00:00Z</dcterms:created>
  <dc:creator>zheng</dc:creator>
  <cp:lastModifiedBy>蒙DV5712</cp:lastModifiedBy>
  <cp:lastPrinted>2025-03-13T01:17:00Z</cp:lastPrinted>
  <dcterms:modified xsi:type="dcterms:W3CDTF">2025-06-07T13:19:54Z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eyJoZGlkIjoiZDBhMjU1NzhlNmQ3ZjUxYzU3YmFkODYxNzJiYmQyZDUiLCJ1c2VySWQiOiIyOTExMDQ2MDEifQ==</vt:lpwstr>
  </property>
  <property fmtid="{D5CDD505-2E9C-101B-9397-08002B2CF9AE}" pid="4" name="ICV">
    <vt:lpwstr>81B3025ECA4548ACB908FE5ACA2C1DD6_13</vt:lpwstr>
  </property>
</Properties>
</file>