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版本号：N510703202600006920260721001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涪城区斜坡地质灾害隐患风险详查及重点乡镇精细化调查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N5107032026000069</w:t>
      </w:r>
    </w:p>
    <w:p>
      <w:pPr>
        <w:pStyle w:val="null3"/>
        <w:jc w:val="left"/>
        <w:outlineLvl w:val="2"/>
      </w:pPr>
      <w:r>
        <w:rPr>
          <w:rFonts w:ascii="仿宋_GB2312" w:hAnsi="仿宋_GB2312" w:cs="仿宋_GB2312" w:eastAsia="仿宋_GB2312"/>
          <w:sz w:val="28"/>
          <w:b/>
        </w:rPr>
        <w:t>绵阳市涪城区自然资源局</w:t>
      </w:r>
    </w:p>
    <w:p>
      <w:pPr>
        <w:pStyle w:val="null3"/>
        <w:jc w:val="center"/>
        <w:outlineLvl w:val="2"/>
      </w:pPr>
      <w:r>
        <w:rPr>
          <w:rFonts w:ascii="仿宋_GB2312" w:hAnsi="仿宋_GB2312" w:cs="仿宋_GB2312" w:eastAsia="仿宋_GB2312"/>
          <w:sz w:val="28"/>
          <w:b/>
        </w:rPr>
        <w:t>四川联硕博奇招标代理有限公司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四川联硕博奇招标代理有限公司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绵阳市涪城区自然资源局</w:t>
      </w:r>
      <w:r>
        <w:rPr>
          <w:rFonts w:ascii="仿宋_GB2312" w:hAnsi="仿宋_GB2312" w:cs="仿宋_GB2312" w:eastAsia="仿宋_GB2312"/>
        </w:rPr>
        <w:t xml:space="preserve"> 委托，拟对 </w:t>
      </w:r>
      <w:r>
        <w:rPr>
          <w:rFonts w:ascii="仿宋_GB2312" w:hAnsi="仿宋_GB2312" w:cs="仿宋_GB2312" w:eastAsia="仿宋_GB2312"/>
        </w:rPr>
        <w:t>涪城区斜坡地质灾害隐患风险详查及重点乡镇精细化调查</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绵阳市涪城区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N5107032026000069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涪城区斜坡地质灾害隐患风险详查及重点乡镇精细化调查</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涪城区斜坡地质灾害隐患风险详查及重点乡镇精细化调查</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行政主管部门颁发的有效期内的地质灾害评估和治理工程勘查设计甲级资质。（描述：供应商在响应文件中提供国家行政主管部门颁发的有效的地质灾害评估和治理工程勘查设计甲级资质证书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绵阳市涪城区自然资源局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四川省绵阳市绵绢路9号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彭瀚</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18881192391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四川联硕博奇招标代理有限公司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绵阳市涪城区建设街6号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申登银</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18990166854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采购包1：1,564,647.13元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w:t>
            </w:r>
            <w:r>
              <w:rPr>
                <w:rFonts w:ascii="仿宋_GB2312" w:hAnsi="仿宋_GB2312" w:cs="仿宋_GB2312" w:eastAsia="仿宋_GB2312"/>
              </w:rPr>
              <w:t>否</w:t>
            </w:r>
          </w:p>
          <w:p>
            <w:pPr>
              <w:pStyle w:val="null3"/>
              <w:jc w:val="left"/>
            </w:pPr>
            <w:r>
              <w:rPr>
                <w:rFonts w:ascii="仿宋_GB2312" w:hAnsi="仿宋_GB2312" w:cs="仿宋_GB2312" w:eastAsia="仿宋_GB2312"/>
              </w:rPr>
              <w:t>采购包1：</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代理服务费收费标准：参照原国家计委计价格〔2002〕1980号）号文件收费标准为基准价进行下浮20%收取，不足5000元按5000元收取。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绵阳市涪城区自然资源局</w:t>
      </w:r>
      <w:r>
        <w:rPr>
          <w:rFonts w:ascii="仿宋_GB2312" w:hAnsi="仿宋_GB2312" w:cs="仿宋_GB2312" w:eastAsia="仿宋_GB2312"/>
        </w:rPr>
        <w:t xml:space="preserve"> 和 </w:t>
      </w:r>
      <w:r>
        <w:rPr>
          <w:rFonts w:ascii="仿宋_GB2312" w:hAnsi="仿宋_GB2312" w:cs="仿宋_GB2312" w:eastAsia="仿宋_GB2312"/>
        </w:rPr>
        <w:t>四川联硕博奇招标代理有限公司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绵阳市涪城区自然资源局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四川联硕博奇招标代理有限公司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采购人收到验收申请后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由采购人组建验收小组，验收小组由采购人相关负责人、专业技术人员及相关部门代表组成，验收工作遵循客观、公正、严谨的原则。</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号）、《绵阳市财政局关于进一步做好政府采购项目履约验收工作的通知》(绵财采〔2021〕15号)要求、本项目采购文件的技术要求、中标（成交）供应商的响应文件及承诺以及合同约定标准进行验收。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号）、《绵阳市财政局关于进一步做好政府采购项目履约验收工作的通知》(绵财采〔2021〕15号)要求、本项目采购文件的商务要求、中标（成交）供应商的响应文件及承诺以及合同约定标准进行验收。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1.严格按照《财政部关于进一步加强政府采购需求和履约验收管理的指导意见》（财库〔2016〕205 号）、《绵阳市财政局关于进一步做好政府采购项目履约验收工作的通知》(绵财采〔2021〕15号)要求、本项目采购文件的技术要求、中标（成交）供应商的响应文件及承诺以及合同约定标准进行验收。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合格的，采购人出具验收合格证明；验收不合格的，供应商须在采购人指定的期限内（最长不超过15个工作日）进行整改，整改费用由供应商承担；整改后仍不合格的，视为供应商违约，采购人有权解除合同，追究供应商违约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绵阳市涪城区自然资源局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四川联硕博奇招标代理有限公司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四川联硕博奇招标代理有限公司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联系人：申登银</w:t>
      </w:r>
    </w:p>
    <w:p>
      <w:pPr>
        <w:pStyle w:val="null3"/>
        <w:jc w:val="left"/>
      </w:pPr>
      <w:r>
        <w:rPr>
          <w:rFonts w:ascii="仿宋_GB2312" w:hAnsi="仿宋_GB2312" w:cs="仿宋_GB2312" w:eastAsia="仿宋_GB2312"/>
        </w:rPr>
        <w:t>联系电话：18990166854</w:t>
      </w:r>
    </w:p>
    <w:p>
      <w:pPr>
        <w:pStyle w:val="null3"/>
        <w:jc w:val="left"/>
      </w:pPr>
      <w:r>
        <w:rPr>
          <w:rFonts w:ascii="仿宋_GB2312" w:hAnsi="仿宋_GB2312" w:cs="仿宋_GB2312" w:eastAsia="仿宋_GB2312"/>
        </w:rPr>
        <w:t>地址：绵阳市涪城区建设街6号</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1,564,647.13</w:t>
      </w:r>
    </w:p>
    <w:p>
      <w:pPr>
        <w:pStyle w:val="null3"/>
        <w:jc w:val="left"/>
      </w:pPr>
      <w:r>
        <w:rPr>
          <w:rFonts w:ascii="仿宋_GB2312" w:hAnsi="仿宋_GB2312" w:cs="仿宋_GB2312" w:eastAsia="仿宋_GB2312"/>
        </w:rPr>
        <w:t>采购包最高限价（元）: 1,564,647.13</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C19990000 其他专业技术服务</w:t>
            </w:r>
          </w:p>
        </w:tc>
        <w:tc>
          <w:tcPr>
            <w:tcW w:type="dxa" w:w="821"/>
          </w:tcPr>
          <w:p>
            <w:pPr>
              <w:pStyle w:val="null3"/>
              <w:jc w:val="left"/>
            </w:pPr>
            <w:r>
              <w:rPr>
                <w:rFonts w:ascii="仿宋_GB2312" w:hAnsi="仿宋_GB2312" w:cs="仿宋_GB2312" w:eastAsia="仿宋_GB2312"/>
              </w:rPr>
              <w:t>涪城区斜坡地质灾害隐患风险详查及重点乡镇精细化调查</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1,564,647.13</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涪城区斜坡地质灾害隐患风险详查及重点乡镇精细化调查</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1,564,647.13</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标的名称：涪城区斜坡地质灾害隐患风险详查及重点乡镇精细化调查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采购项目概况</w:t>
            </w:r>
          </w:p>
        </w:tc>
        <w:tc>
          <w:tcPr>
            <w:tcW w:type="dxa" w:w="5814"/>
          </w:tcPr>
          <w:p>
            <w:pPr>
              <w:pStyle w:val="null3"/>
              <w:jc w:val="both"/>
            </w:pPr>
            <w:r>
              <w:rPr>
                <w:rFonts w:ascii="仿宋_GB2312" w:hAnsi="仿宋_GB2312" w:cs="仿宋_GB2312" w:eastAsia="仿宋_GB2312"/>
                <w:sz w:val="24"/>
              </w:rPr>
              <w:t xml:space="preserve">   历年来，四川省陆续开展了全县</w:t>
            </w:r>
            <w:r>
              <w:rPr>
                <w:rFonts w:ascii="仿宋_GB2312" w:hAnsi="仿宋_GB2312" w:cs="仿宋_GB2312" w:eastAsia="仿宋_GB2312"/>
                <w:sz w:val="24"/>
              </w:rPr>
              <w:t>1:10万地质灾害调查与区划和重点地区1:5万比例尺详细调查，基本摸清了地质灾害隐患的“家底”，地质灾害风险调查与区划工作在全省已全部结束，目前斜坡风险调查评价工作也逐步在全省有序开展。根据自然资源部《全国地质灾害防治三年行动实施纲要（2021-2023年）》和《四川省地质灾害全域综合整治三年行动计划（2021-2023年）的通知》及自然资源部和四川省委、省政府地质灾害“十四五”防治规划编制工作部署要求，结合全省不同的地质构造背景、不同的分布区域及不同的人口、经济情况，绵阳市</w:t>
            </w:r>
            <w:r>
              <w:rPr>
                <w:rFonts w:ascii="仿宋_GB2312" w:hAnsi="仿宋_GB2312" w:cs="仿宋_GB2312" w:eastAsia="仿宋_GB2312"/>
                <w:sz w:val="24"/>
              </w:rPr>
              <w:t>涪城区</w:t>
            </w:r>
            <w:r>
              <w:rPr>
                <w:rFonts w:ascii="仿宋_GB2312" w:hAnsi="仿宋_GB2312" w:cs="仿宋_GB2312" w:eastAsia="仿宋_GB2312"/>
                <w:sz w:val="24"/>
              </w:rPr>
              <w:t>拟开展绵阳市</w:t>
            </w:r>
            <w:r>
              <w:rPr>
                <w:rFonts w:ascii="仿宋_GB2312" w:hAnsi="仿宋_GB2312" w:cs="仿宋_GB2312" w:eastAsia="仿宋_GB2312"/>
                <w:sz w:val="24"/>
              </w:rPr>
              <w:t>涪城区</w:t>
            </w:r>
            <w:r>
              <w:rPr>
                <w:rFonts w:ascii="仿宋_GB2312" w:hAnsi="仿宋_GB2312" w:cs="仿宋_GB2312" w:eastAsia="仿宋_GB2312"/>
                <w:sz w:val="24"/>
              </w:rPr>
              <w:t>斜坡地质灾害隐患风险详查及重点乡镇精细化调查项目，</w:t>
            </w:r>
            <w:r>
              <w:rPr>
                <w:rFonts w:ascii="仿宋_GB2312" w:hAnsi="仿宋_GB2312" w:cs="仿宋_GB2312" w:eastAsia="仿宋_GB2312"/>
                <w:sz w:val="24"/>
              </w:rPr>
              <w:t>完成行政区域内斜坡地质灾害风险详查及3个乡镇的精细化调查（</w:t>
            </w:r>
            <w:r>
              <w:rPr>
                <w:rFonts w:ascii="仿宋_GB2312" w:hAnsi="仿宋_GB2312" w:cs="仿宋_GB2312" w:eastAsia="仿宋_GB2312"/>
                <w:sz w:val="24"/>
              </w:rPr>
              <w:t>包括科技城新区、经开区部分区域），</w:t>
            </w:r>
            <w:r>
              <w:rPr>
                <w:rFonts w:ascii="仿宋_GB2312" w:hAnsi="仿宋_GB2312" w:cs="仿宋_GB2312" w:eastAsia="仿宋_GB2312"/>
                <w:sz w:val="24"/>
              </w:rPr>
              <w:t>为精准实施地质灾害风险管控和防治提供基础依据。</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技术要求及执行标准</w:t>
            </w:r>
          </w:p>
        </w:tc>
        <w:tc>
          <w:tcPr>
            <w:tcW w:type="dxa" w:w="5814"/>
          </w:tcPr>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1）《地质灾害防治条例》（国务院 394 号令）（同步执行《四川省地质灾害防治条例》（2025 年 5 月 1 日施行））</w:t>
            </w:r>
          </w:p>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2）DB51/T 3312-2025《四川省斜坡地质灾害隐患风险详查技术指南》（2025 年 10 月实施，替代原 2023 年试行版）</w:t>
            </w:r>
          </w:p>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3）《滑坡崩塌泥石流灾害调查规范（1:50 000）》（DZ/T0261-2014）</w:t>
            </w:r>
          </w:p>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4）《滑坡崩塌泥石流灾害调查规范（1:50 000）四川省实施细则》</w:t>
            </w:r>
          </w:p>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5）《滑坡防治工程勘查规范》（GB/T 32864-2016）</w:t>
            </w:r>
          </w:p>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6）《地质灾害危险性评估规范》（GB/T40112-2021）</w:t>
            </w:r>
          </w:p>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7）《地质灾害排查规范》（DZ/T0284-2015）</w:t>
            </w:r>
          </w:p>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8）《地质灾害调查技术要求（1：50 000）》（DD 2019-08）</w:t>
            </w:r>
          </w:p>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9）《地质灾害遥感调查技术规定》（DD2015-01 中国地质调查局）</w:t>
            </w:r>
          </w:p>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10）四川省自然资源厅《四川省地质灾害易发区群众防灾避险搬迁安置工程调查与区划技术要求》2006 年</w:t>
            </w:r>
          </w:p>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11）《四川省镇、村级地质灾害风险防御“一张图”编制指南》</w:t>
            </w:r>
            <w:r>
              <w:rPr>
                <w:rFonts w:ascii="仿宋_GB2312" w:hAnsi="仿宋_GB2312" w:cs="仿宋_GB2312" w:eastAsia="仿宋_GB2312"/>
                <w:sz w:val="24"/>
              </w:rPr>
              <w:t>〔</w:t>
            </w:r>
            <w:r>
              <w:rPr>
                <w:rFonts w:ascii="仿宋_GB2312" w:hAnsi="仿宋_GB2312" w:cs="仿宋_GB2312" w:eastAsia="仿宋_GB2312"/>
                <w:sz w:val="24"/>
              </w:rPr>
              <w:t>2026</w:t>
            </w:r>
            <w:r>
              <w:rPr>
                <w:rFonts w:ascii="仿宋_GB2312" w:hAnsi="仿宋_GB2312" w:cs="仿宋_GB2312" w:eastAsia="仿宋_GB2312"/>
                <w:sz w:val="24"/>
              </w:rPr>
              <w:t>〕</w:t>
            </w:r>
            <w:r>
              <w:rPr>
                <w:rFonts w:ascii="仿宋_GB2312" w:hAnsi="仿宋_GB2312" w:cs="仿宋_GB2312" w:eastAsia="仿宋_GB2312"/>
                <w:sz w:val="24"/>
              </w:rPr>
              <w:t>-134</w:t>
            </w:r>
          </w:p>
          <w:p>
            <w:pPr>
              <w:pStyle w:val="null3"/>
              <w:ind w:firstLine="464"/>
              <w:jc w:val="left"/>
            </w:pPr>
            <w:r>
              <w:rPr>
                <w:rFonts w:ascii="仿宋_GB2312" w:hAnsi="仿宋_GB2312" w:cs="仿宋_GB2312" w:eastAsia="仿宋_GB2312"/>
                <w:sz w:val="24"/>
              </w:rPr>
              <w:t>注：以上标准、规范如有更新或调整，按更新和调整后的要求执行；项目实施过程中所涉及的规范、标准未列出的，应按现行相关规范、标准执行。</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64"/>
              <w:jc w:val="both"/>
            </w:pPr>
            <w:r>
              <w:rPr>
                <w:rFonts w:ascii="仿宋_GB2312" w:hAnsi="仿宋_GB2312" w:cs="仿宋_GB2312" w:eastAsia="仿宋_GB2312"/>
                <w:sz w:val="24"/>
              </w:rPr>
              <w:t>1.收集与地质灾害发育相关的地质环境条件及诱发因素资料，收集人口、社会经济及重要基础设施等资料。结合涪城区实际情况确定评价因子，构建斜坡地质灾害风险评价指标体系。全面搜集调查区及周边基础地质、地质灾害、社会经济、户籍人口及分布等资料，结合涪城区地质灾害风险调查评价成果，对收集的资料进行整理分析应用，针对性地总结地质灾害发育分布规律和成灾模式，在此基础上开展野外调查。</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2.斜坡孕灾地质环境条件调查。采用新技术、新方法和新手段对有人员居住和活动的地域开展斜坡孕灾地质环境条件调查，详细调查地形地貌、地质构造、岩（土）体工程地质特征、斜坡结构、覆盖层和风化层厚度、地表与地下水活动等孕灾地质条件和气象、水文、人类工程活动等诱发因素；</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3.斜坡地质灾害危险源调查与识别。逐坡调查崩塌、滑坡、地面塌陷等地质灾害及隐患的分布及危害，分析其时空分布规律，评价其稳定性；</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4.承灾体调查。采用实地调查方法开展承灾体调查，逐坡调查可能受地质灾害威胁的人员、财产等基本信息，明确危险源范围内户主姓名、常住人口、房屋建造时间及结构特性、联系方式等。</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5.重点乡镇</w:t>
            </w:r>
            <w:r>
              <w:rPr>
                <w:rFonts w:ascii="仿宋_GB2312" w:hAnsi="仿宋_GB2312" w:cs="仿宋_GB2312" w:eastAsia="仿宋_GB2312"/>
                <w:sz w:val="24"/>
              </w:rPr>
              <w:t>1：10000地质灾害</w:t>
            </w:r>
            <w:r>
              <w:rPr>
                <w:rFonts w:ascii="仿宋_GB2312" w:hAnsi="仿宋_GB2312" w:cs="仿宋_GB2312" w:eastAsia="仿宋_GB2312"/>
                <w:sz w:val="24"/>
              </w:rPr>
              <w:t>精细化调查</w:t>
            </w:r>
            <w:r>
              <w:rPr>
                <w:rFonts w:ascii="仿宋_GB2312" w:hAnsi="仿宋_GB2312" w:cs="仿宋_GB2312" w:eastAsia="仿宋_GB2312"/>
                <w:sz w:val="24"/>
              </w:rPr>
              <w:t>。通过资料收集、现场踏勘及综合分析，开展以乡镇中、高、极高风险区为重点的斜坡精细调查，查明斜坡结构特征，划定可能的失稳范围，进行稳定性分析及初步评价。开展以乡镇中、高、极高风险区为重点的滑坡、崩塌、泥石流隐患点精细调查，核查地质灾害区域范围、危险地带和现有滑坡、崩塌、泥石流隐患点的基本特征等，查明灾害隐患结构特征，评估高位远程地质灾害和地质灾害链发生的可能性，开展稳定性分析以及不同条件下的地质灾害危险区划分工作。在地质灾害风险调查成果的基础上，开展地质灾害中、高、极高风险区地质灾害动态调查，采用综合遥感和补充调查的方式，分析地质灾害风险区内易滑地质构造和演化规律，更新地质灾害数据库。</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6.地质灾害降雨阈值研究及斜坡单元风险评价。收集不少于10年的历史灾害发灾情况及多站点实时降雨资料，进行预警的降雨历时、雨强及地质灾害发生关系分析；采用定性与定量相结合的方法开展地质灾害风险性评价，选取恰当的评价模型，逐坡开展地质灾害易发性评价，并根据不同的诱发因素，分别开展对应工况下的地质灾害危险性评价和风险评价，确定斜坡风险等级，编制斜坡风险调查评价相关图件，建立斜坡单元风险台账和登记卡。</w:t>
            </w:r>
          </w:p>
          <w:p>
            <w:pPr>
              <w:pStyle w:val="null3"/>
              <w:ind w:firstLine="464"/>
              <w:jc w:val="both"/>
            </w:pPr>
            <w:r>
              <w:rPr>
                <w:rFonts w:ascii="仿宋_GB2312" w:hAnsi="仿宋_GB2312" w:cs="仿宋_GB2312" w:eastAsia="仿宋_GB2312"/>
                <w:sz w:val="24"/>
              </w:rPr>
              <w:t>7.提出风险管控及国土空间规划建议。根据斜坡单元风险评价成果，结合防灾减灾工作实际情况，从降低致灾体发生概率、降低承载体易损程度、有效规避风险等角度提出合理防治措施，同时按照“风险总体可控、分类分级管控”的原则，除城镇建成区将地质灾害风险区纳入国土空间规划管控外，其他区域总体将地质灾害危险区纳入国土空间规划进行管控。</w:t>
            </w:r>
          </w:p>
          <w:p>
            <w:pPr>
              <w:pStyle w:val="null3"/>
              <w:ind w:firstLine="464"/>
              <w:jc w:val="both"/>
            </w:pPr>
            <w:r>
              <w:rPr>
                <w:rFonts w:ascii="仿宋_GB2312" w:hAnsi="仿宋_GB2312" w:cs="仿宋_GB2312" w:eastAsia="仿宋_GB2312"/>
                <w:sz w:val="24"/>
              </w:rPr>
              <w:t>8.将地质灾害危险性评价、人口和财产价值分布、承灾体易损性区划等评价要素进行叠加分析，完成涪城区以矢量栅格为评价单元的地质灾害风险区划。结合评价结果提出地质灾害风险管控措施建议；参照相关技术要求编制斜坡地质灾害风险详查相关图件。</w:t>
            </w:r>
          </w:p>
          <w:p>
            <w:pPr>
              <w:pStyle w:val="null3"/>
              <w:ind w:firstLine="464"/>
              <w:jc w:val="both"/>
            </w:pPr>
            <w:r>
              <w:rPr>
                <w:rFonts w:ascii="仿宋_GB2312" w:hAnsi="仿宋_GB2312" w:cs="仿宋_GB2312" w:eastAsia="仿宋_GB2312"/>
                <w:sz w:val="24"/>
              </w:rPr>
              <w:t>9.建设涪城区斜坡地质灾害隐患风险详查数据库。数据库建设包括项目基本信息、空间图形数据。</w:t>
            </w:r>
          </w:p>
          <w:p>
            <w:pPr>
              <w:pStyle w:val="null3"/>
              <w:ind w:firstLine="464"/>
              <w:jc w:val="both"/>
            </w:pPr>
            <w:r>
              <w:rPr>
                <w:rFonts w:ascii="仿宋_GB2312" w:hAnsi="仿宋_GB2312" w:cs="仿宋_GB2312" w:eastAsia="仿宋_GB2312"/>
                <w:sz w:val="24"/>
              </w:rPr>
              <w:t>10.开展镇村级地质灾害防御一张图编制（</w:t>
            </w:r>
            <w:r>
              <w:rPr>
                <w:rFonts w:ascii="仿宋_GB2312" w:hAnsi="仿宋_GB2312" w:cs="仿宋_GB2312" w:eastAsia="仿宋_GB2312"/>
                <w:sz w:val="24"/>
              </w:rPr>
              <w:t>一张图编制</w:t>
            </w:r>
            <w:r>
              <w:rPr>
                <w:rFonts w:ascii="仿宋_GB2312" w:hAnsi="仿宋_GB2312" w:cs="仿宋_GB2312" w:eastAsia="仿宋_GB2312"/>
                <w:sz w:val="24"/>
              </w:rPr>
              <w:t>不含科技城新区、经开区部分区域），对所有隐患点、中高风险区及重要切坡建房点开展全覆盖实地核验。重点核验隐患点现状变化、风险区边界、承灾体情况</w:t>
            </w:r>
            <w:r>
              <w:rPr>
                <w:rFonts w:ascii="仿宋_GB2312" w:hAnsi="仿宋_GB2312" w:cs="仿宋_GB2312" w:eastAsia="仿宋_GB2312"/>
                <w:sz w:val="24"/>
              </w:rPr>
              <w:t>(如人员、房屋信息)、撤离路线、应急避险场所及安置点的合理性，确保编制成果与实际情况相符。以“一镇一图”、“一村一图”为基本模式，分级编制图件，分类突出地灾防治工作重点，乡镇级图件重点反映辖区地灾隐患风险空间分布，主要用于支撑乡镇防灾决策管理与调度指挥工作;村级图件重点反映具体地灾隐患风险发育分布和防灾避险信息，主要用于面向群众宣传避险转移等防灾措施，增强基层群众防灾减灾避险意识和能力。图件可针对性补充镶图、镶表，优化布局，确保图面表达清晰、重点突出。</w:t>
            </w:r>
          </w:p>
          <w:p>
            <w:pPr>
              <w:pStyle w:val="null3"/>
              <w:jc w:val="left"/>
            </w:pP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成果要求</w:t>
            </w:r>
          </w:p>
        </w:tc>
        <w:tc>
          <w:tcPr>
            <w:tcW w:type="dxa" w:w="5814"/>
          </w:tcPr>
          <w:p>
            <w:pPr>
              <w:pStyle w:val="null3"/>
              <w:ind w:firstLine="480"/>
              <w:jc w:val="both"/>
            </w:pPr>
            <w:r>
              <w:rPr>
                <w:rFonts w:ascii="仿宋_GB2312" w:hAnsi="仿宋_GB2312" w:cs="仿宋_GB2312" w:eastAsia="仿宋_GB2312"/>
                <w:sz w:val="24"/>
              </w:rPr>
              <w:t>1.提交</w:t>
            </w:r>
            <w:r>
              <w:rPr>
                <w:rFonts w:ascii="仿宋_GB2312" w:hAnsi="仿宋_GB2312" w:cs="仿宋_GB2312" w:eastAsia="仿宋_GB2312"/>
                <w:sz w:val="24"/>
              </w:rPr>
              <w:t>涪城区</w:t>
            </w:r>
            <w:r>
              <w:rPr>
                <w:rFonts w:ascii="仿宋_GB2312" w:hAnsi="仿宋_GB2312" w:cs="仿宋_GB2312" w:eastAsia="仿宋_GB2312"/>
                <w:sz w:val="24"/>
              </w:rPr>
              <w:t>斜坡地质灾害隐患风险详查成果报告（含附图、附件）</w:t>
            </w:r>
            <w:r>
              <w:rPr>
                <w:rFonts w:ascii="仿宋_GB2312" w:hAnsi="仿宋_GB2312" w:cs="仿宋_GB2312" w:eastAsia="仿宋_GB2312"/>
                <w:sz w:val="24"/>
              </w:rPr>
              <w:t>，</w:t>
            </w:r>
            <w:r>
              <w:rPr>
                <w:rFonts w:ascii="仿宋_GB2312" w:hAnsi="仿宋_GB2312" w:cs="仿宋_GB2312" w:eastAsia="仿宋_GB2312"/>
                <w:sz w:val="24"/>
              </w:rPr>
              <w:t>提供纸质文件</w:t>
            </w:r>
            <w:r>
              <w:rPr>
                <w:rFonts w:ascii="仿宋_GB2312" w:hAnsi="仿宋_GB2312" w:cs="仿宋_GB2312" w:eastAsia="仿宋_GB2312"/>
                <w:sz w:val="24"/>
              </w:rPr>
              <w:t>3套及完整电子版文件1套：</w:t>
            </w:r>
          </w:p>
          <w:p>
            <w:pPr>
              <w:pStyle w:val="null3"/>
              <w:ind w:firstLine="480"/>
              <w:jc w:val="both"/>
            </w:pPr>
            <w:r>
              <w:rPr>
                <w:rFonts w:ascii="仿宋_GB2312" w:hAnsi="仿宋_GB2312" w:cs="仿宋_GB2312" w:eastAsia="仿宋_GB2312"/>
                <w:sz w:val="24"/>
              </w:rPr>
              <w:t>①区域成果附图、附件：</w:t>
            </w:r>
            <w:r>
              <w:rPr>
                <w:rFonts w:ascii="仿宋_GB2312" w:hAnsi="仿宋_GB2312" w:cs="仿宋_GB2312" w:eastAsia="仿宋_GB2312"/>
                <w:sz w:val="24"/>
              </w:rPr>
              <w:t>涪城区</w:t>
            </w:r>
            <w:r>
              <w:rPr>
                <w:rFonts w:ascii="仿宋_GB2312" w:hAnsi="仿宋_GB2312" w:cs="仿宋_GB2312" w:eastAsia="仿宋_GB2312"/>
                <w:sz w:val="24"/>
              </w:rPr>
              <w:t>地质灾害易发性评价图；</w:t>
            </w:r>
            <w:r>
              <w:rPr>
                <w:rFonts w:ascii="仿宋_GB2312" w:hAnsi="仿宋_GB2312" w:cs="仿宋_GB2312" w:eastAsia="仿宋_GB2312"/>
                <w:sz w:val="24"/>
              </w:rPr>
              <w:t>涪城区</w:t>
            </w:r>
            <w:r>
              <w:rPr>
                <w:rFonts w:ascii="仿宋_GB2312" w:hAnsi="仿宋_GB2312" w:cs="仿宋_GB2312" w:eastAsia="仿宋_GB2312"/>
                <w:sz w:val="24"/>
              </w:rPr>
              <w:t>地质灾害危险性评价图；</w:t>
            </w:r>
            <w:r>
              <w:rPr>
                <w:rFonts w:ascii="仿宋_GB2312" w:hAnsi="仿宋_GB2312" w:cs="仿宋_GB2312" w:eastAsia="仿宋_GB2312"/>
                <w:sz w:val="24"/>
              </w:rPr>
              <w:t>涪城区</w:t>
            </w:r>
            <w:r>
              <w:rPr>
                <w:rFonts w:ascii="仿宋_GB2312" w:hAnsi="仿宋_GB2312" w:cs="仿宋_GB2312" w:eastAsia="仿宋_GB2312"/>
                <w:sz w:val="24"/>
              </w:rPr>
              <w:t>地质灾害风险区划图。</w:t>
            </w:r>
          </w:p>
          <w:p>
            <w:pPr>
              <w:pStyle w:val="null3"/>
              <w:ind w:firstLine="480"/>
              <w:jc w:val="both"/>
            </w:pPr>
            <w:r>
              <w:rPr>
                <w:rFonts w:ascii="仿宋_GB2312" w:hAnsi="仿宋_GB2312" w:cs="仿宋_GB2312" w:eastAsia="仿宋_GB2312"/>
                <w:sz w:val="24"/>
              </w:rPr>
              <w:t>②斜坡调查成果附图、附件：</w:t>
            </w:r>
            <w:r>
              <w:rPr>
                <w:rFonts w:ascii="仿宋_GB2312" w:hAnsi="仿宋_GB2312" w:cs="仿宋_GB2312" w:eastAsia="仿宋_GB2312"/>
                <w:sz w:val="24"/>
              </w:rPr>
              <w:t>涪城区</w:t>
            </w:r>
            <w:r>
              <w:rPr>
                <w:rFonts w:ascii="仿宋_GB2312" w:hAnsi="仿宋_GB2312" w:cs="仿宋_GB2312" w:eastAsia="仿宋_GB2312"/>
                <w:sz w:val="24"/>
              </w:rPr>
              <w:t>斜坡风险管控图、表（高清影像）。</w:t>
            </w:r>
          </w:p>
          <w:p>
            <w:pPr>
              <w:pStyle w:val="null3"/>
              <w:ind w:firstLine="480"/>
              <w:jc w:val="both"/>
            </w:pPr>
            <w:r>
              <w:rPr>
                <w:rFonts w:ascii="仿宋_GB2312" w:hAnsi="仿宋_GB2312" w:cs="仿宋_GB2312" w:eastAsia="仿宋_GB2312"/>
                <w:sz w:val="24"/>
              </w:rPr>
              <w:t>③勘查成果附图、附件：重大地质灾害及隐患勘查平面图和剖面图；探槽、浅井展示图；岩土、水试验成果汇总表；物探报告及图件。</w:t>
            </w:r>
          </w:p>
          <w:p>
            <w:pPr>
              <w:pStyle w:val="null3"/>
              <w:ind w:firstLine="480"/>
              <w:jc w:val="both"/>
            </w:pPr>
            <w:r>
              <w:rPr>
                <w:rFonts w:ascii="仿宋_GB2312" w:hAnsi="仿宋_GB2312" w:cs="仿宋_GB2312" w:eastAsia="仿宋_GB2312"/>
                <w:sz w:val="24"/>
              </w:rPr>
              <w:t>④其他成果附图、附件：</w:t>
            </w:r>
            <w:r>
              <w:rPr>
                <w:rFonts w:ascii="仿宋_GB2312" w:hAnsi="仿宋_GB2312" w:cs="仿宋_GB2312" w:eastAsia="仿宋_GB2312"/>
                <w:sz w:val="24"/>
              </w:rPr>
              <w:t>涪城区</w:t>
            </w:r>
            <w:r>
              <w:rPr>
                <w:rFonts w:ascii="仿宋_GB2312" w:hAnsi="仿宋_GB2312" w:cs="仿宋_GB2312" w:eastAsia="仿宋_GB2312"/>
                <w:sz w:val="24"/>
              </w:rPr>
              <w:t>新增地质灾害隐患统计表；</w:t>
            </w:r>
            <w:r>
              <w:rPr>
                <w:rFonts w:ascii="仿宋_GB2312" w:hAnsi="仿宋_GB2312" w:cs="仿宋_GB2312" w:eastAsia="仿宋_GB2312"/>
                <w:sz w:val="24"/>
              </w:rPr>
              <w:t>涪城区</w:t>
            </w:r>
            <w:r>
              <w:rPr>
                <w:rFonts w:ascii="仿宋_GB2312" w:hAnsi="仿宋_GB2312" w:cs="仿宋_GB2312" w:eastAsia="仿宋_GB2312"/>
                <w:sz w:val="24"/>
              </w:rPr>
              <w:t>重点调查斜坡综合统计表；</w:t>
            </w:r>
            <w:r>
              <w:rPr>
                <w:rFonts w:ascii="仿宋_GB2312" w:hAnsi="仿宋_GB2312" w:cs="仿宋_GB2312" w:eastAsia="仿宋_GB2312"/>
                <w:sz w:val="24"/>
              </w:rPr>
              <w:t>涪城区</w:t>
            </w:r>
            <w:r>
              <w:rPr>
                <w:rFonts w:ascii="仿宋_GB2312" w:hAnsi="仿宋_GB2312" w:cs="仿宋_GB2312" w:eastAsia="仿宋_GB2312"/>
                <w:sz w:val="24"/>
              </w:rPr>
              <w:t>历史已发生地质灾害统计表；</w:t>
            </w:r>
            <w:r>
              <w:rPr>
                <w:rFonts w:ascii="仿宋_GB2312" w:hAnsi="仿宋_GB2312" w:cs="仿宋_GB2312" w:eastAsia="仿宋_GB2312"/>
                <w:sz w:val="24"/>
              </w:rPr>
              <w:t>涪城区</w:t>
            </w:r>
            <w:r>
              <w:rPr>
                <w:rFonts w:ascii="仿宋_GB2312" w:hAnsi="仿宋_GB2312" w:cs="仿宋_GB2312" w:eastAsia="仿宋_GB2312"/>
                <w:sz w:val="24"/>
              </w:rPr>
              <w:t>一般调查斜坡统计表。</w:t>
            </w:r>
          </w:p>
          <w:p>
            <w:pPr>
              <w:pStyle w:val="null3"/>
              <w:ind w:firstLine="480"/>
              <w:jc w:val="both"/>
            </w:pPr>
            <w:r>
              <w:rPr>
                <w:rFonts w:ascii="仿宋_GB2312" w:hAnsi="仿宋_GB2312" w:cs="仿宋_GB2312" w:eastAsia="仿宋_GB2312"/>
                <w:sz w:val="24"/>
              </w:rPr>
              <w:t>2.建成</w:t>
            </w:r>
            <w:r>
              <w:rPr>
                <w:rFonts w:ascii="仿宋_GB2312" w:hAnsi="仿宋_GB2312" w:cs="仿宋_GB2312" w:eastAsia="仿宋_GB2312"/>
                <w:sz w:val="24"/>
              </w:rPr>
              <w:t>涪城区</w:t>
            </w:r>
            <w:r>
              <w:rPr>
                <w:rFonts w:ascii="仿宋_GB2312" w:hAnsi="仿宋_GB2312" w:cs="仿宋_GB2312" w:eastAsia="仿宋_GB2312"/>
                <w:sz w:val="24"/>
              </w:rPr>
              <w:t>斜坡地质灾害隐患风险详查数据库</w:t>
            </w:r>
            <w:r>
              <w:rPr>
                <w:rFonts w:ascii="仿宋_GB2312" w:hAnsi="仿宋_GB2312" w:cs="仿宋_GB2312" w:eastAsia="仿宋_GB2312"/>
                <w:sz w:val="24"/>
              </w:rPr>
              <w:t>1套；</w:t>
            </w:r>
          </w:p>
          <w:p>
            <w:pPr>
              <w:pStyle w:val="null3"/>
              <w:ind w:firstLine="463"/>
              <w:jc w:val="both"/>
            </w:pPr>
            <w:r>
              <w:rPr>
                <w:rFonts w:ascii="仿宋_GB2312" w:hAnsi="仿宋_GB2312" w:cs="仿宋_GB2312" w:eastAsia="仿宋_GB2312"/>
                <w:sz w:val="24"/>
              </w:rPr>
              <w:t>3.成果应符合《四川省自然资源厅办公室关于加强斜坡地质灾害隐患风险详查和重点乡镇地质灾害精细化调查工作的通知》（〔2023〕—170）要求及采购人根据各级政府及其主管部门有关会议精神、领导批示提出的其他要求。</w:t>
            </w:r>
          </w:p>
          <w:p>
            <w:pPr>
              <w:pStyle w:val="null3"/>
              <w:ind w:firstLine="463"/>
              <w:jc w:val="both"/>
            </w:pPr>
            <w:r>
              <w:rPr>
                <w:rFonts w:ascii="仿宋_GB2312" w:hAnsi="仿宋_GB2312" w:cs="仿宋_GB2312" w:eastAsia="仿宋_GB2312"/>
                <w:sz w:val="24"/>
              </w:rPr>
              <w:t>4.提交《涪城区镇村级地质灾害风险防御“一张图”编制成果》（不含科技城新区、经开区部分区域）（含附图、附件）</w:t>
            </w:r>
            <w:r>
              <w:rPr>
                <w:rFonts w:ascii="仿宋_GB2312" w:hAnsi="仿宋_GB2312" w:cs="仿宋_GB2312" w:eastAsia="仿宋_GB2312"/>
                <w:sz w:val="24"/>
              </w:rPr>
              <w:t>，提供纸质文件</w:t>
            </w:r>
            <w:r>
              <w:rPr>
                <w:rFonts w:ascii="仿宋_GB2312" w:hAnsi="仿宋_GB2312" w:cs="仿宋_GB2312" w:eastAsia="仿宋_GB2312"/>
                <w:sz w:val="24"/>
              </w:rPr>
              <w:t>3套及完整电子版文件1套，且成果应符合《四川省镇、村级地质灾害风险防御“一张图”编制指南》要求，</w:t>
            </w:r>
            <w:r>
              <w:rPr>
                <w:rFonts w:ascii="仿宋_GB2312" w:hAnsi="仿宋_GB2312" w:cs="仿宋_GB2312" w:eastAsia="仿宋_GB2312"/>
                <w:sz w:val="24"/>
                <w:color w:val="0F1115"/>
              </w:rPr>
              <w:t>其中乡镇级图件应重点反映辖区地灾隐患风险空间分布，村级图件应重点反映具体地灾隐患风险发育分布和防灾避险信息。</w:t>
            </w:r>
          </w:p>
          <w:p>
            <w:pPr>
              <w:pStyle w:val="null3"/>
              <w:ind w:firstLine="463"/>
              <w:jc w:val="both"/>
            </w:pP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rPr>
              <w:t xml:space="preserve">         </w:t>
            </w:r>
            <w:r>
              <w:rPr>
                <w:rFonts w:ascii="仿宋_GB2312" w:hAnsi="仿宋_GB2312" w:cs="仿宋_GB2312" w:eastAsia="仿宋_GB2312"/>
                <w:sz w:val="24"/>
              </w:rPr>
              <w:t>1.本项目报价应包括：为实施和完成成果所需的员工工资、各类保险费、福利费、加班费、资料成果打印装订费、现场踏勘费、管理费、税费和各种风险等在内的一切费用。采购人按照成交价进行结算，采购人不再承担任何额外费用。</w:t>
            </w:r>
          </w:p>
          <w:p>
            <w:pPr>
              <w:pStyle w:val="null3"/>
              <w:ind w:firstLine="480"/>
              <w:jc w:val="both"/>
            </w:pPr>
            <w:r>
              <w:rPr>
                <w:rFonts w:ascii="仿宋_GB2312" w:hAnsi="仿宋_GB2312" w:cs="仿宋_GB2312" w:eastAsia="仿宋_GB2312"/>
                <w:sz w:val="24"/>
              </w:rPr>
              <w:t>2.供应商所提供的服务质量需达到采购人的要求，在保证服务期和服务质量的前提下为采购人提供服务，服务中的一切风险（包括人员安全事故责任、与第三方的劳务纠纷、项目实施过程中的劳务纠纷及人员伤害等）均由供应商独自承担责任。</w:t>
            </w:r>
          </w:p>
          <w:p>
            <w:pPr>
              <w:pStyle w:val="null3"/>
              <w:ind w:firstLine="480"/>
              <w:jc w:val="both"/>
            </w:pPr>
            <w:r>
              <w:rPr>
                <w:rFonts w:ascii="仿宋_GB2312" w:hAnsi="仿宋_GB2312" w:cs="仿宋_GB2312" w:eastAsia="仿宋_GB2312"/>
                <w:sz w:val="24"/>
              </w:rPr>
              <w:t>3.保密：成交供应商对采购人所提供的资料及本项目合同执行过程中接触或产生的资料负有保密义务，未经采购人书面许可，供应商不得向任何第三方披露。如果因供应商原因造成发生任何有损于其保密性的情形，供应商有责任采取补救措施，且须向采购人赔偿损失。</w:t>
            </w:r>
          </w:p>
          <w:p>
            <w:pPr>
              <w:pStyle w:val="null3"/>
              <w:ind w:firstLine="480"/>
              <w:jc w:val="both"/>
            </w:pPr>
            <w:r>
              <w:rPr>
                <w:rFonts w:ascii="仿宋_GB2312" w:hAnsi="仿宋_GB2312" w:cs="仿宋_GB2312" w:eastAsia="仿宋_GB2312"/>
                <w:sz w:val="24"/>
              </w:rPr>
              <w:t>4.关于最终成果的知识产权，双方均应保护对方的知识产权，未经对方同意，任何一方不得将对方的资料及文件擅自修改、复制或向第三人转让或用于本合同项目外使用。工作结束后，所有的数据成果归采购人所有。</w:t>
            </w:r>
          </w:p>
          <w:p>
            <w:pPr>
              <w:pStyle w:val="null3"/>
              <w:ind w:firstLine="480"/>
              <w:jc w:val="both"/>
            </w:pPr>
            <w:r>
              <w:rPr>
                <w:rFonts w:ascii="仿宋_GB2312" w:hAnsi="仿宋_GB2312" w:cs="仿宋_GB2312" w:eastAsia="仿宋_GB2312"/>
                <w:sz w:val="24"/>
              </w:rPr>
              <w:t>5.供应商应当保证所提供的服务符合国家现行有关质量标准或者优于国家现行相关行业技术规范（或标准）及国家强制性标准。</w:t>
            </w:r>
          </w:p>
          <w:p>
            <w:pPr>
              <w:pStyle w:val="null3"/>
              <w:ind w:firstLine="480"/>
              <w:jc w:val="both"/>
            </w:pPr>
            <w:r>
              <w:rPr>
                <w:rFonts w:ascii="仿宋_GB2312" w:hAnsi="仿宋_GB2312" w:cs="仿宋_GB2312" w:eastAsia="仿宋_GB2312"/>
                <w:sz w:val="24"/>
              </w:rPr>
              <w:t>6.如果本项目采购需求中引用的相关标准有最新版本的均以最新标准执行，采购活动中已经作废失效的，在评审中和履约中自动不再适用。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项目实施方案</w:t>
            </w:r>
          </w:p>
        </w:tc>
        <w:tc>
          <w:tcPr>
            <w:tcW w:type="dxa" w:w="5814"/>
          </w:tcPr>
          <w:p>
            <w:pPr>
              <w:pStyle w:val="null3"/>
              <w:ind w:firstLine="464"/>
              <w:jc w:val="left"/>
            </w:pPr>
            <w:r>
              <w:rPr>
                <w:rFonts w:ascii="仿宋_GB2312" w:hAnsi="仿宋_GB2312" w:cs="仿宋_GB2312" w:eastAsia="仿宋_GB2312"/>
                <w:sz w:val="24"/>
              </w:rPr>
              <w:t>供应商应根据本项目所涉及技术及服务内容，结合自身实际情况，分别对应编制项目实施方案，应保证服务质量满足相关标准，包括以下内容：</w:t>
            </w:r>
            <w:r>
              <w:rPr>
                <w:rFonts w:ascii="仿宋_GB2312" w:hAnsi="仿宋_GB2312" w:cs="仿宋_GB2312" w:eastAsia="仿宋_GB2312"/>
                <w:sz w:val="24"/>
              </w:rPr>
              <w:t>1.采购需求分析：</w:t>
            </w:r>
            <w:r>
              <w:rPr>
                <w:rFonts w:ascii="仿宋_GB2312" w:hAnsi="仿宋_GB2312" w:cs="仿宋_GB2312" w:eastAsia="仿宋_GB2312"/>
                <w:sz w:val="24"/>
              </w:rPr>
              <w:t>①目标任务分析</w:t>
            </w:r>
            <w:r>
              <w:rPr>
                <w:rFonts w:ascii="仿宋_GB2312" w:hAnsi="仿宋_GB2312" w:cs="仿宋_GB2312" w:eastAsia="仿宋_GB2312"/>
                <w:sz w:val="24"/>
              </w:rPr>
              <w:t>；</w:t>
            </w:r>
            <w:r>
              <w:rPr>
                <w:rFonts w:ascii="仿宋_GB2312" w:hAnsi="仿宋_GB2312" w:cs="仿宋_GB2312" w:eastAsia="仿宋_GB2312"/>
                <w:sz w:val="24"/>
              </w:rPr>
              <w:t>②项目难重点分析</w:t>
            </w:r>
            <w:r>
              <w:rPr>
                <w:rFonts w:ascii="仿宋_GB2312" w:hAnsi="仿宋_GB2312" w:cs="仿宋_GB2312" w:eastAsia="仿宋_GB2312"/>
                <w:sz w:val="24"/>
              </w:rPr>
              <w:t>；</w:t>
            </w:r>
            <w:r>
              <w:rPr>
                <w:rFonts w:ascii="仿宋_GB2312" w:hAnsi="仿宋_GB2312" w:cs="仿宋_GB2312" w:eastAsia="仿宋_GB2312"/>
                <w:sz w:val="24"/>
              </w:rPr>
              <w:t>③预期成果及各项成果的提交时间</w:t>
            </w:r>
            <w:r>
              <w:rPr>
                <w:rFonts w:ascii="仿宋_GB2312" w:hAnsi="仿宋_GB2312" w:cs="仿宋_GB2312" w:eastAsia="仿宋_GB2312"/>
                <w:sz w:val="24"/>
              </w:rPr>
              <w:t>；</w:t>
            </w:r>
            <w:r>
              <w:rPr>
                <w:rFonts w:ascii="仿宋_GB2312" w:hAnsi="仿宋_GB2312" w:cs="仿宋_GB2312" w:eastAsia="仿宋_GB2312"/>
                <w:sz w:val="24"/>
              </w:rPr>
              <w:t>2.地质依据分析：①以往地质资料收集</w:t>
            </w:r>
            <w:r>
              <w:rPr>
                <w:rFonts w:ascii="仿宋_GB2312" w:hAnsi="仿宋_GB2312" w:cs="仿宋_GB2312" w:eastAsia="仿宋_GB2312"/>
                <w:sz w:val="24"/>
              </w:rPr>
              <w:t>；</w:t>
            </w:r>
            <w:r>
              <w:rPr>
                <w:rFonts w:ascii="仿宋_GB2312" w:hAnsi="仿宋_GB2312" w:cs="仿宋_GB2312" w:eastAsia="仿宋_GB2312"/>
                <w:sz w:val="24"/>
              </w:rPr>
              <w:t>②以往地质成果评述及利用</w:t>
            </w:r>
            <w:r>
              <w:rPr>
                <w:rFonts w:ascii="仿宋_GB2312" w:hAnsi="仿宋_GB2312" w:cs="仿宋_GB2312" w:eastAsia="仿宋_GB2312"/>
                <w:sz w:val="24"/>
              </w:rPr>
              <w:t>；</w:t>
            </w:r>
            <w:r>
              <w:rPr>
                <w:rFonts w:ascii="仿宋_GB2312" w:hAnsi="仿宋_GB2312" w:cs="仿宋_GB2312" w:eastAsia="仿宋_GB2312"/>
                <w:sz w:val="24"/>
              </w:rPr>
              <w:t>③对调查区地质环境条件评价</w:t>
            </w:r>
            <w:r>
              <w:rPr>
                <w:rFonts w:ascii="仿宋_GB2312" w:hAnsi="仿宋_GB2312" w:cs="仿宋_GB2312" w:eastAsia="仿宋_GB2312"/>
                <w:sz w:val="24"/>
              </w:rPr>
              <w:t>；</w:t>
            </w:r>
            <w:r>
              <w:rPr>
                <w:rFonts w:ascii="仿宋_GB2312" w:hAnsi="仿宋_GB2312" w:cs="仿宋_GB2312" w:eastAsia="仿宋_GB2312"/>
                <w:sz w:val="24"/>
              </w:rPr>
              <w:t>④野外踏勘计划</w:t>
            </w:r>
            <w:r>
              <w:rPr>
                <w:rFonts w:ascii="仿宋_GB2312" w:hAnsi="仿宋_GB2312" w:cs="仿宋_GB2312" w:eastAsia="仿宋_GB2312"/>
                <w:sz w:val="24"/>
              </w:rPr>
              <w:t>；</w:t>
            </w:r>
            <w:r>
              <w:rPr>
                <w:rFonts w:ascii="仿宋_GB2312" w:hAnsi="仿宋_GB2312" w:cs="仿宋_GB2312" w:eastAsia="仿宋_GB2312"/>
                <w:sz w:val="24"/>
              </w:rPr>
              <w:t>3.工作部署、工作方法和技术路线：①总体工作部署；②工作阶段划分；③各项工作安排及目标；④技术路线及工作方法的选择；⑤调查、测绘、勘查的技术标准与规范解读；</w:t>
            </w:r>
            <w:r>
              <w:rPr>
                <w:rFonts w:ascii="仿宋_GB2312" w:hAnsi="仿宋_GB2312" w:cs="仿宋_GB2312" w:eastAsia="仿宋_GB2312"/>
                <w:sz w:val="24"/>
              </w:rPr>
              <w:t>4.服务质量管理</w:t>
            </w:r>
            <w:r>
              <w:rPr>
                <w:rFonts w:ascii="仿宋_GB2312" w:hAnsi="仿宋_GB2312" w:cs="仿宋_GB2312" w:eastAsia="仿宋_GB2312"/>
                <w:sz w:val="24"/>
              </w:rPr>
              <w:t>：①服务质量保证措施，②对项目关键部位和关键工序的质量控制</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安全及售后服务</w:t>
            </w:r>
          </w:p>
        </w:tc>
        <w:tc>
          <w:tcPr>
            <w:tcW w:type="dxa" w:w="5814"/>
          </w:tcPr>
          <w:p>
            <w:pPr>
              <w:pStyle w:val="null3"/>
              <w:ind w:firstLine="464"/>
              <w:jc w:val="left"/>
            </w:pPr>
            <w:r>
              <w:rPr>
                <w:rFonts w:ascii="仿宋_GB2312" w:hAnsi="仿宋_GB2312" w:cs="仿宋_GB2312" w:eastAsia="仿宋_GB2312"/>
                <w:sz w:val="24"/>
              </w:rPr>
              <w:t>供应商应根据本项目所涉及技术及服务内容，结合自身实际情况，分别对应编制安全及售后服务方案，应保证服务质量满足相关标准，包括以下内容：</w:t>
            </w:r>
            <w:r>
              <w:rPr>
                <w:rFonts w:ascii="仿宋_GB2312" w:hAnsi="仿宋_GB2312" w:cs="仿宋_GB2312" w:eastAsia="仿宋_GB2312"/>
                <w:sz w:val="24"/>
              </w:rPr>
              <w:t>1.项目实施保障和应急处理措施：①项目服务人员安全保障；②应对突发地质灾害应急预案及应急安全保障措施；③其他不可遇见的情形应急安全保障；</w:t>
            </w:r>
            <w:r>
              <w:rPr>
                <w:rFonts w:ascii="仿宋_GB2312" w:hAnsi="仿宋_GB2312" w:cs="仿宋_GB2312" w:eastAsia="仿宋_GB2312"/>
                <w:sz w:val="24"/>
              </w:rPr>
              <w:t>2.售后服务方案：①后期服务内容；②后续服务机构、人员及联系方式；③后续服务响应时间；</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w:t>
            </w:r>
          </w:p>
        </w:tc>
        <w:tc>
          <w:tcPr>
            <w:tcW w:type="dxa" w:w="5814"/>
          </w:tcPr>
          <w:p>
            <w:pPr>
              <w:pStyle w:val="null3"/>
              <w:jc w:val="left"/>
            </w:pPr>
            <w:r>
              <w:rPr>
                <w:rFonts w:ascii="仿宋_GB2312" w:hAnsi="仿宋_GB2312" w:cs="仿宋_GB2312" w:eastAsia="仿宋_GB2312"/>
                <w:sz w:val="24"/>
              </w:rPr>
              <w:t>供应商应配置相应的项目服务人员及业绩证明材料。</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成交供应商于2026年12月31日之前完成所有成果报告及图件编制，通过审查，并完成资料汇交。</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绵阳市涪城区行政区域内及3个乡镇（包含科技城新区、经开区部分区域），具体地点以采购人指定为准。</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1.严格按照《财政部关于进一步加强政府采购需求和履约验收管理的指导意见》（财库〔2016〕205 号）、《绵阳市财政局关于进一步做好政府采购项目履约验收工作的通知》(绵财采〔2021〕15号)要求、本项目采购文件的技术要求、中标（成交）供应商的响应文件及承诺以及合同约定标准进行验收。 2.验收组织：由采购人组建验收小组，验收小组由采购人相关负责人、专业技术人员及相关部门代表组成，验收工作遵循客观、公正、严谨的原则。 3. 验收流程：供应商完成所有成果后，向采购人提交验收申请及相关验收材料；采购人收到申请后15个工作日内，组织验收小组开展验收工作；验收过程中，供应商须配合验收小组的核查工作，提供必要的补充资料，说明相关情况；采购人与供应商如对质量要求和服务指标的约定标准有相互抵触或异议的事项，由采购人按本项目采购文件的技术要求及响应文件的技术指标响应更严格的原则确定验收标准。 4. 验收结果：验收合格的，采购人出具验收合格证明；验收不合格的，供应商须在采购人指定的期限内（最长不超过15个工作日）进行整改，整改费用由供应商承担；整改后仍不合格的，视为供应商违约，采购人有权解除合同，追究供应商违约责任。</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1付款条件：预付款：合同签订生效后，达到该付款条件起15个工作日内，支付合同总金额的40.00%</w:t>
            </w:r>
          </w:p>
          <w:p>
            <w:pPr>
              <w:pStyle w:val="null3"/>
              <w:jc w:val="left"/>
            </w:pPr>
            <w:r>
              <w:rPr>
                <w:rFonts w:ascii="仿宋_GB2312" w:hAnsi="仿宋_GB2312" w:cs="仿宋_GB2312" w:eastAsia="仿宋_GB2312"/>
              </w:rPr>
              <w:t>2付款条件：进度款：完成野外工作且验收合格后，达到该付款条件起15个工作日内，支付合同总金额的40.00%</w:t>
            </w:r>
          </w:p>
          <w:p>
            <w:pPr>
              <w:pStyle w:val="null3"/>
              <w:jc w:val="left"/>
            </w:pPr>
            <w:r>
              <w:rPr>
                <w:rFonts w:ascii="仿宋_GB2312" w:hAnsi="仿宋_GB2312" w:cs="仿宋_GB2312" w:eastAsia="仿宋_GB2312"/>
              </w:rPr>
              <w:t>3付款条件：进度款：提交经审查通过后的最终成果后，达到该付款条件起15个工作日内，支付合同总金额的20.00%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双方必须遵守合同并执行合同中的各项规定，保证本合同的正常履行。2．如因供应商工作人员在履行职务过程中的的疏忽、失职、过错等故意或者过失原因给采购方造成损失或侵害，包括但不限于采购方本身的财产损失、由此而导致的采购方对任何第三方的法律责任等，供应商对此均应承担全部的赔偿责任。解决争议：1．在执行合同中发生的或与合同有关的争端，双方应通过友好协商解决，经协商在15天内不能达成协议时，应提交合同履行地人民法院诉讼解决。2．诉讼裁决应为最终决定，并对双方具有约束力。3．除另有裁决外，诉讼费应由败诉方负担。4．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 2、供应商为企业（包括合伙企业）、个体工商户的,应提供工商营业执照或提供由市场监管部门核发的法人或者其他组织统一社会信用代码的营业执照（扫描件）；供应商属于银行、保险、石油石化、电力、电信等有行业特殊情况的，提供企业分支机构营业执照或统一社会信用代码的营业执照（扫描件）；供应商为其他组织的，提供事业单位法人证书或执业许可证等证明文件（扫描件）；如为自然人的提供《中华人民共和国居民身份证》（扫描件）。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响应文件封面,投标（响应）函,具有独立承担民事责任的能力.docx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供应商须具有行政主管部门颁发的有效期内的地质灾害评估和治理工程勘查设计甲级资质。</w:t>
            </w:r>
          </w:p>
        </w:tc>
        <w:tc>
          <w:tcPr>
            <w:tcW w:type="dxa" w:w="3322"/>
          </w:tcPr>
          <w:p>
            <w:pPr>
              <w:pStyle w:val="null3"/>
              <w:jc w:val="left"/>
            </w:pPr>
            <w:r>
              <w:rPr>
                <w:rFonts w:ascii="仿宋_GB2312" w:hAnsi="仿宋_GB2312" w:cs="仿宋_GB2312" w:eastAsia="仿宋_GB2312"/>
              </w:rPr>
              <w:t>供应商在响应文件中提供国家行政主管部门颁发的有效的地质灾害评估和治理工程勘查设计甲级资质证书扫描件。</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报价</w:t>
            </w:r>
          </w:p>
        </w:tc>
        <w:tc>
          <w:tcPr>
            <w:tcW w:type="dxa" w:w="3322"/>
          </w:tcPr>
          <w:p>
            <w:pPr>
              <w:pStyle w:val="null3"/>
              <w:jc w:val="left"/>
            </w:pPr>
            <w:r>
              <w:rPr>
                <w:rFonts w:ascii="仿宋_GB2312" w:hAnsi="仿宋_GB2312" w:cs="仿宋_GB2312" w:eastAsia="仿宋_GB2312"/>
              </w:rPr>
              <w:t>报价符合磋商文件要求</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采购文件 第三章 技术、服务及其他要求中实质性要求。</w:t>
            </w:r>
          </w:p>
        </w:tc>
        <w:tc>
          <w:tcPr>
            <w:tcW w:type="dxa" w:w="3322"/>
          </w:tcPr>
          <w:p>
            <w:pPr>
              <w:pStyle w:val="null3"/>
              <w:jc w:val="left"/>
            </w:pPr>
            <w:r>
              <w:rPr>
                <w:rFonts w:ascii="仿宋_GB2312" w:hAnsi="仿宋_GB2312" w:cs="仿宋_GB2312" w:eastAsia="仿宋_GB2312"/>
              </w:rPr>
              <w:t>供应商按照磋商文件第三章中“3.2技术要求”、“3.3服务要求”进行响应，满足实质性要求。</w:t>
            </w:r>
          </w:p>
        </w:tc>
        <w:tc>
          <w:tcPr>
            <w:tcW w:type="dxa" w:w="1661"/>
          </w:tcPr>
          <w:p>
            <w:pPr>
              <w:pStyle w:val="null3"/>
              <w:jc w:val="left"/>
            </w:pPr>
            <w:r>
              <w:rPr>
                <w:rFonts w:ascii="仿宋_GB2312" w:hAnsi="仿宋_GB2312" w:cs="仿宋_GB2312" w:eastAsia="仿宋_GB2312"/>
              </w:rPr>
              <w:t>技术、服务及其他要求应答表.docx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供应商2023年01⽉01⽇（含）至递交响应文件截止之日止，具有类似项目业绩的，每有一个得3分，最多得9分。 注：①类似项目是指：地质灾害风险调查评价类或斜坡地质灾害详查类或地质灾害排查类或地质灾害风险防御手册编制类项目服务业绩；②业绩认定要求：所有业绩均限供应商自己实施，不得为分包、转包业绩；③提交材料要求：须提供业绩对应的合同复印件并加盖供应商公章，合同需清晰体现项目名称、项目类型、服务内容、签订时间、供应商名称，未按要求提供相关材料或复印件不清晰导致无法识别的，该业绩不计分；④业绩计数规则：合同以签订时间为准，同一项目服务期内的连续多年合同，仅按1个业绩计算，不重复计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1.项目负责人1人(4分)：具有水工环相关专业中级技术职称的得2分，具有水工环相关专业高级及以上技术职称的得4分，本项最高得4分。 2.技术负责人1人(4分)：具有水工环相关专业中级技术职称的得2分，具有水工环相关专业高级及以上技术职称的得4分，本项最高得4分。 3.项目团队人员7人（14分）：每配备一名具有水工环相关专业中级及以上技术职称人员的得2分，本项最多得14分。 注：①以上人员不重复得分；②水工环专业指：水文地质专业或工程地质专业或环境地质专业；③上述所有人员需提供相关有效证书（件）复印件和在职证明（在职证明包括：社保缴纳凭证或聘用合同或劳务合同或工资发放证明或其他能体现在职关系的证明材料，如为退休人员须提供退休证及与供应商之间合法的劳动关系证明资料）复印件并加盖供应商公章，未提供不得分。</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供应商应根据本项目所涉及技术及服务内容，结合自身实际情况，分别对应编制项目实施方案，应保证服务质量满足相关标准，包括以下内容： 1.采购需求分析(12分)：①目标任务分析；②项目难重点分析；③预期成果及各项成果的提交时间；以上3项内容详细完整，内容完全满足项目需求的得12分，以上3项内容每缺一项扣4分，每有一处有不足或缺陷的扣 2分，扣完为止。 2.地质依据分析(16分)：①以往地质资料收集；②以往地质成果评述及利用；③对调查区地质环境条件评价；④野外踏勘计划；以上4项内容详细完整，内容完全满足项目需求的得16分，以上内容每缺一项扣4分，每有一处有不足或缺陷的扣 2分，扣完为止。 3.工作部署、工作方法和技术路线(15分)：①总体工作部署；②工作阶段划分；③各项工作安排及目标；④技术路线及工作方法的选择；⑤调查、测绘、勘查的技术标准与规范解读；以上5项内容详细完整，内容完全满足项目需求的得15分，以上5项内容每缺一项扣3分，每有一处有不足或缺陷的扣 1.5分，扣完为止。 4.服务质量管理(4分)：①服务质量保证措施，②对项目关键部位和关键工序的质量控制；以上2项内容详细完整，内容完全满足项目需求的得4分，以上2项内容每缺一项扣2分，每有一处有不足或缺陷的扣 1分，扣完为止。 注：（1）内容完全满足项目需求是指：①内容与项目需求贴合，层次细化，有具体详细的阐述；②阐述从实际出发，切合项目背景、项目需求并提出专业技术建议或者解决方案；③内容符合国家、地方、行业标准及其要求以及项目特点；④内容清楚明了、表述规范、含义准确。 （2）①不足具体是指：对应单项中的内容缺失（不完整）、与对应单项的要求缺少重要节点（如仅有框架或标题、单项内容仅有复制采购内容的要求、涉及内容无重点）等以上任意一种情形；②缺陷具体是指：单项方案中出现套用其他项目方案或内容、内容中出现前后描述不一致现象或语言描述出现错误、内容涉及的规范及标准（方法）出现错误、对应单项中的内容中有与履行本项目无关、方案不符合本项目采购需求等任意一种情形。</w:t>
            </w:r>
          </w:p>
        </w:tc>
        <w:tc>
          <w:tcPr>
            <w:tcW w:type="dxa" w:w="831"/>
          </w:tcPr>
          <w:p>
            <w:pPr>
              <w:pStyle w:val="null3"/>
              <w:jc w:val="center"/>
            </w:pPr>
            <w:r>
              <w:rPr>
                <w:rFonts w:ascii="仿宋_GB2312" w:hAnsi="仿宋_GB2312" w:cs="仿宋_GB2312" w:eastAsia="仿宋_GB2312"/>
              </w:rPr>
              <w:t>47.0000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安全及售后服务方案</w:t>
            </w:r>
          </w:p>
        </w:tc>
        <w:tc>
          <w:tcPr>
            <w:tcW w:type="dxa" w:w="2575"/>
          </w:tcPr>
          <w:p>
            <w:pPr>
              <w:pStyle w:val="null3"/>
              <w:jc w:val="left"/>
            </w:pPr>
            <w:r>
              <w:rPr>
                <w:rFonts w:ascii="仿宋_GB2312" w:hAnsi="仿宋_GB2312" w:cs="仿宋_GB2312" w:eastAsia="仿宋_GB2312"/>
              </w:rPr>
              <w:t>供应商应根据本项目所涉及技术及服务内容，结合自身实际情况，分别对应编制安全及售后服务方案，应保证服务质量满足相关标准，包括以下内容： 1.项目实施保障和应急处理措施（6分）：①项目服务人员安全保障；②应对突发地质灾害应急预案及应急安全保障措施；③其他不可遇见的情形应急安全保障。以上3项内容详细完整，内容完全满足项目需求的得6分，以上3项内容每缺一项扣2分，每有一处有不足或缺陷的扣 1分，扣完为止。 2.售后服务方案（6分）：①后期服务内容；②后续服务机构、人员及联系方式；③后续服务响应时间。以上3项内容详细完整，内容完全满足项目需求的得6分，以上3项内容每缺一项扣2分，每有一处有不足或缺陷的扣1分，扣完为止。 注：（1）内容完全满足项目需求是指：①内容与项目需求贴合，层次细化，有具体详细的阐述；②阐述从实际出发，切合项目背景、项目需求并提出专业技术建议或者解决方案；③内容符合国家、地方、行业标准及其要求以及项目特点；④内容清楚明了、表述规范、含义准确。 （2）①不足具体是指：对应单项中的内容缺失（不完整）、与对应单项的要求缺少重要节点（如仅有框架或标题、单项内容仅有复制采购内容的要求、涉及内容无重点）等以上任意一种情形；②缺陷具体是指：单项方案中出现套用其他项目方案或内容、内容中出现前后描述不一致现象或语言描述出现错误、内容涉及的规范及标准（方法）出现错误、对应单项中的内容中有与履行本项目无关、方案不符合本项目采购需求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安全及售后服务方案.docx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详见附件：具有独立承担民事责任的能力.docx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详见附件：人员配置.docx</w:t>
      </w:r>
    </w:p>
    <w:p>
      <w:pPr>
        <w:pStyle w:val="null3"/>
        <w:ind w:firstLine="960"/>
        <w:jc w:val="left"/>
      </w:pPr>
      <w:r>
        <w:rPr>
          <w:rFonts w:ascii="仿宋_GB2312" w:hAnsi="仿宋_GB2312" w:cs="仿宋_GB2312" w:eastAsia="仿宋_GB2312"/>
        </w:rPr>
        <w:t>详见附件：安全及售后服务方案.docx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详见附件：技术、服务及其他要求应答表.docx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