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50B9EB">
      <w:pPr>
        <w:spacing w:before="480" w:beforeLines="200" w:line="360" w:lineRule="auto"/>
        <w:jc w:val="center"/>
        <w:outlineLvl w:val="0"/>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t>怒江职业技术学院建筑材料智能检测实训基地建设项目</w:t>
      </w:r>
    </w:p>
    <w:p w14:paraId="2AEE75E5">
      <w:pPr>
        <w:spacing w:before="480" w:beforeLines="200" w:line="360" w:lineRule="auto"/>
        <w:jc w:val="center"/>
        <w:outlineLvl w:val="9"/>
        <w:rPr>
          <w:rFonts w:hint="eastAsia" w:ascii="宋体" w:hAnsi="宋体" w:eastAsia="宋体" w:cs="宋体"/>
          <w:b/>
          <w:bCs/>
          <w:color w:val="auto"/>
          <w:sz w:val="28"/>
          <w:szCs w:val="28"/>
          <w:highlight w:val="none"/>
          <w:lang w:eastAsia="zh-CN"/>
        </w:rPr>
      </w:pPr>
    </w:p>
    <w:p w14:paraId="3FDBC954">
      <w:pPr>
        <w:spacing w:before="480" w:beforeLines="200" w:line="360" w:lineRule="auto"/>
        <w:jc w:val="center"/>
        <w:outlineLvl w:val="9"/>
        <w:rPr>
          <w:rFonts w:hint="eastAsia" w:ascii="宋体" w:hAnsi="宋体" w:eastAsia="宋体" w:cs="宋体"/>
          <w:b/>
          <w:bCs/>
          <w:color w:val="auto"/>
          <w:sz w:val="28"/>
          <w:szCs w:val="28"/>
          <w:highlight w:val="none"/>
          <w:lang w:eastAsia="zh-CN"/>
        </w:rPr>
      </w:pPr>
    </w:p>
    <w:p w14:paraId="12546F70">
      <w:pPr>
        <w:tabs>
          <w:tab w:val="center" w:pos="4379"/>
          <w:tab w:val="right" w:pos="8640"/>
        </w:tabs>
        <w:spacing w:line="360" w:lineRule="auto"/>
        <w:jc w:val="left"/>
        <w:rPr>
          <w:rFonts w:hint="eastAsia" w:ascii="宋体" w:hAnsi="宋体" w:eastAsia="宋体" w:cs="宋体"/>
          <w:color w:val="auto"/>
          <w:highlight w:val="none"/>
          <w:lang w:eastAsia="zh-CN"/>
        </w:rPr>
      </w:pPr>
      <w:r>
        <w:rPr>
          <w:rFonts w:hint="eastAsia" w:ascii="宋体" w:hAnsi="宋体" w:cs="宋体"/>
          <w:b/>
          <w:color w:val="auto"/>
          <w:sz w:val="96"/>
          <w:szCs w:val="84"/>
          <w:highlight w:val="none"/>
          <w:lang w:eastAsia="zh-CN"/>
        </w:rPr>
        <w:tab/>
      </w:r>
      <w:r>
        <w:rPr>
          <w:rFonts w:hint="eastAsia" w:ascii="宋体" w:hAnsi="宋体" w:eastAsia="宋体" w:cs="宋体"/>
          <w:b/>
          <w:color w:val="auto"/>
          <w:sz w:val="96"/>
          <w:szCs w:val="84"/>
          <w:highlight w:val="none"/>
        </w:rPr>
        <w:t>招标文件</w:t>
      </w:r>
    </w:p>
    <w:p w14:paraId="16B45C3A">
      <w:pPr>
        <w:spacing w:before="480" w:beforeLines="200" w:line="360" w:lineRule="auto"/>
        <w:jc w:val="center"/>
        <w:outlineLvl w:val="0"/>
        <w:rPr>
          <w:rFonts w:hint="default" w:ascii="宋体" w:hAnsi="宋体" w:eastAsia="宋体" w:cs="宋体"/>
          <w:b/>
          <w:bCs/>
          <w:color w:val="auto"/>
          <w:sz w:val="28"/>
          <w:szCs w:val="28"/>
          <w:highlight w:val="none"/>
          <w:lang w:val="en-US" w:eastAsia="zh-CN"/>
        </w:rPr>
      </w:pPr>
      <w:bookmarkStart w:id="0" w:name="_Toc14712"/>
      <w:bookmarkStart w:id="1" w:name="_Toc1039"/>
      <w:bookmarkStart w:id="2" w:name="_Toc25790"/>
      <w:r>
        <w:rPr>
          <w:rFonts w:hint="eastAsia" w:ascii="宋体" w:hAnsi="宋体" w:eastAsia="宋体" w:cs="宋体"/>
          <w:b/>
          <w:bCs/>
          <w:color w:val="auto"/>
          <w:sz w:val="28"/>
          <w:szCs w:val="28"/>
          <w:highlight w:val="none"/>
          <w:lang w:eastAsia="zh-CN"/>
        </w:rPr>
        <w:t>项目编号：</w:t>
      </w:r>
      <w:bookmarkEnd w:id="0"/>
      <w:bookmarkEnd w:id="1"/>
      <w:bookmarkEnd w:id="2"/>
      <w:r>
        <w:rPr>
          <w:rFonts w:hint="eastAsia" w:ascii="宋体" w:hAnsi="宋体" w:cs="宋体"/>
          <w:b/>
          <w:bCs/>
          <w:color w:val="auto"/>
          <w:sz w:val="28"/>
          <w:szCs w:val="28"/>
          <w:highlight w:val="none"/>
          <w:lang w:val="en-US" w:eastAsia="zh-CN"/>
        </w:rPr>
        <w:t>GCDZ-2026006</w:t>
      </w:r>
    </w:p>
    <w:p w14:paraId="403BEFE2">
      <w:pPr>
        <w:spacing w:before="480" w:beforeLines="200" w:line="360" w:lineRule="auto"/>
        <w:jc w:val="center"/>
        <w:outlineLvl w:val="9"/>
        <w:rPr>
          <w:rFonts w:hint="eastAsia" w:ascii="宋体" w:hAnsi="宋体" w:eastAsia="宋体" w:cs="宋体"/>
          <w:b/>
          <w:bCs/>
          <w:color w:val="auto"/>
          <w:sz w:val="28"/>
          <w:szCs w:val="28"/>
          <w:highlight w:val="none"/>
          <w:lang w:eastAsia="zh-CN"/>
        </w:rPr>
      </w:pPr>
      <w:bookmarkStart w:id="3" w:name="_Toc15767"/>
    </w:p>
    <w:p w14:paraId="4C34DA89">
      <w:pPr>
        <w:spacing w:before="480" w:beforeLines="200" w:line="360" w:lineRule="auto"/>
        <w:jc w:val="center"/>
        <w:outlineLvl w:val="9"/>
        <w:rPr>
          <w:rFonts w:hint="eastAsia" w:ascii="宋体" w:hAnsi="宋体" w:eastAsia="宋体" w:cs="宋体"/>
          <w:b/>
          <w:bCs/>
          <w:color w:val="auto"/>
          <w:sz w:val="28"/>
          <w:szCs w:val="28"/>
          <w:highlight w:val="none"/>
          <w:lang w:eastAsia="zh-CN"/>
        </w:rPr>
      </w:pPr>
    </w:p>
    <w:p w14:paraId="44E932B8">
      <w:pPr>
        <w:spacing w:before="480" w:beforeLines="200" w:line="360" w:lineRule="auto"/>
        <w:jc w:val="center"/>
        <w:outlineLvl w:val="9"/>
        <w:rPr>
          <w:rFonts w:hint="eastAsia" w:ascii="宋体" w:hAnsi="宋体" w:eastAsia="宋体" w:cs="宋体"/>
          <w:b/>
          <w:bCs/>
          <w:color w:val="auto"/>
          <w:sz w:val="28"/>
          <w:szCs w:val="28"/>
          <w:highlight w:val="none"/>
          <w:lang w:eastAsia="zh-CN"/>
        </w:rPr>
      </w:pPr>
    </w:p>
    <w:p w14:paraId="0AA23038">
      <w:pPr>
        <w:spacing w:before="480" w:beforeLines="200" w:line="360" w:lineRule="auto"/>
        <w:jc w:val="center"/>
        <w:outlineLvl w:val="0"/>
        <w:rPr>
          <w:rFonts w:hint="eastAsia" w:ascii="宋体" w:hAnsi="宋体" w:eastAsia="宋体" w:cs="宋体"/>
          <w:b/>
          <w:bCs/>
          <w:color w:val="auto"/>
          <w:sz w:val="28"/>
          <w:szCs w:val="28"/>
          <w:highlight w:val="none"/>
          <w:lang w:eastAsia="zh-CN"/>
        </w:rPr>
      </w:pPr>
      <w:bookmarkStart w:id="4" w:name="_Toc26131"/>
      <w:bookmarkStart w:id="5" w:name="_Toc25552"/>
      <w:r>
        <w:rPr>
          <w:rFonts w:hint="eastAsia" w:ascii="宋体" w:hAnsi="宋体" w:eastAsia="宋体" w:cs="宋体"/>
          <w:b/>
          <w:bCs/>
          <w:color w:val="auto"/>
          <w:sz w:val="28"/>
          <w:szCs w:val="28"/>
          <w:highlight w:val="none"/>
        </w:rPr>
        <w:t>采购人：</w:t>
      </w:r>
      <w:bookmarkEnd w:id="3"/>
      <w:bookmarkEnd w:id="4"/>
      <w:bookmarkEnd w:id="5"/>
      <w:r>
        <w:rPr>
          <w:rFonts w:hint="eastAsia" w:ascii="宋体" w:hAnsi="宋体" w:cs="宋体"/>
          <w:b/>
          <w:bCs/>
          <w:color w:val="auto"/>
          <w:sz w:val="28"/>
          <w:szCs w:val="28"/>
          <w:highlight w:val="none"/>
          <w:lang w:eastAsia="zh-CN"/>
        </w:rPr>
        <w:t>怒江州民族中等专业学校</w:t>
      </w:r>
    </w:p>
    <w:p w14:paraId="39E2A0F4">
      <w:pPr>
        <w:spacing w:before="240" w:beforeLines="100" w:line="360" w:lineRule="auto"/>
        <w:jc w:val="center"/>
        <w:outlineLvl w:val="0"/>
        <w:rPr>
          <w:rFonts w:hint="eastAsia" w:ascii="宋体" w:hAnsi="宋体" w:eastAsia="宋体" w:cs="宋体"/>
          <w:b/>
          <w:bCs/>
          <w:color w:val="auto"/>
          <w:sz w:val="28"/>
          <w:szCs w:val="28"/>
          <w:highlight w:val="none"/>
          <w:lang w:eastAsia="zh-CN"/>
        </w:rPr>
      </w:pPr>
      <w:bookmarkStart w:id="6" w:name="_Toc13568"/>
      <w:bookmarkStart w:id="7" w:name="_Toc3817"/>
      <w:bookmarkStart w:id="8" w:name="_Toc137"/>
      <w:r>
        <w:rPr>
          <w:rFonts w:hint="eastAsia" w:ascii="宋体" w:hAnsi="宋体" w:eastAsia="宋体" w:cs="宋体"/>
          <w:b/>
          <w:color w:val="auto"/>
          <w:sz w:val="28"/>
          <w:szCs w:val="28"/>
          <w:highlight w:val="none"/>
        </w:rPr>
        <w:t>采购代理机构：</w:t>
      </w:r>
      <w:bookmarkEnd w:id="6"/>
      <w:bookmarkEnd w:id="7"/>
      <w:bookmarkEnd w:id="8"/>
      <w:r>
        <w:rPr>
          <w:rFonts w:hint="eastAsia" w:ascii="宋体" w:hAnsi="宋体" w:cs="宋体"/>
          <w:b/>
          <w:bCs/>
          <w:color w:val="auto"/>
          <w:sz w:val="28"/>
          <w:szCs w:val="28"/>
          <w:highlight w:val="none"/>
          <w:lang w:eastAsia="zh-CN"/>
        </w:rPr>
        <w:t>怒江国创大智全过程工程咨询有限公司</w:t>
      </w:r>
    </w:p>
    <w:p w14:paraId="7551D23B">
      <w:pPr>
        <w:spacing w:before="240" w:beforeLines="100" w:line="360" w:lineRule="auto"/>
        <w:jc w:val="center"/>
        <w:rPr>
          <w:rFonts w:hint="eastAsia" w:ascii="宋体" w:hAnsi="宋体" w:eastAsia="宋体" w:cs="宋体"/>
          <w:b/>
          <w:bCs/>
          <w:color w:val="auto"/>
          <w:spacing w:val="20"/>
          <w:sz w:val="28"/>
          <w:szCs w:val="28"/>
          <w:highlight w:val="none"/>
        </w:rPr>
      </w:pPr>
      <w:r>
        <w:rPr>
          <w:rFonts w:hint="eastAsia" w:ascii="宋体" w:hAnsi="宋体" w:eastAsia="宋体" w:cs="宋体"/>
          <w:b/>
          <w:bCs/>
          <w:color w:val="auto"/>
          <w:spacing w:val="20"/>
          <w:sz w:val="28"/>
          <w:szCs w:val="28"/>
          <w:highlight w:val="none"/>
        </w:rPr>
        <w:t>202</w:t>
      </w:r>
      <w:r>
        <w:rPr>
          <w:rFonts w:hint="eastAsia" w:ascii="宋体" w:hAnsi="宋体" w:cs="宋体"/>
          <w:b/>
          <w:bCs/>
          <w:color w:val="auto"/>
          <w:spacing w:val="20"/>
          <w:sz w:val="28"/>
          <w:szCs w:val="28"/>
          <w:highlight w:val="none"/>
          <w:lang w:val="en-US" w:eastAsia="zh-CN"/>
        </w:rPr>
        <w:t>6</w:t>
      </w:r>
      <w:r>
        <w:rPr>
          <w:rFonts w:hint="eastAsia" w:ascii="宋体" w:hAnsi="宋体" w:eastAsia="宋体" w:cs="宋体"/>
          <w:b/>
          <w:bCs/>
          <w:color w:val="auto"/>
          <w:spacing w:val="20"/>
          <w:sz w:val="28"/>
          <w:szCs w:val="28"/>
          <w:highlight w:val="none"/>
        </w:rPr>
        <w:t>年</w:t>
      </w:r>
      <w:r>
        <w:rPr>
          <w:rFonts w:hint="eastAsia" w:ascii="宋体" w:hAnsi="宋体" w:cs="宋体"/>
          <w:b/>
          <w:bCs/>
          <w:color w:val="auto"/>
          <w:spacing w:val="20"/>
          <w:sz w:val="28"/>
          <w:szCs w:val="28"/>
          <w:highlight w:val="none"/>
          <w:lang w:val="en-US" w:eastAsia="zh-CN"/>
        </w:rPr>
        <w:t>05</w:t>
      </w:r>
      <w:r>
        <w:rPr>
          <w:rFonts w:hint="eastAsia" w:ascii="宋体" w:hAnsi="宋体" w:eastAsia="宋体" w:cs="宋体"/>
          <w:b/>
          <w:bCs/>
          <w:color w:val="auto"/>
          <w:spacing w:val="20"/>
          <w:sz w:val="28"/>
          <w:szCs w:val="28"/>
          <w:highlight w:val="none"/>
        </w:rPr>
        <w:t>月</w:t>
      </w:r>
      <w:bookmarkStart w:id="9" w:name="_Toc25875"/>
    </w:p>
    <w:p w14:paraId="1205B69E">
      <w:pPr>
        <w:rPr>
          <w:rFonts w:hint="eastAsia" w:ascii="宋体" w:hAnsi="宋体" w:eastAsia="宋体" w:cs="宋体"/>
          <w:color w:val="auto"/>
          <w:sz w:val="40"/>
          <w:szCs w:val="36"/>
          <w:highlight w:val="none"/>
          <w:lang w:val="en-US" w:eastAsia="zh-CN"/>
        </w:rPr>
      </w:pPr>
      <w:r>
        <w:rPr>
          <w:rFonts w:hint="eastAsia" w:ascii="宋体" w:hAnsi="宋体" w:eastAsia="宋体" w:cs="宋体"/>
          <w:color w:val="auto"/>
          <w:sz w:val="40"/>
          <w:szCs w:val="36"/>
          <w:highlight w:val="none"/>
          <w:lang w:val="en-US" w:eastAsia="zh-CN"/>
        </w:rPr>
        <w:br w:type="page"/>
      </w:r>
    </w:p>
    <w:sdt>
      <w:sdtPr>
        <w:rPr>
          <w:rFonts w:ascii="宋体" w:hAnsi="宋体" w:eastAsia="宋体" w:cs="Times New Roman"/>
          <w:b/>
          <w:bCs/>
          <w:color w:val="auto"/>
          <w:kern w:val="2"/>
          <w:sz w:val="40"/>
          <w:szCs w:val="36"/>
          <w:highlight w:val="none"/>
          <w:lang w:val="en-US" w:eastAsia="zh-CN" w:bidi="ar-SA"/>
        </w:rPr>
        <w:id w:val="147481547"/>
        <w15:color w:val="DBDBDB"/>
        <w:docPartObj>
          <w:docPartGallery w:val="Table of Contents"/>
          <w:docPartUnique/>
        </w:docPartObj>
      </w:sdtPr>
      <w:sdtEndPr>
        <w:rPr>
          <w:rFonts w:hint="eastAsia" w:ascii="宋体" w:hAnsi="宋体" w:eastAsia="宋体" w:cs="宋体"/>
          <w:b/>
          <w:bCs/>
          <w:color w:val="auto"/>
          <w:kern w:val="2"/>
          <w:sz w:val="21"/>
          <w:szCs w:val="21"/>
          <w:highlight w:val="none"/>
          <w:lang w:val="en-US" w:eastAsia="zh-CN" w:bidi="ar-SA"/>
        </w:rPr>
      </w:sdtEndPr>
      <w:sdtContent>
        <w:p w14:paraId="750A439E">
          <w:pPr>
            <w:spacing w:before="0" w:beforeLines="0" w:after="0" w:afterLines="0" w:line="240" w:lineRule="auto"/>
            <w:ind w:left="0" w:leftChars="0" w:right="0" w:rightChars="0" w:firstLine="0" w:firstLineChars="0"/>
            <w:jc w:val="center"/>
            <w:rPr>
              <w:rFonts w:ascii="宋体" w:hAnsi="宋体" w:eastAsia="宋体" w:cs="Times New Roman"/>
              <w:b/>
              <w:bCs/>
              <w:color w:val="auto"/>
              <w:kern w:val="2"/>
              <w:sz w:val="40"/>
              <w:szCs w:val="36"/>
              <w:highlight w:val="none"/>
              <w:lang w:val="en-US" w:eastAsia="zh-CN" w:bidi="ar-SA"/>
            </w:rPr>
          </w:pPr>
        </w:p>
        <w:p w14:paraId="72523937">
          <w:pPr>
            <w:spacing w:before="0" w:beforeLines="0" w:after="0" w:afterLines="0" w:line="240" w:lineRule="auto"/>
            <w:ind w:left="0" w:leftChars="0" w:right="0" w:rightChars="0" w:firstLine="0" w:firstLineChars="0"/>
            <w:jc w:val="center"/>
            <w:rPr>
              <w:rFonts w:ascii="宋体" w:hAnsi="宋体" w:eastAsia="宋体"/>
              <w:b/>
              <w:bCs/>
              <w:color w:val="auto"/>
              <w:sz w:val="40"/>
              <w:szCs w:val="36"/>
              <w:highlight w:val="none"/>
            </w:rPr>
          </w:pPr>
          <w:r>
            <w:rPr>
              <w:rFonts w:ascii="宋体" w:hAnsi="宋体" w:eastAsia="宋体"/>
              <w:b/>
              <w:bCs/>
              <w:color w:val="auto"/>
              <w:sz w:val="40"/>
              <w:szCs w:val="36"/>
              <w:highlight w:val="none"/>
            </w:rPr>
            <w:t>目录</w:t>
          </w:r>
        </w:p>
        <w:p w14:paraId="5EC563F5">
          <w:pPr>
            <w:spacing w:before="0" w:beforeLines="0" w:after="0" w:afterLines="0" w:line="240" w:lineRule="auto"/>
            <w:ind w:left="0" w:leftChars="0" w:right="0" w:rightChars="0" w:firstLine="0" w:firstLineChars="0"/>
            <w:jc w:val="center"/>
            <w:rPr>
              <w:rFonts w:ascii="宋体" w:hAnsi="宋体" w:eastAsia="宋体"/>
              <w:b/>
              <w:bCs/>
              <w:color w:val="auto"/>
              <w:sz w:val="40"/>
              <w:szCs w:val="36"/>
              <w:highlight w:val="none"/>
            </w:rPr>
          </w:pPr>
        </w:p>
        <w:p w14:paraId="3C21A229">
          <w:pPr>
            <w:pStyle w:val="29"/>
            <w:tabs>
              <w:tab w:val="right" w:leader="dot" w:pos="8640"/>
              <w:tab w:val="clear" w:pos="9663"/>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TOC \o "1-2" \h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_Toc31010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第一章招标公告</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_Toc31010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4F7DF21F">
          <w:pPr>
            <w:pStyle w:val="29"/>
            <w:tabs>
              <w:tab w:val="right" w:leader="dot" w:pos="8640"/>
              <w:tab w:val="clear" w:pos="9663"/>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_Toc13371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第二章投标人须知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_Toc13371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61D8D34E">
          <w:pPr>
            <w:pStyle w:val="37"/>
            <w:tabs>
              <w:tab w:val="right" w:leader="dot" w:pos="8640"/>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_Toc17861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pacing w:val="0"/>
              <w:kern w:val="0"/>
              <w:sz w:val="24"/>
              <w:szCs w:val="24"/>
              <w:highlight w:val="none"/>
            </w:rPr>
            <w:t>投标人须知前附表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_Toc17861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01F0FA52">
          <w:pPr>
            <w:pStyle w:val="29"/>
            <w:tabs>
              <w:tab w:val="right" w:leader="dot" w:pos="8640"/>
              <w:tab w:val="clear" w:pos="9663"/>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_Toc32183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eastAsia="zh-CN"/>
            </w:rPr>
            <w:t>第三章政府采购合同专用条款及合同书样式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_Toc32183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DB02BB2">
          <w:pPr>
            <w:pStyle w:val="37"/>
            <w:tabs>
              <w:tab w:val="right" w:leader="dot" w:pos="8640"/>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_Toc20855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pacing w:val="0"/>
              <w:kern w:val="0"/>
              <w:sz w:val="24"/>
              <w:szCs w:val="24"/>
              <w:highlight w:val="none"/>
              <w:lang w:val="en-US" w:eastAsia="zh-CN"/>
            </w:rPr>
            <w:t>政府采购合同专用条款</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_Toc20855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BBF16E9">
          <w:pPr>
            <w:pStyle w:val="29"/>
            <w:tabs>
              <w:tab w:val="right" w:leader="dot" w:pos="8640"/>
              <w:tab w:val="clear" w:pos="9663"/>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_Toc28900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第四章投标文件格式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_Toc28900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33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190C24E6">
          <w:pPr>
            <w:pStyle w:val="29"/>
            <w:tabs>
              <w:tab w:val="right" w:leader="dot" w:pos="8640"/>
              <w:tab w:val="clear" w:pos="9663"/>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_Toc7169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第五章采购需求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_Toc7169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58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138F0C68">
          <w:pPr>
            <w:pStyle w:val="29"/>
            <w:tabs>
              <w:tab w:val="right" w:leader="dot" w:pos="8640"/>
              <w:tab w:val="clear" w:pos="9663"/>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_Toc16369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第六章资格审查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_Toc16369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68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7976E367">
          <w:pPr>
            <w:pStyle w:val="37"/>
            <w:tabs>
              <w:tab w:val="right" w:leader="dot" w:pos="8640"/>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_Toc20258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pacing w:val="0"/>
              <w:kern w:val="0"/>
              <w:sz w:val="24"/>
              <w:szCs w:val="24"/>
              <w:highlight w:val="none"/>
              <w:lang w:val="en-US" w:eastAsia="zh-CN"/>
            </w:rPr>
            <w:t>投标人资格要求前附表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_Toc20258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68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785BAD62">
          <w:pPr>
            <w:pStyle w:val="29"/>
            <w:tabs>
              <w:tab w:val="right" w:leader="dot" w:pos="8640"/>
              <w:tab w:val="clear" w:pos="9663"/>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_Toc18290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第七章评标方法（综合评分法）</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_Toc18290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71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2A2BFFD">
          <w:pPr>
            <w:pStyle w:val="37"/>
            <w:tabs>
              <w:tab w:val="right" w:leader="dot" w:pos="8640"/>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_Toc3151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pacing w:val="0"/>
              <w:kern w:val="0"/>
              <w:sz w:val="24"/>
              <w:szCs w:val="24"/>
              <w:highlight w:val="none"/>
              <w:lang w:val="en-US" w:eastAsia="zh-CN"/>
            </w:rPr>
            <w:t>评标方法前附表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_Toc3151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71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79B1F2FC">
          <w:pPr>
            <w:spacing w:line="360" w:lineRule="auto"/>
            <w:rPr>
              <w:rFonts w:hint="eastAsia" w:ascii="宋体" w:hAnsi="宋体" w:eastAsia="宋体" w:cs="宋体"/>
              <w:color w:val="auto"/>
              <w:sz w:val="22"/>
              <w:szCs w:val="21"/>
              <w:highlight w:val="none"/>
            </w:rPr>
          </w:pPr>
          <w:r>
            <w:rPr>
              <w:rFonts w:hint="eastAsia" w:ascii="宋体" w:hAnsi="宋体" w:eastAsia="宋体" w:cs="宋体"/>
              <w:color w:val="auto"/>
              <w:sz w:val="24"/>
              <w:szCs w:val="24"/>
              <w:highlight w:val="none"/>
            </w:rPr>
            <w:fldChar w:fldCharType="end"/>
          </w:r>
        </w:p>
      </w:sdtContent>
    </w:sdt>
    <w:p w14:paraId="48C7F1EA">
      <w:pPr>
        <w:pStyle w:val="2"/>
        <w:pageBreakBefore w:val="0"/>
        <w:kinsoku/>
        <w:overflowPunct/>
        <w:topLinePunct w:val="0"/>
        <w:autoSpaceDE/>
        <w:autoSpaceDN/>
        <w:bidi w:val="0"/>
        <w:adjustRightInd/>
        <w:snapToGrid/>
        <w:spacing w:before="0" w:beforeAutospacing="0" w:after="0" w:afterAutospacing="0" w:line="480" w:lineRule="exact"/>
        <w:rPr>
          <w:rFonts w:hint="eastAsia" w:ascii="宋体" w:hAnsi="宋体" w:eastAsia="宋体" w:cs="宋体"/>
          <w:color w:val="auto"/>
          <w:sz w:val="32"/>
          <w:szCs w:val="32"/>
          <w:highlight w:val="none"/>
        </w:rPr>
        <w:sectPr>
          <w:headerReference r:id="rId3" w:type="default"/>
          <w:footerReference r:id="rId4" w:type="default"/>
          <w:pgSz w:w="11906" w:h="16838"/>
          <w:pgMar w:top="1440" w:right="1800" w:bottom="1440" w:left="1800" w:header="567" w:footer="567" w:gutter="0"/>
          <w:pgNumType w:fmt="decimal"/>
          <w:cols w:space="720" w:num="1"/>
        </w:sectPr>
      </w:pPr>
    </w:p>
    <w:p w14:paraId="7AB17AA3">
      <w:pPr>
        <w:pStyle w:val="2"/>
        <w:pageBreakBefore w:val="0"/>
        <w:kinsoku/>
        <w:overflowPunct/>
        <w:topLinePunct w:val="0"/>
        <w:autoSpaceDE/>
        <w:autoSpaceDN/>
        <w:bidi w:val="0"/>
        <w:adjustRightInd/>
        <w:snapToGrid/>
        <w:spacing w:before="0" w:beforeAutospacing="0" w:after="0" w:afterAutospacing="0" w:line="480" w:lineRule="exact"/>
        <w:rPr>
          <w:rFonts w:hint="eastAsia" w:ascii="宋体" w:hAnsi="宋体" w:eastAsia="宋体" w:cs="宋体"/>
          <w:color w:val="auto"/>
          <w:sz w:val="32"/>
          <w:szCs w:val="32"/>
          <w:highlight w:val="none"/>
        </w:rPr>
      </w:pPr>
      <w:bookmarkStart w:id="10" w:name="_Toc31010"/>
      <w:r>
        <w:rPr>
          <w:rFonts w:hint="eastAsia" w:ascii="宋体" w:hAnsi="宋体" w:eastAsia="宋体" w:cs="宋体"/>
          <w:color w:val="auto"/>
          <w:sz w:val="32"/>
          <w:szCs w:val="32"/>
          <w:highlight w:val="none"/>
        </w:rPr>
        <w:t>第一章招标公告</w:t>
      </w:r>
      <w:bookmarkEnd w:id="10"/>
    </w:p>
    <w:p w14:paraId="51C81427">
      <w:pPr>
        <w:pageBreakBefore w:val="0"/>
        <w:pBdr>
          <w:top w:val="single" w:color="auto" w:sz="4" w:space="1"/>
          <w:left w:val="single" w:color="auto" w:sz="4" w:space="4"/>
          <w:bottom w:val="single" w:color="auto" w:sz="4" w:space="1"/>
          <w:right w:val="single" w:color="auto" w:sz="4" w:space="4"/>
        </w:pBdr>
        <w:kinsoku/>
        <w:overflowPunct/>
        <w:topLinePunct w:val="0"/>
        <w:autoSpaceDE/>
        <w:autoSpaceDN/>
        <w:bidi w:val="0"/>
        <w:adjustRightInd/>
        <w:snapToGrid/>
        <w:spacing w:beforeAutospacing="0" w:afterAutospacing="0" w:line="480" w:lineRule="exact"/>
        <w:ind w:firstLine="420" w:firstLineChars="200"/>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项目概况</w:t>
      </w:r>
    </w:p>
    <w:p w14:paraId="743441D0">
      <w:pPr>
        <w:pageBreakBefore w:val="0"/>
        <w:pBdr>
          <w:top w:val="single" w:color="auto" w:sz="4" w:space="1"/>
          <w:left w:val="single" w:color="auto" w:sz="4" w:space="4"/>
          <w:bottom w:val="single" w:color="auto" w:sz="4" w:space="1"/>
          <w:right w:val="single" w:color="auto" w:sz="4" w:space="4"/>
        </w:pBdr>
        <w:kinsoku/>
        <w:overflowPunct/>
        <w:topLinePunct w:val="0"/>
        <w:autoSpaceDE/>
        <w:autoSpaceDN/>
        <w:bidi w:val="0"/>
        <w:adjustRightInd/>
        <w:snapToGrid/>
        <w:spacing w:beforeAutospacing="0" w:afterAutospacing="0" w:line="480" w:lineRule="exact"/>
        <w:ind w:firstLine="420" w:firstLineChars="200"/>
        <w:rPr>
          <w:rFonts w:hint="eastAsia" w:ascii="宋体" w:hAnsi="宋体" w:eastAsia="宋体" w:cs="宋体"/>
          <w:b w:val="0"/>
          <w:bCs w:val="0"/>
          <w:color w:val="auto"/>
          <w:szCs w:val="21"/>
          <w:highlight w:val="none"/>
          <w:u w:val="none"/>
        </w:rPr>
      </w:pPr>
      <w:r>
        <w:rPr>
          <w:rFonts w:hint="eastAsia" w:ascii="宋体" w:hAnsi="宋体" w:cs="宋体"/>
          <w:b w:val="0"/>
          <w:bCs w:val="0"/>
          <w:color w:val="auto"/>
          <w:szCs w:val="21"/>
          <w:highlight w:val="none"/>
          <w:u w:val="none"/>
          <w:lang w:eastAsia="zh-CN"/>
        </w:rPr>
        <w:t>怒江职业技术学院建筑材料智能检测实训基地建设项目</w:t>
      </w:r>
      <w:r>
        <w:rPr>
          <w:rFonts w:hint="eastAsia" w:ascii="宋体" w:hAnsi="宋体" w:eastAsia="宋体" w:cs="宋体"/>
          <w:b w:val="0"/>
          <w:bCs w:val="0"/>
          <w:color w:val="auto"/>
          <w:szCs w:val="21"/>
          <w:highlight w:val="none"/>
          <w:u w:val="none"/>
        </w:rPr>
        <w:t>的潜在投标人应在政采云平台（https://www.zcygov.cn/）获取招标文件，并于</w:t>
      </w:r>
      <w:r>
        <w:rPr>
          <w:rFonts w:hint="eastAsia" w:ascii="宋体" w:hAnsi="宋体" w:cs="宋体"/>
          <w:b w:val="0"/>
          <w:bCs w:val="0"/>
          <w:color w:val="auto"/>
          <w:szCs w:val="21"/>
          <w:highlight w:val="none"/>
          <w:u w:val="none"/>
          <w:lang w:eastAsia="zh-CN"/>
        </w:rPr>
        <w:t>2026年</w:t>
      </w:r>
      <w:r>
        <w:rPr>
          <w:rFonts w:hint="eastAsia" w:ascii="宋体" w:hAnsi="宋体" w:cs="宋体"/>
          <w:b w:val="0"/>
          <w:bCs w:val="0"/>
          <w:color w:val="auto"/>
          <w:szCs w:val="21"/>
          <w:highlight w:val="none"/>
          <w:u w:val="none"/>
          <w:lang w:val="en-US" w:eastAsia="zh-CN"/>
        </w:rPr>
        <w:t>06</w:t>
      </w:r>
      <w:r>
        <w:rPr>
          <w:rFonts w:hint="eastAsia" w:ascii="宋体" w:hAnsi="宋体" w:cs="宋体"/>
          <w:b w:val="0"/>
          <w:bCs w:val="0"/>
          <w:color w:val="auto"/>
          <w:szCs w:val="21"/>
          <w:highlight w:val="none"/>
          <w:u w:val="none"/>
          <w:lang w:eastAsia="zh-CN"/>
        </w:rPr>
        <w:t>月</w:t>
      </w:r>
      <w:r>
        <w:rPr>
          <w:rFonts w:hint="eastAsia" w:ascii="宋体" w:hAnsi="宋体" w:cs="宋体"/>
          <w:b w:val="0"/>
          <w:bCs w:val="0"/>
          <w:color w:val="auto"/>
          <w:szCs w:val="21"/>
          <w:highlight w:val="none"/>
          <w:u w:val="none"/>
          <w:lang w:val="en-US" w:eastAsia="zh-CN"/>
        </w:rPr>
        <w:t>09</w:t>
      </w:r>
      <w:r>
        <w:rPr>
          <w:rFonts w:hint="eastAsia" w:ascii="宋体" w:hAnsi="宋体" w:cs="宋体"/>
          <w:b w:val="0"/>
          <w:bCs w:val="0"/>
          <w:color w:val="auto"/>
          <w:szCs w:val="21"/>
          <w:highlight w:val="none"/>
          <w:u w:val="none"/>
          <w:lang w:eastAsia="zh-CN"/>
        </w:rPr>
        <w:t>日</w:t>
      </w:r>
      <w:r>
        <w:rPr>
          <w:rFonts w:hint="eastAsia" w:ascii="宋体" w:hAnsi="宋体" w:cs="宋体"/>
          <w:b w:val="0"/>
          <w:bCs w:val="0"/>
          <w:color w:val="auto"/>
          <w:szCs w:val="21"/>
          <w:highlight w:val="none"/>
          <w:u w:val="none"/>
          <w:lang w:val="en-US" w:eastAsia="zh-CN"/>
        </w:rPr>
        <w:t>09</w:t>
      </w:r>
      <w:r>
        <w:rPr>
          <w:rFonts w:hint="eastAsia" w:ascii="宋体" w:hAnsi="宋体" w:cs="宋体"/>
          <w:b w:val="0"/>
          <w:bCs w:val="0"/>
          <w:color w:val="auto"/>
          <w:szCs w:val="21"/>
          <w:highlight w:val="none"/>
          <w:u w:val="none"/>
          <w:lang w:eastAsia="zh-CN"/>
        </w:rPr>
        <w:t>时</w:t>
      </w:r>
      <w:r>
        <w:rPr>
          <w:rFonts w:hint="eastAsia" w:ascii="宋体" w:hAnsi="宋体" w:cs="宋体"/>
          <w:b w:val="0"/>
          <w:bCs w:val="0"/>
          <w:color w:val="auto"/>
          <w:szCs w:val="21"/>
          <w:highlight w:val="none"/>
          <w:u w:val="none"/>
          <w:lang w:val="en-US" w:eastAsia="zh-CN"/>
        </w:rPr>
        <w:t>30</w:t>
      </w:r>
      <w:r>
        <w:rPr>
          <w:rFonts w:hint="eastAsia" w:ascii="宋体" w:hAnsi="宋体" w:cs="宋体"/>
          <w:b w:val="0"/>
          <w:bCs w:val="0"/>
          <w:color w:val="auto"/>
          <w:szCs w:val="21"/>
          <w:highlight w:val="none"/>
          <w:u w:val="none"/>
          <w:lang w:eastAsia="zh-CN"/>
        </w:rPr>
        <w:t>分</w:t>
      </w:r>
      <w:r>
        <w:rPr>
          <w:rFonts w:hint="eastAsia" w:ascii="宋体" w:hAnsi="宋体" w:eastAsia="宋体" w:cs="宋体"/>
          <w:b w:val="0"/>
          <w:bCs w:val="0"/>
          <w:color w:val="auto"/>
          <w:szCs w:val="21"/>
          <w:highlight w:val="none"/>
          <w:u w:val="none"/>
        </w:rPr>
        <w:t>（北京时间）前递交投标文件。</w:t>
      </w:r>
    </w:p>
    <w:p w14:paraId="4F5C37C1">
      <w:pPr>
        <w:pageBreakBefore w:val="0"/>
        <w:kinsoku/>
        <w:overflowPunct/>
        <w:topLinePunct w:val="0"/>
        <w:autoSpaceDE/>
        <w:autoSpaceDN/>
        <w:bidi w:val="0"/>
        <w:adjustRightInd/>
        <w:snapToGrid/>
        <w:spacing w:before="0" w:beforeAutospacing="0" w:afterAutospacing="0" w:line="480" w:lineRule="exact"/>
        <w:outlineLvl w:val="1"/>
        <w:rPr>
          <w:rFonts w:hint="eastAsia" w:ascii="宋体" w:hAnsi="宋体" w:eastAsia="宋体" w:cs="宋体"/>
          <w:b/>
          <w:bCs w:val="0"/>
          <w:color w:val="auto"/>
          <w:spacing w:val="0"/>
          <w:sz w:val="28"/>
          <w:szCs w:val="28"/>
          <w:highlight w:val="none"/>
        </w:rPr>
      </w:pPr>
      <w:bookmarkStart w:id="11" w:name="_Toc2713"/>
      <w:bookmarkStart w:id="12" w:name="_Toc13734"/>
      <w:r>
        <w:rPr>
          <w:rFonts w:hint="eastAsia" w:ascii="宋体" w:hAnsi="宋体" w:eastAsia="宋体" w:cs="宋体"/>
          <w:b/>
          <w:bCs w:val="0"/>
          <w:color w:val="auto"/>
          <w:spacing w:val="0"/>
          <w:sz w:val="28"/>
          <w:szCs w:val="28"/>
          <w:highlight w:val="none"/>
        </w:rPr>
        <w:t>一、项目基本情况</w:t>
      </w:r>
      <w:bookmarkEnd w:id="11"/>
      <w:bookmarkEnd w:id="12"/>
    </w:p>
    <w:p w14:paraId="675F50E4">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1.项目编号：</w:t>
      </w:r>
      <w:r>
        <w:rPr>
          <w:rFonts w:hint="eastAsia" w:ascii="宋体" w:hAnsi="宋体" w:cs="宋体"/>
          <w:color w:val="auto"/>
          <w:szCs w:val="21"/>
          <w:highlight w:val="none"/>
          <w:lang w:eastAsia="zh-CN"/>
        </w:rPr>
        <w:t>GCDZ-2026006</w:t>
      </w:r>
      <w:r>
        <w:rPr>
          <w:rFonts w:hint="eastAsia" w:ascii="宋体" w:hAnsi="宋体" w:cs="宋体"/>
          <w:color w:val="auto"/>
          <w:szCs w:val="21"/>
          <w:highlight w:val="none"/>
          <w:lang w:val="en-US" w:eastAsia="zh-CN"/>
        </w:rPr>
        <w:t>。</w:t>
      </w:r>
    </w:p>
    <w:p w14:paraId="743F1576">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2.项目名称：</w:t>
      </w:r>
      <w:r>
        <w:rPr>
          <w:rFonts w:hint="eastAsia" w:ascii="宋体" w:hAnsi="宋体" w:cs="宋体"/>
          <w:color w:val="auto"/>
          <w:szCs w:val="21"/>
          <w:highlight w:val="none"/>
          <w:lang w:eastAsia="zh-CN"/>
        </w:rPr>
        <w:t>怒江职业技术学院建筑材料智能检测实训基地建设项目</w:t>
      </w:r>
    </w:p>
    <w:p w14:paraId="292941D9">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rPr>
        <w:t>3.预算金额：</w:t>
      </w:r>
      <w:r>
        <w:rPr>
          <w:rFonts w:hint="eastAsia" w:ascii="宋体" w:hAnsi="宋体" w:cs="宋体"/>
          <w:color w:val="auto"/>
          <w:szCs w:val="21"/>
          <w:highlight w:val="none"/>
          <w:lang w:val="en-US" w:eastAsia="zh-CN"/>
        </w:rPr>
        <w:t>1108000.00元；</w:t>
      </w:r>
    </w:p>
    <w:p w14:paraId="1C87341F">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4.最高限价：</w:t>
      </w:r>
      <w:r>
        <w:rPr>
          <w:rFonts w:hint="eastAsia" w:ascii="宋体" w:hAnsi="宋体" w:cs="宋体"/>
          <w:color w:val="auto"/>
          <w:szCs w:val="21"/>
          <w:highlight w:val="none"/>
          <w:lang w:val="en-US" w:eastAsia="zh-CN"/>
        </w:rPr>
        <w:t>1108000.00元；</w:t>
      </w:r>
    </w:p>
    <w:p w14:paraId="52C242A7">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5.采购需求：</w:t>
      </w:r>
    </w:p>
    <w:tbl>
      <w:tblPr>
        <w:tblStyle w:val="47"/>
        <w:tblW w:w="7710"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15" w:type="dxa"/>
          <w:left w:w="15" w:type="dxa"/>
          <w:bottom w:w="15" w:type="dxa"/>
          <w:right w:w="15" w:type="dxa"/>
        </w:tblCellMar>
      </w:tblPr>
      <w:tblGrid>
        <w:gridCol w:w="818"/>
        <w:gridCol w:w="4500"/>
        <w:gridCol w:w="945"/>
        <w:gridCol w:w="1447"/>
      </w:tblGrid>
      <w:tr w14:paraId="576B402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625" w:hRule="atLeast"/>
          <w:jc w:val="center"/>
        </w:trPr>
        <w:tc>
          <w:tcPr>
            <w:tcW w:w="818" w:type="dxa"/>
            <w:tcBorders>
              <w:tl2br w:val="nil"/>
              <w:tr2bl w:val="nil"/>
            </w:tcBorders>
            <w:tcMar>
              <w:top w:w="0" w:type="dxa"/>
              <w:left w:w="108" w:type="dxa"/>
              <w:bottom w:w="0" w:type="dxa"/>
              <w:right w:w="108" w:type="dxa"/>
            </w:tcMar>
            <w:vAlign w:val="center"/>
          </w:tcPr>
          <w:p w14:paraId="16B35DFC">
            <w:pPr>
              <w:pStyle w:val="41"/>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jc w:val="center"/>
              <w:outlineLvl w:val="9"/>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序号</w:t>
            </w:r>
          </w:p>
        </w:tc>
        <w:tc>
          <w:tcPr>
            <w:tcW w:w="4500" w:type="dxa"/>
            <w:tcBorders>
              <w:tl2br w:val="nil"/>
              <w:tr2bl w:val="nil"/>
            </w:tcBorders>
            <w:tcMar>
              <w:top w:w="0" w:type="dxa"/>
              <w:left w:w="108" w:type="dxa"/>
              <w:bottom w:w="0" w:type="dxa"/>
              <w:right w:w="108" w:type="dxa"/>
            </w:tcMar>
            <w:vAlign w:val="center"/>
          </w:tcPr>
          <w:p w14:paraId="499330D2">
            <w:pPr>
              <w:pStyle w:val="41"/>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jc w:val="center"/>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产品（项目）名称</w:t>
            </w:r>
          </w:p>
        </w:tc>
        <w:tc>
          <w:tcPr>
            <w:tcW w:w="945" w:type="dxa"/>
            <w:tcBorders>
              <w:tl2br w:val="nil"/>
              <w:tr2bl w:val="nil"/>
            </w:tcBorders>
            <w:tcMar>
              <w:top w:w="0" w:type="dxa"/>
              <w:left w:w="108" w:type="dxa"/>
              <w:bottom w:w="0" w:type="dxa"/>
              <w:right w:w="108" w:type="dxa"/>
            </w:tcMar>
            <w:vAlign w:val="center"/>
          </w:tcPr>
          <w:p w14:paraId="42FCF5F6">
            <w:pPr>
              <w:pStyle w:val="41"/>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jc w:val="center"/>
              <w:outlineLvl w:val="9"/>
              <w:rPr>
                <w:rFonts w:hint="eastAsia" w:ascii="宋体" w:hAnsi="宋体" w:eastAsia="宋体" w:cs="宋体"/>
                <w:color w:val="auto"/>
                <w:sz w:val="21"/>
                <w:szCs w:val="21"/>
                <w:highlight w:val="none"/>
              </w:rPr>
            </w:pPr>
            <w:r>
              <w:rPr>
                <w:rStyle w:val="50"/>
                <w:rFonts w:hint="eastAsia" w:ascii="宋体" w:hAnsi="宋体" w:eastAsia="宋体" w:cs="宋体"/>
                <w:color w:val="auto"/>
                <w:sz w:val="21"/>
                <w:szCs w:val="21"/>
                <w:highlight w:val="none"/>
              </w:rPr>
              <w:t>数量</w:t>
            </w:r>
          </w:p>
        </w:tc>
        <w:tc>
          <w:tcPr>
            <w:tcW w:w="1447" w:type="dxa"/>
            <w:tcBorders>
              <w:tl2br w:val="nil"/>
              <w:tr2bl w:val="nil"/>
            </w:tcBorders>
            <w:tcMar>
              <w:top w:w="0" w:type="dxa"/>
              <w:left w:w="108" w:type="dxa"/>
              <w:bottom w:w="0" w:type="dxa"/>
              <w:right w:w="108" w:type="dxa"/>
            </w:tcMar>
            <w:vAlign w:val="center"/>
          </w:tcPr>
          <w:p w14:paraId="575CA824">
            <w:pPr>
              <w:pStyle w:val="41"/>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jc w:val="center"/>
              <w:outlineLvl w:val="9"/>
              <w:rPr>
                <w:rFonts w:hint="eastAsia" w:ascii="宋体" w:hAnsi="宋体" w:eastAsia="宋体" w:cs="宋体"/>
                <w:color w:val="auto"/>
                <w:sz w:val="21"/>
                <w:szCs w:val="21"/>
                <w:highlight w:val="none"/>
              </w:rPr>
            </w:pPr>
            <w:r>
              <w:rPr>
                <w:rStyle w:val="50"/>
                <w:rFonts w:hint="eastAsia" w:ascii="宋体" w:hAnsi="宋体" w:eastAsia="宋体" w:cs="宋体"/>
                <w:color w:val="auto"/>
                <w:sz w:val="21"/>
                <w:szCs w:val="21"/>
                <w:highlight w:val="none"/>
              </w:rPr>
              <w:t>计量单位</w:t>
            </w:r>
          </w:p>
        </w:tc>
      </w:tr>
      <w:tr w14:paraId="6683355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397" w:hRule="atLeast"/>
          <w:jc w:val="center"/>
        </w:trPr>
        <w:tc>
          <w:tcPr>
            <w:tcW w:w="818" w:type="dxa"/>
            <w:tcBorders>
              <w:tl2br w:val="nil"/>
              <w:tr2bl w:val="nil"/>
            </w:tcBorders>
            <w:tcMar>
              <w:top w:w="0" w:type="dxa"/>
              <w:left w:w="108" w:type="dxa"/>
              <w:bottom w:w="0" w:type="dxa"/>
              <w:right w:w="108" w:type="dxa"/>
            </w:tcMar>
            <w:vAlign w:val="center"/>
          </w:tcPr>
          <w:p w14:paraId="0A681781">
            <w:pPr>
              <w:pStyle w:val="41"/>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jc w:val="center"/>
              <w:textAlignment w:val="center"/>
              <w:outlineLvl w:val="9"/>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w:t>
            </w:r>
          </w:p>
        </w:tc>
        <w:tc>
          <w:tcPr>
            <w:tcW w:w="4500" w:type="dxa"/>
            <w:tcBorders>
              <w:tl2br w:val="nil"/>
              <w:tr2bl w:val="nil"/>
            </w:tcBorders>
            <w:shd w:val="clear" w:color="auto" w:fill="auto"/>
            <w:tcMar>
              <w:top w:w="0" w:type="dxa"/>
              <w:left w:w="108" w:type="dxa"/>
              <w:bottom w:w="0" w:type="dxa"/>
              <w:right w:w="108" w:type="dxa"/>
            </w:tcMar>
            <w:vAlign w:val="center"/>
          </w:tcPr>
          <w:p w14:paraId="2E3AD17F">
            <w:pPr>
              <w:spacing w:line="300" w:lineRule="exact"/>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sz w:val="21"/>
                <w:szCs w:val="21"/>
              </w:rPr>
              <w:t>数显式万能材料试验机</w:t>
            </w:r>
          </w:p>
        </w:tc>
        <w:tc>
          <w:tcPr>
            <w:tcW w:w="945" w:type="dxa"/>
            <w:tcBorders>
              <w:tl2br w:val="nil"/>
              <w:tr2bl w:val="nil"/>
            </w:tcBorders>
            <w:shd w:val="clear" w:color="auto" w:fill="auto"/>
            <w:tcMar>
              <w:top w:w="0" w:type="dxa"/>
              <w:left w:w="108" w:type="dxa"/>
              <w:bottom w:w="0" w:type="dxa"/>
              <w:right w:w="108" w:type="dxa"/>
            </w:tcMar>
            <w:vAlign w:val="center"/>
          </w:tcPr>
          <w:p w14:paraId="6E491B32">
            <w:pPr>
              <w:spacing w:line="300" w:lineRule="exact"/>
              <w:jc w:val="cente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sz w:val="21"/>
                <w:szCs w:val="21"/>
                <w:lang w:val="en-US" w:eastAsia="zh-CN"/>
              </w:rPr>
              <w:t>1</w:t>
            </w:r>
          </w:p>
        </w:tc>
        <w:tc>
          <w:tcPr>
            <w:tcW w:w="1447" w:type="dxa"/>
            <w:tcBorders>
              <w:tl2br w:val="nil"/>
              <w:tr2bl w:val="nil"/>
            </w:tcBorders>
            <w:shd w:val="clear" w:color="auto" w:fill="auto"/>
            <w:tcMar>
              <w:top w:w="0" w:type="dxa"/>
              <w:left w:w="108" w:type="dxa"/>
              <w:bottom w:w="0" w:type="dxa"/>
              <w:right w:w="108" w:type="dxa"/>
            </w:tcMar>
            <w:vAlign w:val="center"/>
          </w:tcPr>
          <w:p w14:paraId="63F9373D">
            <w:pPr>
              <w:spacing w:line="300" w:lineRule="exact"/>
              <w:jc w:val="cente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sz w:val="21"/>
                <w:szCs w:val="21"/>
                <w:lang w:val="en-US" w:eastAsia="zh-CN"/>
              </w:rPr>
              <w:t>台</w:t>
            </w:r>
          </w:p>
        </w:tc>
      </w:tr>
      <w:tr w14:paraId="765910F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397" w:hRule="atLeast"/>
          <w:jc w:val="center"/>
        </w:trPr>
        <w:tc>
          <w:tcPr>
            <w:tcW w:w="818" w:type="dxa"/>
            <w:tcBorders>
              <w:tl2br w:val="nil"/>
              <w:tr2bl w:val="nil"/>
            </w:tcBorders>
            <w:tcMar>
              <w:top w:w="0" w:type="dxa"/>
              <w:left w:w="108" w:type="dxa"/>
              <w:bottom w:w="0" w:type="dxa"/>
              <w:right w:w="108" w:type="dxa"/>
            </w:tcMar>
            <w:vAlign w:val="center"/>
          </w:tcPr>
          <w:p w14:paraId="0C1618DF">
            <w:pPr>
              <w:pStyle w:val="41"/>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jc w:val="center"/>
              <w:textAlignment w:val="center"/>
              <w:outlineLvl w:val="9"/>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w:t>
            </w:r>
          </w:p>
        </w:tc>
        <w:tc>
          <w:tcPr>
            <w:tcW w:w="4500" w:type="dxa"/>
            <w:tcBorders>
              <w:tl2br w:val="nil"/>
              <w:tr2bl w:val="nil"/>
            </w:tcBorders>
            <w:shd w:val="clear" w:color="auto" w:fill="auto"/>
            <w:tcMar>
              <w:top w:w="0" w:type="dxa"/>
              <w:left w:w="108" w:type="dxa"/>
              <w:bottom w:w="0" w:type="dxa"/>
              <w:right w:w="108" w:type="dxa"/>
            </w:tcMar>
            <w:vAlign w:val="center"/>
          </w:tcPr>
          <w:p w14:paraId="1FE970A6">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rPr>
              <w:t>冲击弹性波无损检测仪</w:t>
            </w:r>
          </w:p>
        </w:tc>
        <w:tc>
          <w:tcPr>
            <w:tcW w:w="945" w:type="dxa"/>
            <w:tcBorders>
              <w:tl2br w:val="nil"/>
              <w:tr2bl w:val="nil"/>
            </w:tcBorders>
            <w:shd w:val="clear" w:color="auto" w:fill="auto"/>
            <w:tcMar>
              <w:top w:w="0" w:type="dxa"/>
              <w:left w:w="108" w:type="dxa"/>
              <w:bottom w:w="0" w:type="dxa"/>
              <w:right w:w="108" w:type="dxa"/>
            </w:tcMar>
            <w:vAlign w:val="center"/>
          </w:tcPr>
          <w:p w14:paraId="1CB42C91">
            <w:pPr>
              <w:jc w:val="cente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lang w:val="en-US" w:eastAsia="zh-CN"/>
              </w:rPr>
              <w:t>5</w:t>
            </w:r>
          </w:p>
        </w:tc>
        <w:tc>
          <w:tcPr>
            <w:tcW w:w="1447" w:type="dxa"/>
            <w:tcBorders>
              <w:tl2br w:val="nil"/>
              <w:tr2bl w:val="nil"/>
            </w:tcBorders>
            <w:shd w:val="clear" w:color="auto" w:fill="auto"/>
            <w:tcMar>
              <w:top w:w="0" w:type="dxa"/>
              <w:left w:w="108" w:type="dxa"/>
              <w:bottom w:w="0" w:type="dxa"/>
              <w:right w:w="108" w:type="dxa"/>
            </w:tcMar>
            <w:vAlign w:val="center"/>
          </w:tcPr>
          <w:p w14:paraId="20F5969E">
            <w:pPr>
              <w:jc w:val="cente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lang w:val="en-US" w:eastAsia="zh-CN"/>
              </w:rPr>
              <w:t>台</w:t>
            </w:r>
          </w:p>
        </w:tc>
      </w:tr>
      <w:tr w14:paraId="25430F2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397" w:hRule="atLeast"/>
          <w:jc w:val="center"/>
        </w:trPr>
        <w:tc>
          <w:tcPr>
            <w:tcW w:w="818" w:type="dxa"/>
            <w:tcBorders>
              <w:tl2br w:val="nil"/>
              <w:tr2bl w:val="nil"/>
            </w:tcBorders>
            <w:tcMar>
              <w:top w:w="0" w:type="dxa"/>
              <w:left w:w="108" w:type="dxa"/>
              <w:bottom w:w="0" w:type="dxa"/>
              <w:right w:w="108" w:type="dxa"/>
            </w:tcMar>
            <w:vAlign w:val="center"/>
          </w:tcPr>
          <w:p w14:paraId="59A8AED0">
            <w:pPr>
              <w:pStyle w:val="41"/>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jc w:val="center"/>
              <w:textAlignment w:val="center"/>
              <w:outlineLvl w:val="9"/>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w:t>
            </w:r>
          </w:p>
        </w:tc>
        <w:tc>
          <w:tcPr>
            <w:tcW w:w="4500" w:type="dxa"/>
            <w:tcBorders>
              <w:tl2br w:val="nil"/>
              <w:tr2bl w:val="nil"/>
            </w:tcBorders>
            <w:shd w:val="clear" w:color="auto" w:fill="auto"/>
            <w:tcMar>
              <w:top w:w="0" w:type="dxa"/>
              <w:left w:w="108" w:type="dxa"/>
              <w:bottom w:w="0" w:type="dxa"/>
              <w:right w:w="108" w:type="dxa"/>
            </w:tcMar>
            <w:vAlign w:val="center"/>
          </w:tcPr>
          <w:p w14:paraId="056D9045">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rPr>
              <w:t>裂缝监测动态模型系统</w:t>
            </w:r>
          </w:p>
        </w:tc>
        <w:tc>
          <w:tcPr>
            <w:tcW w:w="945" w:type="dxa"/>
            <w:tcBorders>
              <w:tl2br w:val="nil"/>
              <w:tr2bl w:val="nil"/>
            </w:tcBorders>
            <w:shd w:val="clear" w:color="auto" w:fill="auto"/>
            <w:tcMar>
              <w:top w:w="0" w:type="dxa"/>
              <w:left w:w="108" w:type="dxa"/>
              <w:bottom w:w="0" w:type="dxa"/>
              <w:right w:w="108" w:type="dxa"/>
            </w:tcMar>
            <w:vAlign w:val="center"/>
          </w:tcPr>
          <w:p w14:paraId="52CE6BFE">
            <w:pPr>
              <w:jc w:val="cente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lang w:val="en-US" w:eastAsia="zh-CN"/>
              </w:rPr>
              <w:t>1</w:t>
            </w:r>
          </w:p>
        </w:tc>
        <w:tc>
          <w:tcPr>
            <w:tcW w:w="1447" w:type="dxa"/>
            <w:tcBorders>
              <w:tl2br w:val="nil"/>
              <w:tr2bl w:val="nil"/>
            </w:tcBorders>
            <w:shd w:val="clear" w:color="auto" w:fill="auto"/>
            <w:tcMar>
              <w:top w:w="0" w:type="dxa"/>
              <w:left w:w="108" w:type="dxa"/>
              <w:bottom w:w="0" w:type="dxa"/>
              <w:right w:w="108" w:type="dxa"/>
            </w:tcMar>
            <w:vAlign w:val="center"/>
          </w:tcPr>
          <w:p w14:paraId="395A5F4B">
            <w:pPr>
              <w:jc w:val="cente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lang w:val="en-US" w:eastAsia="zh-CN"/>
              </w:rPr>
              <w:t>套</w:t>
            </w:r>
          </w:p>
        </w:tc>
      </w:tr>
      <w:tr w14:paraId="7801431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397" w:hRule="atLeast"/>
          <w:jc w:val="center"/>
        </w:trPr>
        <w:tc>
          <w:tcPr>
            <w:tcW w:w="818" w:type="dxa"/>
            <w:tcBorders>
              <w:tl2br w:val="nil"/>
              <w:tr2bl w:val="nil"/>
            </w:tcBorders>
            <w:tcMar>
              <w:top w:w="0" w:type="dxa"/>
              <w:left w:w="108" w:type="dxa"/>
              <w:bottom w:w="0" w:type="dxa"/>
              <w:right w:w="108" w:type="dxa"/>
            </w:tcMar>
            <w:vAlign w:val="center"/>
          </w:tcPr>
          <w:p w14:paraId="67AE0727">
            <w:pPr>
              <w:pStyle w:val="41"/>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jc w:val="center"/>
              <w:textAlignment w:val="center"/>
              <w:outlineLvl w:val="9"/>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w:t>
            </w:r>
          </w:p>
        </w:tc>
        <w:tc>
          <w:tcPr>
            <w:tcW w:w="4500" w:type="dxa"/>
            <w:tcBorders>
              <w:tl2br w:val="nil"/>
              <w:tr2bl w:val="nil"/>
            </w:tcBorders>
            <w:shd w:val="clear" w:color="auto" w:fill="auto"/>
            <w:tcMar>
              <w:top w:w="0" w:type="dxa"/>
              <w:left w:w="108" w:type="dxa"/>
              <w:bottom w:w="0" w:type="dxa"/>
              <w:right w:w="108" w:type="dxa"/>
            </w:tcMar>
            <w:vAlign w:val="center"/>
          </w:tcPr>
          <w:p w14:paraId="333F7FF0">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rPr>
              <w:t>一体式钢筋扫描仪</w:t>
            </w:r>
          </w:p>
        </w:tc>
        <w:tc>
          <w:tcPr>
            <w:tcW w:w="945" w:type="dxa"/>
            <w:tcBorders>
              <w:tl2br w:val="nil"/>
              <w:tr2bl w:val="nil"/>
            </w:tcBorders>
            <w:shd w:val="clear" w:color="auto" w:fill="auto"/>
            <w:tcMar>
              <w:top w:w="0" w:type="dxa"/>
              <w:left w:w="108" w:type="dxa"/>
              <w:bottom w:w="0" w:type="dxa"/>
              <w:right w:w="108" w:type="dxa"/>
            </w:tcMar>
            <w:vAlign w:val="center"/>
          </w:tcPr>
          <w:p w14:paraId="431C7DA4">
            <w:pPr>
              <w:jc w:val="cente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lang w:val="en-US" w:eastAsia="zh-CN"/>
              </w:rPr>
              <w:t>5</w:t>
            </w:r>
          </w:p>
        </w:tc>
        <w:tc>
          <w:tcPr>
            <w:tcW w:w="1447" w:type="dxa"/>
            <w:tcBorders>
              <w:tl2br w:val="nil"/>
              <w:tr2bl w:val="nil"/>
            </w:tcBorders>
            <w:shd w:val="clear" w:color="auto" w:fill="auto"/>
            <w:tcMar>
              <w:top w:w="0" w:type="dxa"/>
              <w:left w:w="108" w:type="dxa"/>
              <w:bottom w:w="0" w:type="dxa"/>
              <w:right w:w="108" w:type="dxa"/>
            </w:tcMar>
            <w:vAlign w:val="center"/>
          </w:tcPr>
          <w:p w14:paraId="76030927">
            <w:pPr>
              <w:jc w:val="cente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lang w:val="en-US" w:eastAsia="zh-CN"/>
              </w:rPr>
              <w:t>台</w:t>
            </w:r>
          </w:p>
        </w:tc>
      </w:tr>
      <w:tr w14:paraId="65E2636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397" w:hRule="atLeast"/>
          <w:jc w:val="center"/>
        </w:trPr>
        <w:tc>
          <w:tcPr>
            <w:tcW w:w="818" w:type="dxa"/>
            <w:tcBorders>
              <w:tl2br w:val="nil"/>
              <w:tr2bl w:val="nil"/>
            </w:tcBorders>
            <w:tcMar>
              <w:top w:w="0" w:type="dxa"/>
              <w:left w:w="108" w:type="dxa"/>
              <w:bottom w:w="0" w:type="dxa"/>
              <w:right w:w="108" w:type="dxa"/>
            </w:tcMar>
            <w:vAlign w:val="center"/>
          </w:tcPr>
          <w:p w14:paraId="1A50A734">
            <w:pPr>
              <w:pStyle w:val="41"/>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jc w:val="center"/>
              <w:textAlignment w:val="center"/>
              <w:outlineLvl w:val="9"/>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w:t>
            </w:r>
          </w:p>
        </w:tc>
        <w:tc>
          <w:tcPr>
            <w:tcW w:w="4500" w:type="dxa"/>
            <w:tcBorders>
              <w:tl2br w:val="nil"/>
              <w:tr2bl w:val="nil"/>
            </w:tcBorders>
            <w:shd w:val="clear" w:color="auto" w:fill="auto"/>
            <w:tcMar>
              <w:top w:w="0" w:type="dxa"/>
              <w:left w:w="108" w:type="dxa"/>
              <w:bottom w:w="0" w:type="dxa"/>
              <w:right w:w="108" w:type="dxa"/>
            </w:tcMar>
            <w:vAlign w:val="center"/>
          </w:tcPr>
          <w:p w14:paraId="443F9239">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lang w:val="en-US" w:eastAsia="zh-CN"/>
              </w:rPr>
              <w:t>室内模型(混凝土内部缺陷测试模型)</w:t>
            </w:r>
          </w:p>
        </w:tc>
        <w:tc>
          <w:tcPr>
            <w:tcW w:w="945" w:type="dxa"/>
            <w:tcBorders>
              <w:tl2br w:val="nil"/>
              <w:tr2bl w:val="nil"/>
            </w:tcBorders>
            <w:shd w:val="clear" w:color="auto" w:fill="auto"/>
            <w:tcMar>
              <w:top w:w="0" w:type="dxa"/>
              <w:left w:w="108" w:type="dxa"/>
              <w:bottom w:w="0" w:type="dxa"/>
              <w:right w:w="108" w:type="dxa"/>
            </w:tcMar>
            <w:vAlign w:val="center"/>
          </w:tcPr>
          <w:p w14:paraId="2B7EEFE7">
            <w:pPr>
              <w:jc w:val="cente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lang w:val="en-US" w:eastAsia="zh-CN"/>
              </w:rPr>
              <w:t>5</w:t>
            </w:r>
          </w:p>
        </w:tc>
        <w:tc>
          <w:tcPr>
            <w:tcW w:w="1447" w:type="dxa"/>
            <w:tcBorders>
              <w:tl2br w:val="nil"/>
              <w:tr2bl w:val="nil"/>
            </w:tcBorders>
            <w:shd w:val="clear" w:color="auto" w:fill="auto"/>
            <w:tcMar>
              <w:top w:w="0" w:type="dxa"/>
              <w:left w:w="108" w:type="dxa"/>
              <w:bottom w:w="0" w:type="dxa"/>
              <w:right w:w="108" w:type="dxa"/>
            </w:tcMar>
            <w:vAlign w:val="center"/>
          </w:tcPr>
          <w:p w14:paraId="6BA4C0B1">
            <w:pPr>
              <w:jc w:val="cente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lang w:val="en-US" w:eastAsia="zh-CN"/>
              </w:rPr>
              <w:t>套</w:t>
            </w:r>
          </w:p>
        </w:tc>
      </w:tr>
      <w:tr w14:paraId="08A05A1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397" w:hRule="atLeast"/>
          <w:jc w:val="center"/>
        </w:trPr>
        <w:tc>
          <w:tcPr>
            <w:tcW w:w="818" w:type="dxa"/>
            <w:tcBorders>
              <w:tl2br w:val="nil"/>
              <w:tr2bl w:val="nil"/>
            </w:tcBorders>
            <w:tcMar>
              <w:top w:w="0" w:type="dxa"/>
              <w:left w:w="108" w:type="dxa"/>
              <w:bottom w:w="0" w:type="dxa"/>
              <w:right w:w="108" w:type="dxa"/>
            </w:tcMar>
            <w:vAlign w:val="center"/>
          </w:tcPr>
          <w:p w14:paraId="36D730EA">
            <w:pPr>
              <w:pStyle w:val="41"/>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jc w:val="center"/>
              <w:textAlignment w:val="center"/>
              <w:outlineLvl w:val="9"/>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w:t>
            </w:r>
          </w:p>
        </w:tc>
        <w:tc>
          <w:tcPr>
            <w:tcW w:w="4500" w:type="dxa"/>
            <w:tcBorders>
              <w:tl2br w:val="nil"/>
              <w:tr2bl w:val="nil"/>
            </w:tcBorders>
            <w:shd w:val="clear" w:color="auto" w:fill="auto"/>
            <w:tcMar>
              <w:top w:w="0" w:type="dxa"/>
              <w:left w:w="108" w:type="dxa"/>
              <w:bottom w:w="0" w:type="dxa"/>
              <w:right w:w="108" w:type="dxa"/>
            </w:tcMar>
            <w:vAlign w:val="center"/>
          </w:tcPr>
          <w:p w14:paraId="40791400">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lang w:val="en-US" w:eastAsia="zh-CN"/>
              </w:rPr>
              <w:t>室内模型（混凝土裂缝测试模型）</w:t>
            </w:r>
          </w:p>
        </w:tc>
        <w:tc>
          <w:tcPr>
            <w:tcW w:w="945" w:type="dxa"/>
            <w:tcBorders>
              <w:tl2br w:val="nil"/>
              <w:tr2bl w:val="nil"/>
            </w:tcBorders>
            <w:shd w:val="clear" w:color="auto" w:fill="auto"/>
            <w:tcMar>
              <w:top w:w="0" w:type="dxa"/>
              <w:left w:w="108" w:type="dxa"/>
              <w:bottom w:w="0" w:type="dxa"/>
              <w:right w:w="108" w:type="dxa"/>
            </w:tcMar>
            <w:vAlign w:val="center"/>
          </w:tcPr>
          <w:p w14:paraId="2DD79BC9">
            <w:pPr>
              <w:jc w:val="cente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lang w:val="en-US" w:eastAsia="zh-CN"/>
              </w:rPr>
              <w:t>5</w:t>
            </w:r>
          </w:p>
        </w:tc>
        <w:tc>
          <w:tcPr>
            <w:tcW w:w="1447" w:type="dxa"/>
            <w:tcBorders>
              <w:tl2br w:val="nil"/>
              <w:tr2bl w:val="nil"/>
            </w:tcBorders>
            <w:shd w:val="clear" w:color="auto" w:fill="auto"/>
            <w:tcMar>
              <w:top w:w="0" w:type="dxa"/>
              <w:left w:w="108" w:type="dxa"/>
              <w:bottom w:w="0" w:type="dxa"/>
              <w:right w:w="108" w:type="dxa"/>
            </w:tcMar>
            <w:vAlign w:val="center"/>
          </w:tcPr>
          <w:p w14:paraId="65EB0DD0">
            <w:pPr>
              <w:jc w:val="cente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lang w:val="en-US" w:eastAsia="zh-CN"/>
              </w:rPr>
              <w:t>套</w:t>
            </w:r>
          </w:p>
        </w:tc>
      </w:tr>
      <w:tr w14:paraId="6766F1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397" w:hRule="atLeast"/>
          <w:jc w:val="center"/>
        </w:trPr>
        <w:tc>
          <w:tcPr>
            <w:tcW w:w="818" w:type="dxa"/>
            <w:tcBorders>
              <w:tl2br w:val="nil"/>
              <w:tr2bl w:val="nil"/>
            </w:tcBorders>
            <w:tcMar>
              <w:top w:w="0" w:type="dxa"/>
              <w:left w:w="108" w:type="dxa"/>
              <w:bottom w:w="0" w:type="dxa"/>
              <w:right w:w="108" w:type="dxa"/>
            </w:tcMar>
            <w:vAlign w:val="center"/>
          </w:tcPr>
          <w:p w14:paraId="45CB8213">
            <w:pPr>
              <w:pStyle w:val="41"/>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jc w:val="center"/>
              <w:textAlignment w:val="center"/>
              <w:outlineLvl w:val="9"/>
              <w:rPr>
                <w:rFonts w:hint="default"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7</w:t>
            </w:r>
          </w:p>
        </w:tc>
        <w:tc>
          <w:tcPr>
            <w:tcW w:w="4500" w:type="dxa"/>
            <w:tcBorders>
              <w:tl2br w:val="nil"/>
              <w:tr2bl w:val="nil"/>
            </w:tcBorders>
            <w:shd w:val="clear" w:color="auto" w:fill="auto"/>
            <w:tcMar>
              <w:top w:w="0" w:type="dxa"/>
              <w:left w:w="108" w:type="dxa"/>
              <w:bottom w:w="0" w:type="dxa"/>
              <w:right w:w="108" w:type="dxa"/>
            </w:tcMar>
            <w:vAlign w:val="center"/>
          </w:tcPr>
          <w:p w14:paraId="1963DB75">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lang w:val="en-US" w:eastAsia="zh-CN"/>
              </w:rPr>
              <w:t>室内模型(钢筋保护层测试模型)</w:t>
            </w:r>
          </w:p>
        </w:tc>
        <w:tc>
          <w:tcPr>
            <w:tcW w:w="945" w:type="dxa"/>
            <w:tcBorders>
              <w:tl2br w:val="nil"/>
              <w:tr2bl w:val="nil"/>
            </w:tcBorders>
            <w:shd w:val="clear" w:color="auto" w:fill="auto"/>
            <w:tcMar>
              <w:top w:w="0" w:type="dxa"/>
              <w:left w:w="108" w:type="dxa"/>
              <w:bottom w:w="0" w:type="dxa"/>
              <w:right w:w="108" w:type="dxa"/>
            </w:tcMar>
            <w:vAlign w:val="center"/>
          </w:tcPr>
          <w:p w14:paraId="204CDB4C">
            <w:pPr>
              <w:jc w:val="cente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lang w:val="en-US" w:eastAsia="zh-CN"/>
              </w:rPr>
              <w:t>5</w:t>
            </w:r>
          </w:p>
        </w:tc>
        <w:tc>
          <w:tcPr>
            <w:tcW w:w="1447" w:type="dxa"/>
            <w:tcBorders>
              <w:tl2br w:val="nil"/>
              <w:tr2bl w:val="nil"/>
            </w:tcBorders>
            <w:shd w:val="clear" w:color="auto" w:fill="auto"/>
            <w:tcMar>
              <w:top w:w="0" w:type="dxa"/>
              <w:left w:w="108" w:type="dxa"/>
              <w:bottom w:w="0" w:type="dxa"/>
              <w:right w:w="108" w:type="dxa"/>
            </w:tcMar>
            <w:vAlign w:val="center"/>
          </w:tcPr>
          <w:p w14:paraId="431669B6">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lang w:val="en-US" w:eastAsia="zh-CN"/>
              </w:rPr>
              <w:t>套</w:t>
            </w:r>
          </w:p>
        </w:tc>
      </w:tr>
      <w:tr w14:paraId="344AA62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397" w:hRule="atLeast"/>
          <w:jc w:val="center"/>
        </w:trPr>
        <w:tc>
          <w:tcPr>
            <w:tcW w:w="818" w:type="dxa"/>
            <w:tcBorders>
              <w:tl2br w:val="nil"/>
              <w:tr2bl w:val="nil"/>
            </w:tcBorders>
            <w:tcMar>
              <w:top w:w="0" w:type="dxa"/>
              <w:left w:w="108" w:type="dxa"/>
              <w:bottom w:w="0" w:type="dxa"/>
              <w:right w:w="108" w:type="dxa"/>
            </w:tcMar>
            <w:vAlign w:val="center"/>
          </w:tcPr>
          <w:p w14:paraId="48D046E3">
            <w:pPr>
              <w:pStyle w:val="41"/>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jc w:val="center"/>
              <w:textAlignment w:val="center"/>
              <w:outlineLvl w:val="9"/>
              <w:rPr>
                <w:rFonts w:hint="default"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8</w:t>
            </w:r>
          </w:p>
        </w:tc>
        <w:tc>
          <w:tcPr>
            <w:tcW w:w="4500" w:type="dxa"/>
            <w:tcBorders>
              <w:tl2br w:val="nil"/>
              <w:tr2bl w:val="nil"/>
            </w:tcBorders>
            <w:shd w:val="clear" w:color="auto" w:fill="auto"/>
            <w:tcMar>
              <w:top w:w="0" w:type="dxa"/>
              <w:left w:w="108" w:type="dxa"/>
              <w:bottom w:w="0" w:type="dxa"/>
              <w:right w:w="108" w:type="dxa"/>
            </w:tcMar>
            <w:vAlign w:val="center"/>
          </w:tcPr>
          <w:p w14:paraId="6E5C28A7">
            <w:pPr>
              <w:ind w:firstLine="0" w:firstLineChars="0"/>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vertAlign w:val="baseline"/>
                <w:lang w:val="en-US" w:eastAsia="zh-CN"/>
              </w:rPr>
              <w:t>建筑结构检测虚拟仿真软件V2025</w:t>
            </w:r>
          </w:p>
        </w:tc>
        <w:tc>
          <w:tcPr>
            <w:tcW w:w="945" w:type="dxa"/>
            <w:tcBorders>
              <w:tl2br w:val="nil"/>
              <w:tr2bl w:val="nil"/>
            </w:tcBorders>
            <w:shd w:val="clear" w:color="auto" w:fill="auto"/>
            <w:tcMar>
              <w:top w:w="0" w:type="dxa"/>
              <w:left w:w="108" w:type="dxa"/>
              <w:bottom w:w="0" w:type="dxa"/>
              <w:right w:w="108" w:type="dxa"/>
            </w:tcMar>
            <w:vAlign w:val="center"/>
          </w:tcPr>
          <w:p w14:paraId="6C8BD228">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lang w:val="en-US" w:eastAsia="zh-CN"/>
              </w:rPr>
              <w:t>1</w:t>
            </w:r>
          </w:p>
        </w:tc>
        <w:tc>
          <w:tcPr>
            <w:tcW w:w="1447" w:type="dxa"/>
            <w:tcBorders>
              <w:tl2br w:val="nil"/>
              <w:tr2bl w:val="nil"/>
            </w:tcBorders>
            <w:shd w:val="clear" w:color="auto" w:fill="auto"/>
            <w:tcMar>
              <w:top w:w="0" w:type="dxa"/>
              <w:left w:w="108" w:type="dxa"/>
              <w:bottom w:w="0" w:type="dxa"/>
              <w:right w:w="108" w:type="dxa"/>
            </w:tcMar>
            <w:vAlign w:val="center"/>
          </w:tcPr>
          <w:p w14:paraId="7366E753">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lang w:val="en-US" w:eastAsia="zh-CN"/>
              </w:rPr>
              <w:t>套</w:t>
            </w:r>
          </w:p>
        </w:tc>
      </w:tr>
      <w:tr w14:paraId="292C137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397" w:hRule="atLeast"/>
          <w:jc w:val="center"/>
        </w:trPr>
        <w:tc>
          <w:tcPr>
            <w:tcW w:w="818" w:type="dxa"/>
            <w:tcBorders>
              <w:tl2br w:val="nil"/>
              <w:tr2bl w:val="nil"/>
            </w:tcBorders>
            <w:tcMar>
              <w:top w:w="0" w:type="dxa"/>
              <w:left w:w="108" w:type="dxa"/>
              <w:bottom w:w="0" w:type="dxa"/>
              <w:right w:w="108" w:type="dxa"/>
            </w:tcMar>
            <w:vAlign w:val="center"/>
          </w:tcPr>
          <w:p w14:paraId="4AD284B3">
            <w:pPr>
              <w:pStyle w:val="41"/>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jc w:val="center"/>
              <w:textAlignment w:val="center"/>
              <w:outlineLvl w:val="9"/>
              <w:rPr>
                <w:rFonts w:hint="default"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9</w:t>
            </w:r>
          </w:p>
        </w:tc>
        <w:tc>
          <w:tcPr>
            <w:tcW w:w="4500" w:type="dxa"/>
            <w:tcBorders>
              <w:tl2br w:val="nil"/>
              <w:tr2bl w:val="nil"/>
            </w:tcBorders>
            <w:shd w:val="clear" w:color="auto" w:fill="auto"/>
            <w:tcMar>
              <w:top w:w="0" w:type="dxa"/>
              <w:left w:w="108" w:type="dxa"/>
              <w:bottom w:w="0" w:type="dxa"/>
              <w:right w:w="108" w:type="dxa"/>
            </w:tcMar>
            <w:vAlign w:val="center"/>
          </w:tcPr>
          <w:p w14:paraId="7DE39084">
            <w:pPr>
              <w:ind w:firstLine="0" w:firstLineChars="0"/>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vertAlign w:val="baseline"/>
                <w:lang w:val="en-US" w:eastAsia="zh-CN"/>
              </w:rPr>
              <w:t>建筑结构加固修复虚拟仿真软件V2025</w:t>
            </w:r>
          </w:p>
        </w:tc>
        <w:tc>
          <w:tcPr>
            <w:tcW w:w="945" w:type="dxa"/>
            <w:tcBorders>
              <w:tl2br w:val="nil"/>
              <w:tr2bl w:val="nil"/>
            </w:tcBorders>
            <w:shd w:val="clear" w:color="auto" w:fill="auto"/>
            <w:tcMar>
              <w:top w:w="0" w:type="dxa"/>
              <w:left w:w="108" w:type="dxa"/>
              <w:bottom w:w="0" w:type="dxa"/>
              <w:right w:w="108" w:type="dxa"/>
            </w:tcMar>
            <w:vAlign w:val="center"/>
          </w:tcPr>
          <w:p w14:paraId="3ACDA81C">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lang w:val="en-US" w:eastAsia="zh-CN"/>
              </w:rPr>
              <w:t>1</w:t>
            </w:r>
          </w:p>
        </w:tc>
        <w:tc>
          <w:tcPr>
            <w:tcW w:w="1447" w:type="dxa"/>
            <w:tcBorders>
              <w:tl2br w:val="nil"/>
              <w:tr2bl w:val="nil"/>
            </w:tcBorders>
            <w:shd w:val="clear" w:color="auto" w:fill="auto"/>
            <w:tcMar>
              <w:top w:w="0" w:type="dxa"/>
              <w:left w:w="108" w:type="dxa"/>
              <w:bottom w:w="0" w:type="dxa"/>
              <w:right w:w="108" w:type="dxa"/>
            </w:tcMar>
            <w:vAlign w:val="center"/>
          </w:tcPr>
          <w:p w14:paraId="0669A2C1">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lang w:val="en-US" w:eastAsia="zh-CN"/>
              </w:rPr>
              <w:t>套</w:t>
            </w:r>
          </w:p>
        </w:tc>
      </w:tr>
    </w:tbl>
    <w:p w14:paraId="15E00699">
      <w:pPr>
        <w:pageBreakBefore w:val="0"/>
        <w:kinsoku/>
        <w:overflowPunct/>
        <w:topLinePunct w:val="0"/>
        <w:autoSpaceDE/>
        <w:autoSpaceDN/>
        <w:bidi w:val="0"/>
        <w:adjustRightInd/>
        <w:snapToGrid/>
        <w:spacing w:beforeAutospacing="0" w:afterAutospacing="0" w:line="480" w:lineRule="exact"/>
        <w:ind w:firstLine="422"/>
        <w:outlineLvl w:val="9"/>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注：具体要求详见本招标文件第五章《采购需求》。</w:t>
      </w:r>
    </w:p>
    <w:p w14:paraId="1628AE5D">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r>
        <w:rPr>
          <w:rFonts w:hint="eastAsia" w:ascii="宋体" w:hAnsi="宋体" w:cs="宋体"/>
          <w:color w:val="auto"/>
          <w:szCs w:val="21"/>
          <w:highlight w:val="none"/>
          <w:lang w:eastAsia="zh-CN"/>
        </w:rPr>
        <w:t>项目实施期限</w:t>
      </w:r>
      <w:r>
        <w:rPr>
          <w:rFonts w:hint="eastAsia" w:ascii="宋体" w:hAnsi="宋体" w:eastAsia="宋体" w:cs="宋体"/>
          <w:color w:val="auto"/>
          <w:szCs w:val="21"/>
          <w:highlight w:val="none"/>
        </w:rPr>
        <w:t>：</w:t>
      </w:r>
      <w:r>
        <w:rPr>
          <w:rFonts w:hint="eastAsia" w:ascii="宋体" w:hAnsi="宋体" w:cs="宋体"/>
          <w:color w:val="auto"/>
          <w:szCs w:val="21"/>
          <w:highlight w:val="none"/>
          <w:lang w:eastAsia="zh-CN"/>
        </w:rPr>
        <w:t>合同签订后</w:t>
      </w:r>
      <w:r>
        <w:rPr>
          <w:rFonts w:hint="eastAsia" w:ascii="宋体" w:hAnsi="宋体" w:cs="宋体"/>
          <w:color w:val="auto"/>
          <w:szCs w:val="21"/>
          <w:highlight w:val="none"/>
          <w:lang w:val="en-US" w:eastAsia="zh-CN"/>
        </w:rPr>
        <w:t>15</w:t>
      </w:r>
      <w:r>
        <w:rPr>
          <w:rFonts w:hint="eastAsia" w:ascii="宋体" w:hAnsi="宋体" w:cs="宋体"/>
          <w:color w:val="auto"/>
          <w:szCs w:val="21"/>
          <w:highlight w:val="none"/>
          <w:lang w:eastAsia="zh-CN"/>
        </w:rPr>
        <w:t>天内完成供货</w:t>
      </w:r>
      <w:r>
        <w:rPr>
          <w:rFonts w:hint="eastAsia" w:ascii="宋体" w:hAnsi="宋体" w:cs="宋体"/>
          <w:color w:val="auto"/>
          <w:szCs w:val="21"/>
          <w:highlight w:val="none"/>
          <w:lang w:val="en-US" w:eastAsia="zh-CN"/>
        </w:rPr>
        <w:t>及安装调试工作</w:t>
      </w:r>
      <w:r>
        <w:rPr>
          <w:rFonts w:hint="eastAsia" w:ascii="宋体" w:hAnsi="宋体" w:cs="宋体"/>
          <w:color w:val="auto"/>
          <w:szCs w:val="21"/>
          <w:highlight w:val="none"/>
          <w:lang w:eastAsia="zh-CN"/>
        </w:rPr>
        <w:t>，投标人可在规定的时限内自报最短交货期，若采购人有分批次供货要求的，投标人按照采购人的要求执行。</w:t>
      </w:r>
    </w:p>
    <w:p w14:paraId="6FFA94A6">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7.</w:t>
      </w:r>
      <w:r>
        <w:rPr>
          <w:rFonts w:hint="eastAsia" w:ascii="宋体" w:hAnsi="宋体" w:cs="宋体"/>
          <w:color w:val="auto"/>
          <w:szCs w:val="21"/>
          <w:highlight w:val="none"/>
          <w:lang w:eastAsia="zh-CN"/>
        </w:rPr>
        <w:t>项目实施地点</w:t>
      </w:r>
      <w:r>
        <w:rPr>
          <w:rFonts w:hint="eastAsia" w:ascii="宋体" w:hAnsi="宋体" w:eastAsia="宋体" w:cs="宋体"/>
          <w:color w:val="auto"/>
          <w:szCs w:val="21"/>
          <w:highlight w:val="none"/>
        </w:rPr>
        <w:t>：</w:t>
      </w:r>
      <w:r>
        <w:rPr>
          <w:rFonts w:hint="eastAsia" w:ascii="宋体" w:hAnsi="宋体" w:cs="宋体"/>
          <w:color w:val="auto"/>
          <w:szCs w:val="21"/>
          <w:highlight w:val="none"/>
          <w:lang w:eastAsia="zh-CN"/>
        </w:rPr>
        <w:t>怒江州民族中等专业学校指定地点</w:t>
      </w:r>
      <w:r>
        <w:rPr>
          <w:rFonts w:hint="eastAsia" w:ascii="宋体" w:hAnsi="宋体" w:eastAsia="宋体" w:cs="宋体"/>
          <w:color w:val="auto"/>
          <w:szCs w:val="21"/>
          <w:highlight w:val="none"/>
        </w:rPr>
        <w:t>。</w:t>
      </w:r>
    </w:p>
    <w:p w14:paraId="1AD0259F">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合同履行期限：</w:t>
      </w:r>
      <w:r>
        <w:rPr>
          <w:rFonts w:hint="eastAsia" w:ascii="宋体" w:hAnsi="宋体" w:cs="宋体"/>
          <w:color w:val="auto"/>
          <w:szCs w:val="21"/>
          <w:highlight w:val="none"/>
          <w:lang w:eastAsia="zh-CN"/>
        </w:rPr>
        <w:t>合同签订后</w:t>
      </w:r>
      <w:r>
        <w:rPr>
          <w:rFonts w:hint="eastAsia" w:ascii="宋体" w:hAnsi="宋体" w:cs="宋体"/>
          <w:color w:val="auto"/>
          <w:szCs w:val="21"/>
          <w:highlight w:val="none"/>
          <w:lang w:val="en-US" w:eastAsia="zh-CN"/>
        </w:rPr>
        <w:t>15</w:t>
      </w:r>
      <w:r>
        <w:rPr>
          <w:rFonts w:hint="eastAsia" w:ascii="宋体" w:hAnsi="宋体" w:cs="宋体"/>
          <w:color w:val="auto"/>
          <w:szCs w:val="21"/>
          <w:highlight w:val="none"/>
          <w:lang w:eastAsia="zh-CN"/>
        </w:rPr>
        <w:t>天内完成供货及安装调试工作，投标人可在规定的时限内自报最短交货期，若采购人有分批次供货要求的，投标人按照采购人的要求执行。</w:t>
      </w:r>
    </w:p>
    <w:p w14:paraId="11F8B436">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本次采购</w:t>
      </w:r>
      <w:r>
        <w:rPr>
          <w:rFonts w:hint="eastAsia" w:ascii="宋体" w:hAnsi="宋体" w:cs="宋体"/>
          <w:b/>
          <w:bCs/>
          <w:color w:val="auto"/>
          <w:szCs w:val="21"/>
          <w:highlight w:val="none"/>
          <w:u w:val="single"/>
          <w:lang w:val="en-US" w:eastAsia="zh-CN"/>
        </w:rPr>
        <w:t>不</w:t>
      </w:r>
      <w:r>
        <w:rPr>
          <w:rFonts w:hint="eastAsia" w:ascii="宋体" w:hAnsi="宋体" w:cs="宋体"/>
          <w:b/>
          <w:bCs/>
          <w:color w:val="auto"/>
          <w:szCs w:val="21"/>
          <w:highlight w:val="none"/>
          <w:u w:val="single"/>
        </w:rPr>
        <w:t>接受</w:t>
      </w:r>
      <w:r>
        <w:rPr>
          <w:rFonts w:hint="eastAsia" w:ascii="宋体" w:hAnsi="宋体" w:cs="宋体"/>
          <w:color w:val="auto"/>
          <w:szCs w:val="21"/>
          <w:highlight w:val="none"/>
        </w:rPr>
        <w:t>进口产品参加。进口产品是指通过中国海关报关验放进入中国境内且产自关境外的产品。</w:t>
      </w:r>
    </w:p>
    <w:p w14:paraId="51693DE9">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10</w:t>
      </w:r>
      <w:r>
        <w:rPr>
          <w:rFonts w:hint="eastAsia" w:ascii="宋体" w:hAnsi="宋体" w:eastAsia="宋体" w:cs="宋体"/>
          <w:color w:val="auto"/>
          <w:szCs w:val="21"/>
          <w:highlight w:val="none"/>
        </w:rPr>
        <w:t>.本项目</w:t>
      </w:r>
      <w:r>
        <w:rPr>
          <w:rFonts w:hint="eastAsia" w:ascii="宋体" w:hAnsi="宋体" w:eastAsia="宋体" w:cs="宋体"/>
          <w:b/>
          <w:bCs/>
          <w:color w:val="auto"/>
          <w:szCs w:val="21"/>
          <w:highlight w:val="none"/>
        </w:rPr>
        <w:t>不接受</w:t>
      </w:r>
      <w:r>
        <w:rPr>
          <w:rFonts w:hint="eastAsia" w:ascii="宋体" w:hAnsi="宋体" w:eastAsia="宋体" w:cs="宋体"/>
          <w:color w:val="auto"/>
          <w:szCs w:val="21"/>
          <w:highlight w:val="none"/>
        </w:rPr>
        <w:t>联合体投标。</w:t>
      </w:r>
    </w:p>
    <w:p w14:paraId="004E8595">
      <w:pPr>
        <w:pageBreakBefore w:val="0"/>
        <w:kinsoku/>
        <w:overflowPunct/>
        <w:topLinePunct w:val="0"/>
        <w:autoSpaceDE/>
        <w:autoSpaceDN/>
        <w:bidi w:val="0"/>
        <w:adjustRightInd/>
        <w:snapToGrid/>
        <w:spacing w:before="0" w:beforeAutospacing="0" w:afterAutospacing="0" w:line="480" w:lineRule="exact"/>
        <w:outlineLvl w:val="1"/>
        <w:rPr>
          <w:rFonts w:hint="eastAsia" w:ascii="宋体" w:hAnsi="宋体" w:eastAsia="宋体" w:cs="宋体"/>
          <w:b/>
          <w:bCs w:val="0"/>
          <w:color w:val="auto"/>
          <w:spacing w:val="0"/>
          <w:sz w:val="28"/>
          <w:szCs w:val="28"/>
          <w:highlight w:val="none"/>
        </w:rPr>
      </w:pPr>
      <w:bookmarkStart w:id="13" w:name="_Toc11134"/>
      <w:bookmarkStart w:id="14" w:name="_Toc28096"/>
      <w:r>
        <w:rPr>
          <w:rFonts w:hint="eastAsia" w:ascii="宋体" w:hAnsi="宋体" w:eastAsia="宋体" w:cs="宋体"/>
          <w:b/>
          <w:bCs w:val="0"/>
          <w:color w:val="auto"/>
          <w:spacing w:val="0"/>
          <w:sz w:val="28"/>
          <w:szCs w:val="28"/>
          <w:highlight w:val="none"/>
        </w:rPr>
        <w:t>二、</w:t>
      </w:r>
      <w:r>
        <w:rPr>
          <w:rFonts w:hint="eastAsia" w:ascii="宋体" w:hAnsi="宋体" w:eastAsia="宋体" w:cs="宋体"/>
          <w:b/>
          <w:bCs w:val="0"/>
          <w:color w:val="auto"/>
          <w:spacing w:val="0"/>
          <w:sz w:val="28"/>
          <w:szCs w:val="28"/>
          <w:highlight w:val="none"/>
          <w:lang w:eastAsia="zh-CN"/>
        </w:rPr>
        <w:t>投标人</w:t>
      </w:r>
      <w:r>
        <w:rPr>
          <w:rFonts w:hint="eastAsia" w:ascii="宋体" w:hAnsi="宋体" w:eastAsia="宋体" w:cs="宋体"/>
          <w:b/>
          <w:bCs w:val="0"/>
          <w:color w:val="auto"/>
          <w:spacing w:val="0"/>
          <w:sz w:val="28"/>
          <w:szCs w:val="28"/>
          <w:highlight w:val="none"/>
        </w:rPr>
        <w:t>的资格要求</w:t>
      </w:r>
      <w:bookmarkEnd w:id="13"/>
      <w:bookmarkEnd w:id="14"/>
    </w:p>
    <w:p w14:paraId="13EC6166">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1.满足《中华人民共和国政府采购法》第二十二条规定；</w:t>
      </w:r>
    </w:p>
    <w:p w14:paraId="45D0B464">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r>
        <w:rPr>
          <w:rFonts w:hint="eastAsia" w:ascii="宋体" w:hAnsi="宋体" w:cs="宋体"/>
          <w:color w:val="auto"/>
          <w:szCs w:val="21"/>
          <w:highlight w:val="none"/>
          <w:lang w:eastAsia="zh-CN"/>
        </w:rPr>
        <w:t>具有独立承担民事责任的能力</w:t>
      </w:r>
      <w:r>
        <w:rPr>
          <w:rFonts w:hint="eastAsia" w:ascii="宋体" w:hAnsi="宋体" w:eastAsia="宋体" w:cs="宋体"/>
          <w:color w:val="auto"/>
          <w:szCs w:val="21"/>
          <w:highlight w:val="none"/>
          <w:lang w:eastAsia="zh-CN"/>
        </w:rPr>
        <w:t>：</w:t>
      </w:r>
      <w:r>
        <w:rPr>
          <w:rFonts w:hint="eastAsia" w:ascii="宋体" w:hAnsi="宋体" w:cs="宋体"/>
          <w:color w:val="auto"/>
          <w:szCs w:val="21"/>
          <w:highlight w:val="none"/>
          <w:lang w:eastAsia="zh-CN"/>
        </w:rPr>
        <w:t>投标人须在中华人民共和国境内注册，提供市场监督管理部门核发的有效的三证合一营业执照或其他组织形式的相关主体资格证明材料（扫描件加盖投标人电子公章）</w:t>
      </w:r>
      <w:r>
        <w:rPr>
          <w:rFonts w:hint="eastAsia" w:ascii="宋体" w:hAnsi="宋体" w:eastAsia="宋体" w:cs="宋体"/>
          <w:color w:val="auto"/>
          <w:szCs w:val="21"/>
          <w:highlight w:val="none"/>
          <w:lang w:eastAsia="zh-CN"/>
        </w:rPr>
        <w:t>；</w:t>
      </w:r>
    </w:p>
    <w:p w14:paraId="70037DB8">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r>
        <w:rPr>
          <w:rFonts w:hint="eastAsia" w:ascii="宋体" w:hAnsi="宋体" w:cs="宋体"/>
          <w:color w:val="auto"/>
          <w:szCs w:val="21"/>
          <w:highlight w:val="none"/>
          <w:lang w:eastAsia="zh-CN"/>
        </w:rPr>
        <w:t>具有良好的商业信誉和健全的财务会计制度</w:t>
      </w:r>
      <w:r>
        <w:rPr>
          <w:rFonts w:hint="eastAsia" w:ascii="宋体" w:hAnsi="宋体" w:eastAsia="宋体" w:cs="宋体"/>
          <w:color w:val="auto"/>
          <w:szCs w:val="21"/>
          <w:highlight w:val="none"/>
        </w:rPr>
        <w:t>：</w:t>
      </w:r>
      <w:r>
        <w:rPr>
          <w:rFonts w:hint="eastAsia" w:ascii="宋体" w:hAnsi="宋体" w:cs="宋体"/>
          <w:color w:val="auto"/>
          <w:szCs w:val="21"/>
          <w:highlight w:val="none"/>
          <w:lang w:eastAsia="zh-CN"/>
        </w:rPr>
        <w:t>提供投标人2024年度或2025年度经第三方审计的财务报告及报表（报表至少应包括资产负债表</w:t>
      </w:r>
      <w:r>
        <w:rPr>
          <w:rFonts w:hint="eastAsia" w:ascii="宋体" w:hAnsi="宋体" w:eastAsia="宋体" w:cs="宋体"/>
          <w:color w:val="auto"/>
          <w:szCs w:val="21"/>
          <w:highlight w:val="none"/>
          <w:lang w:eastAsia="zh-CN"/>
        </w:rPr>
        <w:t>、利润表（损益表）、现金流量表）或提供自提交投标文件截止时间前三个月内基本开户银行出具的资信证明（扫描件加盖投标人电子公章），至投标文件提交截止时间止成立不足一年的投标人可提供相关情况说明（加盖投标人电子公章）</w:t>
      </w:r>
      <w:r>
        <w:rPr>
          <w:rFonts w:hint="eastAsia" w:ascii="宋体" w:hAnsi="宋体" w:eastAsia="宋体" w:cs="宋体"/>
          <w:color w:val="auto"/>
          <w:szCs w:val="21"/>
          <w:highlight w:val="none"/>
        </w:rPr>
        <w:t>；</w:t>
      </w:r>
    </w:p>
    <w:p w14:paraId="4712CEFE">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1.3</w:t>
      </w:r>
      <w:r>
        <w:rPr>
          <w:rFonts w:hint="eastAsia" w:ascii="宋体" w:hAnsi="宋体" w:cs="宋体"/>
          <w:color w:val="auto"/>
          <w:szCs w:val="21"/>
          <w:highlight w:val="none"/>
          <w:lang w:eastAsia="zh-CN"/>
        </w:rPr>
        <w:t>具有履行合同所必需的设备和专业技术能力</w:t>
      </w:r>
      <w:r>
        <w:rPr>
          <w:rFonts w:hint="eastAsia" w:ascii="宋体" w:hAnsi="宋体" w:eastAsia="宋体" w:cs="宋体"/>
          <w:color w:val="auto"/>
          <w:szCs w:val="21"/>
          <w:highlight w:val="none"/>
          <w:lang w:eastAsia="zh-CN"/>
        </w:rPr>
        <w:t>：提供投标人</w:t>
      </w:r>
      <w:r>
        <w:rPr>
          <w:rFonts w:hint="eastAsia" w:ascii="宋体" w:hAnsi="宋体" w:cs="宋体"/>
          <w:color w:val="auto"/>
          <w:szCs w:val="21"/>
          <w:highlight w:val="none"/>
          <w:lang w:eastAsia="zh-CN"/>
        </w:rPr>
        <w:t>具有履行合同所必需的设备和专业技术能力</w:t>
      </w:r>
      <w:r>
        <w:rPr>
          <w:rFonts w:hint="eastAsia" w:ascii="宋体" w:hAnsi="宋体" w:eastAsia="宋体" w:cs="宋体"/>
          <w:color w:val="auto"/>
          <w:szCs w:val="21"/>
          <w:highlight w:val="none"/>
          <w:lang w:eastAsia="zh-CN"/>
        </w:rPr>
        <w:t>证明材料（扫描件加盖投标人电子公章）或书面声明（加盖投标人电子公章）</w:t>
      </w:r>
      <w:r>
        <w:rPr>
          <w:rFonts w:hint="eastAsia" w:ascii="宋体" w:hAnsi="宋体" w:eastAsia="宋体" w:cs="宋体"/>
          <w:color w:val="auto"/>
          <w:szCs w:val="21"/>
          <w:highlight w:val="none"/>
        </w:rPr>
        <w:t>；</w:t>
      </w:r>
    </w:p>
    <w:p w14:paraId="5F9B1177">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1.4</w:t>
      </w:r>
      <w:r>
        <w:rPr>
          <w:rFonts w:hint="eastAsia" w:ascii="宋体" w:hAnsi="宋体" w:cs="宋体"/>
          <w:color w:val="auto"/>
          <w:szCs w:val="21"/>
          <w:highlight w:val="none"/>
          <w:lang w:eastAsia="zh-CN"/>
        </w:rPr>
        <w:t>有依法缴纳税收和社会保障资金的良好记录</w:t>
      </w:r>
      <w:r>
        <w:rPr>
          <w:rFonts w:hint="eastAsia" w:ascii="宋体" w:hAnsi="宋体" w:eastAsia="宋体" w:cs="宋体"/>
          <w:color w:val="auto"/>
          <w:szCs w:val="21"/>
          <w:highlight w:val="none"/>
        </w:rPr>
        <w:t>：</w:t>
      </w:r>
    </w:p>
    <w:p w14:paraId="2816241D">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w:t>
      </w:r>
      <w:r>
        <w:rPr>
          <w:rFonts w:hint="eastAsia" w:ascii="宋体" w:hAnsi="宋体" w:eastAsia="宋体" w:cs="宋体"/>
          <w:color w:val="auto"/>
          <w:szCs w:val="21"/>
          <w:highlight w:val="none"/>
          <w:lang w:eastAsia="zh-CN"/>
        </w:rPr>
        <w:t>提供投标人缴税所属时间在</w:t>
      </w:r>
      <w:r>
        <w:rPr>
          <w:rFonts w:hint="eastAsia" w:ascii="宋体" w:hAnsi="宋体" w:cs="宋体"/>
          <w:color w:val="auto"/>
          <w:szCs w:val="21"/>
          <w:highlight w:val="none"/>
          <w:lang w:eastAsia="zh-CN"/>
        </w:rPr>
        <w:t>2025年01月至本项目提交投标文件截止时间前任意3</w:t>
      </w:r>
      <w:r>
        <w:rPr>
          <w:rFonts w:hint="eastAsia" w:ascii="宋体" w:hAnsi="宋体" w:eastAsia="宋体" w:cs="宋体"/>
          <w:color w:val="auto"/>
          <w:szCs w:val="21"/>
          <w:highlight w:val="none"/>
          <w:lang w:eastAsia="zh-CN"/>
        </w:rPr>
        <w:t>个月的税务局税收通用缴款书或银行电子缴税（费）凭证或税务局出具纳税情况的相关证明，依法免税的，应提供依法免税的相关证明文件（扫描件加盖投标人电子公章），至投标文件提交截止时间止成立不足一年的投标人可提供相关情况说明（加盖投标人电子公章）；</w:t>
      </w:r>
    </w:p>
    <w:p w14:paraId="17AC6AA3">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w:t>
      </w:r>
      <w:r>
        <w:rPr>
          <w:rFonts w:hint="eastAsia" w:ascii="宋体" w:hAnsi="宋体" w:eastAsia="宋体" w:cs="宋体"/>
          <w:color w:val="auto"/>
          <w:szCs w:val="21"/>
          <w:highlight w:val="none"/>
          <w:lang w:eastAsia="zh-CN"/>
        </w:rPr>
        <w:t>提供投标人缴费所属时间在</w:t>
      </w:r>
      <w:r>
        <w:rPr>
          <w:rFonts w:hint="eastAsia" w:ascii="宋体" w:hAnsi="宋体" w:cs="宋体"/>
          <w:color w:val="auto"/>
          <w:szCs w:val="21"/>
          <w:highlight w:val="none"/>
          <w:lang w:eastAsia="zh-CN"/>
        </w:rPr>
        <w:t>2025年01月至本项目提交投标文件截止时间前任意3</w:t>
      </w:r>
      <w:r>
        <w:rPr>
          <w:rFonts w:hint="eastAsia" w:ascii="宋体" w:hAnsi="宋体" w:eastAsia="宋体" w:cs="宋体"/>
          <w:color w:val="auto"/>
          <w:szCs w:val="21"/>
          <w:highlight w:val="none"/>
          <w:lang w:eastAsia="zh-CN"/>
        </w:rPr>
        <w:t>个月的社会保险费缴款书或银行电子缴税（费）凭证或社保管理部门出具的有效的缴款证明，依法免缴的，应提供依法免缴的相关证明文件（扫描件加盖投标人电子公章），至投标文件提交截止时间止成立不足一年的投标人可提供相关情况说明（加盖投标人电子公章）；</w:t>
      </w:r>
    </w:p>
    <w:p w14:paraId="00624F81">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1.5</w:t>
      </w:r>
      <w:r>
        <w:rPr>
          <w:rFonts w:hint="eastAsia" w:ascii="宋体" w:hAnsi="宋体" w:cs="宋体"/>
          <w:color w:val="auto"/>
          <w:szCs w:val="21"/>
          <w:highlight w:val="none"/>
          <w:lang w:eastAsia="zh-CN"/>
        </w:rPr>
        <w:t>参加政府采购活动前三年内，在经营活动中没有重大违法记录</w:t>
      </w:r>
      <w:r>
        <w:rPr>
          <w:rFonts w:hint="eastAsia" w:ascii="宋体" w:hAnsi="宋体" w:eastAsia="宋体" w:cs="宋体"/>
          <w:color w:val="auto"/>
          <w:szCs w:val="21"/>
          <w:highlight w:val="none"/>
          <w:lang w:eastAsia="zh-CN"/>
        </w:rPr>
        <w:t>：提供投标人</w:t>
      </w:r>
      <w:r>
        <w:rPr>
          <w:rFonts w:hint="eastAsia" w:ascii="宋体" w:hAnsi="宋体" w:cs="宋体"/>
          <w:color w:val="auto"/>
          <w:szCs w:val="21"/>
          <w:highlight w:val="none"/>
          <w:lang w:eastAsia="zh-CN"/>
        </w:rPr>
        <w:t>参加政府采购活动前三年内，在经营活动中没有重大违法记录</w:t>
      </w:r>
      <w:r>
        <w:rPr>
          <w:rFonts w:hint="eastAsia" w:ascii="宋体" w:hAnsi="宋体" w:eastAsia="宋体" w:cs="宋体"/>
          <w:color w:val="auto"/>
          <w:szCs w:val="21"/>
          <w:highlight w:val="none"/>
          <w:lang w:eastAsia="zh-CN"/>
        </w:rPr>
        <w:t>（重大违法记录，是指投标人因违法经营受到刑事处罚或者责令停产停业、吊销许可证或者执照、较大数额罚款等行政处罚）的书面声明（加盖投标人电子公章）</w:t>
      </w:r>
      <w:r>
        <w:rPr>
          <w:rFonts w:hint="eastAsia" w:ascii="宋体" w:hAnsi="宋体" w:eastAsia="宋体" w:cs="宋体"/>
          <w:color w:val="auto"/>
          <w:szCs w:val="21"/>
          <w:highlight w:val="none"/>
        </w:rPr>
        <w:t>；</w:t>
      </w:r>
    </w:p>
    <w:p w14:paraId="6E5205B8">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1.6法律、行政法规规定的其他条件：</w:t>
      </w:r>
    </w:p>
    <w:p w14:paraId="44BAE583">
      <w:pPr>
        <w:keepNext w:val="0"/>
        <w:keepLines w:val="0"/>
        <w:pageBreakBefore w:val="0"/>
        <w:widowControl w:val="0"/>
        <w:kinsoku/>
        <w:wordWrap w:val="0"/>
        <w:overflowPunct/>
        <w:topLinePunct w:val="0"/>
        <w:autoSpaceDE/>
        <w:autoSpaceDN/>
        <w:bidi w:val="0"/>
        <w:adjustRightInd/>
        <w:snapToGrid/>
        <w:spacing w:beforeAutospacing="0" w:afterAutospacing="0" w:line="48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rPr>
        <w:t>.1</w:t>
      </w:r>
      <w:r>
        <w:rPr>
          <w:rFonts w:hint="eastAsia" w:ascii="宋体" w:hAnsi="宋体" w:cs="宋体"/>
          <w:color w:val="auto"/>
          <w:szCs w:val="21"/>
          <w:highlight w:val="none"/>
          <w:lang w:eastAsia="zh-CN"/>
        </w:rPr>
        <w:t>投标人在本项目投标文件提交截止时间前在“信用中国”网站（www.creditchina.gov.cn）“专项查询”查询栏中查询结果应未被列入失信被执行人（按网站要求链接到中国执行信息网（http://zxgk.court.gov.cn/shixin/）查询）、重大税收违法失信主体、政府采购严重违法失信行为记录名单</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查询时间为本公告发布之日起至提交投标文件截止之日止</w:t>
      </w:r>
      <w:r>
        <w:rPr>
          <w:rFonts w:hint="eastAsia" w:ascii="宋体" w:hAnsi="宋体" w:eastAsia="宋体" w:cs="宋体"/>
          <w:color w:val="auto"/>
          <w:szCs w:val="21"/>
          <w:highlight w:val="none"/>
        </w:rPr>
        <w:t>，查询结果以采购人、采购代理机构查询结果为准）；</w:t>
      </w:r>
    </w:p>
    <w:p w14:paraId="5726A73C">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rPr>
        <w:t>.2投标人在本项目投标文件提交截止时间前在</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中国政府采购网</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（www.ccgp.gov.cn）</w:t>
      </w:r>
      <w:r>
        <w:rPr>
          <w:rFonts w:hint="eastAsia" w:ascii="宋体" w:hAnsi="宋体" w:cs="宋体"/>
          <w:color w:val="auto"/>
          <w:szCs w:val="21"/>
          <w:highlight w:val="none"/>
          <w:lang w:eastAsia="zh-CN"/>
        </w:rPr>
        <w:t>未被列入政府采购严重违法失信行为记录名单</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查询时间为本公告发布之日起至提交投标文件截止之日止</w:t>
      </w:r>
      <w:r>
        <w:rPr>
          <w:rFonts w:hint="eastAsia" w:ascii="宋体" w:hAnsi="宋体" w:eastAsia="宋体" w:cs="宋体"/>
          <w:color w:val="auto"/>
          <w:szCs w:val="21"/>
          <w:highlight w:val="none"/>
        </w:rPr>
        <w:t>，查询结果以采购人、采购代理机构查询结果为准）；</w:t>
      </w:r>
    </w:p>
    <w:p w14:paraId="7810C828">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1.6.3单位负责人为同一人或者存在直接控股、管理关系不同的投标人，不得同时参与本项目的采购活动。为采购项目提供整体设计、规范编制和项目管理、监理、检测等服务的投标人，不得参与本项目采购活动（提供承诺函加盖投标人电子公章）；</w:t>
      </w:r>
    </w:p>
    <w:p w14:paraId="2D8F8222">
      <w:pPr>
        <w:pageBreakBefore w:val="0"/>
        <w:kinsoku/>
        <w:overflowPunct/>
        <w:topLinePunct w:val="0"/>
        <w:autoSpaceDE/>
        <w:autoSpaceDN/>
        <w:bidi w:val="0"/>
        <w:adjustRightInd/>
        <w:snapToGrid/>
        <w:spacing w:beforeAutospacing="0" w:afterAutospacing="0" w:line="480" w:lineRule="exact"/>
        <w:ind w:firstLine="422" w:firstLineChars="200"/>
        <w:outlineLvl w:val="9"/>
        <w:rPr>
          <w:rFonts w:hint="default" w:ascii="宋体" w:hAnsi="宋体" w:cs="宋体"/>
          <w:b/>
          <w:bCs/>
          <w:color w:val="auto"/>
          <w:szCs w:val="21"/>
          <w:highlight w:val="none"/>
          <w:lang w:val="en-US" w:eastAsia="zh-CN"/>
        </w:rPr>
      </w:pPr>
      <w:r>
        <w:rPr>
          <w:rFonts w:hint="eastAsia" w:ascii="宋体" w:hAnsi="宋体" w:eastAsia="宋体" w:cs="宋体"/>
          <w:b/>
          <w:bCs/>
          <w:color w:val="auto"/>
          <w:szCs w:val="21"/>
          <w:highlight w:val="none"/>
        </w:rPr>
        <w:t>2.落实政府采购政策需满足的资格要求：</w:t>
      </w:r>
      <w:r>
        <w:rPr>
          <w:rFonts w:hint="eastAsia" w:ascii="宋体" w:hAnsi="宋体" w:eastAsia="宋体" w:cs="宋体"/>
          <w:color w:val="auto"/>
          <w:szCs w:val="21"/>
          <w:highlight w:val="none"/>
        </w:rPr>
        <w:t>本项目专门面向中小企业采购</w:t>
      </w:r>
      <w:r>
        <w:rPr>
          <w:rFonts w:hint="eastAsia" w:ascii="宋体" w:hAnsi="宋体" w:cs="宋体"/>
          <w:b w:val="0"/>
          <w:bCs w:val="0"/>
          <w:color w:val="auto"/>
          <w:szCs w:val="21"/>
          <w:highlight w:val="none"/>
          <w:lang w:val="en-US" w:eastAsia="zh-CN"/>
        </w:rPr>
        <w:t>；</w:t>
      </w:r>
    </w:p>
    <w:p w14:paraId="5E1D0E02">
      <w:pPr>
        <w:pageBreakBefore w:val="0"/>
        <w:kinsoku/>
        <w:overflowPunct/>
        <w:topLinePunct w:val="0"/>
        <w:autoSpaceDE/>
        <w:autoSpaceDN/>
        <w:bidi w:val="0"/>
        <w:adjustRightInd/>
        <w:snapToGrid/>
        <w:spacing w:beforeAutospacing="0" w:afterAutospacing="0" w:line="480" w:lineRule="exact"/>
        <w:ind w:firstLine="422" w:firstLineChars="200"/>
        <w:outlineLvl w:val="9"/>
        <w:rPr>
          <w:rFonts w:hint="eastAsia" w:ascii="宋体" w:hAnsi="宋体" w:cs="宋体"/>
          <w:color w:val="auto"/>
          <w:szCs w:val="21"/>
          <w:highlight w:val="none"/>
          <w:lang w:val="en-US" w:eastAsia="zh-CN"/>
        </w:rPr>
      </w:pPr>
      <w:r>
        <w:rPr>
          <w:rFonts w:hint="eastAsia" w:ascii="宋体" w:hAnsi="宋体" w:eastAsia="宋体" w:cs="宋体"/>
          <w:b/>
          <w:bCs/>
          <w:color w:val="auto"/>
          <w:szCs w:val="21"/>
          <w:highlight w:val="none"/>
        </w:rPr>
        <w:t>3.本项目的特定资格要求：</w:t>
      </w:r>
      <w:bookmarkStart w:id="15" w:name="_Toc13683"/>
      <w:bookmarkStart w:id="16" w:name="_Toc9685"/>
      <w:r>
        <w:rPr>
          <w:rFonts w:hint="eastAsia" w:ascii="宋体" w:hAnsi="宋体" w:cs="宋体"/>
          <w:b w:val="0"/>
          <w:bCs w:val="0"/>
          <w:color w:val="auto"/>
          <w:szCs w:val="21"/>
          <w:highlight w:val="none"/>
          <w:lang w:val="en-US" w:eastAsia="zh-CN"/>
        </w:rPr>
        <w:t>无</w:t>
      </w:r>
      <w:r>
        <w:rPr>
          <w:rFonts w:hint="eastAsia" w:ascii="宋体" w:hAnsi="宋体" w:eastAsia="宋体" w:cs="宋体"/>
          <w:b/>
          <w:bCs/>
          <w:color w:val="auto"/>
          <w:szCs w:val="21"/>
          <w:highlight w:val="none"/>
        </w:rPr>
        <w:t>。</w:t>
      </w:r>
    </w:p>
    <w:p w14:paraId="2FF64320">
      <w:pPr>
        <w:pageBreakBefore w:val="0"/>
        <w:kinsoku/>
        <w:overflowPunct/>
        <w:topLinePunct w:val="0"/>
        <w:autoSpaceDE/>
        <w:autoSpaceDN/>
        <w:bidi w:val="0"/>
        <w:adjustRightInd/>
        <w:snapToGrid/>
        <w:spacing w:before="0" w:beforeAutospacing="0" w:afterAutospacing="0" w:line="480" w:lineRule="exact"/>
        <w:outlineLvl w:val="1"/>
        <w:rPr>
          <w:rFonts w:hint="eastAsia" w:ascii="宋体" w:hAnsi="宋体" w:eastAsia="宋体" w:cs="宋体"/>
          <w:b/>
          <w:bCs w:val="0"/>
          <w:color w:val="auto"/>
          <w:spacing w:val="0"/>
          <w:sz w:val="28"/>
          <w:szCs w:val="28"/>
          <w:highlight w:val="none"/>
        </w:rPr>
      </w:pPr>
      <w:r>
        <w:rPr>
          <w:rFonts w:hint="eastAsia" w:ascii="宋体" w:hAnsi="宋体" w:eastAsia="宋体" w:cs="宋体"/>
          <w:b/>
          <w:bCs w:val="0"/>
          <w:color w:val="auto"/>
          <w:spacing w:val="0"/>
          <w:sz w:val="28"/>
          <w:szCs w:val="28"/>
          <w:highlight w:val="none"/>
        </w:rPr>
        <w:t>三、获取招标文件</w:t>
      </w:r>
      <w:bookmarkEnd w:id="15"/>
      <w:bookmarkEnd w:id="16"/>
    </w:p>
    <w:p w14:paraId="331F0505">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1.时间</w:t>
      </w:r>
      <w:r>
        <w:rPr>
          <w:rFonts w:hint="eastAsia" w:ascii="宋体" w:hAnsi="宋体" w:eastAsia="宋体" w:cs="宋体"/>
          <w:b w:val="0"/>
          <w:bCs w:val="0"/>
          <w:color w:val="auto"/>
          <w:szCs w:val="21"/>
          <w:highlight w:val="none"/>
        </w:rPr>
        <w:t>：</w:t>
      </w:r>
      <w:r>
        <w:rPr>
          <w:rFonts w:hint="eastAsia" w:ascii="宋体" w:hAnsi="宋体" w:cs="宋体"/>
          <w:b w:val="0"/>
          <w:bCs w:val="0"/>
          <w:color w:val="auto"/>
          <w:szCs w:val="21"/>
          <w:highlight w:val="none"/>
          <w:u w:val="none"/>
          <w:lang w:eastAsia="zh-CN"/>
        </w:rPr>
        <w:t>2026年</w:t>
      </w:r>
      <w:r>
        <w:rPr>
          <w:rFonts w:hint="eastAsia" w:ascii="宋体" w:hAnsi="宋体" w:cs="宋体"/>
          <w:b w:val="0"/>
          <w:bCs w:val="0"/>
          <w:color w:val="auto"/>
          <w:szCs w:val="21"/>
          <w:highlight w:val="none"/>
          <w:u w:val="none"/>
          <w:lang w:val="en-US" w:eastAsia="zh-CN"/>
        </w:rPr>
        <w:t>05</w:t>
      </w:r>
      <w:r>
        <w:rPr>
          <w:rFonts w:hint="eastAsia" w:ascii="宋体" w:hAnsi="宋体" w:cs="宋体"/>
          <w:b w:val="0"/>
          <w:bCs w:val="0"/>
          <w:color w:val="auto"/>
          <w:szCs w:val="21"/>
          <w:highlight w:val="none"/>
          <w:u w:val="none"/>
          <w:lang w:eastAsia="zh-CN"/>
        </w:rPr>
        <w:t>月</w:t>
      </w:r>
      <w:r>
        <w:rPr>
          <w:rFonts w:hint="eastAsia" w:ascii="宋体" w:hAnsi="宋体" w:cs="宋体"/>
          <w:b w:val="0"/>
          <w:bCs w:val="0"/>
          <w:color w:val="auto"/>
          <w:szCs w:val="21"/>
          <w:highlight w:val="none"/>
          <w:u w:val="none"/>
          <w:lang w:val="en-US" w:eastAsia="zh-CN"/>
        </w:rPr>
        <w:t>19</w:t>
      </w:r>
      <w:r>
        <w:rPr>
          <w:rFonts w:hint="eastAsia" w:ascii="宋体" w:hAnsi="宋体" w:cs="宋体"/>
          <w:b w:val="0"/>
          <w:bCs w:val="0"/>
          <w:color w:val="auto"/>
          <w:szCs w:val="21"/>
          <w:highlight w:val="none"/>
          <w:u w:val="none"/>
          <w:lang w:eastAsia="zh-CN"/>
        </w:rPr>
        <w:t>日至2026年</w:t>
      </w:r>
      <w:r>
        <w:rPr>
          <w:rFonts w:hint="eastAsia" w:ascii="宋体" w:hAnsi="宋体" w:cs="宋体"/>
          <w:b w:val="0"/>
          <w:bCs w:val="0"/>
          <w:color w:val="auto"/>
          <w:szCs w:val="21"/>
          <w:highlight w:val="none"/>
          <w:u w:val="none"/>
          <w:lang w:val="en-US" w:eastAsia="zh-CN"/>
        </w:rPr>
        <w:t>05</w:t>
      </w:r>
      <w:r>
        <w:rPr>
          <w:rFonts w:hint="eastAsia" w:ascii="宋体" w:hAnsi="宋体" w:cs="宋体"/>
          <w:b w:val="0"/>
          <w:bCs w:val="0"/>
          <w:color w:val="auto"/>
          <w:szCs w:val="21"/>
          <w:highlight w:val="none"/>
          <w:u w:val="none"/>
          <w:lang w:eastAsia="zh-CN"/>
        </w:rPr>
        <w:t>月</w:t>
      </w:r>
      <w:r>
        <w:rPr>
          <w:rFonts w:hint="eastAsia" w:ascii="宋体" w:hAnsi="宋体" w:cs="宋体"/>
          <w:b w:val="0"/>
          <w:bCs w:val="0"/>
          <w:color w:val="auto"/>
          <w:szCs w:val="21"/>
          <w:highlight w:val="none"/>
          <w:u w:val="none"/>
          <w:lang w:val="en-US" w:eastAsia="zh-CN"/>
        </w:rPr>
        <w:t>26</w:t>
      </w:r>
      <w:r>
        <w:rPr>
          <w:rFonts w:hint="eastAsia" w:ascii="宋体" w:hAnsi="宋体" w:cs="宋体"/>
          <w:b w:val="0"/>
          <w:bCs w:val="0"/>
          <w:color w:val="auto"/>
          <w:szCs w:val="21"/>
          <w:highlight w:val="none"/>
          <w:u w:val="none"/>
          <w:lang w:eastAsia="zh-CN"/>
        </w:rPr>
        <w:t>日</w:t>
      </w:r>
      <w:r>
        <w:rPr>
          <w:rFonts w:hint="eastAsia" w:ascii="宋体" w:hAnsi="宋体" w:eastAsia="宋体" w:cs="宋体"/>
          <w:b w:val="0"/>
          <w:bCs w:val="0"/>
          <w:color w:val="auto"/>
          <w:szCs w:val="21"/>
          <w:highlight w:val="none"/>
          <w:lang w:val="en-US" w:eastAsia="zh-CN"/>
        </w:rPr>
        <w:t>23</w:t>
      </w: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val="en-US" w:eastAsia="zh-CN"/>
        </w:rPr>
        <w:t>59</w:t>
      </w:r>
      <w:r>
        <w:rPr>
          <w:rFonts w:hint="eastAsia" w:ascii="宋体" w:hAnsi="宋体" w:eastAsia="宋体" w:cs="宋体"/>
          <w:b w:val="0"/>
          <w:bCs w:val="0"/>
          <w:color w:val="auto"/>
          <w:szCs w:val="21"/>
          <w:highlight w:val="none"/>
        </w:rPr>
        <w:t>（北京</w:t>
      </w:r>
      <w:r>
        <w:rPr>
          <w:rFonts w:hint="eastAsia" w:ascii="宋体" w:hAnsi="宋体" w:eastAsia="宋体" w:cs="宋体"/>
          <w:b w:val="0"/>
          <w:bCs/>
          <w:color w:val="auto"/>
          <w:szCs w:val="21"/>
          <w:highlight w:val="none"/>
        </w:rPr>
        <w:t>时间，法定节假日除外）。</w:t>
      </w:r>
    </w:p>
    <w:p w14:paraId="0E160070">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2.地点：</w:t>
      </w:r>
      <w:r>
        <w:rPr>
          <w:rFonts w:hint="eastAsia" w:ascii="宋体" w:hAnsi="宋体" w:eastAsia="宋体" w:cs="宋体"/>
          <w:color w:val="auto"/>
          <w:szCs w:val="21"/>
          <w:highlight w:val="none"/>
          <w:lang w:eastAsia="zh-CN"/>
        </w:rPr>
        <w:t>“政采云”</w:t>
      </w:r>
      <w:r>
        <w:rPr>
          <w:rFonts w:hint="eastAsia" w:ascii="宋体" w:hAnsi="宋体" w:eastAsia="宋体" w:cs="宋体"/>
          <w:color w:val="auto"/>
          <w:szCs w:val="21"/>
          <w:highlight w:val="none"/>
        </w:rPr>
        <w:t>平台（</w:t>
      </w:r>
      <w:r>
        <w:rPr>
          <w:rFonts w:hint="eastAsia" w:ascii="宋体" w:hAnsi="宋体" w:cs="宋体"/>
          <w:color w:val="auto"/>
          <w:szCs w:val="21"/>
          <w:highlight w:val="none"/>
          <w:lang w:eastAsia="zh-CN"/>
        </w:rPr>
        <w:t>https://www.zcygov.cn/</w:t>
      </w:r>
      <w:r>
        <w:rPr>
          <w:rFonts w:hint="eastAsia" w:ascii="宋体" w:hAnsi="宋体" w:eastAsia="宋体" w:cs="宋体"/>
          <w:color w:val="auto"/>
          <w:szCs w:val="21"/>
          <w:highlight w:val="none"/>
        </w:rPr>
        <w:t>）（操作路径：登录</w:t>
      </w:r>
      <w:r>
        <w:rPr>
          <w:rFonts w:hint="eastAsia" w:ascii="宋体" w:hAnsi="宋体" w:eastAsia="宋体" w:cs="宋体"/>
          <w:color w:val="auto"/>
          <w:szCs w:val="21"/>
          <w:highlight w:val="none"/>
          <w:lang w:eastAsia="zh-CN"/>
        </w:rPr>
        <w:t>“政采云”</w:t>
      </w:r>
      <w:r>
        <w:rPr>
          <w:rFonts w:hint="eastAsia" w:ascii="宋体" w:hAnsi="宋体" w:eastAsia="宋体" w:cs="宋体"/>
          <w:color w:val="auto"/>
          <w:szCs w:val="21"/>
          <w:highlight w:val="none"/>
        </w:rPr>
        <w:t>平台-项目采购-获取采购文件-找到本项目-点击“申请获取采购文件”）</w:t>
      </w:r>
      <w:r>
        <w:rPr>
          <w:rFonts w:hint="eastAsia" w:ascii="宋体" w:hAnsi="宋体" w:cs="宋体"/>
          <w:color w:val="auto"/>
          <w:szCs w:val="21"/>
          <w:highlight w:val="none"/>
          <w:lang w:val="en-US" w:eastAsia="zh-CN"/>
        </w:rPr>
        <w:t>.</w:t>
      </w:r>
    </w:p>
    <w:p w14:paraId="0CFDCA12">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3.方式：凡有意参加投标者，须在政采云平台办理数字证书（CA)，CA申领链接</w:t>
      </w:r>
      <w:r>
        <w:rPr>
          <w:rFonts w:hint="eastAsia" w:ascii="宋体" w:hAnsi="宋体" w:eastAsia="宋体" w:cs="宋体"/>
          <w:b w:val="0"/>
          <w:bCs w:val="0"/>
          <w:color w:val="auto"/>
          <w:szCs w:val="21"/>
          <w:highlight w:val="none"/>
          <w:lang w:eastAsia="zh-CN"/>
        </w:rPr>
        <w:t>http://yzt.ynsmartcert.cn/cms/yztgr.html</w:t>
      </w:r>
      <w:r>
        <w:rPr>
          <w:rFonts w:hint="eastAsia" w:ascii="宋体" w:hAnsi="宋体" w:eastAsia="宋体" w:cs="宋体"/>
          <w:b w:val="0"/>
          <w:bCs w:val="0"/>
          <w:color w:val="auto"/>
          <w:szCs w:val="21"/>
          <w:highlight w:val="none"/>
        </w:rPr>
        <w:t>，数字证书（CA）办理完成后需在政采云平台绑定数字证书(CA)并在平台获取采购文件及其它采购资料。</w:t>
      </w:r>
    </w:p>
    <w:p w14:paraId="0C57FCDC">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注:按上述要求获取文件的</w:t>
      </w:r>
      <w:r>
        <w:rPr>
          <w:rFonts w:hint="eastAsia" w:ascii="宋体" w:hAnsi="宋体" w:eastAsia="宋体" w:cs="宋体"/>
          <w:b w:val="0"/>
          <w:bCs w:val="0"/>
          <w:color w:val="auto"/>
          <w:szCs w:val="21"/>
          <w:highlight w:val="none"/>
          <w:lang w:eastAsia="zh-CN"/>
        </w:rPr>
        <w:t>投标人</w:t>
      </w:r>
      <w:r>
        <w:rPr>
          <w:rFonts w:hint="eastAsia" w:ascii="宋体" w:hAnsi="宋体" w:eastAsia="宋体" w:cs="宋体"/>
          <w:b w:val="0"/>
          <w:bCs w:val="0"/>
          <w:color w:val="auto"/>
          <w:szCs w:val="21"/>
          <w:highlight w:val="none"/>
        </w:rPr>
        <w:t>视为合法获取了本项目采购文件，具备本项目的投标资格。各</w:t>
      </w:r>
      <w:r>
        <w:rPr>
          <w:rFonts w:hint="eastAsia" w:ascii="宋体" w:hAnsi="宋体" w:eastAsia="宋体" w:cs="宋体"/>
          <w:b w:val="0"/>
          <w:bCs w:val="0"/>
          <w:color w:val="auto"/>
          <w:szCs w:val="21"/>
          <w:highlight w:val="none"/>
          <w:lang w:eastAsia="zh-CN"/>
        </w:rPr>
        <w:t>投标人</w:t>
      </w:r>
      <w:r>
        <w:rPr>
          <w:rFonts w:hint="eastAsia" w:ascii="宋体" w:hAnsi="宋体" w:eastAsia="宋体" w:cs="宋体"/>
          <w:b w:val="0"/>
          <w:bCs w:val="0"/>
          <w:color w:val="auto"/>
          <w:szCs w:val="21"/>
          <w:highlight w:val="none"/>
        </w:rPr>
        <w:t>应在开标前确保成为政采云平台</w:t>
      </w:r>
      <w:r>
        <w:rPr>
          <w:rFonts w:hint="eastAsia" w:ascii="宋体" w:hAnsi="宋体" w:eastAsia="宋体" w:cs="宋体"/>
          <w:b w:val="0"/>
          <w:bCs w:val="0"/>
          <w:color w:val="auto"/>
          <w:szCs w:val="21"/>
          <w:highlight w:val="none"/>
          <w:lang w:val="en-US" w:eastAsia="zh-CN"/>
        </w:rPr>
        <w:t>供应商</w:t>
      </w:r>
      <w:r>
        <w:rPr>
          <w:rFonts w:hint="eastAsia" w:ascii="宋体" w:hAnsi="宋体" w:eastAsia="宋体" w:cs="宋体"/>
          <w:b w:val="0"/>
          <w:bCs w:val="0"/>
          <w:color w:val="auto"/>
          <w:szCs w:val="21"/>
          <w:highlight w:val="none"/>
        </w:rPr>
        <w:t>，并完成CA数字证书申领。因未注册入库，未办理CA数字证书等原因造成无法投标或投标失败等由</w:t>
      </w:r>
      <w:r>
        <w:rPr>
          <w:rFonts w:hint="eastAsia" w:ascii="宋体" w:hAnsi="宋体" w:eastAsia="宋体" w:cs="宋体"/>
          <w:b w:val="0"/>
          <w:bCs w:val="0"/>
          <w:color w:val="auto"/>
          <w:szCs w:val="21"/>
          <w:highlight w:val="none"/>
          <w:lang w:eastAsia="zh-CN"/>
        </w:rPr>
        <w:t>投标人</w:t>
      </w:r>
      <w:r>
        <w:rPr>
          <w:rFonts w:hint="eastAsia" w:ascii="宋体" w:hAnsi="宋体" w:eastAsia="宋体" w:cs="宋体"/>
          <w:b w:val="0"/>
          <w:bCs w:val="0"/>
          <w:color w:val="auto"/>
          <w:szCs w:val="21"/>
          <w:highlight w:val="none"/>
        </w:rPr>
        <w:t>自行承担,有意参加投标的</w:t>
      </w:r>
      <w:r>
        <w:rPr>
          <w:rFonts w:hint="eastAsia" w:ascii="宋体" w:hAnsi="宋体" w:eastAsia="宋体" w:cs="宋体"/>
          <w:b w:val="0"/>
          <w:bCs w:val="0"/>
          <w:color w:val="auto"/>
          <w:szCs w:val="21"/>
          <w:highlight w:val="none"/>
          <w:lang w:eastAsia="zh-CN"/>
        </w:rPr>
        <w:t>投标人</w:t>
      </w:r>
      <w:r>
        <w:rPr>
          <w:rFonts w:hint="eastAsia" w:ascii="宋体" w:hAnsi="宋体" w:eastAsia="宋体" w:cs="宋体"/>
          <w:b w:val="0"/>
          <w:bCs w:val="0"/>
          <w:color w:val="auto"/>
          <w:szCs w:val="21"/>
          <w:highlight w:val="none"/>
        </w:rPr>
        <w:t>，须在政采云平</w:t>
      </w:r>
      <w:r>
        <w:rPr>
          <w:rFonts w:hint="eastAsia" w:ascii="宋体" w:hAnsi="宋体" w:cs="宋体"/>
          <w:b w:val="0"/>
          <w:bCs w:val="0"/>
          <w:color w:val="auto"/>
          <w:szCs w:val="21"/>
          <w:highlight w:val="none"/>
          <w:lang w:val="en-US" w:eastAsia="zh-CN"/>
        </w:rPr>
        <w:t>台</w:t>
      </w:r>
      <w:r>
        <w:rPr>
          <w:rFonts w:hint="eastAsia" w:ascii="宋体" w:hAnsi="宋体" w:eastAsia="宋体" w:cs="宋体"/>
          <w:b w:val="0"/>
          <w:bCs w:val="0"/>
          <w:color w:val="auto"/>
          <w:szCs w:val="21"/>
          <w:highlight w:val="none"/>
        </w:rPr>
        <w:t>办理数字证书(CA)，CA申领链接:</w:t>
      </w:r>
      <w:r>
        <w:rPr>
          <w:rFonts w:hint="eastAsia" w:ascii="宋体" w:hAnsi="宋体" w:eastAsia="宋体" w:cs="宋体"/>
          <w:b w:val="0"/>
          <w:bCs w:val="0"/>
          <w:color w:val="auto"/>
          <w:szCs w:val="21"/>
          <w:highlight w:val="none"/>
          <w:lang w:eastAsia="zh-CN"/>
        </w:rPr>
        <w:t>http://yzt.ynsmartcert.cn/cms/yztgr.html</w:t>
      </w:r>
      <w:r>
        <w:rPr>
          <w:rFonts w:hint="eastAsia" w:ascii="宋体" w:hAnsi="宋体" w:eastAsia="宋体" w:cs="宋体"/>
          <w:b w:val="0"/>
          <w:bCs w:val="0"/>
          <w:color w:val="auto"/>
          <w:szCs w:val="21"/>
          <w:highlight w:val="none"/>
        </w:rPr>
        <w:t>。</w:t>
      </w:r>
    </w:p>
    <w:p w14:paraId="2998B65D">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（1.）如有问题可拨打政采云客户服务热线95763</w:t>
      </w:r>
      <w:r>
        <w:rPr>
          <w:rFonts w:hint="eastAsia" w:ascii="宋体" w:hAnsi="宋体" w:cs="宋体"/>
          <w:b w:val="0"/>
          <w:bCs w:val="0"/>
          <w:color w:val="auto"/>
          <w:szCs w:val="21"/>
          <w:highlight w:val="none"/>
          <w:lang w:eastAsia="zh-CN"/>
        </w:rPr>
        <w:t>进行咨询</w:t>
      </w:r>
      <w:r>
        <w:rPr>
          <w:rFonts w:hint="eastAsia" w:ascii="宋体" w:hAnsi="宋体" w:eastAsia="宋体" w:cs="宋体"/>
          <w:b w:val="0"/>
          <w:bCs w:val="0"/>
          <w:color w:val="auto"/>
          <w:szCs w:val="21"/>
          <w:highlight w:val="none"/>
        </w:rPr>
        <w:t>，数字证书问题可咨询云南壹证通CA：0871-67276028（紧急可拨19988166369）。</w:t>
      </w:r>
    </w:p>
    <w:p w14:paraId="15FC47F6">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如因</w:t>
      </w:r>
      <w:r>
        <w:rPr>
          <w:rFonts w:hint="eastAsia" w:ascii="宋体" w:hAnsi="宋体" w:eastAsia="宋体" w:cs="宋体"/>
          <w:b w:val="0"/>
          <w:bCs w:val="0"/>
          <w:color w:val="auto"/>
          <w:szCs w:val="21"/>
          <w:highlight w:val="none"/>
          <w:lang w:eastAsia="zh-CN"/>
        </w:rPr>
        <w:t>投标人</w:t>
      </w:r>
      <w:r>
        <w:rPr>
          <w:rFonts w:hint="eastAsia" w:ascii="宋体" w:hAnsi="宋体" w:eastAsia="宋体" w:cs="宋体"/>
          <w:b w:val="0"/>
          <w:bCs w:val="0"/>
          <w:color w:val="auto"/>
          <w:szCs w:val="21"/>
          <w:highlight w:val="none"/>
        </w:rPr>
        <w:t>自身原因导致在规定时间内无法正常解密的(如:浏览器故障、未安装相关驱动、网络故障、加密CA与解密CA不一致等），视为</w:t>
      </w:r>
      <w:r>
        <w:rPr>
          <w:rFonts w:hint="eastAsia" w:ascii="宋体" w:hAnsi="宋体" w:eastAsia="宋体" w:cs="宋体"/>
          <w:b w:val="0"/>
          <w:bCs w:val="0"/>
          <w:color w:val="auto"/>
          <w:szCs w:val="21"/>
          <w:highlight w:val="none"/>
          <w:lang w:eastAsia="zh-CN"/>
        </w:rPr>
        <w:t>投标人</w:t>
      </w:r>
      <w:r>
        <w:rPr>
          <w:rFonts w:hint="eastAsia" w:ascii="宋体" w:hAnsi="宋体" w:eastAsia="宋体" w:cs="宋体"/>
          <w:b w:val="0"/>
          <w:bCs w:val="0"/>
          <w:color w:val="auto"/>
          <w:szCs w:val="21"/>
          <w:highlight w:val="none"/>
        </w:rPr>
        <w:t>自动弃标，代理机构不予处理。</w:t>
      </w:r>
    </w:p>
    <w:p w14:paraId="64DC2C1A">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highlight w:val="none"/>
          <w:lang w:val="en-US" w:eastAsia="zh-CN"/>
        </w:rPr>
      </w:pPr>
      <w:r>
        <w:rPr>
          <w:rFonts w:hint="eastAsia" w:ascii="宋体" w:hAnsi="宋体" w:eastAsia="宋体" w:cs="宋体"/>
          <w:b w:val="0"/>
          <w:bCs w:val="0"/>
          <w:color w:val="auto"/>
          <w:szCs w:val="21"/>
          <w:highlight w:val="none"/>
        </w:rPr>
        <w:t>（2.）云南本地</w:t>
      </w:r>
      <w:r>
        <w:rPr>
          <w:rFonts w:hint="eastAsia" w:ascii="宋体" w:hAnsi="宋体" w:eastAsia="宋体" w:cs="宋体"/>
          <w:b w:val="0"/>
          <w:bCs w:val="0"/>
          <w:color w:val="auto"/>
          <w:szCs w:val="21"/>
          <w:highlight w:val="none"/>
          <w:lang w:eastAsia="zh-CN"/>
        </w:rPr>
        <w:t>投标人</w:t>
      </w:r>
      <w:r>
        <w:rPr>
          <w:rFonts w:hint="eastAsia" w:ascii="宋体" w:hAnsi="宋体" w:eastAsia="宋体" w:cs="宋体"/>
          <w:b w:val="0"/>
          <w:bCs w:val="0"/>
          <w:color w:val="auto"/>
          <w:szCs w:val="21"/>
          <w:highlight w:val="none"/>
        </w:rPr>
        <w:t>如之前已在云南CA在线数字证书办理网进行过注册并办理过企业数字证书（CA），直接绑定即可，无需重复办理（2022年1月1日前办理的云南CA需到云南CA办理处进行升级）</w:t>
      </w:r>
      <w:r>
        <w:rPr>
          <w:rFonts w:hint="eastAsia" w:ascii="宋体" w:hAnsi="宋体" w:eastAsia="宋体" w:cs="宋体"/>
          <w:color w:val="auto"/>
          <w:szCs w:val="21"/>
          <w:highlight w:val="none"/>
          <w:lang w:eastAsia="zh-CN"/>
        </w:rPr>
        <w:t>。</w:t>
      </w:r>
    </w:p>
    <w:p w14:paraId="6E1771AC">
      <w:pPr>
        <w:pageBreakBefore w:val="0"/>
        <w:kinsoku/>
        <w:overflowPunct/>
        <w:topLinePunct w:val="0"/>
        <w:autoSpaceDE/>
        <w:autoSpaceDN/>
        <w:bidi w:val="0"/>
        <w:adjustRightInd/>
        <w:snapToGrid/>
        <w:spacing w:before="0" w:beforeAutospacing="0" w:afterAutospacing="0" w:line="480" w:lineRule="exact"/>
        <w:outlineLvl w:val="1"/>
        <w:rPr>
          <w:rFonts w:hint="eastAsia" w:ascii="宋体" w:hAnsi="宋体" w:eastAsia="宋体" w:cs="宋体"/>
          <w:b/>
          <w:bCs w:val="0"/>
          <w:color w:val="auto"/>
          <w:spacing w:val="0"/>
          <w:sz w:val="28"/>
          <w:szCs w:val="28"/>
          <w:highlight w:val="none"/>
        </w:rPr>
      </w:pPr>
      <w:bookmarkStart w:id="17" w:name="_Toc8293"/>
      <w:bookmarkStart w:id="18" w:name="_Toc1675"/>
      <w:r>
        <w:rPr>
          <w:rFonts w:hint="eastAsia" w:ascii="宋体" w:hAnsi="宋体" w:eastAsia="宋体" w:cs="宋体"/>
          <w:b/>
          <w:bCs w:val="0"/>
          <w:color w:val="auto"/>
          <w:spacing w:val="0"/>
          <w:sz w:val="28"/>
          <w:szCs w:val="28"/>
          <w:highlight w:val="none"/>
        </w:rPr>
        <w:t>四、提交投标文件截止时间、开标时间和地点</w:t>
      </w:r>
      <w:bookmarkEnd w:id="17"/>
      <w:bookmarkEnd w:id="18"/>
    </w:p>
    <w:p w14:paraId="29597261">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1.提交投标文件截止时间、开标时间：</w:t>
      </w:r>
      <w:r>
        <w:rPr>
          <w:rFonts w:hint="eastAsia" w:ascii="宋体" w:hAnsi="宋体" w:cs="宋体"/>
          <w:b w:val="0"/>
          <w:bCs w:val="0"/>
          <w:color w:val="auto"/>
          <w:szCs w:val="21"/>
          <w:highlight w:val="none"/>
          <w:u w:val="none"/>
          <w:lang w:eastAsia="zh-CN"/>
        </w:rPr>
        <w:t>2026年</w:t>
      </w:r>
      <w:r>
        <w:rPr>
          <w:rFonts w:hint="eastAsia" w:ascii="宋体" w:hAnsi="宋体" w:cs="宋体"/>
          <w:b w:val="0"/>
          <w:bCs w:val="0"/>
          <w:color w:val="auto"/>
          <w:szCs w:val="21"/>
          <w:highlight w:val="none"/>
          <w:u w:val="none"/>
          <w:lang w:val="en-US" w:eastAsia="zh-CN"/>
        </w:rPr>
        <w:t>06</w:t>
      </w:r>
      <w:r>
        <w:rPr>
          <w:rFonts w:hint="eastAsia" w:ascii="宋体" w:hAnsi="宋体" w:cs="宋体"/>
          <w:b w:val="0"/>
          <w:bCs w:val="0"/>
          <w:color w:val="auto"/>
          <w:szCs w:val="21"/>
          <w:highlight w:val="none"/>
          <w:u w:val="none"/>
          <w:lang w:eastAsia="zh-CN"/>
        </w:rPr>
        <w:t>月</w:t>
      </w:r>
      <w:r>
        <w:rPr>
          <w:rFonts w:hint="eastAsia" w:ascii="宋体" w:hAnsi="宋体" w:cs="宋体"/>
          <w:b w:val="0"/>
          <w:bCs w:val="0"/>
          <w:color w:val="auto"/>
          <w:szCs w:val="21"/>
          <w:highlight w:val="none"/>
          <w:u w:val="none"/>
          <w:lang w:val="en-US" w:eastAsia="zh-CN"/>
        </w:rPr>
        <w:t>09</w:t>
      </w:r>
      <w:r>
        <w:rPr>
          <w:rFonts w:hint="eastAsia" w:ascii="宋体" w:hAnsi="宋体" w:cs="宋体"/>
          <w:b w:val="0"/>
          <w:bCs w:val="0"/>
          <w:color w:val="auto"/>
          <w:szCs w:val="21"/>
          <w:highlight w:val="none"/>
          <w:u w:val="none"/>
          <w:lang w:eastAsia="zh-CN"/>
        </w:rPr>
        <w:t>日</w:t>
      </w:r>
      <w:r>
        <w:rPr>
          <w:rFonts w:hint="eastAsia" w:ascii="宋体" w:hAnsi="宋体" w:cs="宋体"/>
          <w:b w:val="0"/>
          <w:bCs w:val="0"/>
          <w:color w:val="auto"/>
          <w:szCs w:val="21"/>
          <w:highlight w:val="none"/>
          <w:u w:val="none"/>
          <w:lang w:val="en-US" w:eastAsia="zh-CN"/>
        </w:rPr>
        <w:t>09</w:t>
      </w:r>
      <w:r>
        <w:rPr>
          <w:rFonts w:hint="eastAsia" w:ascii="宋体" w:hAnsi="宋体" w:cs="宋体"/>
          <w:b w:val="0"/>
          <w:bCs w:val="0"/>
          <w:color w:val="auto"/>
          <w:szCs w:val="21"/>
          <w:highlight w:val="none"/>
          <w:u w:val="none"/>
          <w:lang w:eastAsia="zh-CN"/>
        </w:rPr>
        <w:t>时</w:t>
      </w:r>
      <w:r>
        <w:rPr>
          <w:rFonts w:hint="eastAsia" w:ascii="宋体" w:hAnsi="宋体" w:cs="宋体"/>
          <w:b w:val="0"/>
          <w:bCs w:val="0"/>
          <w:color w:val="auto"/>
          <w:szCs w:val="21"/>
          <w:highlight w:val="none"/>
          <w:u w:val="none"/>
          <w:lang w:val="en-US" w:eastAsia="zh-CN"/>
        </w:rPr>
        <w:t>3</w:t>
      </w:r>
      <w:r>
        <w:rPr>
          <w:rFonts w:hint="eastAsia" w:ascii="宋体" w:hAnsi="宋体" w:cs="宋体"/>
          <w:b w:val="0"/>
          <w:bCs w:val="0"/>
          <w:color w:val="auto"/>
          <w:szCs w:val="21"/>
          <w:highlight w:val="none"/>
          <w:u w:val="none"/>
          <w:lang w:eastAsia="zh-CN"/>
        </w:rPr>
        <w:t>0分</w:t>
      </w:r>
      <w:r>
        <w:rPr>
          <w:rFonts w:hint="eastAsia" w:ascii="宋体" w:hAnsi="宋体" w:eastAsia="宋体" w:cs="宋体"/>
          <w:b w:val="0"/>
          <w:bCs/>
          <w:color w:val="auto"/>
          <w:szCs w:val="21"/>
          <w:highlight w:val="none"/>
        </w:rPr>
        <w:t>（北京时间）。</w:t>
      </w:r>
    </w:p>
    <w:p w14:paraId="4B478D5F">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highlight w:val="none"/>
        </w:rPr>
      </w:pPr>
      <w:r>
        <w:rPr>
          <w:rFonts w:hint="eastAsia" w:ascii="宋体" w:hAnsi="宋体" w:eastAsia="宋体" w:cs="宋体"/>
          <w:b w:val="0"/>
          <w:bCs/>
          <w:color w:val="auto"/>
          <w:szCs w:val="21"/>
          <w:highlight w:val="none"/>
        </w:rPr>
        <w:t>2.提交投标文件地点：</w:t>
      </w:r>
      <w:r>
        <w:rPr>
          <w:rFonts w:hint="eastAsia" w:ascii="宋体" w:hAnsi="宋体" w:eastAsia="宋体" w:cs="宋体"/>
          <w:color w:val="auto"/>
          <w:szCs w:val="21"/>
          <w:highlight w:val="none"/>
          <w:lang w:val="en-US" w:eastAsia="zh-CN"/>
        </w:rPr>
        <w:t>投标人</w:t>
      </w:r>
      <w:r>
        <w:rPr>
          <w:rFonts w:hint="eastAsia" w:ascii="宋体" w:hAnsi="宋体" w:eastAsia="宋体" w:cs="宋体"/>
          <w:color w:val="auto"/>
          <w:szCs w:val="21"/>
          <w:highlight w:val="none"/>
        </w:rPr>
        <w:t>应按照本项目采购文件和</w:t>
      </w:r>
      <w:r>
        <w:rPr>
          <w:rFonts w:hint="eastAsia" w:ascii="宋体" w:hAnsi="宋体" w:eastAsia="宋体" w:cs="宋体"/>
          <w:color w:val="auto"/>
          <w:szCs w:val="21"/>
          <w:highlight w:val="none"/>
          <w:lang w:eastAsia="zh-CN"/>
        </w:rPr>
        <w:t>“政采云”</w:t>
      </w:r>
      <w:r>
        <w:rPr>
          <w:rFonts w:hint="eastAsia" w:ascii="宋体" w:hAnsi="宋体" w:eastAsia="宋体" w:cs="宋体"/>
          <w:color w:val="auto"/>
          <w:szCs w:val="21"/>
          <w:highlight w:val="none"/>
        </w:rPr>
        <w:t>平台的要求编制、加密投标文件后在</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文件提交截止时间前上传至</w:t>
      </w:r>
      <w:r>
        <w:rPr>
          <w:rFonts w:hint="eastAsia" w:ascii="宋体" w:hAnsi="宋体" w:eastAsia="宋体" w:cs="宋体"/>
          <w:color w:val="auto"/>
          <w:szCs w:val="21"/>
          <w:highlight w:val="none"/>
          <w:lang w:eastAsia="zh-CN"/>
        </w:rPr>
        <w:t>“政采云”</w:t>
      </w:r>
      <w:r>
        <w:rPr>
          <w:rFonts w:hint="eastAsia" w:ascii="宋体" w:hAnsi="宋体" w:eastAsia="宋体" w:cs="宋体"/>
          <w:color w:val="auto"/>
          <w:szCs w:val="21"/>
          <w:highlight w:val="none"/>
        </w:rPr>
        <w:t>平台，投标人须在投标截止时间前完成所有电子投标文件的上传，投标截止时间前未完成投标文件传输的，视为撤回投标文件。</w:t>
      </w:r>
      <w:r>
        <w:rPr>
          <w:rFonts w:hint="eastAsia" w:ascii="宋体" w:hAnsi="宋体" w:eastAsia="宋体" w:cs="宋体"/>
          <w:color w:val="auto"/>
          <w:szCs w:val="21"/>
          <w:highlight w:val="none"/>
          <w:lang w:val="en-US" w:eastAsia="zh-CN"/>
        </w:rPr>
        <w:t>投标人</w:t>
      </w:r>
      <w:r>
        <w:rPr>
          <w:rFonts w:hint="eastAsia" w:ascii="宋体" w:hAnsi="宋体" w:eastAsia="宋体" w:cs="宋体"/>
          <w:color w:val="auto"/>
          <w:szCs w:val="21"/>
          <w:highlight w:val="none"/>
        </w:rPr>
        <w:t>在</w:t>
      </w:r>
      <w:r>
        <w:rPr>
          <w:rFonts w:hint="eastAsia" w:ascii="宋体" w:hAnsi="宋体" w:eastAsia="宋体" w:cs="宋体"/>
          <w:color w:val="auto"/>
          <w:szCs w:val="21"/>
          <w:highlight w:val="none"/>
          <w:lang w:eastAsia="zh-CN"/>
        </w:rPr>
        <w:t>“政采云”</w:t>
      </w:r>
      <w:r>
        <w:rPr>
          <w:rFonts w:hint="eastAsia" w:ascii="宋体" w:hAnsi="宋体" w:eastAsia="宋体" w:cs="宋体"/>
          <w:color w:val="auto"/>
          <w:szCs w:val="21"/>
          <w:highlight w:val="none"/>
        </w:rPr>
        <w:t>平台提交电子版</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文件时，请填写参加远程采购活动经办人联系方式。</w:t>
      </w:r>
    </w:p>
    <w:p w14:paraId="0391EF11">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b/>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开标地点：</w:t>
      </w:r>
      <w:r>
        <w:rPr>
          <w:rFonts w:hint="eastAsia" w:ascii="宋体" w:hAnsi="宋体" w:cs="宋体"/>
          <w:color w:val="auto"/>
          <w:kern w:val="0"/>
          <w:szCs w:val="21"/>
          <w:highlight w:val="none"/>
          <w:lang w:eastAsia="zh-CN"/>
        </w:rPr>
        <w:t>怒江国创大智全过程工程咨询有限公司</w:t>
      </w:r>
      <w:r>
        <w:rPr>
          <w:rFonts w:hint="eastAsia" w:ascii="宋体" w:hAnsi="宋体" w:eastAsia="宋体" w:cs="宋体"/>
          <w:color w:val="auto"/>
          <w:kern w:val="0"/>
          <w:szCs w:val="21"/>
          <w:highlight w:val="none"/>
          <w:lang w:val="en-US" w:eastAsia="zh-CN"/>
        </w:rPr>
        <w:t>开标</w:t>
      </w:r>
      <w:r>
        <w:rPr>
          <w:rFonts w:hint="eastAsia" w:ascii="宋体" w:hAnsi="宋体" w:cs="宋体"/>
          <w:color w:val="auto"/>
          <w:kern w:val="0"/>
          <w:szCs w:val="21"/>
          <w:highlight w:val="none"/>
          <w:lang w:val="en-US" w:eastAsia="zh-CN"/>
        </w:rPr>
        <w:t>室</w:t>
      </w:r>
      <w:r>
        <w:rPr>
          <w:rFonts w:hint="eastAsia" w:ascii="宋体" w:hAnsi="宋体" w:eastAsia="宋体" w:cs="宋体"/>
          <w:b w:val="0"/>
          <w:bCs w:val="0"/>
          <w:color w:val="auto"/>
          <w:kern w:val="0"/>
          <w:szCs w:val="21"/>
          <w:highlight w:val="none"/>
        </w:rPr>
        <w:t>，</w:t>
      </w:r>
      <w:r>
        <w:rPr>
          <w:rFonts w:hint="eastAsia" w:ascii="宋体" w:hAnsi="宋体" w:eastAsia="宋体" w:cs="宋体"/>
          <w:b w:val="0"/>
          <w:bCs w:val="0"/>
          <w:color w:val="auto"/>
          <w:kern w:val="0"/>
          <w:szCs w:val="21"/>
          <w:highlight w:val="none"/>
          <w:lang w:val="en-US" w:eastAsia="zh-CN"/>
        </w:rPr>
        <w:t>投标人</w:t>
      </w:r>
      <w:r>
        <w:rPr>
          <w:rFonts w:hint="eastAsia" w:ascii="宋体" w:hAnsi="宋体" w:eastAsia="宋体" w:cs="宋体"/>
          <w:b w:val="0"/>
          <w:bCs w:val="0"/>
          <w:color w:val="auto"/>
          <w:kern w:val="0"/>
          <w:szCs w:val="21"/>
          <w:highlight w:val="none"/>
        </w:rPr>
        <w:t>无需到达</w:t>
      </w:r>
      <w:r>
        <w:rPr>
          <w:rFonts w:hint="eastAsia" w:ascii="宋体" w:hAnsi="宋体" w:eastAsia="宋体" w:cs="宋体"/>
          <w:b w:val="0"/>
          <w:bCs w:val="0"/>
          <w:color w:val="auto"/>
          <w:szCs w:val="21"/>
          <w:highlight w:val="none"/>
        </w:rPr>
        <w:t>开标地点</w:t>
      </w:r>
      <w:r>
        <w:rPr>
          <w:rFonts w:hint="eastAsia" w:ascii="宋体" w:hAnsi="宋体" w:eastAsia="宋体" w:cs="宋体"/>
          <w:b w:val="0"/>
          <w:bCs w:val="0"/>
          <w:color w:val="auto"/>
          <w:kern w:val="0"/>
          <w:szCs w:val="21"/>
          <w:highlight w:val="none"/>
        </w:rPr>
        <w:t>，须在</w:t>
      </w:r>
      <w:r>
        <w:rPr>
          <w:rFonts w:hint="eastAsia" w:ascii="宋体" w:hAnsi="宋体" w:eastAsia="宋体" w:cs="宋体"/>
          <w:b w:val="0"/>
          <w:bCs w:val="0"/>
          <w:color w:val="auto"/>
          <w:kern w:val="0"/>
          <w:szCs w:val="21"/>
          <w:highlight w:val="none"/>
          <w:lang w:eastAsia="zh-CN"/>
        </w:rPr>
        <w:t>“政采云”</w:t>
      </w:r>
      <w:r>
        <w:rPr>
          <w:rFonts w:hint="eastAsia" w:ascii="宋体" w:hAnsi="宋体" w:eastAsia="宋体" w:cs="宋体"/>
          <w:b w:val="0"/>
          <w:bCs w:val="0"/>
          <w:color w:val="auto"/>
          <w:kern w:val="0"/>
          <w:szCs w:val="21"/>
          <w:highlight w:val="none"/>
        </w:rPr>
        <w:t>平台进行远程解密电子版</w:t>
      </w:r>
      <w:r>
        <w:rPr>
          <w:rFonts w:hint="eastAsia" w:ascii="宋体" w:hAnsi="宋体" w:eastAsia="宋体" w:cs="宋体"/>
          <w:b w:val="0"/>
          <w:bCs w:val="0"/>
          <w:color w:val="auto"/>
          <w:kern w:val="0"/>
          <w:szCs w:val="21"/>
          <w:highlight w:val="none"/>
          <w:lang w:val="en-US" w:eastAsia="zh-CN"/>
        </w:rPr>
        <w:t>投标</w:t>
      </w:r>
      <w:r>
        <w:rPr>
          <w:rFonts w:hint="eastAsia" w:ascii="宋体" w:hAnsi="宋体" w:eastAsia="宋体" w:cs="宋体"/>
          <w:b w:val="0"/>
          <w:bCs w:val="0"/>
          <w:color w:val="auto"/>
          <w:kern w:val="0"/>
          <w:szCs w:val="21"/>
          <w:highlight w:val="none"/>
        </w:rPr>
        <w:t>文件</w:t>
      </w:r>
      <w:r>
        <w:rPr>
          <w:rFonts w:hint="eastAsia" w:ascii="宋体" w:hAnsi="宋体" w:eastAsia="宋体" w:cs="宋体"/>
          <w:b w:val="0"/>
          <w:bCs w:val="0"/>
          <w:color w:val="auto"/>
          <w:szCs w:val="21"/>
          <w:highlight w:val="none"/>
        </w:rPr>
        <w:t>。</w:t>
      </w:r>
    </w:p>
    <w:p w14:paraId="2FC6C956">
      <w:pPr>
        <w:pageBreakBefore w:val="0"/>
        <w:kinsoku/>
        <w:overflowPunct/>
        <w:topLinePunct w:val="0"/>
        <w:autoSpaceDE/>
        <w:autoSpaceDN/>
        <w:bidi w:val="0"/>
        <w:adjustRightInd/>
        <w:snapToGrid/>
        <w:spacing w:before="0" w:beforeAutospacing="0" w:afterAutospacing="0" w:line="480" w:lineRule="exact"/>
        <w:outlineLvl w:val="1"/>
        <w:rPr>
          <w:rFonts w:hint="eastAsia" w:ascii="宋体" w:hAnsi="宋体" w:eastAsia="宋体" w:cs="宋体"/>
          <w:b/>
          <w:bCs w:val="0"/>
          <w:color w:val="auto"/>
          <w:spacing w:val="0"/>
          <w:sz w:val="28"/>
          <w:szCs w:val="28"/>
          <w:highlight w:val="none"/>
        </w:rPr>
      </w:pPr>
      <w:bookmarkStart w:id="19" w:name="_Toc29198"/>
      <w:bookmarkStart w:id="20" w:name="_Toc12795"/>
      <w:r>
        <w:rPr>
          <w:rFonts w:hint="eastAsia" w:ascii="宋体" w:hAnsi="宋体" w:eastAsia="宋体" w:cs="宋体"/>
          <w:b/>
          <w:bCs w:val="0"/>
          <w:color w:val="auto"/>
          <w:spacing w:val="0"/>
          <w:sz w:val="28"/>
          <w:szCs w:val="28"/>
          <w:highlight w:val="none"/>
        </w:rPr>
        <w:t>五、公告期限</w:t>
      </w:r>
      <w:bookmarkEnd w:id="19"/>
      <w:bookmarkEnd w:id="20"/>
    </w:p>
    <w:p w14:paraId="2EE4A32F">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14:paraId="6503E0FA">
      <w:pPr>
        <w:pageBreakBefore w:val="0"/>
        <w:kinsoku/>
        <w:overflowPunct/>
        <w:topLinePunct w:val="0"/>
        <w:autoSpaceDE/>
        <w:autoSpaceDN/>
        <w:bidi w:val="0"/>
        <w:adjustRightInd/>
        <w:snapToGrid/>
        <w:spacing w:before="0" w:beforeAutospacing="0" w:afterAutospacing="0" w:line="480" w:lineRule="exact"/>
        <w:outlineLvl w:val="1"/>
        <w:rPr>
          <w:rFonts w:hint="eastAsia" w:ascii="宋体" w:hAnsi="宋体" w:eastAsia="宋体" w:cs="宋体"/>
          <w:b/>
          <w:bCs w:val="0"/>
          <w:color w:val="auto"/>
          <w:spacing w:val="0"/>
          <w:sz w:val="28"/>
          <w:szCs w:val="28"/>
          <w:highlight w:val="none"/>
        </w:rPr>
      </w:pPr>
      <w:bookmarkStart w:id="21" w:name="_Toc31836"/>
      <w:bookmarkStart w:id="22" w:name="_Toc20501"/>
      <w:r>
        <w:rPr>
          <w:rFonts w:hint="eastAsia" w:ascii="宋体" w:hAnsi="宋体" w:eastAsia="宋体" w:cs="宋体"/>
          <w:b/>
          <w:bCs w:val="0"/>
          <w:color w:val="auto"/>
          <w:spacing w:val="0"/>
          <w:sz w:val="28"/>
          <w:szCs w:val="28"/>
          <w:highlight w:val="none"/>
        </w:rPr>
        <w:t>六、其他补充事宜</w:t>
      </w:r>
      <w:bookmarkEnd w:id="21"/>
      <w:bookmarkEnd w:id="22"/>
    </w:p>
    <w:p w14:paraId="63493242">
      <w:pPr>
        <w:pStyle w:val="80"/>
        <w:pageBreakBefore w:val="0"/>
        <w:kinsoku/>
        <w:overflowPunct/>
        <w:topLinePunct w:val="0"/>
        <w:autoSpaceDE/>
        <w:autoSpaceDN/>
        <w:bidi w:val="0"/>
        <w:adjustRightInd/>
        <w:snapToGrid/>
        <w:spacing w:beforeAutospacing="0" w:afterAutospacing="0" w:line="480" w:lineRule="exac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发布公告的媒介：</w:t>
      </w:r>
      <w:r>
        <w:rPr>
          <w:rFonts w:hint="eastAsia" w:ascii="宋体" w:hAnsi="宋体" w:eastAsia="宋体" w:cs="宋体"/>
          <w:b w:val="0"/>
          <w:bCs/>
          <w:color w:val="auto"/>
          <w:szCs w:val="21"/>
          <w:highlight w:val="none"/>
          <w:u w:val="none"/>
        </w:rPr>
        <w:t>本次公开招标公告在</w:t>
      </w:r>
      <w:r>
        <w:rPr>
          <w:rFonts w:hint="eastAsia" w:ascii="宋体" w:hAnsi="宋体" w:eastAsia="宋体" w:cs="宋体"/>
          <w:b w:val="0"/>
          <w:bCs/>
          <w:color w:val="auto"/>
          <w:szCs w:val="21"/>
          <w:highlight w:val="none"/>
          <w:u w:val="none"/>
          <w:lang w:eastAsia="zh-CN"/>
        </w:rPr>
        <w:t>“</w:t>
      </w:r>
      <w:r>
        <w:rPr>
          <w:rFonts w:hint="eastAsia" w:ascii="宋体" w:hAnsi="宋体" w:eastAsia="宋体" w:cs="宋体"/>
          <w:b w:val="0"/>
          <w:bCs/>
          <w:color w:val="auto"/>
          <w:szCs w:val="21"/>
          <w:highlight w:val="none"/>
          <w:u w:val="none"/>
        </w:rPr>
        <w:t>云南省政府采购网</w:t>
      </w:r>
      <w:r>
        <w:rPr>
          <w:rFonts w:hint="eastAsia" w:ascii="宋体" w:hAnsi="宋体" w:eastAsia="宋体" w:cs="宋体"/>
          <w:b w:val="0"/>
          <w:bCs/>
          <w:color w:val="auto"/>
          <w:szCs w:val="21"/>
          <w:highlight w:val="none"/>
          <w:u w:val="none"/>
          <w:lang w:eastAsia="zh-CN"/>
        </w:rPr>
        <w:t>”</w:t>
      </w:r>
      <w:r>
        <w:rPr>
          <w:rFonts w:hint="eastAsia" w:ascii="宋体" w:hAnsi="宋体" w:eastAsia="宋体" w:cs="宋体"/>
          <w:b w:val="0"/>
          <w:bCs/>
          <w:color w:val="auto"/>
          <w:szCs w:val="21"/>
          <w:highlight w:val="none"/>
          <w:u w:val="none"/>
        </w:rPr>
        <w:t>上发布。</w:t>
      </w:r>
    </w:p>
    <w:p w14:paraId="5D2CBB94">
      <w:pPr>
        <w:pStyle w:val="80"/>
        <w:pageBreakBefore w:val="0"/>
        <w:kinsoku/>
        <w:overflowPunct/>
        <w:topLinePunct w:val="0"/>
        <w:autoSpaceDE/>
        <w:autoSpaceDN/>
        <w:bidi w:val="0"/>
        <w:adjustRightInd/>
        <w:snapToGrid/>
        <w:spacing w:beforeAutospacing="0" w:afterAutospacing="0" w:line="480" w:lineRule="exact"/>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.本项目需要落实的政府采购政策：促进中小企业发展、促进残疾人就业、支持监狱企业发展、</w:t>
      </w:r>
      <w:r>
        <w:rPr>
          <w:rFonts w:hint="eastAsia" w:ascii="宋体" w:hAnsi="宋体" w:eastAsia="宋体" w:cs="宋体"/>
          <w:color w:val="auto"/>
          <w:szCs w:val="21"/>
          <w:highlight w:val="none"/>
          <w:lang w:eastAsia="zh-CN"/>
        </w:rPr>
        <w:t>优先采购节能产品及环境标志产品</w:t>
      </w:r>
      <w:r>
        <w:rPr>
          <w:rFonts w:hint="eastAsia" w:ascii="宋体" w:hAnsi="宋体" w:eastAsia="宋体" w:cs="宋体"/>
          <w:color w:val="auto"/>
          <w:szCs w:val="21"/>
          <w:highlight w:val="none"/>
        </w:rPr>
        <w:t>，政府采购政策具体落实情况详见本项目招标文件</w:t>
      </w:r>
      <w:r>
        <w:rPr>
          <w:rFonts w:hint="eastAsia" w:ascii="宋体" w:hAnsi="宋体" w:eastAsia="宋体" w:cs="宋体"/>
          <w:color w:val="auto"/>
          <w:szCs w:val="21"/>
          <w:highlight w:val="none"/>
          <w:lang w:eastAsia="zh-CN"/>
        </w:rPr>
        <w:t>。</w:t>
      </w:r>
    </w:p>
    <w:p w14:paraId="2645EACE">
      <w:pPr>
        <w:pageBreakBefore w:val="0"/>
        <w:kinsoku/>
        <w:overflowPunct/>
        <w:topLinePunct w:val="0"/>
        <w:autoSpaceDE/>
        <w:autoSpaceDN/>
        <w:bidi w:val="0"/>
        <w:adjustRightInd/>
        <w:snapToGrid/>
        <w:spacing w:before="0" w:beforeAutospacing="0" w:afterAutospacing="0" w:line="480" w:lineRule="exact"/>
        <w:outlineLvl w:val="1"/>
        <w:rPr>
          <w:rFonts w:hint="eastAsia" w:ascii="宋体" w:hAnsi="宋体" w:eastAsia="宋体" w:cs="宋体"/>
          <w:b/>
          <w:bCs w:val="0"/>
          <w:color w:val="auto"/>
          <w:spacing w:val="0"/>
          <w:sz w:val="28"/>
          <w:szCs w:val="28"/>
          <w:highlight w:val="none"/>
        </w:rPr>
      </w:pPr>
      <w:bookmarkStart w:id="23" w:name="_Toc22270"/>
      <w:bookmarkStart w:id="24" w:name="_Toc23933"/>
      <w:r>
        <w:rPr>
          <w:rFonts w:hint="eastAsia" w:ascii="宋体" w:hAnsi="宋体" w:eastAsia="宋体" w:cs="宋体"/>
          <w:b/>
          <w:bCs w:val="0"/>
          <w:color w:val="auto"/>
          <w:spacing w:val="0"/>
          <w:sz w:val="28"/>
          <w:szCs w:val="28"/>
          <w:highlight w:val="none"/>
        </w:rPr>
        <w:t>七、对本次招标提出询问，请按以下方式联系</w:t>
      </w:r>
      <w:bookmarkEnd w:id="23"/>
      <w:bookmarkEnd w:id="24"/>
    </w:p>
    <w:p w14:paraId="7C0990F6">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1.采购人信息</w:t>
      </w:r>
    </w:p>
    <w:p w14:paraId="0A4E3394">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名称：</w:t>
      </w:r>
      <w:r>
        <w:rPr>
          <w:rFonts w:hint="eastAsia" w:ascii="宋体" w:hAnsi="宋体" w:cs="宋体"/>
          <w:color w:val="auto"/>
          <w:highlight w:val="none"/>
          <w:lang w:val="en-US" w:eastAsia="zh-CN"/>
        </w:rPr>
        <w:t>怒江州民族中等专业学校</w:t>
      </w:r>
    </w:p>
    <w:p w14:paraId="0842963C">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地址：</w:t>
      </w:r>
      <w:r>
        <w:rPr>
          <w:rFonts w:hint="eastAsia" w:ascii="宋体" w:hAnsi="宋体" w:cs="宋体"/>
          <w:color w:val="auto"/>
          <w:highlight w:val="none"/>
          <w:lang w:val="en-US" w:eastAsia="zh-CN"/>
        </w:rPr>
        <w:t>怒江州职教中心</w:t>
      </w:r>
    </w:p>
    <w:p w14:paraId="6EC96984">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联系方式：</w:t>
      </w:r>
      <w:r>
        <w:rPr>
          <w:rFonts w:hint="eastAsia" w:ascii="宋体" w:hAnsi="宋体" w:cs="宋体"/>
          <w:color w:val="auto"/>
          <w:highlight w:val="none"/>
          <w:lang w:val="en-US" w:eastAsia="zh-CN"/>
        </w:rPr>
        <w:t xml:space="preserve">唐老师13988644254 </w:t>
      </w:r>
    </w:p>
    <w:p w14:paraId="21196456">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2.采购代理机构信息</w:t>
      </w:r>
    </w:p>
    <w:p w14:paraId="0996D2C3">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名称：</w:t>
      </w:r>
      <w:r>
        <w:rPr>
          <w:rFonts w:hint="eastAsia" w:ascii="宋体" w:hAnsi="宋体" w:cs="宋体"/>
          <w:color w:val="auto"/>
          <w:highlight w:val="none"/>
          <w:lang w:val="en-US" w:eastAsia="zh-CN"/>
        </w:rPr>
        <w:t>怒江国创大智全过程工程咨询有限公司</w:t>
      </w:r>
    </w:p>
    <w:p w14:paraId="34C14A97">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地址：泸水市向阳南路29号</w:t>
      </w:r>
    </w:p>
    <w:p w14:paraId="3D2FFC0A">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联系人：</w:t>
      </w:r>
      <w:r>
        <w:rPr>
          <w:rFonts w:hint="eastAsia" w:ascii="宋体" w:hAnsi="宋体" w:cs="宋体"/>
          <w:color w:val="auto"/>
          <w:highlight w:val="none"/>
          <w:lang w:val="en-US" w:eastAsia="zh-CN"/>
        </w:rPr>
        <w:t>熊伟</w:t>
      </w:r>
    </w:p>
    <w:p w14:paraId="0209DBA0">
      <w:pPr>
        <w:pageBreakBefore w:val="0"/>
        <w:kinsoku/>
        <w:overflowPunct/>
        <w:topLinePunct w:val="0"/>
        <w:autoSpaceDE/>
        <w:autoSpaceDN/>
        <w:bidi w:val="0"/>
        <w:adjustRightInd/>
        <w:snapToGrid/>
        <w:spacing w:beforeAutospacing="0" w:afterAutospacing="0" w:line="480" w:lineRule="exact"/>
        <w:ind w:firstLine="420" w:firstLineChars="20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联系方式：</w:t>
      </w:r>
      <w:r>
        <w:rPr>
          <w:rFonts w:hint="eastAsia" w:ascii="宋体" w:hAnsi="宋体" w:cs="宋体"/>
          <w:color w:val="auto"/>
          <w:highlight w:val="none"/>
          <w:lang w:val="en-US" w:eastAsia="zh-CN"/>
        </w:rPr>
        <w:t>15694663925</w:t>
      </w:r>
    </w:p>
    <w:p w14:paraId="76CF0A8B">
      <w:pPr>
        <w:pageBreakBefore w:val="0"/>
        <w:kinsoku/>
        <w:overflowPunct/>
        <w:topLinePunct w:val="0"/>
        <w:autoSpaceDE/>
        <w:autoSpaceDN/>
        <w:bidi w:val="0"/>
        <w:adjustRightInd/>
        <w:snapToGrid/>
        <w:spacing w:beforeAutospacing="0" w:afterAutospacing="0" w:line="480" w:lineRule="exact"/>
        <w:ind w:firstLine="420" w:firstLineChars="200"/>
        <w:rPr>
          <w:rFonts w:hint="eastAsia" w:ascii="宋体" w:hAnsi="宋体" w:eastAsia="宋体" w:cs="宋体"/>
          <w:color w:val="auto"/>
          <w:highlight w:val="none"/>
          <w:lang w:val="en-US" w:eastAsia="zh-CN"/>
        </w:rPr>
      </w:pPr>
    </w:p>
    <w:p w14:paraId="2DAC5CEB">
      <w:pPr>
        <w:pageBreakBefore w:val="0"/>
        <w:kinsoku/>
        <w:overflowPunct/>
        <w:topLinePunct w:val="0"/>
        <w:autoSpaceDE/>
        <w:autoSpaceDN/>
        <w:bidi w:val="0"/>
        <w:adjustRightInd/>
        <w:snapToGrid/>
        <w:spacing w:beforeAutospacing="0" w:afterAutospacing="0" w:line="480" w:lineRule="exact"/>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3.项目联系方式</w:t>
      </w:r>
    </w:p>
    <w:p w14:paraId="1E74B2CE">
      <w:pPr>
        <w:pageBreakBefore w:val="0"/>
        <w:kinsoku/>
        <w:overflowPunct/>
        <w:topLinePunct w:val="0"/>
        <w:autoSpaceDE/>
        <w:autoSpaceDN/>
        <w:bidi w:val="0"/>
        <w:adjustRightInd/>
        <w:snapToGrid/>
        <w:spacing w:beforeAutospacing="0" w:afterAutospacing="0" w:line="480" w:lineRule="exact"/>
        <w:ind w:firstLine="420" w:firstLineChars="20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项目联系人：</w:t>
      </w:r>
      <w:r>
        <w:rPr>
          <w:rFonts w:hint="eastAsia" w:ascii="宋体" w:hAnsi="宋体" w:cs="宋体"/>
          <w:color w:val="auto"/>
          <w:highlight w:val="none"/>
          <w:lang w:val="en-US" w:eastAsia="zh-CN"/>
        </w:rPr>
        <w:t>熊伟</w:t>
      </w:r>
    </w:p>
    <w:p w14:paraId="7AD15BA7">
      <w:pPr>
        <w:pageBreakBefore w:val="0"/>
        <w:kinsoku/>
        <w:overflowPunct/>
        <w:topLinePunct w:val="0"/>
        <w:autoSpaceDE/>
        <w:autoSpaceDN/>
        <w:bidi w:val="0"/>
        <w:adjustRightInd/>
        <w:snapToGrid/>
        <w:spacing w:beforeAutospacing="0" w:afterAutospacing="0" w:line="480" w:lineRule="exact"/>
        <w:ind w:firstLine="420" w:firstLineChars="20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电话：</w:t>
      </w:r>
      <w:r>
        <w:rPr>
          <w:rFonts w:hint="eastAsia" w:ascii="宋体" w:hAnsi="宋体" w:cs="宋体"/>
          <w:color w:val="auto"/>
          <w:highlight w:val="none"/>
          <w:lang w:val="en-US" w:eastAsia="zh-CN"/>
        </w:rPr>
        <w:t>15694663925</w:t>
      </w:r>
    </w:p>
    <w:p w14:paraId="43637123">
      <w:pPr>
        <w:pageBreakBefore w:val="0"/>
        <w:kinsoku/>
        <w:overflowPunct/>
        <w:topLinePunct w:val="0"/>
        <w:autoSpaceDE/>
        <w:autoSpaceDN/>
        <w:bidi w:val="0"/>
        <w:adjustRightInd/>
        <w:snapToGrid/>
        <w:spacing w:beforeAutospacing="0" w:afterAutospacing="0"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2166F040">
      <w:pPr>
        <w:pStyle w:val="2"/>
        <w:pageBreakBefore w:val="0"/>
        <w:kinsoku/>
        <w:overflowPunct/>
        <w:topLinePunct w:val="0"/>
        <w:bidi w:val="0"/>
        <w:adjustRightInd/>
        <w:spacing w:before="0" w:after="0" w:line="480" w:lineRule="exact"/>
        <w:ind w:left="0" w:leftChars="0"/>
        <w:rPr>
          <w:rFonts w:hint="eastAsia" w:ascii="宋体" w:hAnsi="宋体" w:eastAsia="宋体" w:cs="宋体"/>
          <w:color w:val="auto"/>
          <w:sz w:val="32"/>
          <w:szCs w:val="32"/>
          <w:highlight w:val="none"/>
        </w:rPr>
      </w:pPr>
      <w:bookmarkStart w:id="25" w:name="_Toc13371"/>
      <w:r>
        <w:rPr>
          <w:rFonts w:hint="eastAsia" w:ascii="宋体" w:hAnsi="宋体" w:eastAsia="宋体" w:cs="宋体"/>
          <w:color w:val="auto"/>
          <w:sz w:val="32"/>
          <w:szCs w:val="32"/>
          <w:highlight w:val="none"/>
        </w:rPr>
        <w:t>第二章投标人须知</w:t>
      </w:r>
      <w:bookmarkEnd w:id="25"/>
    </w:p>
    <w:p w14:paraId="5CD516FD">
      <w:pPr>
        <w:pStyle w:val="3"/>
        <w:pageBreakBefore w:val="0"/>
        <w:kinsoku/>
        <w:overflowPunct/>
        <w:topLinePunct w:val="0"/>
        <w:bidi w:val="0"/>
        <w:adjustRightInd/>
        <w:spacing w:before="0" w:line="480" w:lineRule="exact"/>
        <w:ind w:left="0" w:leftChars="0"/>
        <w:jc w:val="center"/>
        <w:rPr>
          <w:rFonts w:hint="eastAsia" w:ascii="宋体" w:hAnsi="宋体" w:eastAsia="宋体" w:cs="宋体"/>
          <w:color w:val="auto"/>
          <w:spacing w:val="0"/>
          <w:kern w:val="0"/>
          <w:sz w:val="28"/>
          <w:szCs w:val="28"/>
          <w:highlight w:val="none"/>
        </w:rPr>
      </w:pPr>
      <w:bookmarkStart w:id="26" w:name="_Toc17861"/>
      <w:r>
        <w:rPr>
          <w:rFonts w:hint="eastAsia" w:ascii="宋体" w:hAnsi="宋体" w:eastAsia="宋体" w:cs="宋体"/>
          <w:color w:val="auto"/>
          <w:spacing w:val="0"/>
          <w:kern w:val="0"/>
          <w:sz w:val="28"/>
          <w:szCs w:val="28"/>
          <w:highlight w:val="none"/>
        </w:rPr>
        <w:t>投标人须知前附表</w:t>
      </w:r>
      <w:bookmarkEnd w:id="26"/>
    </w:p>
    <w:tbl>
      <w:tblPr>
        <w:tblStyle w:val="47"/>
        <w:tblW w:w="9511" w:type="dxa"/>
        <w:jc w:val="center"/>
        <w:tblLayout w:type="fixed"/>
        <w:tblCellMar>
          <w:top w:w="0" w:type="dxa"/>
          <w:left w:w="108" w:type="dxa"/>
          <w:bottom w:w="0" w:type="dxa"/>
          <w:right w:w="108" w:type="dxa"/>
        </w:tblCellMar>
      </w:tblPr>
      <w:tblGrid>
        <w:gridCol w:w="949"/>
        <w:gridCol w:w="2108"/>
        <w:gridCol w:w="6454"/>
      </w:tblGrid>
      <w:tr w14:paraId="7A32A437">
        <w:tblPrEx>
          <w:tblCellMar>
            <w:top w:w="0" w:type="dxa"/>
            <w:left w:w="108" w:type="dxa"/>
            <w:bottom w:w="0" w:type="dxa"/>
            <w:right w:w="108" w:type="dxa"/>
          </w:tblCellMar>
        </w:tblPrEx>
        <w:trPr>
          <w:trHeight w:val="56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1CD23E77">
            <w:pPr>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left="0" w:leftChars="0"/>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条款号</w:t>
            </w:r>
          </w:p>
        </w:tc>
        <w:tc>
          <w:tcPr>
            <w:tcW w:w="2108" w:type="dxa"/>
            <w:tcBorders>
              <w:top w:val="single" w:color="auto" w:sz="4" w:space="0"/>
              <w:left w:val="single" w:color="auto" w:sz="4" w:space="0"/>
              <w:bottom w:val="single" w:color="auto" w:sz="4" w:space="0"/>
              <w:right w:val="single" w:color="auto" w:sz="4" w:space="0"/>
            </w:tcBorders>
            <w:vAlign w:val="center"/>
          </w:tcPr>
          <w:p w14:paraId="16951401">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条款名称</w:t>
            </w:r>
          </w:p>
        </w:tc>
        <w:tc>
          <w:tcPr>
            <w:tcW w:w="6454" w:type="dxa"/>
            <w:tcBorders>
              <w:top w:val="single" w:color="auto" w:sz="4" w:space="0"/>
              <w:left w:val="single" w:color="auto" w:sz="4" w:space="0"/>
              <w:bottom w:val="single" w:color="auto" w:sz="4" w:space="0"/>
              <w:right w:val="single" w:color="auto" w:sz="4" w:space="0"/>
            </w:tcBorders>
            <w:vAlign w:val="center"/>
          </w:tcPr>
          <w:p w14:paraId="2379A0CC">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编列内容</w:t>
            </w:r>
          </w:p>
        </w:tc>
      </w:tr>
      <w:tr w14:paraId="7BC58080">
        <w:tblPrEx>
          <w:tblCellMar>
            <w:top w:w="0" w:type="dxa"/>
            <w:left w:w="108" w:type="dxa"/>
            <w:bottom w:w="0" w:type="dxa"/>
            <w:right w:w="108" w:type="dxa"/>
          </w:tblCellMar>
        </w:tblPrEx>
        <w:trPr>
          <w:trHeight w:val="56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2A9A1C5">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1.2</w:t>
            </w:r>
          </w:p>
        </w:tc>
        <w:tc>
          <w:tcPr>
            <w:tcW w:w="2108" w:type="dxa"/>
            <w:tcBorders>
              <w:top w:val="single" w:color="auto" w:sz="4" w:space="0"/>
              <w:left w:val="single" w:color="auto" w:sz="4" w:space="0"/>
              <w:bottom w:val="single" w:color="auto" w:sz="4" w:space="0"/>
              <w:right w:val="single" w:color="auto" w:sz="4" w:space="0"/>
            </w:tcBorders>
            <w:vAlign w:val="center"/>
          </w:tcPr>
          <w:p w14:paraId="73F0C4CE">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采购人</w:t>
            </w:r>
          </w:p>
        </w:tc>
        <w:tc>
          <w:tcPr>
            <w:tcW w:w="6454" w:type="dxa"/>
            <w:tcBorders>
              <w:top w:val="single" w:color="auto" w:sz="4" w:space="0"/>
              <w:left w:val="single" w:color="auto" w:sz="4" w:space="0"/>
              <w:bottom w:val="single" w:color="auto" w:sz="4" w:space="0"/>
              <w:right w:val="single" w:color="auto" w:sz="4" w:space="0"/>
            </w:tcBorders>
            <w:vAlign w:val="center"/>
          </w:tcPr>
          <w:p w14:paraId="4F414334">
            <w:pPr>
              <w:keepNext w:val="0"/>
              <w:keepLines w:val="0"/>
              <w:pageBreakBefore w:val="0"/>
              <w:kinsoku/>
              <w:overflowPunct/>
              <w:topLinePunct w:val="0"/>
              <w:bidi w:val="0"/>
              <w:adjustRightInd/>
              <w:spacing w:before="0" w:beforeAutospacing="0" w:after="0" w:afterAutospacing="0" w:line="480" w:lineRule="exact"/>
              <w:ind w:left="0" w:leftChars="0"/>
              <w:jc w:val="left"/>
              <w:rPr>
                <w:rFonts w:hint="eastAsia" w:ascii="宋体" w:hAnsi="宋体" w:eastAsia="宋体" w:cs="宋体"/>
                <w:color w:val="auto"/>
                <w:highlight w:val="none"/>
              </w:rPr>
            </w:pPr>
            <w:r>
              <w:rPr>
                <w:rFonts w:hint="eastAsia" w:ascii="宋体" w:hAnsi="宋体" w:cs="宋体"/>
                <w:color w:val="auto"/>
                <w:highlight w:val="none"/>
                <w:lang w:eastAsia="zh-CN"/>
              </w:rPr>
              <w:t>怒江州民族中等专业学校</w:t>
            </w:r>
          </w:p>
        </w:tc>
      </w:tr>
      <w:tr w14:paraId="48E31351">
        <w:tblPrEx>
          <w:tblCellMar>
            <w:top w:w="0" w:type="dxa"/>
            <w:left w:w="108" w:type="dxa"/>
            <w:bottom w:w="0" w:type="dxa"/>
            <w:right w:w="108" w:type="dxa"/>
          </w:tblCellMar>
        </w:tblPrEx>
        <w:trPr>
          <w:trHeight w:val="56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03BBC72">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1.3</w:t>
            </w:r>
          </w:p>
        </w:tc>
        <w:tc>
          <w:tcPr>
            <w:tcW w:w="2108" w:type="dxa"/>
            <w:tcBorders>
              <w:top w:val="single" w:color="auto" w:sz="4" w:space="0"/>
              <w:left w:val="single" w:color="auto" w:sz="4" w:space="0"/>
              <w:bottom w:val="single" w:color="auto" w:sz="4" w:space="0"/>
              <w:right w:val="single" w:color="auto" w:sz="4" w:space="0"/>
            </w:tcBorders>
            <w:vAlign w:val="center"/>
          </w:tcPr>
          <w:p w14:paraId="76091098">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采购代理机构</w:t>
            </w:r>
          </w:p>
        </w:tc>
        <w:tc>
          <w:tcPr>
            <w:tcW w:w="6454" w:type="dxa"/>
            <w:tcBorders>
              <w:top w:val="single" w:color="auto" w:sz="4" w:space="0"/>
              <w:left w:val="single" w:color="auto" w:sz="4" w:space="0"/>
              <w:bottom w:val="single" w:color="auto" w:sz="4" w:space="0"/>
              <w:right w:val="single" w:color="auto" w:sz="4" w:space="0"/>
            </w:tcBorders>
            <w:vAlign w:val="center"/>
          </w:tcPr>
          <w:p w14:paraId="49E7CF3B">
            <w:pPr>
              <w:keepNext w:val="0"/>
              <w:keepLines w:val="0"/>
              <w:pageBreakBefore w:val="0"/>
              <w:kinsoku/>
              <w:overflowPunct/>
              <w:topLinePunct w:val="0"/>
              <w:bidi w:val="0"/>
              <w:adjustRightInd/>
              <w:spacing w:before="0" w:beforeAutospacing="0" w:after="0" w:afterAutospacing="0" w:line="480" w:lineRule="exact"/>
              <w:ind w:left="0" w:leftChars="0"/>
              <w:jc w:val="left"/>
              <w:rPr>
                <w:rFonts w:hint="eastAsia" w:ascii="宋体" w:hAnsi="宋体" w:eastAsia="宋体" w:cs="宋体"/>
                <w:color w:val="auto"/>
                <w:highlight w:val="none"/>
                <w:lang w:eastAsia="zh-CN"/>
              </w:rPr>
            </w:pPr>
            <w:r>
              <w:rPr>
                <w:rFonts w:hint="eastAsia" w:ascii="宋体" w:hAnsi="宋体" w:cs="宋体"/>
                <w:color w:val="auto"/>
                <w:highlight w:val="none"/>
                <w:lang w:eastAsia="zh-CN"/>
              </w:rPr>
              <w:t>怒江国创大智全过程工程咨询有限公司</w:t>
            </w:r>
          </w:p>
        </w:tc>
      </w:tr>
      <w:tr w14:paraId="65125D6D">
        <w:tblPrEx>
          <w:tblCellMar>
            <w:top w:w="0" w:type="dxa"/>
            <w:left w:w="108" w:type="dxa"/>
            <w:bottom w:w="0" w:type="dxa"/>
            <w:right w:w="108" w:type="dxa"/>
          </w:tblCellMar>
        </w:tblPrEx>
        <w:trPr>
          <w:trHeight w:val="56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A628442">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1.4</w:t>
            </w:r>
          </w:p>
        </w:tc>
        <w:tc>
          <w:tcPr>
            <w:tcW w:w="2108" w:type="dxa"/>
            <w:tcBorders>
              <w:top w:val="single" w:color="auto" w:sz="4" w:space="0"/>
              <w:left w:val="single" w:color="auto" w:sz="4" w:space="0"/>
              <w:bottom w:val="single" w:color="auto" w:sz="4" w:space="0"/>
              <w:right w:val="single" w:color="auto" w:sz="4" w:space="0"/>
            </w:tcBorders>
            <w:vAlign w:val="center"/>
          </w:tcPr>
          <w:p w14:paraId="60821C1F">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项目名称及项目编号</w:t>
            </w:r>
          </w:p>
        </w:tc>
        <w:tc>
          <w:tcPr>
            <w:tcW w:w="6454" w:type="dxa"/>
            <w:tcBorders>
              <w:top w:val="single" w:color="auto" w:sz="4" w:space="0"/>
              <w:left w:val="single" w:color="auto" w:sz="4" w:space="0"/>
              <w:bottom w:val="single" w:color="auto" w:sz="4" w:space="0"/>
              <w:right w:val="single" w:color="auto" w:sz="4" w:space="0"/>
            </w:tcBorders>
            <w:vAlign w:val="center"/>
          </w:tcPr>
          <w:p w14:paraId="73C260F3">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color w:val="auto"/>
                <w:highlight w:val="none"/>
                <w:lang w:eastAsia="zh-CN"/>
              </w:rPr>
            </w:pPr>
            <w:r>
              <w:rPr>
                <w:rFonts w:hint="eastAsia" w:ascii="宋体" w:hAnsi="宋体" w:eastAsia="宋体" w:cs="宋体"/>
                <w:color w:val="auto"/>
                <w:highlight w:val="none"/>
              </w:rPr>
              <w:t>项目名称：</w:t>
            </w:r>
            <w:r>
              <w:rPr>
                <w:rFonts w:hint="eastAsia" w:ascii="宋体" w:hAnsi="宋体" w:cs="宋体"/>
                <w:color w:val="auto"/>
                <w:szCs w:val="21"/>
                <w:highlight w:val="none"/>
                <w:lang w:eastAsia="zh-CN"/>
              </w:rPr>
              <w:t>怒江职业技术学院建筑材料智能检测实训基地建设项目</w:t>
            </w:r>
          </w:p>
          <w:p w14:paraId="7172C389">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color w:val="auto"/>
                <w:highlight w:val="none"/>
                <w:lang w:eastAsia="zh-CN"/>
              </w:rPr>
            </w:pPr>
            <w:r>
              <w:rPr>
                <w:rFonts w:hint="eastAsia" w:ascii="宋体" w:hAnsi="宋体" w:eastAsia="宋体" w:cs="宋体"/>
                <w:color w:val="auto"/>
                <w:highlight w:val="none"/>
              </w:rPr>
              <w:t>项目编号：</w:t>
            </w:r>
            <w:r>
              <w:rPr>
                <w:rFonts w:hint="eastAsia" w:ascii="宋体" w:hAnsi="宋体" w:cs="宋体"/>
                <w:color w:val="auto"/>
                <w:highlight w:val="none"/>
                <w:lang w:eastAsia="zh-CN"/>
              </w:rPr>
              <w:t>GCDZ-2026006</w:t>
            </w:r>
          </w:p>
        </w:tc>
      </w:tr>
      <w:tr w14:paraId="6925E170">
        <w:tblPrEx>
          <w:tblCellMar>
            <w:top w:w="0" w:type="dxa"/>
            <w:left w:w="108" w:type="dxa"/>
            <w:bottom w:w="0" w:type="dxa"/>
            <w:right w:w="108" w:type="dxa"/>
          </w:tblCellMar>
        </w:tblPrEx>
        <w:trPr>
          <w:trHeight w:val="56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22033E3">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2.1</w:t>
            </w:r>
          </w:p>
        </w:tc>
        <w:tc>
          <w:tcPr>
            <w:tcW w:w="2108" w:type="dxa"/>
            <w:tcBorders>
              <w:top w:val="single" w:color="auto" w:sz="4" w:space="0"/>
              <w:left w:val="single" w:color="auto" w:sz="4" w:space="0"/>
              <w:bottom w:val="single" w:color="auto" w:sz="4" w:space="0"/>
              <w:right w:val="single" w:color="auto" w:sz="4" w:space="0"/>
            </w:tcBorders>
            <w:vAlign w:val="center"/>
          </w:tcPr>
          <w:p w14:paraId="3A217763">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预算金额</w:t>
            </w:r>
            <w:r>
              <w:rPr>
                <w:rFonts w:hint="eastAsia" w:ascii="宋体" w:hAnsi="宋体" w:eastAsia="宋体" w:cs="宋体"/>
                <w:color w:val="auto"/>
                <w:highlight w:val="none"/>
                <w:lang w:val="en-US" w:eastAsia="zh-CN"/>
              </w:rPr>
              <w:t>及最高限价</w:t>
            </w:r>
          </w:p>
        </w:tc>
        <w:tc>
          <w:tcPr>
            <w:tcW w:w="6454" w:type="dxa"/>
            <w:tcBorders>
              <w:top w:val="single" w:color="auto" w:sz="4" w:space="0"/>
              <w:left w:val="single" w:color="auto" w:sz="4" w:space="0"/>
              <w:bottom w:val="single" w:color="auto" w:sz="4" w:space="0"/>
              <w:right w:val="single" w:color="auto" w:sz="4" w:space="0"/>
            </w:tcBorders>
            <w:vAlign w:val="center"/>
          </w:tcPr>
          <w:p w14:paraId="39FCE5DB">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color w:val="auto"/>
                <w:highlight w:val="none"/>
              </w:rPr>
            </w:pPr>
            <w:r>
              <w:rPr>
                <w:rFonts w:hint="eastAsia" w:ascii="宋体" w:hAnsi="宋体" w:eastAsia="宋体" w:cs="宋体"/>
                <w:color w:val="auto"/>
                <w:highlight w:val="none"/>
              </w:rPr>
              <w:t>详见招标文件第一章《招标公告》“</w:t>
            </w:r>
            <w:r>
              <w:rPr>
                <w:rFonts w:hint="eastAsia" w:ascii="宋体" w:hAnsi="宋体" w:eastAsia="宋体" w:cs="宋体"/>
                <w:bCs/>
                <w:color w:val="auto"/>
                <w:szCs w:val="21"/>
                <w:highlight w:val="none"/>
              </w:rPr>
              <w:t>一、项目基本情况</w:t>
            </w:r>
            <w:r>
              <w:rPr>
                <w:rFonts w:hint="eastAsia" w:ascii="宋体" w:hAnsi="宋体" w:eastAsia="宋体" w:cs="宋体"/>
                <w:color w:val="auto"/>
                <w:highlight w:val="none"/>
              </w:rPr>
              <w:t>”</w:t>
            </w:r>
          </w:p>
        </w:tc>
      </w:tr>
      <w:tr w14:paraId="3823B833">
        <w:tblPrEx>
          <w:tblCellMar>
            <w:top w:w="0" w:type="dxa"/>
            <w:left w:w="108" w:type="dxa"/>
            <w:bottom w:w="0" w:type="dxa"/>
            <w:right w:w="108" w:type="dxa"/>
          </w:tblCellMar>
        </w:tblPrEx>
        <w:trPr>
          <w:trHeight w:val="56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4B9AC8C">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3.1</w:t>
            </w:r>
          </w:p>
        </w:tc>
        <w:tc>
          <w:tcPr>
            <w:tcW w:w="2108" w:type="dxa"/>
            <w:tcBorders>
              <w:top w:val="single" w:color="auto" w:sz="4" w:space="0"/>
              <w:left w:val="single" w:color="auto" w:sz="4" w:space="0"/>
              <w:bottom w:val="single" w:color="auto" w:sz="4" w:space="0"/>
              <w:right w:val="single" w:color="auto" w:sz="4" w:space="0"/>
            </w:tcBorders>
            <w:vAlign w:val="center"/>
          </w:tcPr>
          <w:p w14:paraId="549627F1">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采购需求</w:t>
            </w:r>
          </w:p>
        </w:tc>
        <w:tc>
          <w:tcPr>
            <w:tcW w:w="6454" w:type="dxa"/>
            <w:tcBorders>
              <w:top w:val="single" w:color="auto" w:sz="4" w:space="0"/>
              <w:left w:val="single" w:color="auto" w:sz="4" w:space="0"/>
              <w:bottom w:val="single" w:color="auto" w:sz="4" w:space="0"/>
              <w:right w:val="single" w:color="auto" w:sz="4" w:space="0"/>
            </w:tcBorders>
            <w:vAlign w:val="center"/>
          </w:tcPr>
          <w:p w14:paraId="56D107C6">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color w:val="auto"/>
                <w:kern w:val="0"/>
                <w:highlight w:val="none"/>
              </w:rPr>
            </w:pPr>
            <w:r>
              <w:rPr>
                <w:rFonts w:hint="eastAsia" w:ascii="宋体" w:hAnsi="宋体" w:eastAsia="宋体" w:cs="宋体"/>
                <w:color w:val="auto"/>
                <w:highlight w:val="none"/>
              </w:rPr>
              <w:t>详见招标文件第一章《招标公告》“</w:t>
            </w:r>
            <w:r>
              <w:rPr>
                <w:rFonts w:hint="eastAsia" w:ascii="宋体" w:hAnsi="宋体" w:eastAsia="宋体" w:cs="宋体"/>
                <w:bCs/>
                <w:color w:val="auto"/>
                <w:szCs w:val="21"/>
                <w:highlight w:val="none"/>
              </w:rPr>
              <w:t>一、项目基本情况</w:t>
            </w:r>
            <w:r>
              <w:rPr>
                <w:rFonts w:hint="eastAsia" w:ascii="宋体" w:hAnsi="宋体" w:eastAsia="宋体" w:cs="宋体"/>
                <w:color w:val="auto"/>
                <w:highlight w:val="none"/>
              </w:rPr>
              <w:t>”，具体要求等详见本招标文件第五章《采购需求》。</w:t>
            </w:r>
          </w:p>
        </w:tc>
      </w:tr>
      <w:tr w14:paraId="7615E0D3">
        <w:tblPrEx>
          <w:tblCellMar>
            <w:top w:w="0" w:type="dxa"/>
            <w:left w:w="108" w:type="dxa"/>
            <w:bottom w:w="0" w:type="dxa"/>
            <w:right w:w="108" w:type="dxa"/>
          </w:tblCellMar>
        </w:tblPrEx>
        <w:trPr>
          <w:trHeight w:val="56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438BCD09">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3.2</w:t>
            </w:r>
          </w:p>
        </w:tc>
        <w:tc>
          <w:tcPr>
            <w:tcW w:w="2108" w:type="dxa"/>
            <w:tcBorders>
              <w:top w:val="single" w:color="auto" w:sz="4" w:space="0"/>
              <w:left w:val="single" w:color="auto" w:sz="4" w:space="0"/>
              <w:bottom w:val="single" w:color="auto" w:sz="4" w:space="0"/>
              <w:right w:val="single" w:color="auto" w:sz="4" w:space="0"/>
            </w:tcBorders>
            <w:vAlign w:val="center"/>
          </w:tcPr>
          <w:p w14:paraId="48D27A91">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bCs/>
                <w:color w:val="auto"/>
                <w:szCs w:val="21"/>
                <w:highlight w:val="none"/>
                <w:lang w:eastAsia="zh-CN"/>
              </w:rPr>
              <w:t>项目实施期限</w:t>
            </w:r>
            <w:r>
              <w:rPr>
                <w:rFonts w:hint="eastAsia" w:ascii="宋体" w:hAnsi="宋体" w:eastAsia="宋体" w:cs="宋体"/>
                <w:color w:val="auto"/>
                <w:szCs w:val="21"/>
                <w:highlight w:val="none"/>
              </w:rPr>
              <w:t>、</w:t>
            </w:r>
            <w:r>
              <w:rPr>
                <w:rFonts w:hint="eastAsia" w:ascii="宋体" w:hAnsi="宋体" w:cs="宋体"/>
                <w:bCs/>
                <w:color w:val="auto"/>
                <w:szCs w:val="21"/>
                <w:highlight w:val="none"/>
                <w:lang w:eastAsia="zh-CN"/>
              </w:rPr>
              <w:t>项目实施地点</w:t>
            </w:r>
          </w:p>
        </w:tc>
        <w:tc>
          <w:tcPr>
            <w:tcW w:w="6454" w:type="dxa"/>
            <w:tcBorders>
              <w:top w:val="single" w:color="auto" w:sz="4" w:space="0"/>
              <w:left w:val="single" w:color="auto" w:sz="4" w:space="0"/>
              <w:bottom w:val="single" w:color="auto" w:sz="4" w:space="0"/>
              <w:right w:val="single" w:color="auto" w:sz="4" w:space="0"/>
            </w:tcBorders>
            <w:vAlign w:val="center"/>
          </w:tcPr>
          <w:p w14:paraId="13E9A274">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color w:val="auto"/>
                <w:highlight w:val="none"/>
              </w:rPr>
            </w:pPr>
            <w:r>
              <w:rPr>
                <w:rFonts w:hint="eastAsia" w:ascii="宋体" w:hAnsi="宋体" w:eastAsia="宋体" w:cs="宋体"/>
                <w:color w:val="auto"/>
                <w:highlight w:val="none"/>
              </w:rPr>
              <w:t>详见招标文件第一章《招标公告》“</w:t>
            </w:r>
            <w:r>
              <w:rPr>
                <w:rFonts w:hint="eastAsia" w:ascii="宋体" w:hAnsi="宋体" w:eastAsia="宋体" w:cs="宋体"/>
                <w:bCs/>
                <w:color w:val="auto"/>
                <w:szCs w:val="21"/>
                <w:highlight w:val="none"/>
              </w:rPr>
              <w:t>一、项目基本情况</w:t>
            </w:r>
            <w:r>
              <w:rPr>
                <w:rFonts w:hint="eastAsia" w:ascii="宋体" w:hAnsi="宋体" w:eastAsia="宋体" w:cs="宋体"/>
                <w:color w:val="auto"/>
                <w:highlight w:val="none"/>
              </w:rPr>
              <w:t>”</w:t>
            </w:r>
          </w:p>
        </w:tc>
      </w:tr>
      <w:tr w14:paraId="13F01034">
        <w:tblPrEx>
          <w:tblCellMar>
            <w:top w:w="0" w:type="dxa"/>
            <w:left w:w="108" w:type="dxa"/>
            <w:bottom w:w="0" w:type="dxa"/>
            <w:right w:w="108" w:type="dxa"/>
          </w:tblCellMar>
        </w:tblPrEx>
        <w:trPr>
          <w:trHeight w:val="56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D6E1164">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.3</w:t>
            </w:r>
          </w:p>
        </w:tc>
        <w:tc>
          <w:tcPr>
            <w:tcW w:w="2108" w:type="dxa"/>
            <w:tcBorders>
              <w:top w:val="single" w:color="auto" w:sz="4" w:space="0"/>
              <w:left w:val="single" w:color="auto" w:sz="4" w:space="0"/>
              <w:bottom w:val="single" w:color="auto" w:sz="4" w:space="0"/>
              <w:right w:val="single" w:color="auto" w:sz="4" w:space="0"/>
            </w:tcBorders>
            <w:vAlign w:val="center"/>
          </w:tcPr>
          <w:p w14:paraId="4F95F9CA">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bCs/>
                <w:color w:val="auto"/>
                <w:szCs w:val="21"/>
                <w:highlight w:val="none"/>
              </w:rPr>
            </w:pPr>
            <w:r>
              <w:rPr>
                <w:rFonts w:hint="eastAsia" w:ascii="宋体" w:hAnsi="宋体" w:eastAsia="宋体" w:cs="宋体"/>
                <w:color w:val="auto"/>
                <w:highlight w:val="none"/>
              </w:rPr>
              <w:t>是否接受联合体参加</w:t>
            </w:r>
          </w:p>
        </w:tc>
        <w:tc>
          <w:tcPr>
            <w:tcW w:w="6454" w:type="dxa"/>
            <w:tcBorders>
              <w:top w:val="single" w:color="auto" w:sz="4" w:space="0"/>
              <w:left w:val="single" w:color="auto" w:sz="4" w:space="0"/>
              <w:bottom w:val="single" w:color="auto" w:sz="4" w:space="0"/>
              <w:right w:val="single" w:color="auto" w:sz="4" w:space="0"/>
            </w:tcBorders>
            <w:vAlign w:val="center"/>
          </w:tcPr>
          <w:p w14:paraId="26AF4272">
            <w:pPr>
              <w:keepNext w:val="0"/>
              <w:keepLines w:val="0"/>
              <w:pageBreakBefore w:val="0"/>
              <w:widowControl/>
              <w:kinsoku/>
              <w:overflowPunct/>
              <w:topLinePunct w:val="0"/>
              <w:bidi w:val="0"/>
              <w:adjustRightInd/>
              <w:spacing w:before="0" w:beforeAutospacing="0" w:after="0" w:afterAutospacing="0" w:line="480" w:lineRule="exact"/>
              <w:ind w:left="0" w:leftChars="0"/>
              <w:jc w:val="left"/>
              <w:rPr>
                <w:rFonts w:hint="eastAsia" w:ascii="宋体" w:hAnsi="宋体" w:eastAsia="宋体" w:cs="宋体"/>
                <w:color w:val="auto"/>
                <w:highlight w:val="none"/>
              </w:rPr>
            </w:pPr>
            <w:r>
              <w:rPr>
                <w:rFonts w:hint="eastAsia" w:ascii="宋体" w:hAnsi="宋体" w:eastAsia="宋体" w:cs="宋体"/>
                <w:color w:val="auto"/>
                <w:highlight w:val="none"/>
              </w:rPr>
              <w:t>详见招标文件第一章《招标公告》“</w:t>
            </w:r>
            <w:r>
              <w:rPr>
                <w:rFonts w:hint="eastAsia" w:ascii="宋体" w:hAnsi="宋体" w:eastAsia="宋体" w:cs="宋体"/>
                <w:bCs/>
                <w:color w:val="auto"/>
                <w:szCs w:val="21"/>
                <w:highlight w:val="none"/>
              </w:rPr>
              <w:t>一、项目基本情况</w:t>
            </w:r>
            <w:r>
              <w:rPr>
                <w:rFonts w:hint="eastAsia" w:ascii="宋体" w:hAnsi="宋体" w:eastAsia="宋体" w:cs="宋体"/>
                <w:color w:val="auto"/>
                <w:highlight w:val="none"/>
              </w:rPr>
              <w:t>”</w:t>
            </w:r>
          </w:p>
        </w:tc>
      </w:tr>
      <w:tr w14:paraId="2EFE5F82">
        <w:tblPrEx>
          <w:tblCellMar>
            <w:top w:w="0" w:type="dxa"/>
            <w:left w:w="108" w:type="dxa"/>
            <w:bottom w:w="0" w:type="dxa"/>
            <w:right w:w="108" w:type="dxa"/>
          </w:tblCellMar>
        </w:tblPrEx>
        <w:trPr>
          <w:trHeight w:val="56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DC20ECB">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szCs w:val="21"/>
                <w:highlight w:val="none"/>
              </w:rPr>
              <w:t>4.1</w:t>
            </w:r>
          </w:p>
        </w:tc>
        <w:tc>
          <w:tcPr>
            <w:tcW w:w="2108" w:type="dxa"/>
            <w:tcBorders>
              <w:top w:val="single" w:color="auto" w:sz="4" w:space="0"/>
              <w:left w:val="single" w:color="auto" w:sz="4" w:space="0"/>
              <w:bottom w:val="single" w:color="auto" w:sz="4" w:space="0"/>
              <w:right w:val="single" w:color="auto" w:sz="4" w:space="0"/>
            </w:tcBorders>
            <w:vAlign w:val="center"/>
          </w:tcPr>
          <w:p w14:paraId="72569141">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bCs/>
                <w:color w:val="auto"/>
                <w:szCs w:val="21"/>
                <w:highlight w:val="none"/>
              </w:rPr>
              <w:t>投标人资格要求</w:t>
            </w:r>
          </w:p>
        </w:tc>
        <w:tc>
          <w:tcPr>
            <w:tcW w:w="6454" w:type="dxa"/>
            <w:tcBorders>
              <w:top w:val="single" w:color="auto" w:sz="4" w:space="0"/>
              <w:left w:val="single" w:color="auto" w:sz="4" w:space="0"/>
              <w:bottom w:val="single" w:color="auto" w:sz="4" w:space="0"/>
              <w:right w:val="single" w:color="auto" w:sz="4" w:space="0"/>
            </w:tcBorders>
            <w:vAlign w:val="center"/>
          </w:tcPr>
          <w:p w14:paraId="1B14568D">
            <w:pPr>
              <w:keepNext w:val="0"/>
              <w:keepLines w:val="0"/>
              <w:pageBreakBefore w:val="0"/>
              <w:widowControl/>
              <w:kinsoku/>
              <w:overflowPunct/>
              <w:topLinePunct w:val="0"/>
              <w:bidi w:val="0"/>
              <w:adjustRightInd/>
              <w:spacing w:before="0" w:beforeAutospacing="0" w:after="0" w:afterAutospacing="0" w:line="480" w:lineRule="exact"/>
              <w:ind w:left="0" w:leftChars="0"/>
              <w:jc w:val="left"/>
              <w:rPr>
                <w:rFonts w:hint="eastAsia" w:ascii="宋体" w:hAnsi="宋体" w:eastAsia="宋体" w:cs="宋体"/>
                <w:color w:val="auto"/>
                <w:highlight w:val="none"/>
              </w:rPr>
            </w:pPr>
            <w:r>
              <w:rPr>
                <w:rFonts w:hint="eastAsia" w:ascii="宋体" w:hAnsi="宋体" w:eastAsia="宋体" w:cs="宋体"/>
                <w:bCs/>
                <w:color w:val="auto"/>
                <w:szCs w:val="21"/>
                <w:highlight w:val="none"/>
              </w:rPr>
              <w:t>详见招标文件第一章《</w:t>
            </w:r>
            <w:r>
              <w:rPr>
                <w:rFonts w:hint="eastAsia" w:ascii="宋体" w:hAnsi="宋体" w:eastAsia="宋体" w:cs="宋体"/>
                <w:bCs/>
                <w:color w:val="auto"/>
                <w:szCs w:val="21"/>
                <w:highlight w:val="none"/>
                <w:lang w:eastAsia="zh-CN"/>
              </w:rPr>
              <w:t>招标公告</w:t>
            </w:r>
            <w:r>
              <w:rPr>
                <w:rFonts w:hint="eastAsia" w:ascii="宋体" w:hAnsi="宋体" w:eastAsia="宋体" w:cs="宋体"/>
                <w:bCs/>
                <w:color w:val="auto"/>
                <w:szCs w:val="21"/>
                <w:highlight w:val="none"/>
              </w:rPr>
              <w:t>》“二、投标人资格要求”</w:t>
            </w:r>
          </w:p>
        </w:tc>
      </w:tr>
      <w:tr w14:paraId="41EAA2A3">
        <w:tblPrEx>
          <w:tblCellMar>
            <w:top w:w="0" w:type="dxa"/>
            <w:left w:w="108" w:type="dxa"/>
            <w:bottom w:w="0" w:type="dxa"/>
            <w:right w:w="108" w:type="dxa"/>
          </w:tblCellMar>
        </w:tblPrEx>
        <w:trPr>
          <w:trHeight w:val="56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00F44AF">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szCs w:val="21"/>
                <w:highlight w:val="none"/>
              </w:rPr>
              <w:t>4.2</w:t>
            </w:r>
          </w:p>
        </w:tc>
        <w:tc>
          <w:tcPr>
            <w:tcW w:w="2108" w:type="dxa"/>
            <w:tcBorders>
              <w:top w:val="single" w:color="auto" w:sz="4" w:space="0"/>
              <w:left w:val="single" w:color="auto" w:sz="4" w:space="0"/>
              <w:bottom w:val="single" w:color="auto" w:sz="4" w:space="0"/>
              <w:right w:val="single" w:color="auto" w:sz="4" w:space="0"/>
            </w:tcBorders>
            <w:vAlign w:val="center"/>
          </w:tcPr>
          <w:p w14:paraId="08C9528B">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szCs w:val="21"/>
                <w:highlight w:val="none"/>
              </w:rPr>
              <w:t>采购人根据采购项目的特殊要求规定的特定条件</w:t>
            </w:r>
          </w:p>
        </w:tc>
        <w:tc>
          <w:tcPr>
            <w:tcW w:w="6454" w:type="dxa"/>
            <w:tcBorders>
              <w:top w:val="single" w:color="auto" w:sz="4" w:space="0"/>
              <w:left w:val="single" w:color="auto" w:sz="4" w:space="0"/>
              <w:bottom w:val="single" w:color="auto" w:sz="4" w:space="0"/>
              <w:right w:val="single" w:color="auto" w:sz="4" w:space="0"/>
            </w:tcBorders>
            <w:vAlign w:val="center"/>
          </w:tcPr>
          <w:p w14:paraId="70EEE729">
            <w:pPr>
              <w:keepNext w:val="0"/>
              <w:keepLines w:val="0"/>
              <w:pageBreakBefore w:val="0"/>
              <w:widowControl/>
              <w:kinsoku/>
              <w:overflowPunct/>
              <w:topLinePunct w:val="0"/>
              <w:bidi w:val="0"/>
              <w:adjustRightInd/>
              <w:spacing w:before="0" w:beforeAutospacing="0" w:after="0" w:afterAutospacing="0" w:line="480" w:lineRule="exact"/>
              <w:ind w:left="0" w:leftChars="0"/>
              <w:jc w:val="left"/>
              <w:rPr>
                <w:rFonts w:hint="eastAsia" w:ascii="宋体" w:hAnsi="宋体" w:eastAsia="宋体" w:cs="宋体"/>
                <w:color w:val="auto"/>
                <w:highlight w:val="none"/>
              </w:rPr>
            </w:pPr>
            <w:r>
              <w:rPr>
                <w:rFonts w:hint="eastAsia" w:ascii="宋体" w:hAnsi="宋体" w:eastAsia="宋体" w:cs="宋体"/>
                <w:bCs/>
                <w:color w:val="auto"/>
                <w:szCs w:val="21"/>
                <w:highlight w:val="none"/>
              </w:rPr>
              <w:t>详见招标文件第一章《</w:t>
            </w:r>
            <w:r>
              <w:rPr>
                <w:rFonts w:hint="eastAsia" w:ascii="宋体" w:hAnsi="宋体" w:eastAsia="宋体" w:cs="宋体"/>
                <w:bCs/>
                <w:color w:val="auto"/>
                <w:szCs w:val="21"/>
                <w:highlight w:val="none"/>
                <w:lang w:eastAsia="zh-CN"/>
              </w:rPr>
              <w:t>招标公告</w:t>
            </w:r>
            <w:r>
              <w:rPr>
                <w:rFonts w:hint="eastAsia" w:ascii="宋体" w:hAnsi="宋体" w:eastAsia="宋体" w:cs="宋体"/>
                <w:bCs/>
                <w:color w:val="auto"/>
                <w:szCs w:val="21"/>
                <w:highlight w:val="none"/>
              </w:rPr>
              <w:t>》“二、投标人资格要求”</w:t>
            </w:r>
          </w:p>
        </w:tc>
      </w:tr>
      <w:tr w14:paraId="51D689AD">
        <w:tblPrEx>
          <w:tblCellMar>
            <w:top w:w="0" w:type="dxa"/>
            <w:left w:w="108" w:type="dxa"/>
            <w:bottom w:w="0" w:type="dxa"/>
            <w:right w:w="108" w:type="dxa"/>
          </w:tblCellMar>
        </w:tblPrEx>
        <w:trPr>
          <w:trHeight w:val="56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2628DE5">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szCs w:val="21"/>
                <w:highlight w:val="none"/>
              </w:rPr>
              <w:t>4.6</w:t>
            </w:r>
          </w:p>
        </w:tc>
        <w:tc>
          <w:tcPr>
            <w:tcW w:w="2108" w:type="dxa"/>
            <w:tcBorders>
              <w:top w:val="single" w:color="auto" w:sz="4" w:space="0"/>
              <w:left w:val="single" w:color="auto" w:sz="4" w:space="0"/>
              <w:bottom w:val="single" w:color="auto" w:sz="4" w:space="0"/>
              <w:right w:val="single" w:color="auto" w:sz="4" w:space="0"/>
            </w:tcBorders>
            <w:vAlign w:val="center"/>
          </w:tcPr>
          <w:p w14:paraId="5231DC5B">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lang w:eastAsia="zh-CN"/>
              </w:rPr>
            </w:pPr>
            <w:r>
              <w:rPr>
                <w:rFonts w:hint="eastAsia" w:ascii="宋体" w:hAnsi="宋体" w:cs="宋体"/>
                <w:bCs/>
                <w:color w:val="auto"/>
                <w:szCs w:val="21"/>
                <w:highlight w:val="none"/>
                <w:lang w:eastAsia="zh-CN"/>
              </w:rPr>
              <w:t>为采购项目提供整体设计、规范编制和项目管理、监理、检测等服务的</w:t>
            </w:r>
            <w:r>
              <w:rPr>
                <w:rFonts w:hint="eastAsia" w:ascii="宋体" w:hAnsi="宋体" w:cs="宋体"/>
                <w:bCs/>
                <w:color w:val="auto"/>
                <w:szCs w:val="21"/>
                <w:highlight w:val="none"/>
                <w:lang w:val="en-US" w:eastAsia="zh-CN"/>
              </w:rPr>
              <w:t>投标人</w:t>
            </w:r>
          </w:p>
        </w:tc>
        <w:tc>
          <w:tcPr>
            <w:tcW w:w="6454" w:type="dxa"/>
            <w:tcBorders>
              <w:top w:val="single" w:color="auto" w:sz="4" w:space="0"/>
              <w:left w:val="single" w:color="auto" w:sz="4" w:space="0"/>
              <w:bottom w:val="single" w:color="auto" w:sz="4" w:space="0"/>
              <w:right w:val="single" w:color="auto" w:sz="4" w:space="0"/>
            </w:tcBorders>
            <w:vAlign w:val="center"/>
          </w:tcPr>
          <w:p w14:paraId="6E77E5E1">
            <w:pPr>
              <w:keepNext w:val="0"/>
              <w:keepLines w:val="0"/>
              <w:pageBreakBefore w:val="0"/>
              <w:kinsoku/>
              <w:overflowPunct/>
              <w:topLinePunct w:val="0"/>
              <w:bidi w:val="0"/>
              <w:adjustRightInd/>
              <w:spacing w:before="0" w:beforeAutospacing="0" w:after="0" w:afterAutospacing="0" w:line="480" w:lineRule="exact"/>
              <w:ind w:left="0" w:leftChars="0"/>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无</w:t>
            </w:r>
          </w:p>
        </w:tc>
      </w:tr>
      <w:tr w14:paraId="3E8EF934">
        <w:tblPrEx>
          <w:tblCellMar>
            <w:top w:w="0" w:type="dxa"/>
            <w:left w:w="108" w:type="dxa"/>
            <w:bottom w:w="0" w:type="dxa"/>
            <w:right w:w="108" w:type="dxa"/>
          </w:tblCellMar>
        </w:tblPrEx>
        <w:trPr>
          <w:trHeight w:val="56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B0E38F0">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6.1</w:t>
            </w:r>
          </w:p>
        </w:tc>
        <w:tc>
          <w:tcPr>
            <w:tcW w:w="2108" w:type="dxa"/>
            <w:tcBorders>
              <w:top w:val="single" w:color="auto" w:sz="4" w:space="0"/>
              <w:left w:val="single" w:color="auto" w:sz="4" w:space="0"/>
              <w:bottom w:val="single" w:color="auto" w:sz="4" w:space="0"/>
              <w:right w:val="single" w:color="auto" w:sz="4" w:space="0"/>
            </w:tcBorders>
            <w:vAlign w:val="center"/>
          </w:tcPr>
          <w:p w14:paraId="040F5A9D">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现场考察</w:t>
            </w:r>
          </w:p>
        </w:tc>
        <w:tc>
          <w:tcPr>
            <w:tcW w:w="6454" w:type="dxa"/>
            <w:tcBorders>
              <w:top w:val="single" w:color="auto" w:sz="4" w:space="0"/>
              <w:left w:val="single" w:color="auto" w:sz="4" w:space="0"/>
              <w:bottom w:val="single" w:color="auto" w:sz="4" w:space="0"/>
              <w:right w:val="single" w:color="auto" w:sz="4" w:space="0"/>
            </w:tcBorders>
            <w:vAlign w:val="center"/>
          </w:tcPr>
          <w:p w14:paraId="14C26C2A">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不组织</w:t>
            </w:r>
          </w:p>
        </w:tc>
      </w:tr>
      <w:tr w14:paraId="66D99E13">
        <w:tblPrEx>
          <w:tblCellMar>
            <w:top w:w="0" w:type="dxa"/>
            <w:left w:w="108" w:type="dxa"/>
            <w:bottom w:w="0" w:type="dxa"/>
            <w:right w:w="108" w:type="dxa"/>
          </w:tblCellMar>
        </w:tblPrEx>
        <w:trPr>
          <w:trHeight w:val="56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3311355">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7.1</w:t>
            </w:r>
          </w:p>
        </w:tc>
        <w:tc>
          <w:tcPr>
            <w:tcW w:w="2108" w:type="dxa"/>
            <w:tcBorders>
              <w:top w:val="single" w:color="auto" w:sz="4" w:space="0"/>
              <w:left w:val="single" w:color="auto" w:sz="4" w:space="0"/>
              <w:bottom w:val="single" w:color="auto" w:sz="4" w:space="0"/>
              <w:right w:val="single" w:color="auto" w:sz="4" w:space="0"/>
            </w:tcBorders>
            <w:vAlign w:val="center"/>
          </w:tcPr>
          <w:p w14:paraId="35A1ABF1">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开标前答疑会</w:t>
            </w:r>
          </w:p>
        </w:tc>
        <w:tc>
          <w:tcPr>
            <w:tcW w:w="6454" w:type="dxa"/>
            <w:tcBorders>
              <w:top w:val="single" w:color="auto" w:sz="4" w:space="0"/>
              <w:left w:val="single" w:color="auto" w:sz="4" w:space="0"/>
              <w:bottom w:val="single" w:color="auto" w:sz="4" w:space="0"/>
              <w:right w:val="single" w:color="auto" w:sz="4" w:space="0"/>
            </w:tcBorders>
            <w:vAlign w:val="center"/>
          </w:tcPr>
          <w:p w14:paraId="49BE93CB">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color w:val="auto"/>
                <w:highlight w:val="none"/>
              </w:rPr>
            </w:pPr>
            <w:r>
              <w:rPr>
                <w:rFonts w:hint="eastAsia" w:ascii="宋体" w:hAnsi="宋体" w:eastAsia="宋体" w:cs="宋体"/>
                <w:color w:val="auto"/>
                <w:highlight w:val="none"/>
              </w:rPr>
              <w:t>不组织</w:t>
            </w:r>
          </w:p>
        </w:tc>
      </w:tr>
      <w:tr w14:paraId="07E6438A">
        <w:tblPrEx>
          <w:tblCellMar>
            <w:top w:w="0" w:type="dxa"/>
            <w:left w:w="108" w:type="dxa"/>
            <w:bottom w:w="0" w:type="dxa"/>
            <w:right w:w="108" w:type="dxa"/>
          </w:tblCellMar>
        </w:tblPrEx>
        <w:trPr>
          <w:trHeight w:val="56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119A22AE">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szCs w:val="21"/>
                <w:highlight w:val="none"/>
              </w:rPr>
              <w:t>11.1</w:t>
            </w:r>
          </w:p>
        </w:tc>
        <w:tc>
          <w:tcPr>
            <w:tcW w:w="2108" w:type="dxa"/>
            <w:tcBorders>
              <w:top w:val="single" w:color="auto" w:sz="4" w:space="0"/>
              <w:left w:val="single" w:color="auto" w:sz="4" w:space="0"/>
              <w:bottom w:val="single" w:color="auto" w:sz="4" w:space="0"/>
              <w:right w:val="single" w:color="auto" w:sz="4" w:space="0"/>
            </w:tcBorders>
            <w:vAlign w:val="center"/>
          </w:tcPr>
          <w:p w14:paraId="372937BF">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szCs w:val="21"/>
                <w:highlight w:val="none"/>
              </w:rPr>
              <w:t>招标文件的询问时间</w:t>
            </w:r>
          </w:p>
        </w:tc>
        <w:tc>
          <w:tcPr>
            <w:tcW w:w="6454" w:type="dxa"/>
            <w:tcBorders>
              <w:top w:val="single" w:color="auto" w:sz="4" w:space="0"/>
              <w:left w:val="single" w:color="auto" w:sz="4" w:space="0"/>
              <w:bottom w:val="single" w:color="auto" w:sz="4" w:space="0"/>
              <w:right w:val="single" w:color="auto" w:sz="4" w:space="0"/>
            </w:tcBorders>
            <w:vAlign w:val="center"/>
          </w:tcPr>
          <w:p w14:paraId="340E3966">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color w:val="auto"/>
                <w:highlight w:val="none"/>
              </w:rPr>
            </w:pPr>
            <w:r>
              <w:rPr>
                <w:rFonts w:hint="eastAsia" w:ascii="宋体" w:hAnsi="宋体" w:eastAsia="宋体" w:cs="宋体"/>
                <w:color w:val="auto"/>
                <w:szCs w:val="21"/>
                <w:highlight w:val="none"/>
              </w:rPr>
              <w:t>投标人应认真阅读招标文件，如有疑问的，投标人可以向采购人或采购代理机构提出询问，采购人或者采购代理机构在接到询问后的3个工作日内对投标人依法提出的询问作出答复，但答复的内容不涉及商业秘密</w:t>
            </w:r>
            <w:r>
              <w:rPr>
                <w:rFonts w:hint="eastAsia" w:ascii="宋体" w:hAnsi="宋体" w:eastAsia="宋体" w:cs="宋体"/>
                <w:color w:val="auto"/>
                <w:szCs w:val="21"/>
                <w:highlight w:val="none"/>
                <w:lang w:eastAsia="zh-CN"/>
              </w:rPr>
              <w:t>，如对电子采购流程不清楚可查阅政采云（https://e-learning.zcygov.cn/index）“秒懂政采云项目采购”学习</w:t>
            </w:r>
            <w:r>
              <w:rPr>
                <w:rFonts w:hint="eastAsia" w:ascii="宋体" w:hAnsi="宋体" w:eastAsia="宋体" w:cs="宋体"/>
                <w:color w:val="auto"/>
                <w:szCs w:val="21"/>
                <w:highlight w:val="none"/>
              </w:rPr>
              <w:t>或致电政采云平台：4008817190。</w:t>
            </w:r>
          </w:p>
        </w:tc>
      </w:tr>
      <w:tr w14:paraId="6E407043">
        <w:tblPrEx>
          <w:tblCellMar>
            <w:top w:w="0" w:type="dxa"/>
            <w:left w:w="108" w:type="dxa"/>
            <w:bottom w:w="0" w:type="dxa"/>
            <w:right w:w="108" w:type="dxa"/>
          </w:tblCellMar>
        </w:tblPrEx>
        <w:trPr>
          <w:trHeight w:val="56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278343C2">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szCs w:val="21"/>
                <w:highlight w:val="none"/>
              </w:rPr>
              <w:t>11.2</w:t>
            </w:r>
          </w:p>
        </w:tc>
        <w:tc>
          <w:tcPr>
            <w:tcW w:w="2108" w:type="dxa"/>
            <w:tcBorders>
              <w:top w:val="single" w:color="auto" w:sz="4" w:space="0"/>
              <w:left w:val="single" w:color="auto" w:sz="4" w:space="0"/>
              <w:bottom w:val="single" w:color="auto" w:sz="4" w:space="0"/>
              <w:right w:val="single" w:color="auto" w:sz="4" w:space="0"/>
            </w:tcBorders>
            <w:vAlign w:val="center"/>
          </w:tcPr>
          <w:p w14:paraId="70244632">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szCs w:val="21"/>
                <w:highlight w:val="none"/>
              </w:rPr>
              <w:t>招标文件询问联系方式</w:t>
            </w:r>
          </w:p>
        </w:tc>
        <w:tc>
          <w:tcPr>
            <w:tcW w:w="6454" w:type="dxa"/>
            <w:tcBorders>
              <w:top w:val="single" w:color="auto" w:sz="4" w:space="0"/>
              <w:left w:val="single" w:color="auto" w:sz="4" w:space="0"/>
              <w:bottom w:val="single" w:color="auto" w:sz="4" w:space="0"/>
              <w:right w:val="single" w:color="auto" w:sz="4" w:space="0"/>
            </w:tcBorders>
            <w:vAlign w:val="center"/>
          </w:tcPr>
          <w:p w14:paraId="4AF93DDB">
            <w:pPr>
              <w:keepNext w:val="0"/>
              <w:keepLines w:val="0"/>
              <w:pageBreakBefore w:val="0"/>
              <w:kinsoku/>
              <w:overflowPunct/>
              <w:topLinePunct w:val="0"/>
              <w:autoSpaceDE w:val="0"/>
              <w:autoSpaceDN w:val="0"/>
              <w:bidi w:val="0"/>
              <w:adjustRightInd/>
              <w:snapToGrid w:val="0"/>
              <w:spacing w:before="0" w:beforeAutospacing="0" w:after="0" w:afterAutospacing="0" w:line="480" w:lineRule="exact"/>
              <w:ind w:left="0" w:leftChars="0"/>
              <w:textAlignment w:val="bottom"/>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询问联系人：</w:t>
            </w:r>
            <w:r>
              <w:rPr>
                <w:rFonts w:hint="eastAsia" w:ascii="宋体" w:hAnsi="宋体" w:cs="宋体"/>
                <w:color w:val="auto"/>
                <w:szCs w:val="21"/>
                <w:highlight w:val="none"/>
                <w:lang w:val="en-US" w:eastAsia="zh-CN"/>
              </w:rPr>
              <w:t>熊伟</w:t>
            </w:r>
          </w:p>
          <w:p w14:paraId="59877259">
            <w:pPr>
              <w:keepNext w:val="0"/>
              <w:keepLines w:val="0"/>
              <w:pageBreakBefore w:val="0"/>
              <w:kinsoku/>
              <w:overflowPunct/>
              <w:topLinePunct w:val="0"/>
              <w:bidi w:val="0"/>
              <w:adjustRightInd/>
              <w:spacing w:before="0" w:beforeAutospacing="0" w:after="0" w:afterAutospacing="0" w:line="480" w:lineRule="exact"/>
              <w:ind w:left="0" w:leftChars="0"/>
              <w:rPr>
                <w:rFonts w:hint="default" w:ascii="宋体" w:hAnsi="宋体" w:eastAsia="宋体" w:cs="宋体"/>
                <w:color w:val="auto"/>
                <w:highlight w:val="none"/>
                <w:lang w:val="en-US" w:eastAsia="zh-CN"/>
              </w:rPr>
            </w:pPr>
            <w:r>
              <w:rPr>
                <w:rFonts w:hint="eastAsia" w:ascii="宋体" w:hAnsi="宋体" w:eastAsia="宋体" w:cs="宋体"/>
                <w:color w:val="auto"/>
                <w:szCs w:val="21"/>
                <w:highlight w:val="none"/>
              </w:rPr>
              <w:t>电话：</w:t>
            </w:r>
            <w:r>
              <w:rPr>
                <w:rFonts w:hint="eastAsia" w:ascii="宋体" w:hAnsi="宋体" w:cs="宋体"/>
                <w:bCs/>
                <w:color w:val="auto"/>
                <w:szCs w:val="21"/>
                <w:highlight w:val="none"/>
                <w:lang w:val="en-US" w:eastAsia="zh-CN"/>
              </w:rPr>
              <w:t>15694663925</w:t>
            </w:r>
          </w:p>
        </w:tc>
      </w:tr>
      <w:tr w14:paraId="3C7E2E18">
        <w:tblPrEx>
          <w:tblCellMar>
            <w:top w:w="0" w:type="dxa"/>
            <w:left w:w="108" w:type="dxa"/>
            <w:bottom w:w="0" w:type="dxa"/>
            <w:right w:w="108" w:type="dxa"/>
          </w:tblCellMar>
        </w:tblPrEx>
        <w:trPr>
          <w:trHeight w:val="56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BEC8831">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szCs w:val="21"/>
                <w:highlight w:val="none"/>
              </w:rPr>
              <w:t>11.3</w:t>
            </w:r>
          </w:p>
        </w:tc>
        <w:tc>
          <w:tcPr>
            <w:tcW w:w="2108" w:type="dxa"/>
            <w:tcBorders>
              <w:top w:val="single" w:color="auto" w:sz="4" w:space="0"/>
              <w:left w:val="single" w:color="auto" w:sz="4" w:space="0"/>
              <w:bottom w:val="single" w:color="auto" w:sz="4" w:space="0"/>
              <w:right w:val="single" w:color="auto" w:sz="4" w:space="0"/>
            </w:tcBorders>
            <w:vAlign w:val="center"/>
          </w:tcPr>
          <w:p w14:paraId="670EA134">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szCs w:val="21"/>
                <w:highlight w:val="none"/>
              </w:rPr>
              <w:t>招标文件澄清、修改时间</w:t>
            </w:r>
          </w:p>
        </w:tc>
        <w:tc>
          <w:tcPr>
            <w:tcW w:w="6454" w:type="dxa"/>
            <w:tcBorders>
              <w:top w:val="single" w:color="auto" w:sz="4" w:space="0"/>
              <w:left w:val="single" w:color="auto" w:sz="4" w:space="0"/>
              <w:bottom w:val="single" w:color="auto" w:sz="4" w:space="0"/>
              <w:right w:val="single" w:color="auto" w:sz="4" w:space="0"/>
            </w:tcBorders>
            <w:vAlign w:val="center"/>
          </w:tcPr>
          <w:p w14:paraId="14EA832E">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color w:val="auto"/>
                <w:highlight w:val="none"/>
              </w:rPr>
            </w:pPr>
            <w:r>
              <w:rPr>
                <w:rFonts w:hint="eastAsia" w:ascii="宋体" w:hAnsi="宋体" w:eastAsia="宋体" w:cs="宋体"/>
                <w:color w:val="auto"/>
                <w:szCs w:val="21"/>
                <w:highlight w:val="none"/>
              </w:rPr>
              <w:t>采购人、采购代理机构可以对已发出的招标文件进行必要的澄清或者修改，澄清或者修改的内容作为招标文件的组成部分。采购人、采购代理机构将同时发布澄清、修改文件进行说明以保证投标人能重新下载并用于编制投标文件。招标文件的澄清、修改文件内容均以网上电子文件为准，当招标文件、招标文件澄清、修改文件内容前后相互矛盾时，以最后发出的为准。澄清或者修改的内容可能影响投标文件编制的，采购人或者采购代理机构将在投标截止时间至少15日前，以网上电子文件形式通知所有接收招标文件的投标人，不足15日的，采购人或者采购代理机构将顺延提交投标文件的截止时间。投标人应在电子投标文件提交截止时间前及时登录政采云平台（https://www.zcygov.cn/）中查看有关该项目招标文件的澄清、修改内容。如因投标人自身原因导致未及时查看有关该项目招标文件的澄清、修改内容，由此造成的一切后果由投标人自行承担</w:t>
            </w:r>
            <w:r>
              <w:rPr>
                <w:rFonts w:hint="eastAsia" w:ascii="宋体" w:hAnsi="宋体" w:eastAsia="宋体" w:cs="宋体"/>
                <w:color w:val="auto"/>
                <w:szCs w:val="28"/>
                <w:highlight w:val="none"/>
              </w:rPr>
              <w:t>。</w:t>
            </w:r>
          </w:p>
        </w:tc>
      </w:tr>
      <w:tr w14:paraId="54B73890">
        <w:tblPrEx>
          <w:tblCellMar>
            <w:top w:w="0" w:type="dxa"/>
            <w:left w:w="108" w:type="dxa"/>
            <w:bottom w:w="0" w:type="dxa"/>
            <w:right w:w="108" w:type="dxa"/>
          </w:tblCellMar>
        </w:tblPrEx>
        <w:trPr>
          <w:trHeight w:val="56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4B0F8D6">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13.1</w:t>
            </w:r>
          </w:p>
        </w:tc>
        <w:tc>
          <w:tcPr>
            <w:tcW w:w="2108" w:type="dxa"/>
            <w:tcBorders>
              <w:top w:val="single" w:color="auto" w:sz="4" w:space="0"/>
              <w:left w:val="single" w:color="auto" w:sz="4" w:space="0"/>
              <w:bottom w:val="single" w:color="auto" w:sz="4" w:space="0"/>
              <w:right w:val="single" w:color="auto" w:sz="4" w:space="0"/>
            </w:tcBorders>
            <w:vAlign w:val="center"/>
          </w:tcPr>
          <w:p w14:paraId="30815FA9">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语言文字</w:t>
            </w:r>
          </w:p>
        </w:tc>
        <w:tc>
          <w:tcPr>
            <w:tcW w:w="6454" w:type="dxa"/>
            <w:tcBorders>
              <w:top w:val="single" w:color="auto" w:sz="4" w:space="0"/>
              <w:left w:val="single" w:color="auto" w:sz="4" w:space="0"/>
              <w:bottom w:val="single" w:color="auto" w:sz="4" w:space="0"/>
              <w:right w:val="single" w:color="auto" w:sz="4" w:space="0"/>
            </w:tcBorders>
            <w:vAlign w:val="center"/>
          </w:tcPr>
          <w:p w14:paraId="171DF970">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color w:val="auto"/>
                <w:highlight w:val="none"/>
              </w:rPr>
            </w:pPr>
            <w:r>
              <w:rPr>
                <w:rFonts w:hint="eastAsia" w:ascii="宋体" w:hAnsi="宋体" w:eastAsia="宋体" w:cs="宋体"/>
                <w:color w:val="auto"/>
                <w:highlight w:val="none"/>
              </w:rPr>
              <w:t>投标人的投标文件以及投标人与采购代理机构就有关投标的所有来往函电统一使用中文（特别规定除外）。</w:t>
            </w:r>
          </w:p>
        </w:tc>
      </w:tr>
      <w:tr w14:paraId="1A26D484">
        <w:tblPrEx>
          <w:tblCellMar>
            <w:top w:w="0" w:type="dxa"/>
            <w:left w:w="108" w:type="dxa"/>
            <w:bottom w:w="0" w:type="dxa"/>
            <w:right w:w="108" w:type="dxa"/>
          </w:tblCellMar>
        </w:tblPrEx>
        <w:trPr>
          <w:trHeight w:val="56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3971D313">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14.1</w:t>
            </w:r>
          </w:p>
        </w:tc>
        <w:tc>
          <w:tcPr>
            <w:tcW w:w="2108" w:type="dxa"/>
            <w:tcBorders>
              <w:top w:val="single" w:color="auto" w:sz="4" w:space="0"/>
              <w:left w:val="single" w:color="auto" w:sz="4" w:space="0"/>
              <w:bottom w:val="single" w:color="auto" w:sz="4" w:space="0"/>
              <w:right w:val="single" w:color="auto" w:sz="4" w:space="0"/>
            </w:tcBorders>
            <w:vAlign w:val="center"/>
          </w:tcPr>
          <w:p w14:paraId="67C25734">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计量单位</w:t>
            </w:r>
          </w:p>
        </w:tc>
        <w:tc>
          <w:tcPr>
            <w:tcW w:w="6454" w:type="dxa"/>
            <w:tcBorders>
              <w:top w:val="single" w:color="auto" w:sz="4" w:space="0"/>
              <w:left w:val="single" w:color="auto" w:sz="4" w:space="0"/>
              <w:bottom w:val="single" w:color="auto" w:sz="4" w:space="0"/>
              <w:right w:val="single" w:color="auto" w:sz="4" w:space="0"/>
            </w:tcBorders>
            <w:vAlign w:val="center"/>
          </w:tcPr>
          <w:p w14:paraId="723B7F6E">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color w:val="auto"/>
                <w:highlight w:val="none"/>
              </w:rPr>
            </w:pPr>
            <w:r>
              <w:rPr>
                <w:rFonts w:hint="eastAsia" w:ascii="宋体" w:hAnsi="宋体" w:eastAsia="宋体" w:cs="宋体"/>
                <w:color w:val="auto"/>
                <w:highlight w:val="none"/>
              </w:rPr>
              <w:t>投标文件中使用的计量单位除招标文件中有特殊规定外，一律使用中国法定计量单位。</w:t>
            </w:r>
          </w:p>
        </w:tc>
      </w:tr>
      <w:tr w14:paraId="3125741C">
        <w:tblPrEx>
          <w:tblCellMar>
            <w:top w:w="0" w:type="dxa"/>
            <w:left w:w="108" w:type="dxa"/>
            <w:bottom w:w="0" w:type="dxa"/>
            <w:right w:w="108" w:type="dxa"/>
          </w:tblCellMar>
        </w:tblPrEx>
        <w:trPr>
          <w:trHeight w:val="56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132C860">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15.2</w:t>
            </w:r>
          </w:p>
        </w:tc>
        <w:tc>
          <w:tcPr>
            <w:tcW w:w="2108" w:type="dxa"/>
            <w:tcBorders>
              <w:top w:val="single" w:color="auto" w:sz="4" w:space="0"/>
              <w:left w:val="single" w:color="auto" w:sz="4" w:space="0"/>
              <w:bottom w:val="single" w:color="auto" w:sz="4" w:space="0"/>
              <w:right w:val="single" w:color="auto" w:sz="4" w:space="0"/>
            </w:tcBorders>
            <w:vAlign w:val="center"/>
          </w:tcPr>
          <w:p w14:paraId="44991A41">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构成投标文件的其他资料</w:t>
            </w:r>
          </w:p>
        </w:tc>
        <w:tc>
          <w:tcPr>
            <w:tcW w:w="6454" w:type="dxa"/>
            <w:tcBorders>
              <w:top w:val="single" w:color="auto" w:sz="4" w:space="0"/>
              <w:left w:val="single" w:color="auto" w:sz="4" w:space="0"/>
              <w:bottom w:val="single" w:color="auto" w:sz="4" w:space="0"/>
              <w:right w:val="single" w:color="auto" w:sz="4" w:space="0"/>
            </w:tcBorders>
            <w:vAlign w:val="center"/>
          </w:tcPr>
          <w:p w14:paraId="039816A7">
            <w:pPr>
              <w:keepNext w:val="0"/>
              <w:keepLines w:val="0"/>
              <w:pageBreakBefore w:val="0"/>
              <w:kinsoku/>
              <w:overflowPunct/>
              <w:topLinePunct w:val="0"/>
              <w:autoSpaceDE w:val="0"/>
              <w:autoSpaceDN w:val="0"/>
              <w:bidi w:val="0"/>
              <w:adjustRightInd/>
              <w:snapToGrid w:val="0"/>
              <w:spacing w:before="0" w:beforeAutospacing="0" w:after="0" w:afterAutospacing="0" w:line="480" w:lineRule="exact"/>
              <w:ind w:left="0" w:leftChars="0"/>
              <w:textAlignment w:val="bottom"/>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eastAsia="zh-CN"/>
              </w:rPr>
              <w:t>投标保证金交纳凭证或保函或投标（竞标）保证保险保单（扫描件加盖投标人电子公章）</w:t>
            </w:r>
            <w:r>
              <w:rPr>
                <w:rFonts w:hint="eastAsia" w:ascii="宋体" w:hAnsi="宋体" w:eastAsia="宋体" w:cs="宋体"/>
                <w:color w:val="auto"/>
                <w:highlight w:val="none"/>
              </w:rPr>
              <w:t>；</w:t>
            </w:r>
          </w:p>
          <w:p w14:paraId="14CFB3A9">
            <w:pPr>
              <w:keepNext w:val="0"/>
              <w:keepLines w:val="0"/>
              <w:pageBreakBefore w:val="0"/>
              <w:kinsoku/>
              <w:overflowPunct/>
              <w:topLinePunct w:val="0"/>
              <w:autoSpaceDE w:val="0"/>
              <w:autoSpaceDN w:val="0"/>
              <w:bidi w:val="0"/>
              <w:adjustRightInd/>
              <w:snapToGrid w:val="0"/>
              <w:spacing w:before="0" w:beforeAutospacing="0" w:after="0" w:afterAutospacing="0" w:line="480" w:lineRule="exact"/>
              <w:ind w:left="0" w:leftChars="0"/>
              <w:textAlignment w:val="bottom"/>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第五章《采购需求》中要求提供的其他资料；</w:t>
            </w:r>
          </w:p>
          <w:p w14:paraId="5EA99568">
            <w:pPr>
              <w:keepNext w:val="0"/>
              <w:keepLines w:val="0"/>
              <w:pageBreakBefore w:val="0"/>
              <w:kinsoku/>
              <w:overflowPunct/>
              <w:topLinePunct w:val="0"/>
              <w:autoSpaceDE w:val="0"/>
              <w:autoSpaceDN w:val="0"/>
              <w:bidi w:val="0"/>
              <w:adjustRightInd/>
              <w:snapToGrid w:val="0"/>
              <w:spacing w:before="0" w:beforeAutospacing="0" w:after="0" w:afterAutospacing="0" w:line="480" w:lineRule="exact"/>
              <w:ind w:left="0" w:leftChars="0"/>
              <w:textAlignment w:val="bottom"/>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招标文件中所涉及到的相关资料及证明文件或投标人认为必须提供的其他相关资料。</w:t>
            </w:r>
          </w:p>
        </w:tc>
      </w:tr>
      <w:tr w14:paraId="7FA309D8">
        <w:tblPrEx>
          <w:tblCellMar>
            <w:top w:w="0" w:type="dxa"/>
            <w:left w:w="108" w:type="dxa"/>
            <w:bottom w:w="0" w:type="dxa"/>
            <w:right w:w="108" w:type="dxa"/>
          </w:tblCellMar>
        </w:tblPrEx>
        <w:trPr>
          <w:trHeight w:val="56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A1D39D4">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17.1</w:t>
            </w:r>
          </w:p>
        </w:tc>
        <w:tc>
          <w:tcPr>
            <w:tcW w:w="2108" w:type="dxa"/>
            <w:tcBorders>
              <w:top w:val="single" w:color="auto" w:sz="4" w:space="0"/>
              <w:left w:val="single" w:color="auto" w:sz="4" w:space="0"/>
              <w:bottom w:val="single" w:color="auto" w:sz="4" w:space="0"/>
              <w:right w:val="single" w:color="auto" w:sz="4" w:space="0"/>
            </w:tcBorders>
            <w:vAlign w:val="center"/>
          </w:tcPr>
          <w:p w14:paraId="0957DA71">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投标有效期</w:t>
            </w:r>
          </w:p>
        </w:tc>
        <w:tc>
          <w:tcPr>
            <w:tcW w:w="6454" w:type="dxa"/>
            <w:tcBorders>
              <w:top w:val="single" w:color="auto" w:sz="4" w:space="0"/>
              <w:left w:val="single" w:color="auto" w:sz="4" w:space="0"/>
              <w:bottom w:val="single" w:color="auto" w:sz="4" w:space="0"/>
              <w:right w:val="single" w:color="auto" w:sz="4" w:space="0"/>
            </w:tcBorders>
            <w:vAlign w:val="center"/>
          </w:tcPr>
          <w:p w14:paraId="227251A3">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color w:val="auto"/>
                <w:highlight w:val="none"/>
              </w:rPr>
            </w:pPr>
            <w:r>
              <w:rPr>
                <w:rFonts w:hint="eastAsia" w:ascii="宋体" w:hAnsi="宋体" w:eastAsia="宋体" w:cs="宋体"/>
                <w:color w:val="auto"/>
                <w:highlight w:val="none"/>
              </w:rPr>
              <w:t>从提交投标文件截止之日起</w:t>
            </w:r>
            <w:r>
              <w:rPr>
                <w:rFonts w:hint="eastAsia" w:ascii="宋体" w:hAnsi="宋体" w:eastAsia="宋体" w:cs="宋体"/>
                <w:color w:val="auto"/>
                <w:highlight w:val="none"/>
                <w:u w:val="single"/>
              </w:rPr>
              <w:t>90</w:t>
            </w:r>
            <w:r>
              <w:rPr>
                <w:rFonts w:hint="eastAsia" w:ascii="宋体" w:hAnsi="宋体" w:eastAsia="宋体" w:cs="宋体"/>
                <w:color w:val="auto"/>
                <w:highlight w:val="none"/>
              </w:rPr>
              <w:t>日历天。</w:t>
            </w:r>
          </w:p>
        </w:tc>
      </w:tr>
      <w:tr w14:paraId="23FCBB17">
        <w:tblPrEx>
          <w:tblCellMar>
            <w:top w:w="0" w:type="dxa"/>
            <w:left w:w="108" w:type="dxa"/>
            <w:bottom w:w="0" w:type="dxa"/>
            <w:right w:w="108" w:type="dxa"/>
          </w:tblCellMar>
        </w:tblPrEx>
        <w:trPr>
          <w:trHeight w:val="90"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0C68ADB3">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18.1</w:t>
            </w:r>
          </w:p>
        </w:tc>
        <w:tc>
          <w:tcPr>
            <w:tcW w:w="2108" w:type="dxa"/>
            <w:tcBorders>
              <w:top w:val="single" w:color="auto" w:sz="4" w:space="0"/>
              <w:left w:val="single" w:color="auto" w:sz="4" w:space="0"/>
              <w:bottom w:val="single" w:color="auto" w:sz="4" w:space="0"/>
              <w:right w:val="single" w:color="auto" w:sz="4" w:space="0"/>
            </w:tcBorders>
            <w:vAlign w:val="center"/>
          </w:tcPr>
          <w:p w14:paraId="072A9460">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投标保证金</w:t>
            </w:r>
          </w:p>
        </w:tc>
        <w:tc>
          <w:tcPr>
            <w:tcW w:w="6454" w:type="dxa"/>
            <w:tcBorders>
              <w:top w:val="single" w:color="auto" w:sz="4" w:space="0"/>
              <w:left w:val="single" w:color="auto" w:sz="4" w:space="0"/>
              <w:bottom w:val="single" w:color="auto" w:sz="4" w:space="0"/>
              <w:right w:val="single" w:color="auto" w:sz="4" w:space="0"/>
            </w:tcBorders>
            <w:shd w:val="clear" w:color="auto" w:fill="auto"/>
            <w:vAlign w:val="center"/>
          </w:tcPr>
          <w:p w14:paraId="32340C47">
            <w:pPr>
              <w:keepNext w:val="0"/>
              <w:keepLines w:val="0"/>
              <w:pageBreakBefore w:val="0"/>
              <w:kinsoku/>
              <w:overflowPunct/>
              <w:topLinePunct w:val="0"/>
              <w:bidi w:val="0"/>
              <w:adjustRightInd/>
              <w:spacing w:before="0" w:beforeAutospacing="0" w:after="0" w:afterAutospacing="0" w:line="480" w:lineRule="exact"/>
              <w:ind w:left="0" w:leftChars="0"/>
              <w:rPr>
                <w:rFonts w:hint="default" w:ascii="宋体" w:hAnsi="宋体" w:eastAsia="宋体" w:cs="宋体"/>
                <w:b/>
                <w:bCs/>
                <w:color w:val="auto"/>
                <w:highlight w:val="none"/>
                <w:lang w:val="en-US" w:eastAsia="zh-CN"/>
              </w:rPr>
            </w:pPr>
            <w:r>
              <w:rPr>
                <w:rFonts w:hint="eastAsia" w:ascii="宋体" w:hAnsi="宋体" w:cs="宋体"/>
                <w:b w:val="0"/>
                <w:bCs w:val="0"/>
                <w:color w:val="auto"/>
                <w:highlight w:val="none"/>
                <w:lang w:val="en-US" w:eastAsia="zh-CN"/>
              </w:rPr>
              <w:t>不要求缴纳</w:t>
            </w:r>
          </w:p>
        </w:tc>
      </w:tr>
      <w:tr w14:paraId="3B95AA5A">
        <w:tblPrEx>
          <w:tblCellMar>
            <w:top w:w="0" w:type="dxa"/>
            <w:left w:w="108" w:type="dxa"/>
            <w:bottom w:w="0" w:type="dxa"/>
            <w:right w:w="108" w:type="dxa"/>
          </w:tblCellMar>
        </w:tblPrEx>
        <w:trPr>
          <w:trHeight w:val="56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F3C597F">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rPr>
              <w:t>20.</w:t>
            </w:r>
            <w:r>
              <w:rPr>
                <w:rFonts w:hint="eastAsia" w:ascii="宋体" w:hAnsi="宋体" w:cs="宋体"/>
                <w:color w:val="auto"/>
                <w:highlight w:val="none"/>
                <w:lang w:val="en-US" w:eastAsia="zh-CN"/>
              </w:rPr>
              <w:t>10</w:t>
            </w:r>
          </w:p>
        </w:tc>
        <w:tc>
          <w:tcPr>
            <w:tcW w:w="2108" w:type="dxa"/>
            <w:tcBorders>
              <w:top w:val="single" w:color="auto" w:sz="4" w:space="0"/>
              <w:left w:val="single" w:color="auto" w:sz="4" w:space="0"/>
              <w:bottom w:val="single" w:color="auto" w:sz="4" w:space="0"/>
              <w:right w:val="single" w:color="auto" w:sz="4" w:space="0"/>
            </w:tcBorders>
            <w:vAlign w:val="center"/>
          </w:tcPr>
          <w:p w14:paraId="105A6547">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报价货币</w:t>
            </w:r>
          </w:p>
        </w:tc>
        <w:tc>
          <w:tcPr>
            <w:tcW w:w="6454" w:type="dxa"/>
            <w:tcBorders>
              <w:top w:val="single" w:color="auto" w:sz="4" w:space="0"/>
              <w:left w:val="single" w:color="auto" w:sz="4" w:space="0"/>
              <w:bottom w:val="single" w:color="auto" w:sz="4" w:space="0"/>
              <w:right w:val="single" w:color="auto" w:sz="4" w:space="0"/>
            </w:tcBorders>
            <w:vAlign w:val="center"/>
          </w:tcPr>
          <w:p w14:paraId="64817D84">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color w:val="auto"/>
                <w:highlight w:val="none"/>
              </w:rPr>
            </w:pPr>
            <w:r>
              <w:rPr>
                <w:rFonts w:hint="eastAsia" w:ascii="宋体" w:hAnsi="宋体" w:eastAsia="宋体" w:cs="宋体"/>
                <w:color w:val="auto"/>
                <w:highlight w:val="none"/>
              </w:rPr>
              <w:t>人民币</w:t>
            </w:r>
          </w:p>
        </w:tc>
      </w:tr>
      <w:tr w14:paraId="37AD005B">
        <w:tblPrEx>
          <w:tblCellMar>
            <w:top w:w="0" w:type="dxa"/>
            <w:left w:w="108" w:type="dxa"/>
            <w:bottom w:w="0" w:type="dxa"/>
            <w:right w:w="108" w:type="dxa"/>
          </w:tblCellMar>
        </w:tblPrEx>
        <w:trPr>
          <w:trHeight w:val="56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112DAF83">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21.1</w:t>
            </w:r>
          </w:p>
        </w:tc>
        <w:tc>
          <w:tcPr>
            <w:tcW w:w="2108" w:type="dxa"/>
            <w:tcBorders>
              <w:top w:val="single" w:color="auto" w:sz="4" w:space="0"/>
              <w:left w:val="single" w:color="auto" w:sz="4" w:space="0"/>
              <w:bottom w:val="single" w:color="auto" w:sz="4" w:space="0"/>
              <w:right w:val="single" w:color="auto" w:sz="4" w:space="0"/>
            </w:tcBorders>
            <w:vAlign w:val="center"/>
          </w:tcPr>
          <w:p w14:paraId="3B67DB26">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投标文件的密封</w:t>
            </w:r>
          </w:p>
        </w:tc>
        <w:tc>
          <w:tcPr>
            <w:tcW w:w="6454" w:type="dxa"/>
            <w:tcBorders>
              <w:top w:val="single" w:color="auto" w:sz="4" w:space="0"/>
              <w:left w:val="single" w:color="auto" w:sz="4" w:space="0"/>
              <w:bottom w:val="single" w:color="auto" w:sz="4" w:space="0"/>
              <w:right w:val="single" w:color="auto" w:sz="4" w:space="0"/>
            </w:tcBorders>
            <w:vAlign w:val="center"/>
          </w:tcPr>
          <w:p w14:paraId="75F1A164">
            <w:pPr>
              <w:keepNext w:val="0"/>
              <w:keepLines w:val="0"/>
              <w:pageBreakBefore w:val="0"/>
              <w:kinsoku/>
              <w:wordWrap w:val="0"/>
              <w:overflowPunct/>
              <w:topLinePunct w:val="0"/>
              <w:bidi w:val="0"/>
              <w:adjustRightInd/>
              <w:spacing w:before="0" w:beforeAutospacing="0" w:after="0" w:afterAutospacing="0" w:line="480" w:lineRule="exact"/>
              <w:ind w:left="0" w:leftChars="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投标人应按照“政采云”平台的要求编制、加密投标文件后在投标文件提交截止时间前上传至“政采云”平台，投标文件提交截止时间前未完成投标文件上传的，视为撤回投标文件。</w:t>
            </w:r>
          </w:p>
        </w:tc>
      </w:tr>
      <w:tr w14:paraId="69D2DC43">
        <w:tblPrEx>
          <w:tblCellMar>
            <w:top w:w="0" w:type="dxa"/>
            <w:left w:w="108" w:type="dxa"/>
            <w:bottom w:w="0" w:type="dxa"/>
            <w:right w:w="108" w:type="dxa"/>
          </w:tblCellMar>
        </w:tblPrEx>
        <w:trPr>
          <w:trHeight w:val="56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5B84D7A">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22.1</w:t>
            </w:r>
          </w:p>
        </w:tc>
        <w:tc>
          <w:tcPr>
            <w:tcW w:w="2108" w:type="dxa"/>
            <w:tcBorders>
              <w:top w:val="single" w:color="auto" w:sz="4" w:space="0"/>
              <w:left w:val="single" w:color="auto" w:sz="4" w:space="0"/>
              <w:bottom w:val="single" w:color="auto" w:sz="4" w:space="0"/>
              <w:right w:val="single" w:color="auto" w:sz="4" w:space="0"/>
            </w:tcBorders>
            <w:vAlign w:val="center"/>
          </w:tcPr>
          <w:p w14:paraId="3DB0BE82">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投标文件提交截止时间、提交投标文件的地点</w:t>
            </w:r>
          </w:p>
        </w:tc>
        <w:tc>
          <w:tcPr>
            <w:tcW w:w="6454" w:type="dxa"/>
            <w:tcBorders>
              <w:top w:val="single" w:color="auto" w:sz="4" w:space="0"/>
              <w:left w:val="single" w:color="auto" w:sz="4" w:space="0"/>
              <w:bottom w:val="single" w:color="auto" w:sz="4" w:space="0"/>
              <w:right w:val="single" w:color="auto" w:sz="4" w:space="0"/>
            </w:tcBorders>
            <w:vAlign w:val="center"/>
          </w:tcPr>
          <w:p w14:paraId="43E95A42">
            <w:pPr>
              <w:pStyle w:val="22"/>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color w:val="auto"/>
                <w:highlight w:val="none"/>
              </w:rPr>
            </w:pPr>
            <w:r>
              <w:rPr>
                <w:rFonts w:hint="eastAsia" w:ascii="宋体" w:hAnsi="宋体" w:eastAsia="宋体" w:cs="宋体"/>
                <w:color w:val="auto"/>
                <w:highlight w:val="none"/>
              </w:rPr>
              <w:t>投标文件提交截止时间：详见第一章《招标公告》；</w:t>
            </w:r>
          </w:p>
          <w:p w14:paraId="34F12BF4">
            <w:pPr>
              <w:pStyle w:val="22"/>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color w:val="auto"/>
                <w:highlight w:val="none"/>
              </w:rPr>
            </w:pPr>
            <w:r>
              <w:rPr>
                <w:rFonts w:hint="eastAsia" w:ascii="宋体" w:hAnsi="宋体" w:eastAsia="宋体" w:cs="宋体"/>
                <w:color w:val="auto"/>
                <w:highlight w:val="none"/>
              </w:rPr>
              <w:t>提交投标文件的地点：详见第一章《招标公告》。</w:t>
            </w:r>
          </w:p>
        </w:tc>
      </w:tr>
      <w:tr w14:paraId="5CB7CD73">
        <w:tblPrEx>
          <w:tblCellMar>
            <w:top w:w="0" w:type="dxa"/>
            <w:left w:w="108" w:type="dxa"/>
            <w:bottom w:w="0" w:type="dxa"/>
            <w:right w:w="108" w:type="dxa"/>
          </w:tblCellMar>
        </w:tblPrEx>
        <w:trPr>
          <w:trHeight w:val="56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4A670E60">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24.1</w:t>
            </w:r>
          </w:p>
        </w:tc>
        <w:tc>
          <w:tcPr>
            <w:tcW w:w="2108" w:type="dxa"/>
            <w:tcBorders>
              <w:top w:val="single" w:color="auto" w:sz="4" w:space="0"/>
              <w:left w:val="single" w:color="auto" w:sz="4" w:space="0"/>
              <w:bottom w:val="single" w:color="auto" w:sz="4" w:space="0"/>
              <w:right w:val="single" w:color="auto" w:sz="4" w:space="0"/>
            </w:tcBorders>
            <w:vAlign w:val="center"/>
          </w:tcPr>
          <w:p w14:paraId="043EBD8B">
            <w:pPr>
              <w:pStyle w:val="22"/>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开标时间和地点</w:t>
            </w:r>
          </w:p>
        </w:tc>
        <w:tc>
          <w:tcPr>
            <w:tcW w:w="6454" w:type="dxa"/>
            <w:tcBorders>
              <w:top w:val="single" w:color="auto" w:sz="4" w:space="0"/>
              <w:left w:val="single" w:color="auto" w:sz="4" w:space="0"/>
              <w:bottom w:val="single" w:color="auto" w:sz="4" w:space="0"/>
              <w:right w:val="single" w:color="auto" w:sz="4" w:space="0"/>
            </w:tcBorders>
            <w:vAlign w:val="center"/>
          </w:tcPr>
          <w:p w14:paraId="5BE8D760">
            <w:pPr>
              <w:pStyle w:val="22"/>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color w:val="auto"/>
                <w:highlight w:val="none"/>
              </w:rPr>
            </w:pPr>
            <w:r>
              <w:rPr>
                <w:rFonts w:hint="eastAsia" w:ascii="宋体" w:hAnsi="宋体" w:eastAsia="宋体" w:cs="宋体"/>
                <w:color w:val="auto"/>
                <w:highlight w:val="none"/>
              </w:rPr>
              <w:t>开标时间：同投标文件提交截止时间；</w:t>
            </w:r>
          </w:p>
          <w:p w14:paraId="7ABBA530">
            <w:pPr>
              <w:pStyle w:val="22"/>
              <w:keepNext w:val="0"/>
              <w:keepLines w:val="0"/>
              <w:pageBreakBefore w:val="0"/>
              <w:kinsoku/>
              <w:overflowPunct/>
              <w:topLinePunct w:val="0"/>
              <w:bidi w:val="0"/>
              <w:adjustRightInd/>
              <w:spacing w:before="0" w:beforeAutospacing="0" w:after="0" w:afterAutospacing="0" w:line="480" w:lineRule="exact"/>
              <w:ind w:left="1050" w:leftChars="0" w:hanging="1050" w:hangingChars="500"/>
              <w:rPr>
                <w:rFonts w:hint="eastAsia" w:ascii="宋体" w:hAnsi="宋体" w:eastAsia="宋体" w:cs="宋体"/>
                <w:color w:val="auto"/>
                <w:highlight w:val="none"/>
                <w:u w:val="single"/>
              </w:rPr>
            </w:pPr>
            <w:r>
              <w:rPr>
                <w:rFonts w:hint="eastAsia" w:ascii="宋体" w:hAnsi="宋体" w:eastAsia="宋体" w:cs="宋体"/>
                <w:color w:val="auto"/>
                <w:highlight w:val="none"/>
              </w:rPr>
              <w:t>开标地点：同提交投标文件的地点、开标地点。</w:t>
            </w:r>
          </w:p>
        </w:tc>
      </w:tr>
      <w:tr w14:paraId="089A7E01">
        <w:tblPrEx>
          <w:tblCellMar>
            <w:top w:w="0" w:type="dxa"/>
            <w:left w:w="108" w:type="dxa"/>
            <w:bottom w:w="0" w:type="dxa"/>
            <w:right w:w="108" w:type="dxa"/>
          </w:tblCellMar>
        </w:tblPrEx>
        <w:trPr>
          <w:trHeight w:val="90"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BBBA75E">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w:t>
            </w:r>
          </w:p>
        </w:tc>
        <w:tc>
          <w:tcPr>
            <w:tcW w:w="2108" w:type="dxa"/>
            <w:tcBorders>
              <w:top w:val="single" w:color="auto" w:sz="4" w:space="0"/>
              <w:left w:val="single" w:color="auto" w:sz="4" w:space="0"/>
              <w:bottom w:val="single" w:color="auto" w:sz="4" w:space="0"/>
              <w:right w:val="single" w:color="auto" w:sz="4" w:space="0"/>
            </w:tcBorders>
            <w:vAlign w:val="center"/>
          </w:tcPr>
          <w:p w14:paraId="05508C28">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评标委员会</w:t>
            </w:r>
          </w:p>
        </w:tc>
        <w:tc>
          <w:tcPr>
            <w:tcW w:w="6454" w:type="dxa"/>
            <w:tcBorders>
              <w:top w:val="single" w:color="auto" w:sz="4" w:space="0"/>
              <w:left w:val="single" w:color="auto" w:sz="4" w:space="0"/>
              <w:bottom w:val="single" w:color="auto" w:sz="4" w:space="0"/>
              <w:right w:val="single" w:color="auto" w:sz="4" w:space="0"/>
            </w:tcBorders>
            <w:vAlign w:val="center"/>
          </w:tcPr>
          <w:p w14:paraId="602BBC4A">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color w:val="auto"/>
                <w:highlight w:val="none"/>
              </w:rPr>
            </w:pPr>
            <w:r>
              <w:rPr>
                <w:rFonts w:hint="eastAsia" w:ascii="宋体" w:hAnsi="宋体" w:eastAsia="宋体" w:cs="宋体"/>
                <w:color w:val="auto"/>
                <w:szCs w:val="21"/>
                <w:highlight w:val="none"/>
              </w:rPr>
              <w:t>评标委员会由采购人代表和评审专家组成，成员人数为5人以上单数，其中评审专家不得少于成员总数的三分之二。评标委员会应当推选组长，但采购人代表不得担任组长。</w:t>
            </w:r>
          </w:p>
        </w:tc>
      </w:tr>
      <w:tr w14:paraId="4F6DEF8B">
        <w:tblPrEx>
          <w:tblCellMar>
            <w:top w:w="0" w:type="dxa"/>
            <w:left w:w="108" w:type="dxa"/>
            <w:bottom w:w="0" w:type="dxa"/>
            <w:right w:w="108" w:type="dxa"/>
          </w:tblCellMar>
        </w:tblPrEx>
        <w:trPr>
          <w:trHeight w:val="56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4FCCD7BF">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26</w:t>
            </w:r>
            <w:r>
              <w:rPr>
                <w:rFonts w:hint="eastAsia" w:ascii="宋体" w:hAnsi="宋体" w:eastAsia="宋体" w:cs="宋体"/>
                <w:color w:val="auto"/>
                <w:highlight w:val="none"/>
              </w:rPr>
              <w:t>.5</w:t>
            </w:r>
          </w:p>
        </w:tc>
        <w:tc>
          <w:tcPr>
            <w:tcW w:w="2108" w:type="dxa"/>
            <w:tcBorders>
              <w:top w:val="single" w:color="auto" w:sz="4" w:space="0"/>
              <w:left w:val="single" w:color="auto" w:sz="4" w:space="0"/>
              <w:bottom w:val="single" w:color="auto" w:sz="4" w:space="0"/>
              <w:right w:val="single" w:color="auto" w:sz="4" w:space="0"/>
            </w:tcBorders>
            <w:vAlign w:val="center"/>
          </w:tcPr>
          <w:p w14:paraId="104A0878">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评标方法</w:t>
            </w:r>
          </w:p>
        </w:tc>
        <w:tc>
          <w:tcPr>
            <w:tcW w:w="6454" w:type="dxa"/>
            <w:tcBorders>
              <w:top w:val="single" w:color="auto" w:sz="4" w:space="0"/>
              <w:left w:val="single" w:color="auto" w:sz="4" w:space="0"/>
              <w:bottom w:val="single" w:color="auto" w:sz="4" w:space="0"/>
              <w:right w:val="single" w:color="auto" w:sz="4" w:space="0"/>
            </w:tcBorders>
            <w:vAlign w:val="center"/>
          </w:tcPr>
          <w:p w14:paraId="41212701">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color w:val="auto"/>
                <w:highlight w:val="none"/>
              </w:rPr>
            </w:pPr>
            <w:r>
              <w:rPr>
                <w:rFonts w:hint="eastAsia" w:ascii="宋体" w:hAnsi="宋体" w:eastAsia="宋体" w:cs="宋体"/>
                <w:color w:val="auto"/>
                <w:highlight w:val="none"/>
              </w:rPr>
              <w:t>综合评分法</w:t>
            </w:r>
          </w:p>
        </w:tc>
      </w:tr>
      <w:tr w14:paraId="0333FEDC">
        <w:tblPrEx>
          <w:tblCellMar>
            <w:top w:w="0" w:type="dxa"/>
            <w:left w:w="108" w:type="dxa"/>
            <w:bottom w:w="0" w:type="dxa"/>
            <w:right w:w="108" w:type="dxa"/>
          </w:tblCellMar>
        </w:tblPrEx>
        <w:trPr>
          <w:trHeight w:val="56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1BC9B2DC">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.1</w:t>
            </w:r>
          </w:p>
        </w:tc>
        <w:tc>
          <w:tcPr>
            <w:tcW w:w="2108" w:type="dxa"/>
            <w:tcBorders>
              <w:top w:val="single" w:color="auto" w:sz="4" w:space="0"/>
              <w:left w:val="single" w:color="auto" w:sz="4" w:space="0"/>
              <w:bottom w:val="single" w:color="auto" w:sz="4" w:space="0"/>
              <w:right w:val="single" w:color="auto" w:sz="4" w:space="0"/>
            </w:tcBorders>
            <w:vAlign w:val="center"/>
          </w:tcPr>
          <w:p w14:paraId="446CF44A">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履约保证金</w:t>
            </w:r>
          </w:p>
        </w:tc>
        <w:tc>
          <w:tcPr>
            <w:tcW w:w="6454" w:type="dxa"/>
            <w:tcBorders>
              <w:top w:val="single" w:color="auto" w:sz="4" w:space="0"/>
              <w:left w:val="single" w:color="auto" w:sz="4" w:space="0"/>
              <w:bottom w:val="single" w:color="auto" w:sz="4" w:space="0"/>
              <w:right w:val="single" w:color="auto" w:sz="4" w:space="0"/>
            </w:tcBorders>
            <w:vAlign w:val="center"/>
          </w:tcPr>
          <w:p w14:paraId="7C45484E">
            <w:pPr>
              <w:keepNext w:val="0"/>
              <w:keepLines w:val="0"/>
              <w:pageBreakBefore w:val="0"/>
              <w:kinsoku/>
              <w:overflowPunct/>
              <w:topLinePunct w:val="0"/>
              <w:bidi w:val="0"/>
              <w:adjustRightInd/>
              <w:spacing w:before="0" w:beforeAutospacing="0" w:after="0" w:afterAutospacing="0" w:line="480" w:lineRule="exact"/>
              <w:ind w:left="0" w:leftChars="0"/>
              <w:jc w:val="left"/>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金额:</w:t>
            </w:r>
            <w:r>
              <w:rPr>
                <w:rFonts w:hint="eastAsia" w:ascii="宋体" w:hAnsi="宋体" w:cs="宋体"/>
                <w:b w:val="0"/>
                <w:bCs w:val="0"/>
                <w:color w:val="auto"/>
                <w:highlight w:val="none"/>
                <w:lang w:val="en-US" w:eastAsia="zh-CN"/>
              </w:rPr>
              <w:t>签订合同时双方约定</w:t>
            </w:r>
            <w:r>
              <w:rPr>
                <w:rFonts w:hint="eastAsia" w:ascii="宋体" w:hAnsi="宋体" w:eastAsia="宋体" w:cs="宋体"/>
                <w:b w:val="0"/>
                <w:bCs w:val="0"/>
                <w:color w:val="auto"/>
                <w:highlight w:val="none"/>
                <w:lang w:eastAsia="zh-CN"/>
              </w:rPr>
              <w:t>；</w:t>
            </w:r>
          </w:p>
          <w:p w14:paraId="26B85438">
            <w:pPr>
              <w:keepNext w:val="0"/>
              <w:keepLines w:val="0"/>
              <w:pageBreakBefore w:val="0"/>
              <w:kinsoku/>
              <w:overflowPunct/>
              <w:topLinePunct w:val="0"/>
              <w:bidi w:val="0"/>
              <w:adjustRightInd/>
              <w:spacing w:before="0" w:beforeAutospacing="0" w:after="0" w:afterAutospacing="0" w:line="480" w:lineRule="exact"/>
              <w:ind w:left="0" w:leftChars="0"/>
              <w:jc w:val="left"/>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缴纳时间:</w:t>
            </w:r>
            <w:r>
              <w:rPr>
                <w:rFonts w:hint="eastAsia" w:ascii="宋体" w:hAnsi="宋体" w:cs="宋体"/>
                <w:b w:val="0"/>
                <w:bCs w:val="0"/>
                <w:color w:val="auto"/>
                <w:highlight w:val="none"/>
                <w:lang w:val="en-US" w:eastAsia="zh-CN"/>
              </w:rPr>
              <w:t>签订合同时双方约定</w:t>
            </w:r>
            <w:r>
              <w:rPr>
                <w:rFonts w:hint="eastAsia" w:ascii="宋体" w:hAnsi="宋体" w:eastAsia="宋体" w:cs="宋体"/>
                <w:b w:val="0"/>
                <w:bCs w:val="0"/>
                <w:color w:val="auto"/>
                <w:highlight w:val="none"/>
                <w:lang w:eastAsia="zh-CN"/>
              </w:rPr>
              <w:t>；</w:t>
            </w:r>
          </w:p>
          <w:p w14:paraId="4958A07C">
            <w:pPr>
              <w:keepNext w:val="0"/>
              <w:keepLines w:val="0"/>
              <w:pageBreakBefore w:val="0"/>
              <w:kinsoku/>
              <w:overflowPunct/>
              <w:topLinePunct w:val="0"/>
              <w:bidi w:val="0"/>
              <w:adjustRightInd/>
              <w:spacing w:before="0" w:beforeAutospacing="0" w:after="0" w:afterAutospacing="0" w:line="480" w:lineRule="exact"/>
              <w:ind w:left="0" w:leftChars="0"/>
              <w:jc w:val="left"/>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缴纳形式:银行转帐或支票、汇票、本票或者金融机构、担保机构出具的保函、保险等非现金形式。</w:t>
            </w:r>
          </w:p>
        </w:tc>
      </w:tr>
      <w:tr w14:paraId="21E7A2D6">
        <w:tblPrEx>
          <w:tblCellMar>
            <w:top w:w="0" w:type="dxa"/>
            <w:left w:w="108" w:type="dxa"/>
            <w:bottom w:w="0" w:type="dxa"/>
            <w:right w:w="108" w:type="dxa"/>
          </w:tblCellMar>
        </w:tblPrEx>
        <w:trPr>
          <w:trHeight w:val="56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2F12168B">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.1</w:t>
            </w:r>
          </w:p>
        </w:tc>
        <w:tc>
          <w:tcPr>
            <w:tcW w:w="2108" w:type="dxa"/>
            <w:tcBorders>
              <w:top w:val="single" w:color="auto" w:sz="4" w:space="0"/>
              <w:left w:val="single" w:color="auto" w:sz="4" w:space="0"/>
              <w:bottom w:val="single" w:color="auto" w:sz="4" w:space="0"/>
              <w:right w:val="single" w:color="auto" w:sz="4" w:space="0"/>
            </w:tcBorders>
            <w:vAlign w:val="center"/>
          </w:tcPr>
          <w:p w14:paraId="642EA9F2">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采购代理服务费</w:t>
            </w:r>
          </w:p>
        </w:tc>
        <w:tc>
          <w:tcPr>
            <w:tcW w:w="6454" w:type="dxa"/>
            <w:tcBorders>
              <w:top w:val="single" w:color="auto" w:sz="4" w:space="0"/>
              <w:left w:val="single" w:color="auto" w:sz="4" w:space="0"/>
              <w:bottom w:val="single" w:color="auto" w:sz="4" w:space="0"/>
              <w:right w:val="single" w:color="auto" w:sz="4" w:space="0"/>
            </w:tcBorders>
          </w:tcPr>
          <w:p w14:paraId="62C49352">
            <w:pPr>
              <w:keepNext w:val="0"/>
              <w:keepLines w:val="0"/>
              <w:pageBreakBefore w:val="0"/>
              <w:kinsoku/>
              <w:overflowPunct/>
              <w:topLinePunct w:val="0"/>
              <w:bidi w:val="0"/>
              <w:adjustRightInd/>
              <w:spacing w:before="0" w:beforeAutospacing="0" w:after="0" w:afterAutospacing="0" w:line="480" w:lineRule="exac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eastAsia="zh-CN"/>
              </w:rPr>
              <w:t>本项目采购代理服务费参照国家计委[2002]1980号文件规定的货物收费标准向中标人收取（计算基准价为中标金额）</w:t>
            </w:r>
            <w:r>
              <w:rPr>
                <w:rFonts w:hint="eastAsia" w:ascii="宋体" w:hAnsi="宋体" w:eastAsia="宋体" w:cs="宋体"/>
                <w:color w:val="auto"/>
                <w:kern w:val="0"/>
                <w:highlight w:val="none"/>
                <w:lang w:eastAsia="zh-CN"/>
              </w:rPr>
              <w:t>。</w:t>
            </w:r>
          </w:p>
        </w:tc>
      </w:tr>
      <w:tr w14:paraId="48451AD7">
        <w:tblPrEx>
          <w:tblCellMar>
            <w:top w:w="0" w:type="dxa"/>
            <w:left w:w="108" w:type="dxa"/>
            <w:bottom w:w="0" w:type="dxa"/>
            <w:right w:w="108" w:type="dxa"/>
          </w:tblCellMar>
        </w:tblPrEx>
        <w:trPr>
          <w:trHeight w:val="56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871ADF6">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36.</w:t>
            </w:r>
            <w:r>
              <w:rPr>
                <w:rFonts w:hint="eastAsia" w:ascii="宋体" w:hAnsi="宋体" w:cs="宋体"/>
                <w:color w:val="auto"/>
                <w:highlight w:val="none"/>
                <w:lang w:val="en-US" w:eastAsia="zh-CN"/>
              </w:rPr>
              <w:t>5</w:t>
            </w:r>
          </w:p>
        </w:tc>
        <w:tc>
          <w:tcPr>
            <w:tcW w:w="2108" w:type="dxa"/>
            <w:tcBorders>
              <w:top w:val="single" w:color="auto" w:sz="4" w:space="0"/>
              <w:left w:val="single" w:color="auto" w:sz="4" w:space="0"/>
              <w:bottom w:val="single" w:color="auto" w:sz="4" w:space="0"/>
              <w:right w:val="single" w:color="auto" w:sz="4" w:space="0"/>
            </w:tcBorders>
            <w:vAlign w:val="center"/>
          </w:tcPr>
          <w:p w14:paraId="665C3C39">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其它注意事项</w:t>
            </w:r>
          </w:p>
        </w:tc>
        <w:tc>
          <w:tcPr>
            <w:tcW w:w="6454" w:type="dxa"/>
            <w:tcBorders>
              <w:top w:val="single" w:color="auto" w:sz="4" w:space="0"/>
              <w:left w:val="single" w:color="auto" w:sz="4" w:space="0"/>
              <w:bottom w:val="single" w:color="auto" w:sz="4" w:space="0"/>
              <w:right w:val="single" w:color="auto" w:sz="4" w:space="0"/>
            </w:tcBorders>
            <w:vAlign w:val="top"/>
          </w:tcPr>
          <w:p w14:paraId="1D3A6B8E">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color w:val="auto"/>
                <w:highlight w:val="none"/>
              </w:rPr>
            </w:pPr>
            <w:r>
              <w:rPr>
                <w:rFonts w:hint="eastAsia" w:ascii="宋体" w:hAnsi="宋体" w:eastAsia="宋体" w:cs="宋体"/>
                <w:color w:val="auto"/>
                <w:highlight w:val="none"/>
              </w:rPr>
              <w:t>以下情况视为投标人同意撤回已上传系统的投标文件或其投标文件无效：</w:t>
            </w:r>
          </w:p>
          <w:p w14:paraId="28817766">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color w:val="auto"/>
                <w:highlight w:val="none"/>
              </w:rPr>
            </w:pPr>
            <w:r>
              <w:rPr>
                <w:rFonts w:hint="eastAsia" w:ascii="宋体" w:hAnsi="宋体" w:eastAsia="宋体" w:cs="宋体"/>
                <w:color w:val="auto"/>
                <w:highlight w:val="none"/>
              </w:rPr>
              <w:t>（1）政采云电子平台显示投标人未上传投标文件；</w:t>
            </w:r>
          </w:p>
          <w:p w14:paraId="3DE42F3B">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color w:val="auto"/>
                <w:highlight w:val="none"/>
              </w:rPr>
            </w:pPr>
            <w:r>
              <w:rPr>
                <w:rFonts w:hint="eastAsia" w:ascii="宋体" w:hAnsi="宋体" w:eastAsia="宋体" w:cs="宋体"/>
                <w:color w:val="auto"/>
                <w:highlight w:val="none"/>
              </w:rPr>
              <w:t>（2）因投标人原因上传的投标文件在开启文件时无法解密。</w:t>
            </w:r>
          </w:p>
          <w:p w14:paraId="12A0A9BF">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color w:val="auto"/>
                <w:kern w:val="0"/>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）因投标人自身原因导致未在规定时间内完成投标文件解密。</w:t>
            </w:r>
          </w:p>
        </w:tc>
      </w:tr>
    </w:tbl>
    <w:p w14:paraId="353B3BB5">
      <w:pPr>
        <w:pStyle w:val="13"/>
        <w:pageBreakBefore w:val="0"/>
        <w:kinsoku/>
        <w:overflowPunct/>
        <w:topLinePunct w:val="0"/>
        <w:bidi w:val="0"/>
        <w:adjustRightInd/>
        <w:spacing w:line="480" w:lineRule="exact"/>
        <w:ind w:left="0" w:leftChars="0"/>
        <w:rPr>
          <w:rFonts w:hint="eastAsia" w:ascii="宋体" w:hAnsi="宋体" w:eastAsia="宋体" w:cs="宋体"/>
          <w:color w:val="auto"/>
          <w:kern w:val="0"/>
          <w:highlight w:val="none"/>
        </w:rPr>
      </w:pPr>
      <w:r>
        <w:rPr>
          <w:rFonts w:hint="eastAsia" w:ascii="宋体" w:hAnsi="宋体" w:eastAsia="宋体" w:cs="宋体"/>
          <w:color w:val="auto"/>
          <w:kern w:val="0"/>
          <w:highlight w:val="none"/>
        </w:rPr>
        <w:br w:type="page"/>
      </w:r>
    </w:p>
    <w:p w14:paraId="0068911E">
      <w:pPr>
        <w:pStyle w:val="3"/>
        <w:pageBreakBefore w:val="0"/>
        <w:kinsoku/>
        <w:overflowPunct/>
        <w:topLinePunct w:val="0"/>
        <w:bidi w:val="0"/>
        <w:adjustRightInd/>
        <w:spacing w:before="0" w:line="480" w:lineRule="exact"/>
        <w:ind w:left="0" w:leftChars="0"/>
        <w:jc w:val="center"/>
        <w:rPr>
          <w:rFonts w:hint="eastAsia" w:ascii="宋体" w:hAnsi="宋体" w:eastAsia="宋体" w:cs="宋体"/>
          <w:color w:val="auto"/>
          <w:spacing w:val="0"/>
          <w:kern w:val="0"/>
          <w:sz w:val="28"/>
          <w:szCs w:val="28"/>
          <w:highlight w:val="none"/>
        </w:rPr>
      </w:pPr>
      <w:bookmarkStart w:id="27" w:name="_Toc847"/>
      <w:bookmarkStart w:id="28" w:name="_Toc24977"/>
      <w:r>
        <w:rPr>
          <w:rFonts w:hint="eastAsia" w:ascii="宋体" w:hAnsi="宋体" w:eastAsia="宋体" w:cs="宋体"/>
          <w:color w:val="auto"/>
          <w:spacing w:val="0"/>
          <w:kern w:val="0"/>
          <w:sz w:val="28"/>
          <w:szCs w:val="28"/>
          <w:highlight w:val="none"/>
        </w:rPr>
        <w:t>一、总则</w:t>
      </w:r>
      <w:bookmarkEnd w:id="27"/>
      <w:bookmarkEnd w:id="28"/>
    </w:p>
    <w:p w14:paraId="0AB9379F">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1.项目概况</w:t>
      </w:r>
    </w:p>
    <w:p w14:paraId="7AF5AB69">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1.1根据《中华人民共和国政府采购法》、《中华人民共和国政府采购法实施条例》、《政府采购货物和服务招标投标管理办法》（财政部令第87号）等有关法律、法规的规定，本项目已具备招标条件，现对本项目进行公开招标。</w:t>
      </w:r>
    </w:p>
    <w:p w14:paraId="14797F60">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1.2本项目采购人：详见《投标人须知前附表》。</w:t>
      </w:r>
    </w:p>
    <w:p w14:paraId="62917A05">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1.3本项目采购代理机构：详见《投标人须知前附表》。</w:t>
      </w:r>
    </w:p>
    <w:p w14:paraId="6C31A484">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1.4本项目名称及项目编号：详见《投标人须知前附表》。</w:t>
      </w:r>
    </w:p>
    <w:p w14:paraId="78F1566E">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2.预算金额</w:t>
      </w:r>
      <w:r>
        <w:rPr>
          <w:rFonts w:hint="eastAsia" w:ascii="宋体" w:hAnsi="宋体" w:eastAsia="宋体" w:cs="宋体"/>
          <w:b/>
          <w:bCs/>
          <w:color w:val="auto"/>
          <w:sz w:val="24"/>
          <w:szCs w:val="24"/>
          <w:highlight w:val="none"/>
          <w:lang w:val="en-US" w:eastAsia="zh-CN"/>
        </w:rPr>
        <w:t>及最高限价</w:t>
      </w:r>
    </w:p>
    <w:p w14:paraId="3CCE15D7">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2.1预算金额</w:t>
      </w:r>
      <w:r>
        <w:rPr>
          <w:rFonts w:hint="eastAsia" w:ascii="宋体" w:hAnsi="宋体" w:eastAsia="宋体" w:cs="宋体"/>
          <w:color w:val="auto"/>
          <w:szCs w:val="21"/>
          <w:highlight w:val="none"/>
          <w:lang w:val="en-US" w:eastAsia="zh-CN"/>
        </w:rPr>
        <w:t>及最高限价</w:t>
      </w:r>
      <w:r>
        <w:rPr>
          <w:rFonts w:hint="eastAsia" w:ascii="宋体" w:hAnsi="宋体" w:eastAsia="宋体" w:cs="宋体"/>
          <w:color w:val="auto"/>
          <w:szCs w:val="21"/>
          <w:highlight w:val="none"/>
        </w:rPr>
        <w:t>：详见《投标人须知前附表》。</w:t>
      </w:r>
    </w:p>
    <w:p w14:paraId="209A6FB1">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3.采购需求及</w:t>
      </w:r>
      <w:r>
        <w:rPr>
          <w:rFonts w:hint="eastAsia" w:ascii="宋体" w:hAnsi="宋体" w:cs="宋体"/>
          <w:b/>
          <w:bCs/>
          <w:color w:val="auto"/>
          <w:sz w:val="24"/>
          <w:szCs w:val="24"/>
          <w:highlight w:val="none"/>
          <w:lang w:eastAsia="zh-CN"/>
        </w:rPr>
        <w:t>项目实施期限</w:t>
      </w: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eastAsia="zh-CN"/>
        </w:rPr>
        <w:t>项目实施地点</w:t>
      </w:r>
    </w:p>
    <w:p w14:paraId="5133D031">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3.1本项目采购需求：详见《投标人须知前附表》。</w:t>
      </w:r>
    </w:p>
    <w:p w14:paraId="72A2A640">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3.2本项目</w:t>
      </w:r>
      <w:r>
        <w:rPr>
          <w:rFonts w:hint="eastAsia" w:ascii="宋体" w:hAnsi="宋体" w:cs="宋体"/>
          <w:color w:val="auto"/>
          <w:szCs w:val="21"/>
          <w:highlight w:val="none"/>
          <w:lang w:eastAsia="zh-CN"/>
        </w:rPr>
        <w:t>项目实施期限</w:t>
      </w:r>
      <w:r>
        <w:rPr>
          <w:rFonts w:hint="eastAsia" w:ascii="宋体" w:hAnsi="宋体" w:eastAsia="宋体" w:cs="宋体"/>
          <w:color w:val="auto"/>
          <w:szCs w:val="21"/>
          <w:highlight w:val="none"/>
        </w:rPr>
        <w:t>、</w:t>
      </w:r>
      <w:r>
        <w:rPr>
          <w:rFonts w:hint="eastAsia" w:ascii="宋体" w:hAnsi="宋体" w:cs="宋体"/>
          <w:color w:val="auto"/>
          <w:szCs w:val="21"/>
          <w:highlight w:val="none"/>
          <w:lang w:eastAsia="zh-CN"/>
        </w:rPr>
        <w:t>项目实施地点</w:t>
      </w:r>
      <w:r>
        <w:rPr>
          <w:rFonts w:hint="eastAsia" w:ascii="宋体" w:hAnsi="宋体" w:eastAsia="宋体" w:cs="宋体"/>
          <w:color w:val="auto"/>
          <w:szCs w:val="21"/>
          <w:highlight w:val="none"/>
        </w:rPr>
        <w:t>：详见《投标人须知前附表》。</w:t>
      </w:r>
    </w:p>
    <w:p w14:paraId="02D48DBA">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3.3是否接受联合体参加：详见《投标人须知前附表》。</w:t>
      </w:r>
    </w:p>
    <w:p w14:paraId="08058F26">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4.投标人资格要求</w:t>
      </w:r>
    </w:p>
    <w:p w14:paraId="16A16F8E">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4.1投标人资格要求：详见《投标人须知前附表》</w:t>
      </w:r>
    </w:p>
    <w:p w14:paraId="0064BE64">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4.2采购人根据采购项目的特殊要求规定的特定条件：详见《投标人须知前附表》</w:t>
      </w:r>
    </w:p>
    <w:p w14:paraId="6F1E87D8">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4.3如投标人为满足投标人资格要求提供虚假材料，一经查实，视为未实质性响应招标文件，投标人投标文件将按无效处理。</w:t>
      </w:r>
    </w:p>
    <w:p w14:paraId="49D089D5">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4.5单位负责人为同一人或者存在直接控股、管理关系的不同投标人，不得参加同一合同项下的政府采购活动。</w:t>
      </w:r>
    </w:p>
    <w:p w14:paraId="506B7125">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4.6投标人不得直接或间接地与为采购项目提供整体设计、规范编制和项目管理、监理、检测等服务。</w:t>
      </w:r>
    </w:p>
    <w:p w14:paraId="4315F583">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4.7符合上述条件的投标人应承担投标及履约中应承担的全部责任与义务。</w:t>
      </w:r>
    </w:p>
    <w:p w14:paraId="75538169">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5.费用承担</w:t>
      </w:r>
    </w:p>
    <w:p w14:paraId="469FA05F">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5.1不论投标结果如何，投标人均应自行承担所有与准备和参加投标活动有关的全部费用；</w:t>
      </w:r>
    </w:p>
    <w:p w14:paraId="0B0D6F76">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6.现场考察</w:t>
      </w:r>
    </w:p>
    <w:p w14:paraId="7BB49343">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6.1投标人须知前附表规定组织现场考察的，采购人按《投标人须知前附表》规定的时间、集中地点组织潜在投标人进行现场考察。</w:t>
      </w:r>
    </w:p>
    <w:p w14:paraId="12697D7E">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6.2现场考察所发生的费用由潜在投标人自理。</w:t>
      </w:r>
    </w:p>
    <w:p w14:paraId="1C3ABCAA">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6.3除采购人的原因外，潜在投标人自行负责在现场考察中所发生的人员伤亡和财产损失。</w:t>
      </w:r>
    </w:p>
    <w:p w14:paraId="45AC13C0">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6.4采购人在现场考察中介绍的项目场地和相关的周边环境情况，供潜在投标人在编制投标文件时参考，采购人不对潜在投标人据此做出的判断和决策负责。</w:t>
      </w:r>
    </w:p>
    <w:p w14:paraId="53555D13">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7.开标前答疑会</w:t>
      </w:r>
    </w:p>
    <w:p w14:paraId="1C840EFD">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7.1投标人须知前附表规定召开开标前答疑会的，采购人按《投标人须知前附表》规定的时间和地点召开开标前答疑会，书面澄清潜在投标人提出的问题。</w:t>
      </w:r>
    </w:p>
    <w:p w14:paraId="249B4319">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8.质疑</w:t>
      </w:r>
    </w:p>
    <w:p w14:paraId="7A419E80">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8.1投标人认为招标文件、采购过程、中标结果使自己的权益受到损害的，可以在知道或者应知其权益受到损害之日起7个工作日内，以书面形式向采购人、采购代理机构提出质疑。投标人应在法定质疑期内一次性提出针对同一采购程序环节的质疑，否则采购人、采购代理机构有权拒收。</w:t>
      </w:r>
    </w:p>
    <w:p w14:paraId="79220B28">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8.2招标文件第二章《投标人须知》8.1条中“知道或者应知其权益受到损害之日”是指：</w:t>
      </w:r>
    </w:p>
    <w:p w14:paraId="6EB0AAA4">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（一）对可以质疑的采购文件提出质疑的，为收到采购文件之日或者采购文件公告期限届满之日；</w:t>
      </w:r>
    </w:p>
    <w:p w14:paraId="01D508EF">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（二）对采购过程提出质疑的，为各采购程序环节结束之日；</w:t>
      </w:r>
    </w:p>
    <w:p w14:paraId="0FD3B5F8">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（三）对中标或者成交结果提出质疑的，为中标或者成交结果公告期限届满之日。</w:t>
      </w:r>
    </w:p>
    <w:p w14:paraId="4D057048">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8.3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w:t>
      </w:r>
      <w:r>
        <w:rPr>
          <w:rFonts w:hint="eastAsia" w:ascii="宋体" w:hAnsi="宋体" w:cs="宋体"/>
          <w:color w:val="auto"/>
          <w:szCs w:val="21"/>
          <w:highlight w:val="none"/>
          <w:lang w:val="en-US" w:eastAsia="zh-CN"/>
        </w:rPr>
        <w:t>投标人</w:t>
      </w:r>
      <w:r>
        <w:rPr>
          <w:rFonts w:hint="eastAsia" w:ascii="宋体" w:hAnsi="宋体" w:eastAsia="宋体" w:cs="宋体"/>
          <w:color w:val="auto"/>
          <w:szCs w:val="21"/>
          <w:highlight w:val="none"/>
        </w:rPr>
        <w:t>签署的授权委托书。</w:t>
      </w:r>
    </w:p>
    <w:p w14:paraId="480AD3CA">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提出质疑的</w:t>
      </w:r>
      <w:r>
        <w:rPr>
          <w:rFonts w:hint="eastAsia" w:ascii="宋体" w:hAnsi="宋体" w:cs="宋体"/>
          <w:color w:val="auto"/>
          <w:szCs w:val="21"/>
          <w:highlight w:val="none"/>
          <w:lang w:eastAsia="zh-CN"/>
        </w:rPr>
        <w:t>投标人</w:t>
      </w:r>
      <w:r>
        <w:rPr>
          <w:rFonts w:hint="eastAsia" w:ascii="宋体" w:hAnsi="宋体" w:eastAsia="宋体" w:cs="宋体"/>
          <w:color w:val="auto"/>
          <w:szCs w:val="21"/>
          <w:highlight w:val="none"/>
        </w:rPr>
        <w:t>应当是参与所质疑项目采购活动的</w:t>
      </w:r>
      <w:r>
        <w:rPr>
          <w:rFonts w:hint="eastAsia" w:ascii="宋体" w:hAnsi="宋体" w:cs="宋体"/>
          <w:color w:val="auto"/>
          <w:szCs w:val="21"/>
          <w:highlight w:val="none"/>
          <w:lang w:eastAsia="zh-CN"/>
        </w:rPr>
        <w:t>投标人</w:t>
      </w:r>
      <w:r>
        <w:rPr>
          <w:rFonts w:hint="eastAsia" w:ascii="宋体" w:hAnsi="宋体" w:eastAsia="宋体" w:cs="宋体"/>
          <w:color w:val="auto"/>
          <w:szCs w:val="21"/>
          <w:highlight w:val="none"/>
        </w:rPr>
        <w:t>。</w:t>
      </w:r>
    </w:p>
    <w:p w14:paraId="690313A5">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8.4投标人提出质疑应符合《政府采购质疑和投诉办法》（中华人民共和国财政部令第94号）和财政部《政府采购供应商质疑函范本》的规定。投标人提出质疑应当提交质疑函和必要的证明材料。质疑函应当包括下列内容：</w:t>
      </w:r>
    </w:p>
    <w:p w14:paraId="1838FA7A">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（一）供应商的姓名或者名称、地址、邮编、联系人及联系电话；</w:t>
      </w:r>
    </w:p>
    <w:p w14:paraId="4A013F39">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（二）质疑项目的名称、编号；</w:t>
      </w:r>
    </w:p>
    <w:p w14:paraId="5F31F029">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（三）具体、明确的质疑事项和与质疑事项相关的请求；</w:t>
      </w:r>
    </w:p>
    <w:p w14:paraId="5B947652">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（四）事实依据；</w:t>
      </w:r>
    </w:p>
    <w:p w14:paraId="04C431B1">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（五）必要的法律依据；</w:t>
      </w:r>
    </w:p>
    <w:p w14:paraId="252E2B91">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（六）提出质疑的日期。</w:t>
      </w:r>
    </w:p>
    <w:p w14:paraId="40250491">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投标人为自然人的，应当由本人签字；投标人为法人或者其他组织的，应当由法定代表人、主要负责人，或者其授权代表签字或者盖章，并加盖公章。</w:t>
      </w:r>
    </w:p>
    <w:p w14:paraId="72497FFD">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8.5投标人不得捏造事实、提供虚假材料或者以非法手段取得证明材料。</w:t>
      </w:r>
    </w:p>
    <w:p w14:paraId="6466DB9D">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8.6质疑函应当使用中文。相关当事人提供外文书证或者外国语视听资料的，应当附有中文译本，由翻译机构盖章或者翻译人员签名。</w:t>
      </w:r>
    </w:p>
    <w:p w14:paraId="083A3A3A">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8.7采购人、采购代理机构将在收到投标人质疑函后七个工作日内作出答复，但质疑答复的内容不涉及商业秘密。</w:t>
      </w:r>
    </w:p>
    <w:p w14:paraId="4539766D">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8.8投标人对评审过程、中标结果提出质疑的，采购人、采购代理机构可以组织原评标委员会协助答复质疑。质疑答复导致中标结果改变的，采购人或者采购代理机构会将有关情况书面报告本级财政部门。</w:t>
      </w:r>
    </w:p>
    <w:p w14:paraId="021450BA">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8.9接收质疑函的方式：书面方式；接收质疑函的地点：</w:t>
      </w:r>
      <w:r>
        <w:rPr>
          <w:rFonts w:hint="eastAsia" w:ascii="宋体" w:hAnsi="宋体" w:cs="宋体"/>
          <w:color w:val="auto"/>
          <w:szCs w:val="21"/>
          <w:highlight w:val="none"/>
          <w:lang w:eastAsia="zh-CN"/>
        </w:rPr>
        <w:t>怒江国创大智全过程工程咨询有限公司</w:t>
      </w:r>
      <w:r>
        <w:rPr>
          <w:rFonts w:hint="eastAsia" w:ascii="宋体" w:hAnsi="宋体" w:eastAsia="宋体" w:cs="宋体"/>
          <w:color w:val="auto"/>
          <w:szCs w:val="21"/>
          <w:highlight w:val="none"/>
        </w:rPr>
        <w:t>；联系人、联系电话：</w:t>
      </w:r>
      <w:r>
        <w:rPr>
          <w:rFonts w:hint="eastAsia" w:ascii="宋体" w:hAnsi="宋体" w:cs="宋体"/>
          <w:color w:val="auto"/>
          <w:szCs w:val="21"/>
          <w:highlight w:val="none"/>
          <w:lang w:val="en-US" w:eastAsia="zh-CN"/>
        </w:rPr>
        <w:t>熊伟</w:t>
      </w:r>
      <w:r>
        <w:rPr>
          <w:rFonts w:hint="eastAsia" w:ascii="宋体" w:hAnsi="宋体" w:cs="宋体"/>
          <w:color w:val="auto"/>
          <w:szCs w:val="21"/>
          <w:highlight w:val="none"/>
          <w:lang w:eastAsia="zh-CN"/>
        </w:rPr>
        <w:t>15694663925</w:t>
      </w:r>
      <w:r>
        <w:rPr>
          <w:rFonts w:hint="eastAsia" w:ascii="宋体" w:hAnsi="宋体" w:eastAsia="宋体" w:cs="宋体"/>
          <w:color w:val="auto"/>
          <w:szCs w:val="21"/>
          <w:highlight w:val="none"/>
        </w:rPr>
        <w:t>；通讯地址：</w:t>
      </w:r>
      <w:r>
        <w:rPr>
          <w:rFonts w:hint="eastAsia" w:ascii="宋体" w:hAnsi="宋体" w:cs="宋体"/>
          <w:color w:val="auto"/>
          <w:szCs w:val="21"/>
          <w:highlight w:val="none"/>
          <w:lang w:eastAsia="zh-CN"/>
        </w:rPr>
        <w:t>云南省怒江傈僳族自治州泸水市</w:t>
      </w:r>
      <w:r>
        <w:rPr>
          <w:rFonts w:hint="eastAsia" w:ascii="宋体" w:hAnsi="宋体" w:cs="宋体"/>
          <w:color w:val="auto"/>
          <w:szCs w:val="21"/>
          <w:highlight w:val="none"/>
          <w:lang w:val="en-US" w:eastAsia="zh-CN"/>
        </w:rPr>
        <w:t>向阳南路29号</w:t>
      </w:r>
      <w:r>
        <w:rPr>
          <w:rFonts w:hint="eastAsia" w:ascii="宋体" w:hAnsi="宋体" w:cs="宋体"/>
          <w:color w:val="auto"/>
          <w:szCs w:val="21"/>
          <w:highlight w:val="none"/>
          <w:lang w:eastAsia="zh-CN"/>
        </w:rPr>
        <w:t>2楼</w:t>
      </w:r>
      <w:r>
        <w:rPr>
          <w:rFonts w:hint="eastAsia" w:ascii="宋体" w:hAnsi="宋体" w:eastAsia="宋体" w:cs="宋体"/>
          <w:color w:val="auto"/>
          <w:szCs w:val="21"/>
          <w:highlight w:val="none"/>
        </w:rPr>
        <w:t>。</w:t>
      </w:r>
    </w:p>
    <w:p w14:paraId="484AD8BE">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9.投诉</w:t>
      </w:r>
    </w:p>
    <w:p w14:paraId="046AED2D">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9.1投诉必须首先经过质疑程序。质疑</w:t>
      </w:r>
      <w:r>
        <w:rPr>
          <w:rFonts w:hint="eastAsia" w:ascii="宋体" w:hAnsi="宋体" w:cs="宋体"/>
          <w:color w:val="auto"/>
          <w:szCs w:val="21"/>
          <w:highlight w:val="none"/>
          <w:lang w:val="en-US" w:eastAsia="zh-CN"/>
        </w:rPr>
        <w:t>投标人</w:t>
      </w:r>
      <w:r>
        <w:rPr>
          <w:rFonts w:hint="eastAsia" w:ascii="宋体" w:hAnsi="宋体" w:eastAsia="宋体" w:cs="宋体"/>
          <w:color w:val="auto"/>
          <w:szCs w:val="21"/>
          <w:highlight w:val="none"/>
        </w:rPr>
        <w:t>对采购人、采购代理机构的答复不满意，或者采购人、采购代理机构未在规定时间内作出答复的，可以在答复期满后十五个工作日内书面向财政部门提起投诉。</w:t>
      </w:r>
    </w:p>
    <w:p w14:paraId="77BEE099">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p>
    <w:p w14:paraId="1423628E">
      <w:pPr>
        <w:pStyle w:val="3"/>
        <w:pageBreakBefore w:val="0"/>
        <w:kinsoku/>
        <w:overflowPunct/>
        <w:topLinePunct w:val="0"/>
        <w:bidi w:val="0"/>
        <w:adjustRightInd/>
        <w:spacing w:before="0" w:line="480" w:lineRule="exact"/>
        <w:ind w:left="0" w:leftChars="0"/>
        <w:jc w:val="center"/>
        <w:rPr>
          <w:rFonts w:hint="eastAsia" w:ascii="宋体" w:hAnsi="宋体" w:eastAsia="宋体" w:cs="宋体"/>
          <w:color w:val="auto"/>
          <w:spacing w:val="0"/>
          <w:kern w:val="0"/>
          <w:sz w:val="28"/>
          <w:szCs w:val="28"/>
          <w:highlight w:val="none"/>
        </w:rPr>
      </w:pPr>
      <w:bookmarkStart w:id="29" w:name="_Toc11528"/>
      <w:bookmarkStart w:id="30" w:name="_Toc27242"/>
      <w:r>
        <w:rPr>
          <w:rFonts w:hint="eastAsia" w:ascii="宋体" w:hAnsi="宋体" w:eastAsia="宋体" w:cs="宋体"/>
          <w:color w:val="auto"/>
          <w:spacing w:val="0"/>
          <w:kern w:val="0"/>
          <w:sz w:val="28"/>
          <w:szCs w:val="28"/>
          <w:highlight w:val="none"/>
        </w:rPr>
        <w:t>二、招标文件</w:t>
      </w:r>
      <w:bookmarkEnd w:id="29"/>
      <w:bookmarkEnd w:id="30"/>
    </w:p>
    <w:p w14:paraId="175773E9">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10.招标文件的组成</w:t>
      </w:r>
    </w:p>
    <w:p w14:paraId="50C3136B">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10.1采购人要求提供的货物、工程或者服务、采购过程及合同条款在招标文件中均有说明，招标文件共七章，各章的内容如下：</w:t>
      </w:r>
    </w:p>
    <w:p w14:paraId="5B4067F9">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第一章</w:t>
      </w:r>
      <w:r>
        <w:rPr>
          <w:rFonts w:hint="eastAsia" w:ascii="宋体" w:hAnsi="宋体" w:eastAsia="宋体" w:cs="宋体"/>
          <w:color w:val="auto"/>
          <w:szCs w:val="21"/>
          <w:highlight w:val="none"/>
          <w:lang w:eastAsia="zh-CN"/>
        </w:rPr>
        <w:t>招标公告</w:t>
      </w:r>
    </w:p>
    <w:p w14:paraId="6BE8FE8E">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第二章投标人须知</w:t>
      </w:r>
    </w:p>
    <w:p w14:paraId="6677FC88">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第三章</w:t>
      </w:r>
      <w:r>
        <w:rPr>
          <w:rFonts w:hint="eastAsia" w:ascii="宋体" w:hAnsi="宋体" w:cs="宋体"/>
          <w:color w:val="auto"/>
          <w:szCs w:val="21"/>
          <w:highlight w:val="none"/>
          <w:lang w:val="en-US" w:eastAsia="zh-CN"/>
        </w:rPr>
        <w:t>政府采购</w:t>
      </w:r>
      <w:r>
        <w:rPr>
          <w:rFonts w:hint="eastAsia" w:ascii="宋体" w:hAnsi="宋体" w:eastAsia="宋体" w:cs="宋体"/>
          <w:color w:val="auto"/>
          <w:szCs w:val="21"/>
          <w:highlight w:val="none"/>
          <w:lang w:eastAsia="zh-CN"/>
        </w:rPr>
        <w:t>合同专用条款及合同书样式</w:t>
      </w:r>
    </w:p>
    <w:p w14:paraId="42C9E9CF">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第四章投标文件格式</w:t>
      </w:r>
    </w:p>
    <w:p w14:paraId="1B6D8D5A">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第五章采购需求</w:t>
      </w:r>
    </w:p>
    <w:p w14:paraId="3B4D36ED">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第六章资格审查</w:t>
      </w:r>
    </w:p>
    <w:p w14:paraId="1B97CE0B">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第七章评标方法（综合评分法）</w:t>
      </w:r>
    </w:p>
    <w:p w14:paraId="5A0C0559">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11.招标文件的询问、澄清、修改</w:t>
      </w:r>
    </w:p>
    <w:p w14:paraId="0752D855">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11.招标文件的询问、澄清、修改</w:t>
      </w:r>
    </w:p>
    <w:p w14:paraId="634297F0">
      <w:pPr>
        <w:keepNext w:val="0"/>
        <w:keepLines w:val="0"/>
        <w:pageBreakBefore w:val="0"/>
        <w:widowControl w:val="0"/>
        <w:kinsoku/>
        <w:wordWrap w:val="0"/>
        <w:overflowPunct/>
        <w:topLinePunct w:val="0"/>
        <w:autoSpaceDE/>
        <w:autoSpaceDN/>
        <w:bidi w:val="0"/>
        <w:adjustRightInd/>
        <w:snapToGrid/>
        <w:spacing w:line="480" w:lineRule="exact"/>
        <w:ind w:left="0" w:leftChars="0" w:firstLine="420"/>
        <w:jc w:val="left"/>
        <w:textAlignment w:val="auto"/>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11.1投标人应认真阅读招标文件，如有疑问的，投标人可以向采购人或采购代理机构提出询问，采购人或者采购代理机构在接到询问后的3个工作日内对投标人依法提出的询问作出答复，但答复的内容不涉及商业秘密</w:t>
      </w:r>
      <w:r>
        <w:rPr>
          <w:rFonts w:hint="eastAsia" w:ascii="宋体" w:hAnsi="宋体" w:eastAsia="宋体" w:cs="宋体"/>
          <w:color w:val="auto"/>
          <w:szCs w:val="21"/>
          <w:highlight w:val="none"/>
          <w:lang w:eastAsia="zh-CN"/>
        </w:rPr>
        <w:t>，如对电子采购流程不清楚可查阅政采云（https://e-learning.zcygov.cn/index）“秒懂政采云项目采购”学习</w:t>
      </w:r>
      <w:r>
        <w:rPr>
          <w:rFonts w:hint="eastAsia" w:ascii="宋体" w:hAnsi="宋体" w:eastAsia="宋体" w:cs="宋体"/>
          <w:color w:val="auto"/>
          <w:szCs w:val="21"/>
          <w:highlight w:val="none"/>
        </w:rPr>
        <w:t>或致电政采云平台：4008817190</w:t>
      </w:r>
      <w:r>
        <w:rPr>
          <w:rFonts w:hint="eastAsia" w:ascii="宋体" w:hAnsi="宋体" w:eastAsia="宋体" w:cs="宋体"/>
          <w:color w:val="auto"/>
          <w:szCs w:val="21"/>
          <w:highlight w:val="none"/>
          <w:lang w:eastAsia="zh-CN"/>
        </w:rPr>
        <w:t>。</w:t>
      </w:r>
    </w:p>
    <w:p w14:paraId="14CCE7B6">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11.2招标文件询问联系方式：详见《投标人须知前附表》。</w:t>
      </w:r>
    </w:p>
    <w:p w14:paraId="6A1FF860">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采购人、采购代理机构可以对已发出的招标文件进行必要的澄清或者修改，澄清或者修改的内容作为招标文件的组成部分。采购人、采购代理机构将同时发布澄清、修改文件进行说明以保证投标人能重新下载并用于编制投标文件。招标文件的澄清、修改文件内容均以网上电子文件为准，当招标文件、招标文件澄清、修改文件内容前后相互矛盾时，以最后发出的为准。澄清或者修改的内容可能影响投标文件编制的，采购人或者采购代理机构将在投标截止时间至少15日前，以网上电子文件形式通知所有接收招标文件的投标人，不足15日的，采购人或者采购代理机构将顺延提交投标文件的截止时间。投标人应在电子投标文件提交截止时间前及时登录政采云平台（https://www.zcygov.cn/）中查看有关该项目招标文件的澄清、修改内容。如因投标人自身原因导致未及时查看有关该项目招标文件的澄清、修改内容，由此造成的一切后果由投标人自行承担。</w:t>
      </w:r>
    </w:p>
    <w:p w14:paraId="1B76413B">
      <w:pPr>
        <w:pStyle w:val="3"/>
        <w:pageBreakBefore w:val="0"/>
        <w:kinsoku/>
        <w:overflowPunct/>
        <w:topLinePunct w:val="0"/>
        <w:bidi w:val="0"/>
        <w:adjustRightInd/>
        <w:spacing w:before="0" w:line="480" w:lineRule="exact"/>
        <w:ind w:left="0" w:leftChars="0"/>
        <w:jc w:val="center"/>
        <w:rPr>
          <w:rFonts w:hint="eastAsia" w:ascii="宋体" w:hAnsi="宋体" w:eastAsia="宋体" w:cs="宋体"/>
          <w:color w:val="auto"/>
          <w:spacing w:val="0"/>
          <w:kern w:val="0"/>
          <w:sz w:val="28"/>
          <w:szCs w:val="28"/>
          <w:highlight w:val="none"/>
        </w:rPr>
      </w:pPr>
      <w:bookmarkStart w:id="31" w:name="_Toc29408"/>
      <w:bookmarkStart w:id="32" w:name="_Toc13152"/>
      <w:r>
        <w:rPr>
          <w:rFonts w:hint="eastAsia" w:ascii="宋体" w:hAnsi="宋体" w:eastAsia="宋体" w:cs="宋体"/>
          <w:color w:val="auto"/>
          <w:spacing w:val="0"/>
          <w:kern w:val="0"/>
          <w:sz w:val="28"/>
          <w:szCs w:val="28"/>
          <w:highlight w:val="none"/>
        </w:rPr>
        <w:t>三、投标文件</w:t>
      </w:r>
      <w:bookmarkEnd w:id="31"/>
      <w:bookmarkEnd w:id="32"/>
    </w:p>
    <w:p w14:paraId="02F730A2">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12.投标文件编写注意事项</w:t>
      </w:r>
    </w:p>
    <w:p w14:paraId="21270E2B">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12.1投标人应仔细阅读招标文件，在完全了解采购内容、技术性能要求和商务条件后，根据招标文件要求编写投标文件。</w:t>
      </w:r>
    </w:p>
    <w:p w14:paraId="625C5BFF">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12.2对招标文件提出的实质性要求和条件作出响应是指投标人的投标文件必须对招标文件中规定的实质性要求和条件作出满足或者优于原要求和条件的承诺，并提供相应的证明材料，否则按无效处理。</w:t>
      </w:r>
    </w:p>
    <w:p w14:paraId="2DF1A60E">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13.语言文字</w:t>
      </w:r>
    </w:p>
    <w:p w14:paraId="5416D782">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13.1投标人的投标文件以及投标人与采购代理机构就有关投标的所有来往函电统一使用中文（特别规定除外）。</w:t>
      </w:r>
    </w:p>
    <w:p w14:paraId="4D2B1754">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14.计量单位</w:t>
      </w:r>
    </w:p>
    <w:p w14:paraId="2725715E">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14.1投标文件中使用的计量单位除招标文件中有特殊规定外，一律使用中国法定计量单位。</w:t>
      </w:r>
    </w:p>
    <w:p w14:paraId="694BF7BE">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15.投标文件的组成</w:t>
      </w:r>
    </w:p>
    <w:p w14:paraId="6E1061FD">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15.1投标人编写的投标文件应按第四章《投标文件格式》要求填写。有关文件的提交如未特别注明需提供原件的，可提供复印件或扫描件。</w:t>
      </w:r>
    </w:p>
    <w:p w14:paraId="5F40D83C">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投标人同时投多个标段（若分标段时）的，投标文件应按标段分别编制，单独成册。</w:t>
      </w:r>
    </w:p>
    <w:p w14:paraId="1D722711">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15.2构成投标文件的其他资料：详见《投标人须知前附表》。</w:t>
      </w:r>
    </w:p>
    <w:p w14:paraId="5BD47AA9">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16.投标文件的格式要求</w:t>
      </w:r>
    </w:p>
    <w:p w14:paraId="50F85F3B">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16.1投标人应按第四章《投标文件格式》提供的格式完整地填写，未按招标文件规定格式填写的投标文件按无效投标处理。</w:t>
      </w:r>
    </w:p>
    <w:p w14:paraId="732CC482">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17.投标有效期</w:t>
      </w:r>
    </w:p>
    <w:p w14:paraId="5944CFA2">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17.1在《投标人须知前附表》规定的有效期内，投标人不得要求撤销或修改其投标文件。若投标人未按照《投标人须知前附表》规定的投标文件有效期进行承诺，其投标文件按无效投标处理。</w:t>
      </w:r>
    </w:p>
    <w:p w14:paraId="6745A91F">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17.2因特殊情况需要延长投标文件有效期的，采购代理机构以书面形式通知所有投标人延长有效期。投标人同意延长的，应相应延长其投标文件中所有内容及投标保证金的有效期，但不得要求或被允许修改或撤销其投标文件；投标人拒绝延长的，其投标文件失效，但投标人有权收回其投标保证金。</w:t>
      </w:r>
    </w:p>
    <w:p w14:paraId="16A35C64">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18.投标保证金</w:t>
      </w:r>
    </w:p>
    <w:p w14:paraId="108F78F2">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18.1投标人应按《投标人须知前附表》规定的金额、形式交纳投标保证金，投标保证金须在投标文件提交截止时间前从投标人基本账户交纳到《投标人须知前附表》规定的账户，投标人未按照招标文件要求提交投标保证金的，投标无效。</w:t>
      </w:r>
    </w:p>
    <w:p w14:paraId="5ED6F1FC">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18.2在中标通知书发出后5个工作日内退还未中标投标人的投标保证金，中标人的投标保证金在采购合同签订后5个工作日内退还，但因投标人自身原因导致无法及时退还的除外。出现下列情形之一的，投标保证金不予退还：</w:t>
      </w:r>
    </w:p>
    <w:p w14:paraId="068FA897">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（1）投标人在提交投标文件截止时间后撤销投标文件的；</w:t>
      </w:r>
    </w:p>
    <w:p w14:paraId="3F16DAFD">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（2）投标人在投标文件中提供虚假材料的；</w:t>
      </w:r>
    </w:p>
    <w:p w14:paraId="3E3F57B6">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（3）除因不可抗力或招标文件认可的情形以外，中标人不与采购人签订合同的；</w:t>
      </w:r>
    </w:p>
    <w:p w14:paraId="1AA89703">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（4）投标人与采购人、其他投标人或者采购代理机构恶意串通的；</w:t>
      </w:r>
    </w:p>
    <w:p w14:paraId="781E3F96">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（5）招标文件规定的其他情形。</w:t>
      </w:r>
    </w:p>
    <w:p w14:paraId="4DC75FBC">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19.投标文件的编制</w:t>
      </w:r>
    </w:p>
    <w:p w14:paraId="51887504">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19.1投标文件按招标文件要求由投标人的法定代表人电子签名或电子签章并加盖投标人的电子公章。</w:t>
      </w:r>
    </w:p>
    <w:p w14:paraId="04AF83C4">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19.2投标文件应尽量避免涂改、行间插字或删除。如果出现上述情况，改动之处应加盖投标人的电子公章或投标人法定代表人电子签名或电子签章确认。</w:t>
      </w:r>
    </w:p>
    <w:p w14:paraId="24F1896D">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19.3投标文件应由法定代表人在招标文件规定签字处逐一电子签名或电子签章，要求盖章处应盖单位电子公章，若以“投标专用章”或“合同专用章”代替的，须出具投标人单位公章对“投标专用章”或“合同专用章”的授权函。</w:t>
      </w:r>
    </w:p>
    <w:p w14:paraId="4BEE149D">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19.</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投标文件中提供的资料（包括扫描件）、关键内容必须清晰可辨，若出现字迹潦草、表达不清、未按要求填写而导致非唯一理解，视为未实质性响应招标采购文件，投标人投标文件将按无效处理。</w:t>
      </w:r>
    </w:p>
    <w:p w14:paraId="7A0AA46F">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20.</w:t>
      </w:r>
      <w:r>
        <w:rPr>
          <w:rFonts w:hint="eastAsia" w:ascii="宋体" w:hAnsi="宋体" w:eastAsia="宋体" w:cs="宋体"/>
          <w:b/>
          <w:bCs/>
          <w:color w:val="auto"/>
          <w:sz w:val="24"/>
          <w:szCs w:val="24"/>
          <w:highlight w:val="none"/>
        </w:rPr>
        <w:t>投标报价和报价货币</w:t>
      </w:r>
    </w:p>
    <w:p w14:paraId="1D0D86D6">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20.1投标人必须对所投标段内所有内容作出完整唯一的投标报价，不得缺项、漏项，否则投标文件将按无效处理。</w:t>
      </w:r>
    </w:p>
    <w:p w14:paraId="66283149">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20.2投标报价指投标人依据招标文件的要求及有关资料，执行国家或行业现行技术、经济标准、定额及规范，根据现行市场价格自行测算出满足采购要求的货物、工程或者服务费用，采购代理服务费及必要的保险费用和各项税金等所有费用的总和。</w:t>
      </w:r>
    </w:p>
    <w:p w14:paraId="265D97E1">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20.3投标报价应符合市场行情并能保证投标人完成履行合同所需的一切工作。合同一旦签订，此价格在合同实施期间将不因市场价格等的变化而调整。</w:t>
      </w:r>
    </w:p>
    <w:p w14:paraId="0F22B318">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20.4无论分项价格是否填报完全，投标报价将被视为已经包含了所有分项价格以及与项目相关的所有货物、工程或者服务费用。由于投标人分项报价填报不完整、不清楚或存在其它任何失误所导致的任何不利后果均由投标人自行承担。</w:t>
      </w:r>
    </w:p>
    <w:p w14:paraId="4CFA730C">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20.5除招标文件中指定的标准附件和专用工具外，投标人应提供货物正常运行和常规保养所需的全套标准附件、专用工具和消耗品。</w:t>
      </w:r>
    </w:p>
    <w:p w14:paraId="1102D0D0">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20.6评审过程中出现下列情形之一的，评标委员会应当启动异常低价</w:t>
      </w:r>
      <w:r>
        <w:rPr>
          <w:rFonts w:hint="eastAsia" w:ascii="宋体" w:hAnsi="宋体" w:cs="宋体"/>
          <w:color w:val="auto"/>
          <w:szCs w:val="21"/>
          <w:highlight w:val="none"/>
          <w:lang w:eastAsia="zh-CN"/>
        </w:rPr>
        <w:t>投标</w:t>
      </w:r>
      <w:r>
        <w:rPr>
          <w:rFonts w:hint="eastAsia" w:ascii="宋体" w:hAnsi="宋体" w:eastAsia="宋体" w:cs="宋体"/>
          <w:color w:val="auto"/>
          <w:szCs w:val="21"/>
          <w:highlight w:val="none"/>
        </w:rPr>
        <w:t>审查程序：</w:t>
      </w:r>
    </w:p>
    <w:p w14:paraId="559FF138">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cs="宋体"/>
          <w:color w:val="auto"/>
          <w:szCs w:val="21"/>
          <w:highlight w:val="none"/>
          <w:lang w:eastAsia="zh-CN"/>
        </w:rPr>
        <w:t>投标</w:t>
      </w:r>
      <w:r>
        <w:rPr>
          <w:rFonts w:hint="eastAsia" w:ascii="宋体" w:hAnsi="宋体" w:eastAsia="宋体" w:cs="宋体"/>
          <w:color w:val="auto"/>
          <w:szCs w:val="21"/>
          <w:highlight w:val="none"/>
        </w:rPr>
        <w:t>报价低于全部通过符合性审查</w:t>
      </w:r>
      <w:r>
        <w:rPr>
          <w:rFonts w:hint="eastAsia" w:ascii="宋体" w:hAnsi="宋体" w:cs="宋体"/>
          <w:color w:val="auto"/>
          <w:szCs w:val="21"/>
          <w:highlight w:val="none"/>
          <w:lang w:eastAsia="zh-CN"/>
        </w:rPr>
        <w:t>投标人投标</w:t>
      </w:r>
      <w:r>
        <w:rPr>
          <w:rFonts w:hint="eastAsia" w:ascii="宋体" w:hAnsi="宋体" w:eastAsia="宋体" w:cs="宋体"/>
          <w:color w:val="auto"/>
          <w:szCs w:val="21"/>
          <w:highlight w:val="none"/>
        </w:rPr>
        <w:t>报价平均值50%的，即</w:t>
      </w:r>
      <w:r>
        <w:rPr>
          <w:rFonts w:hint="eastAsia" w:ascii="宋体" w:hAnsi="宋体" w:cs="宋体"/>
          <w:color w:val="auto"/>
          <w:szCs w:val="21"/>
          <w:highlight w:val="none"/>
          <w:lang w:eastAsia="zh-CN"/>
        </w:rPr>
        <w:t>投标</w:t>
      </w:r>
      <w:r>
        <w:rPr>
          <w:rFonts w:hint="eastAsia" w:ascii="宋体" w:hAnsi="宋体" w:eastAsia="宋体" w:cs="宋体"/>
          <w:color w:val="auto"/>
          <w:szCs w:val="21"/>
          <w:highlight w:val="none"/>
        </w:rPr>
        <w:t>报价&lt;全部通过符合性审查</w:t>
      </w:r>
      <w:r>
        <w:rPr>
          <w:rFonts w:hint="eastAsia" w:ascii="宋体" w:hAnsi="宋体" w:cs="宋体"/>
          <w:color w:val="auto"/>
          <w:szCs w:val="21"/>
          <w:highlight w:val="none"/>
          <w:lang w:val="en-US" w:eastAsia="zh-CN"/>
        </w:rPr>
        <w:t>投标人</w:t>
      </w:r>
      <w:r>
        <w:rPr>
          <w:rFonts w:hint="eastAsia" w:ascii="宋体" w:hAnsi="宋体" w:cs="宋体"/>
          <w:color w:val="auto"/>
          <w:szCs w:val="21"/>
          <w:highlight w:val="none"/>
          <w:lang w:eastAsia="zh-CN"/>
        </w:rPr>
        <w:t>投标</w:t>
      </w:r>
      <w:r>
        <w:rPr>
          <w:rFonts w:hint="eastAsia" w:ascii="宋体" w:hAnsi="宋体" w:eastAsia="宋体" w:cs="宋体"/>
          <w:color w:val="auto"/>
          <w:szCs w:val="21"/>
          <w:highlight w:val="none"/>
        </w:rPr>
        <w:t>报价平均值×50%；</w:t>
      </w:r>
    </w:p>
    <w:p w14:paraId="4C915FA6">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cs="宋体"/>
          <w:color w:val="auto"/>
          <w:szCs w:val="21"/>
          <w:highlight w:val="none"/>
          <w:lang w:eastAsia="zh-CN"/>
        </w:rPr>
        <w:t>投标</w:t>
      </w:r>
      <w:r>
        <w:rPr>
          <w:rFonts w:hint="eastAsia" w:ascii="宋体" w:hAnsi="宋体" w:eastAsia="宋体" w:cs="宋体"/>
          <w:color w:val="auto"/>
          <w:szCs w:val="21"/>
          <w:highlight w:val="none"/>
        </w:rPr>
        <w:t>报价低于通过符合性审查的次低报价</w:t>
      </w:r>
      <w:r>
        <w:rPr>
          <w:rFonts w:hint="eastAsia" w:ascii="宋体" w:hAnsi="宋体" w:cs="宋体"/>
          <w:color w:val="auto"/>
          <w:szCs w:val="21"/>
          <w:highlight w:val="none"/>
          <w:lang w:eastAsia="zh-CN"/>
        </w:rPr>
        <w:t>投标人投标</w:t>
      </w:r>
      <w:r>
        <w:rPr>
          <w:rFonts w:hint="eastAsia" w:ascii="宋体" w:hAnsi="宋体" w:eastAsia="宋体" w:cs="宋体"/>
          <w:color w:val="auto"/>
          <w:szCs w:val="21"/>
          <w:highlight w:val="none"/>
        </w:rPr>
        <w:t>报价50%的，即</w:t>
      </w:r>
      <w:r>
        <w:rPr>
          <w:rFonts w:hint="eastAsia" w:ascii="宋体" w:hAnsi="宋体" w:cs="宋体"/>
          <w:color w:val="auto"/>
          <w:szCs w:val="21"/>
          <w:highlight w:val="none"/>
          <w:lang w:eastAsia="zh-CN"/>
        </w:rPr>
        <w:t>投标</w:t>
      </w:r>
      <w:r>
        <w:rPr>
          <w:rFonts w:hint="eastAsia" w:ascii="宋体" w:hAnsi="宋体" w:eastAsia="宋体" w:cs="宋体"/>
          <w:color w:val="auto"/>
          <w:szCs w:val="21"/>
          <w:highlight w:val="none"/>
        </w:rPr>
        <w:t>报价&lt;通过符合性审查的次低报价</w:t>
      </w:r>
      <w:r>
        <w:rPr>
          <w:rFonts w:hint="eastAsia" w:ascii="宋体" w:hAnsi="宋体" w:cs="宋体"/>
          <w:color w:val="auto"/>
          <w:szCs w:val="21"/>
          <w:highlight w:val="none"/>
          <w:lang w:eastAsia="zh-CN"/>
        </w:rPr>
        <w:t>投标人投标</w:t>
      </w:r>
      <w:r>
        <w:rPr>
          <w:rFonts w:hint="eastAsia" w:ascii="宋体" w:hAnsi="宋体" w:eastAsia="宋体" w:cs="宋体"/>
          <w:color w:val="auto"/>
          <w:szCs w:val="21"/>
          <w:highlight w:val="none"/>
        </w:rPr>
        <w:t>报价×50%；</w:t>
      </w:r>
    </w:p>
    <w:p w14:paraId="5C138E18">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cs="宋体"/>
          <w:color w:val="auto"/>
          <w:szCs w:val="21"/>
          <w:highlight w:val="none"/>
          <w:lang w:eastAsia="zh-CN"/>
        </w:rPr>
        <w:t>投标</w:t>
      </w:r>
      <w:r>
        <w:rPr>
          <w:rFonts w:hint="eastAsia" w:ascii="宋体" w:hAnsi="宋体" w:eastAsia="宋体" w:cs="宋体"/>
          <w:color w:val="auto"/>
          <w:szCs w:val="21"/>
          <w:highlight w:val="none"/>
        </w:rPr>
        <w:t>报价低于采购项目最高限价45%的，即</w:t>
      </w:r>
      <w:r>
        <w:rPr>
          <w:rFonts w:hint="eastAsia" w:ascii="宋体" w:hAnsi="宋体" w:cs="宋体"/>
          <w:color w:val="auto"/>
          <w:szCs w:val="21"/>
          <w:highlight w:val="none"/>
          <w:lang w:eastAsia="zh-CN"/>
        </w:rPr>
        <w:t>投标</w:t>
      </w:r>
      <w:r>
        <w:rPr>
          <w:rFonts w:hint="eastAsia" w:ascii="宋体" w:hAnsi="宋体" w:eastAsia="宋体" w:cs="宋体"/>
          <w:color w:val="auto"/>
          <w:szCs w:val="21"/>
          <w:highlight w:val="none"/>
        </w:rPr>
        <w:t>报价&lt;采购项目最高限价×45%；</w:t>
      </w:r>
    </w:p>
    <w:p w14:paraId="5EB540BB">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（4）评标委员会基于专业判断，认为</w:t>
      </w:r>
      <w:r>
        <w:rPr>
          <w:rFonts w:hint="eastAsia" w:ascii="宋体" w:hAnsi="宋体" w:cs="宋体"/>
          <w:color w:val="auto"/>
          <w:szCs w:val="21"/>
          <w:highlight w:val="none"/>
          <w:lang w:eastAsia="zh-CN"/>
        </w:rPr>
        <w:t>投标人</w:t>
      </w:r>
      <w:r>
        <w:rPr>
          <w:rFonts w:hint="eastAsia" w:ascii="宋体" w:hAnsi="宋体" w:eastAsia="宋体" w:cs="宋体"/>
          <w:color w:val="auto"/>
          <w:szCs w:val="21"/>
          <w:highlight w:val="none"/>
        </w:rPr>
        <w:t>报价过低，有可能影响产品质量或者不能诚信履约的其他情形。</w:t>
      </w:r>
    </w:p>
    <w:p w14:paraId="57C79B63">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20.7评标委员会启动异常低价</w:t>
      </w:r>
      <w:r>
        <w:rPr>
          <w:rFonts w:hint="eastAsia" w:ascii="宋体" w:hAnsi="宋体" w:cs="宋体"/>
          <w:color w:val="auto"/>
          <w:szCs w:val="21"/>
          <w:highlight w:val="none"/>
          <w:lang w:eastAsia="zh-CN"/>
        </w:rPr>
        <w:t>投标</w:t>
      </w:r>
      <w:r>
        <w:rPr>
          <w:rFonts w:hint="eastAsia" w:ascii="宋体" w:hAnsi="宋体" w:eastAsia="宋体" w:cs="宋体"/>
          <w:color w:val="auto"/>
          <w:szCs w:val="21"/>
          <w:highlight w:val="none"/>
        </w:rPr>
        <w:t>审查后，属于前述第</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项至第</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项情形的，应当要求相关</w:t>
      </w:r>
      <w:r>
        <w:rPr>
          <w:rFonts w:hint="eastAsia" w:ascii="宋体" w:hAnsi="宋体" w:cs="宋体"/>
          <w:color w:val="auto"/>
          <w:szCs w:val="21"/>
          <w:highlight w:val="none"/>
          <w:lang w:eastAsia="zh-CN"/>
        </w:rPr>
        <w:t>投标人</w:t>
      </w:r>
      <w:r>
        <w:rPr>
          <w:rFonts w:hint="eastAsia" w:ascii="宋体" w:hAnsi="宋体" w:eastAsia="宋体" w:cs="宋体"/>
          <w:color w:val="auto"/>
          <w:szCs w:val="21"/>
          <w:highlight w:val="none"/>
        </w:rPr>
        <w:t>在评审现场合理的时间内对</w:t>
      </w:r>
      <w:r>
        <w:rPr>
          <w:rFonts w:hint="eastAsia" w:ascii="宋体" w:hAnsi="宋体" w:cs="宋体"/>
          <w:color w:val="auto"/>
          <w:szCs w:val="21"/>
          <w:highlight w:val="none"/>
          <w:lang w:eastAsia="zh-CN"/>
        </w:rPr>
        <w:t>投标</w:t>
      </w:r>
      <w:r>
        <w:rPr>
          <w:rFonts w:hint="eastAsia" w:ascii="宋体" w:hAnsi="宋体" w:eastAsia="宋体" w:cs="宋体"/>
          <w:color w:val="auto"/>
          <w:szCs w:val="21"/>
          <w:highlight w:val="none"/>
        </w:rPr>
        <w:t>价格作出解释，提供项目具体成本测算等与报价合理性相关的书面说明及必要的证明材料，包括但不限于原材料成本、人工成本、制造费用等，给予相关</w:t>
      </w:r>
      <w:r>
        <w:rPr>
          <w:rFonts w:hint="eastAsia" w:ascii="宋体" w:hAnsi="宋体" w:cs="宋体"/>
          <w:color w:val="auto"/>
          <w:szCs w:val="21"/>
          <w:highlight w:val="none"/>
          <w:lang w:eastAsia="zh-CN"/>
        </w:rPr>
        <w:t>投标人</w:t>
      </w:r>
      <w:r>
        <w:rPr>
          <w:rFonts w:hint="eastAsia" w:ascii="宋体" w:hAnsi="宋体" w:eastAsia="宋体" w:cs="宋体"/>
          <w:color w:val="auto"/>
          <w:szCs w:val="21"/>
          <w:highlight w:val="none"/>
        </w:rPr>
        <w:t>的合理时间一般不少于30分钟。其中，属于第</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项情形，</w:t>
      </w:r>
      <w:r>
        <w:rPr>
          <w:rFonts w:hint="eastAsia" w:ascii="宋体" w:hAnsi="宋体" w:cs="宋体"/>
          <w:color w:val="auto"/>
          <w:szCs w:val="21"/>
          <w:highlight w:val="none"/>
          <w:lang w:eastAsia="zh-CN"/>
        </w:rPr>
        <w:t>投标人</w:t>
      </w:r>
      <w:r>
        <w:rPr>
          <w:rFonts w:hint="eastAsia" w:ascii="宋体" w:hAnsi="宋体" w:eastAsia="宋体" w:cs="宋体"/>
          <w:color w:val="auto"/>
          <w:szCs w:val="21"/>
          <w:highlight w:val="none"/>
        </w:rPr>
        <w:t>已随</w:t>
      </w:r>
      <w:r>
        <w:rPr>
          <w:rFonts w:hint="eastAsia" w:ascii="宋体" w:hAnsi="宋体" w:cs="宋体"/>
          <w:color w:val="auto"/>
          <w:szCs w:val="21"/>
          <w:highlight w:val="none"/>
          <w:lang w:eastAsia="zh-CN"/>
        </w:rPr>
        <w:t>投标</w:t>
      </w:r>
      <w:r>
        <w:rPr>
          <w:rFonts w:hint="eastAsia" w:ascii="宋体" w:hAnsi="宋体" w:eastAsia="宋体" w:cs="宋体"/>
          <w:color w:val="auto"/>
          <w:szCs w:val="21"/>
          <w:highlight w:val="none"/>
        </w:rPr>
        <w:t>文件一并提交相关书面说明及必要的证明材料的，在评审现场可不再重复提交。</w:t>
      </w:r>
    </w:p>
    <w:p w14:paraId="0DBBC097">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color w:val="auto"/>
          <w:szCs w:val="21"/>
          <w:highlight w:val="none"/>
          <w:lang w:eastAsia="zh-CN"/>
        </w:rPr>
        <w:t>投标</w:t>
      </w:r>
      <w:r>
        <w:rPr>
          <w:rFonts w:hint="eastAsia" w:ascii="宋体" w:hAnsi="宋体" w:cs="宋体"/>
          <w:color w:val="auto"/>
          <w:szCs w:val="21"/>
          <w:highlight w:val="none"/>
          <w:lang w:val="en-US" w:eastAsia="zh-CN"/>
        </w:rPr>
        <w:t>人</w:t>
      </w:r>
      <w:r>
        <w:rPr>
          <w:rFonts w:hint="eastAsia" w:ascii="宋体" w:hAnsi="宋体" w:eastAsia="宋体" w:cs="宋体"/>
          <w:color w:val="auto"/>
          <w:szCs w:val="21"/>
          <w:highlight w:val="none"/>
        </w:rPr>
        <w:t>不能提供书面说明、证明材料，或者提供的书面说明、证明材料不能证明其报价合理性的，评标委员会应当将其作为无效投标处理。</w:t>
      </w:r>
    </w:p>
    <w:p w14:paraId="6CCA273C">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20.8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415912A0">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异常低价</w:t>
      </w:r>
      <w:r>
        <w:rPr>
          <w:rFonts w:hint="eastAsia" w:ascii="宋体" w:hAnsi="宋体" w:cs="宋体"/>
          <w:color w:val="auto"/>
          <w:szCs w:val="21"/>
          <w:highlight w:val="none"/>
          <w:lang w:eastAsia="zh-CN"/>
        </w:rPr>
        <w:t>投标</w:t>
      </w:r>
      <w:r>
        <w:rPr>
          <w:rFonts w:hint="eastAsia" w:ascii="宋体" w:hAnsi="宋体" w:eastAsia="宋体" w:cs="宋体"/>
          <w:color w:val="auto"/>
          <w:szCs w:val="21"/>
          <w:highlight w:val="none"/>
        </w:rPr>
        <w:t>审查的启动原因、审查意见和审查结果应当在评审报告中记录，并随</w:t>
      </w:r>
      <w:r>
        <w:rPr>
          <w:rFonts w:hint="eastAsia" w:ascii="宋体" w:hAnsi="宋体" w:cs="宋体"/>
          <w:color w:val="auto"/>
          <w:szCs w:val="21"/>
          <w:highlight w:val="none"/>
          <w:lang w:eastAsia="zh-CN"/>
        </w:rPr>
        <w:t>投标人</w:t>
      </w:r>
      <w:r>
        <w:rPr>
          <w:rFonts w:hint="eastAsia" w:ascii="宋体" w:hAnsi="宋体" w:eastAsia="宋体" w:cs="宋体"/>
          <w:color w:val="auto"/>
          <w:szCs w:val="21"/>
          <w:highlight w:val="none"/>
        </w:rPr>
        <w:t>提供的相关书面说明及证明材料，以及评标委员会有关互联网浏览、查询历史一并归档。</w:t>
      </w:r>
    </w:p>
    <w:p w14:paraId="1C71D104">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20.9投标人应保证其提供的货物、工程或者服务是全新的，投标人应保证其提供的货物、工程或者服务在采购人使用期间不受第三方可能提出的所有权、用益物权、担保物权、占有等一切涉及物权及知识产权、商标权、专利权、著作权等相关权利的起诉。</w:t>
      </w:r>
    </w:p>
    <w:p w14:paraId="41D0DA0A">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20.10报价货币为人民币。</w:t>
      </w:r>
    </w:p>
    <w:p w14:paraId="043D4FBE">
      <w:pPr>
        <w:pStyle w:val="3"/>
        <w:pageBreakBefore w:val="0"/>
        <w:kinsoku/>
        <w:overflowPunct/>
        <w:topLinePunct w:val="0"/>
        <w:bidi w:val="0"/>
        <w:adjustRightInd/>
        <w:spacing w:before="0" w:line="480" w:lineRule="exact"/>
        <w:ind w:left="0" w:leftChars="0"/>
        <w:jc w:val="center"/>
        <w:rPr>
          <w:rFonts w:hint="eastAsia" w:ascii="宋体" w:hAnsi="宋体" w:eastAsia="宋体" w:cs="宋体"/>
          <w:color w:val="auto"/>
          <w:spacing w:val="0"/>
          <w:kern w:val="0"/>
          <w:sz w:val="28"/>
          <w:szCs w:val="28"/>
          <w:highlight w:val="none"/>
        </w:rPr>
      </w:pPr>
      <w:bookmarkStart w:id="33" w:name="_Toc21070"/>
      <w:bookmarkStart w:id="34" w:name="_Toc1371"/>
      <w:r>
        <w:rPr>
          <w:rFonts w:hint="eastAsia" w:ascii="宋体" w:hAnsi="宋体" w:eastAsia="宋体" w:cs="宋体"/>
          <w:color w:val="auto"/>
          <w:spacing w:val="0"/>
          <w:kern w:val="0"/>
          <w:sz w:val="28"/>
          <w:szCs w:val="28"/>
          <w:highlight w:val="none"/>
        </w:rPr>
        <w:t>四、投标</w:t>
      </w:r>
      <w:bookmarkEnd w:id="33"/>
      <w:bookmarkEnd w:id="34"/>
    </w:p>
    <w:p w14:paraId="7C000455">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21.投标文件的密封和解密</w:t>
      </w:r>
    </w:p>
    <w:p w14:paraId="65F79BF0">
      <w:pPr>
        <w:pageBreakBefore w:val="0"/>
        <w:kinsoku/>
        <w:wordWrap w:val="0"/>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21.1投标文件的密封：投标人应按照</w:t>
      </w:r>
      <w:r>
        <w:rPr>
          <w:rFonts w:hint="eastAsia" w:ascii="宋体" w:hAnsi="宋体" w:eastAsia="宋体" w:cs="宋体"/>
          <w:color w:val="auto"/>
          <w:szCs w:val="21"/>
          <w:highlight w:val="none"/>
          <w:lang w:eastAsia="zh-CN"/>
        </w:rPr>
        <w:t>“政采云”</w:t>
      </w:r>
      <w:r>
        <w:rPr>
          <w:rFonts w:hint="eastAsia" w:ascii="宋体" w:hAnsi="宋体" w:eastAsia="宋体" w:cs="宋体"/>
          <w:color w:val="auto"/>
          <w:szCs w:val="21"/>
          <w:highlight w:val="none"/>
        </w:rPr>
        <w:t>平台的要求编制、加密投标文件后在投标文件提交截止时间前上传至</w:t>
      </w:r>
      <w:r>
        <w:rPr>
          <w:rFonts w:hint="eastAsia" w:ascii="宋体" w:hAnsi="宋体" w:eastAsia="宋体" w:cs="宋体"/>
          <w:color w:val="auto"/>
          <w:szCs w:val="21"/>
          <w:highlight w:val="none"/>
          <w:lang w:eastAsia="zh-CN"/>
        </w:rPr>
        <w:t>“政采云”</w:t>
      </w:r>
      <w:r>
        <w:rPr>
          <w:rFonts w:hint="eastAsia" w:ascii="宋体" w:hAnsi="宋体" w:eastAsia="宋体" w:cs="宋体"/>
          <w:color w:val="auto"/>
          <w:szCs w:val="21"/>
          <w:highlight w:val="none"/>
        </w:rPr>
        <w:t>平台，投标文件提交截止时间前未完成投标文件上传的，视为撤回投标文件</w:t>
      </w:r>
      <w:r>
        <w:rPr>
          <w:rFonts w:hint="eastAsia" w:ascii="宋体" w:hAnsi="宋体" w:eastAsia="宋体" w:cs="宋体"/>
          <w:color w:val="auto"/>
          <w:szCs w:val="21"/>
          <w:highlight w:val="none"/>
          <w:lang w:eastAsia="zh-CN"/>
        </w:rPr>
        <w:t>。</w:t>
      </w:r>
    </w:p>
    <w:p w14:paraId="242DF7AF">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21.2投标文件的解密：</w:t>
      </w:r>
      <w:r>
        <w:rPr>
          <w:rFonts w:hint="eastAsia" w:ascii="宋体" w:hAnsi="宋体" w:eastAsia="宋体" w:cs="宋体"/>
          <w:color w:val="auto"/>
          <w:szCs w:val="21"/>
          <w:highlight w:val="none"/>
          <w:lang w:val="en-US" w:eastAsia="zh-CN"/>
        </w:rPr>
        <w:t>投标人</w:t>
      </w:r>
      <w:r>
        <w:rPr>
          <w:rFonts w:hint="eastAsia" w:ascii="宋体" w:hAnsi="宋体" w:eastAsia="宋体" w:cs="宋体"/>
          <w:color w:val="auto"/>
          <w:szCs w:val="21"/>
          <w:highlight w:val="none"/>
        </w:rPr>
        <w:t>无需到达开标地点，须在</w:t>
      </w:r>
      <w:r>
        <w:rPr>
          <w:rFonts w:hint="eastAsia" w:ascii="宋体" w:hAnsi="宋体" w:eastAsia="宋体" w:cs="宋体"/>
          <w:color w:val="auto"/>
          <w:szCs w:val="21"/>
          <w:highlight w:val="none"/>
          <w:lang w:eastAsia="zh-CN"/>
        </w:rPr>
        <w:t>“政采云”</w:t>
      </w:r>
      <w:r>
        <w:rPr>
          <w:rFonts w:hint="eastAsia" w:ascii="宋体" w:hAnsi="宋体" w:eastAsia="宋体" w:cs="宋体"/>
          <w:color w:val="auto"/>
          <w:szCs w:val="21"/>
          <w:highlight w:val="none"/>
        </w:rPr>
        <w:t>平台进行远程解密电子版</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文件。</w:t>
      </w:r>
      <w:r>
        <w:rPr>
          <w:rFonts w:hint="eastAsia" w:ascii="宋体" w:hAnsi="宋体" w:cs="宋体"/>
          <w:color w:val="auto"/>
          <w:szCs w:val="21"/>
          <w:highlight w:val="none"/>
          <w:lang w:val="en-US" w:eastAsia="zh-CN"/>
        </w:rPr>
        <w:t>解密时长为30分钟</w:t>
      </w:r>
      <w:r>
        <w:rPr>
          <w:rFonts w:hint="eastAsia" w:ascii="宋体" w:hAnsi="宋体" w:eastAsia="宋体" w:cs="宋体"/>
          <w:color w:val="auto"/>
          <w:szCs w:val="21"/>
          <w:highlight w:val="none"/>
          <w:lang w:val="en-US" w:eastAsia="zh-CN"/>
        </w:rPr>
        <w:t>，因投标人自身原因导致未在规定时间内完成</w:t>
      </w:r>
      <w:r>
        <w:rPr>
          <w:rFonts w:hint="eastAsia" w:ascii="宋体" w:hAnsi="宋体" w:eastAsia="宋体" w:cs="宋体"/>
          <w:color w:val="auto"/>
          <w:szCs w:val="21"/>
          <w:highlight w:val="none"/>
        </w:rPr>
        <w:t>投标文件解密</w:t>
      </w:r>
      <w:r>
        <w:rPr>
          <w:rFonts w:hint="eastAsia" w:ascii="宋体" w:hAnsi="宋体" w:eastAsia="宋体" w:cs="宋体"/>
          <w:color w:val="auto"/>
          <w:szCs w:val="21"/>
          <w:highlight w:val="none"/>
          <w:lang w:val="en-US" w:eastAsia="zh-CN"/>
        </w:rPr>
        <w:t>的，视为撤回</w:t>
      </w:r>
      <w:r>
        <w:rPr>
          <w:rFonts w:hint="eastAsia" w:ascii="宋体" w:hAnsi="宋体" w:eastAsia="宋体" w:cs="宋体"/>
          <w:color w:val="auto"/>
          <w:szCs w:val="21"/>
          <w:highlight w:val="none"/>
        </w:rPr>
        <w:t>投标文件</w:t>
      </w:r>
      <w:r>
        <w:rPr>
          <w:rFonts w:hint="eastAsia" w:ascii="宋体" w:hAnsi="宋体" w:eastAsia="宋体" w:cs="宋体"/>
          <w:color w:val="auto"/>
          <w:szCs w:val="21"/>
          <w:highlight w:val="none"/>
          <w:lang w:eastAsia="zh-CN"/>
        </w:rPr>
        <w:t>。</w:t>
      </w:r>
    </w:p>
    <w:p w14:paraId="54548314">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22.投标文件的提交</w:t>
      </w:r>
    </w:p>
    <w:p w14:paraId="42CF79AA">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22.1投标文件提交截止时间、提交投标文件的地点：详见《投标人须知前附表》</w:t>
      </w:r>
    </w:p>
    <w:p w14:paraId="42E185F4">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23.投标文件的补充、修改或者撤回</w:t>
      </w:r>
    </w:p>
    <w:p w14:paraId="71D5DC2F">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23.1投标人在投标截止时间前，可以对所提交的投标文件进行补充、修改或者撤回，并书面通知采购人或者采购代理机构。补充、修改的内容应当按照招标文件要求签署、盖章、密封后，作为投标文件的组成部分。</w:t>
      </w:r>
    </w:p>
    <w:p w14:paraId="465E85C8">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23.2投标人在投标截止时间前撤回已提交的投标文件的，采购人或者采购代理机构将自收到投标人书面撤回通知之日起5个工作日内，退还已收取的投标保证金，但因投标人自身原因导致无法及时退还的除外。</w:t>
      </w:r>
    </w:p>
    <w:p w14:paraId="62721410">
      <w:pPr>
        <w:pStyle w:val="3"/>
        <w:pageBreakBefore w:val="0"/>
        <w:kinsoku/>
        <w:overflowPunct/>
        <w:topLinePunct w:val="0"/>
        <w:bidi w:val="0"/>
        <w:adjustRightInd/>
        <w:spacing w:before="0" w:line="480" w:lineRule="exact"/>
        <w:ind w:left="0" w:leftChars="0"/>
        <w:jc w:val="center"/>
        <w:rPr>
          <w:rFonts w:hint="eastAsia" w:ascii="宋体" w:hAnsi="宋体" w:eastAsia="宋体" w:cs="宋体"/>
          <w:color w:val="auto"/>
          <w:spacing w:val="0"/>
          <w:kern w:val="0"/>
          <w:sz w:val="28"/>
          <w:szCs w:val="28"/>
          <w:highlight w:val="none"/>
        </w:rPr>
      </w:pPr>
      <w:bookmarkStart w:id="35" w:name="_Toc20930"/>
      <w:bookmarkStart w:id="36" w:name="_Toc25624"/>
      <w:r>
        <w:rPr>
          <w:rFonts w:hint="eastAsia" w:ascii="宋体" w:hAnsi="宋体" w:eastAsia="宋体" w:cs="宋体"/>
          <w:color w:val="auto"/>
          <w:spacing w:val="0"/>
          <w:kern w:val="0"/>
          <w:sz w:val="28"/>
          <w:szCs w:val="28"/>
          <w:highlight w:val="none"/>
        </w:rPr>
        <w:t>五、开标</w:t>
      </w:r>
      <w:bookmarkEnd w:id="35"/>
      <w:bookmarkEnd w:id="36"/>
    </w:p>
    <w:p w14:paraId="2AC32822">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24.开标</w:t>
      </w:r>
    </w:p>
    <w:p w14:paraId="1D8DF2E4">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24.1开标将在招标文件确定的提交投标文件截止时间的同一时间进行。开标地点为招标文件中预先确定的地点。</w:t>
      </w:r>
    </w:p>
    <w:p w14:paraId="0F17DD29">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24.2开标时，投标人不足3家的，不得开标。</w:t>
      </w:r>
    </w:p>
    <w:p w14:paraId="674B3C91">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24.3投标人的法定代表人或委托代理人应</w:t>
      </w:r>
      <w:r>
        <w:rPr>
          <w:rFonts w:hint="eastAsia" w:ascii="宋体" w:hAnsi="宋体" w:eastAsia="宋体" w:cs="宋体"/>
          <w:color w:val="auto"/>
          <w:szCs w:val="21"/>
          <w:highlight w:val="none"/>
          <w:lang w:eastAsia="zh-CN"/>
        </w:rPr>
        <w:t>在线</w:t>
      </w:r>
      <w:r>
        <w:rPr>
          <w:rFonts w:hint="eastAsia" w:ascii="宋体" w:hAnsi="宋体" w:eastAsia="宋体" w:cs="宋体"/>
          <w:color w:val="auto"/>
          <w:szCs w:val="21"/>
          <w:highlight w:val="none"/>
        </w:rPr>
        <w:t>参加开标会，投标人代表对开标过程和开标记录有疑义，以及认为采购人、采购代理机构相关工作人员有需要回避的情形的，应当场提出询问或者回避申请。采购人、采购代理机构对投标人代表提出的询问或者回避申请将及时进行处理。</w:t>
      </w:r>
    </w:p>
    <w:p w14:paraId="5E8D2D17">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24.4如投标人代表未参加开标或未对开标过程和开标记录提出疑义，视同认可开标结果，由此产生的后果由投标人自行负责。</w:t>
      </w:r>
    </w:p>
    <w:p w14:paraId="5250BE23">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24.5开标程序</w:t>
      </w:r>
    </w:p>
    <w:p w14:paraId="60A10CF0">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（1）开标会由采购代理机构主持，主持人宣布开标会议开始；</w:t>
      </w:r>
    </w:p>
    <w:p w14:paraId="08F38396">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（2）介绍参加开标会的人员；</w:t>
      </w:r>
    </w:p>
    <w:p w14:paraId="4AB4B682">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（3）开标时，电子投标文件开标顺序：按照交易平台自动提取所有投标人的顺序当众开标；</w:t>
      </w:r>
    </w:p>
    <w:p w14:paraId="33A79487">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（4）投标人代表、采购人代表、监标人、记录人等有关人员在开标记录上签字确认；</w:t>
      </w:r>
    </w:p>
    <w:p w14:paraId="73F9C0B3">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（5）宣布评标期间的有关事项；</w:t>
      </w:r>
    </w:p>
    <w:p w14:paraId="69AE9B56">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（6）开标结束。</w:t>
      </w:r>
    </w:p>
    <w:p w14:paraId="1A60664A">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24.6投标文件报价出现前后不一致的，按照下列规定修正：</w:t>
      </w:r>
    </w:p>
    <w:p w14:paraId="5BD2A292">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（一）投标文件中开标一览表内容与投标文件中相应内容不一致的，以开标一览表为准；</w:t>
      </w:r>
    </w:p>
    <w:p w14:paraId="771BD21F">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（二）大写金额和小写金额不一致的，以大写金额为准；</w:t>
      </w:r>
    </w:p>
    <w:p w14:paraId="722F3197">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（三）单价金额小数点或者百分比有明显错位的，以开标一览表的总价为准，并修改单价；</w:t>
      </w:r>
    </w:p>
    <w:p w14:paraId="2DE9AAF7">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（四）总价金额与按单价汇总金额不一致的，以单价金额计算结果为准。</w:t>
      </w:r>
    </w:p>
    <w:p w14:paraId="0C0D23B8">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同时出现两种以上不一致的，按照前款规定的顺序修正。修正后的报价按照招标文件规定并经投标人确认后产生约束力，投标人不确认的，其投标无效。</w:t>
      </w:r>
    </w:p>
    <w:p w14:paraId="3D709DC1">
      <w:pPr>
        <w:pStyle w:val="3"/>
        <w:pageBreakBefore w:val="0"/>
        <w:kinsoku/>
        <w:overflowPunct/>
        <w:topLinePunct w:val="0"/>
        <w:bidi w:val="0"/>
        <w:adjustRightInd/>
        <w:spacing w:before="0" w:line="480" w:lineRule="exact"/>
        <w:ind w:left="0" w:leftChars="0"/>
        <w:jc w:val="center"/>
        <w:rPr>
          <w:rFonts w:hint="eastAsia" w:ascii="宋体" w:hAnsi="宋体" w:eastAsia="宋体" w:cs="宋体"/>
          <w:color w:val="auto"/>
          <w:spacing w:val="0"/>
          <w:kern w:val="0"/>
          <w:sz w:val="28"/>
          <w:szCs w:val="28"/>
          <w:highlight w:val="none"/>
        </w:rPr>
      </w:pPr>
      <w:bookmarkStart w:id="37" w:name="_Toc5549"/>
      <w:bookmarkStart w:id="38" w:name="_Toc2742"/>
      <w:r>
        <w:rPr>
          <w:rFonts w:hint="eastAsia" w:ascii="宋体" w:hAnsi="宋体" w:eastAsia="宋体" w:cs="宋体"/>
          <w:color w:val="auto"/>
          <w:spacing w:val="0"/>
          <w:kern w:val="0"/>
          <w:sz w:val="28"/>
          <w:szCs w:val="28"/>
          <w:highlight w:val="none"/>
        </w:rPr>
        <w:t>六、资格审查及评标</w:t>
      </w:r>
      <w:bookmarkEnd w:id="37"/>
      <w:bookmarkEnd w:id="38"/>
    </w:p>
    <w:p w14:paraId="3182A123">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25.资格审查</w:t>
      </w:r>
    </w:p>
    <w:p w14:paraId="253EB2A5">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25.1开标结束后，采购人或者采购代理机构将根据招标文件规定，依法对投标人的资格进行审查。合格投标人不足3家的，不得评标。</w:t>
      </w:r>
    </w:p>
    <w:p w14:paraId="706EAF21">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25.2.采购人或者采购代理机构按照招标文件第一章《招标公告》二、投标人资格要求（投标人应符合《中华人民共和国政府采购法》第二十二条规定的条件）和第二章《投标人须知》“4.投标人资格要求”的规定对投标人电子投标文件中</w:t>
      </w:r>
      <w:r>
        <w:rPr>
          <w:rFonts w:hint="eastAsia" w:ascii="宋体" w:hAnsi="宋体" w:cs="宋体"/>
          <w:color w:val="auto"/>
          <w:szCs w:val="21"/>
          <w:highlight w:val="none"/>
          <w:lang w:eastAsia="zh-CN"/>
        </w:rPr>
        <w:t>资格文件</w:t>
      </w:r>
      <w:r>
        <w:rPr>
          <w:rFonts w:hint="eastAsia" w:ascii="宋体" w:hAnsi="宋体" w:eastAsia="宋体" w:cs="宋体"/>
          <w:color w:val="auto"/>
          <w:szCs w:val="21"/>
          <w:highlight w:val="none"/>
        </w:rPr>
        <w:t>及采购人、采购代理机构通过互联网或者相关信息系统的查询结果进行审查。</w:t>
      </w:r>
    </w:p>
    <w:p w14:paraId="525B24CA">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26.评标</w:t>
      </w:r>
    </w:p>
    <w:p w14:paraId="2001E956">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26.1评标委员会负责具体评标事务，并独立履行下列职责：</w:t>
      </w:r>
    </w:p>
    <w:p w14:paraId="45D148BB">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（一）审查、评价投标文件是否符合招标文件的商务、技术等实质性要求；</w:t>
      </w:r>
    </w:p>
    <w:p w14:paraId="5D1218D9">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（二）要求投标人对投标文件有关事项作出澄清或者说明；</w:t>
      </w:r>
    </w:p>
    <w:p w14:paraId="28A82808">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（三）对投标文件进行比较和评价；</w:t>
      </w:r>
    </w:p>
    <w:p w14:paraId="7E8A6D74">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（四）确定中标候选人名单，以及根据采购人委托直接确定中标人；</w:t>
      </w:r>
    </w:p>
    <w:p w14:paraId="3BA52B10">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（五）向采购人、采购代理机构或者有关部门报告评标中发现的违法行为。</w:t>
      </w:r>
    </w:p>
    <w:p w14:paraId="5740EAF1">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26.2评标委员会由采购人代表和评审专家组成，成员人数为5人以上单数，其中评审专家不得少于成员总数的三分之二。评标委员会应当推选组长，但采购人代表不得担任组长。</w:t>
      </w:r>
    </w:p>
    <w:p w14:paraId="79F5ED73">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26.3采购人委派代表参加评标委员会的，要向采购代理机构出具授权函。除授权代表外，采购人可以委派纪检监察等相关人员对评审工作实施监督，但不得超过2人。</w:t>
      </w:r>
    </w:p>
    <w:p w14:paraId="0ECC5C4D">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26.4评标活动遵循公平、公正、科学和择优的原则。</w:t>
      </w:r>
    </w:p>
    <w:p w14:paraId="2FF51363">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26.5本项目评标方法采用综合评分法，是指投标文件满足招标文件全部实质性要求，且按照评审因素的量化指标评审得分最高的投标人为中标候选人的评标方法。</w:t>
      </w:r>
    </w:p>
    <w:p w14:paraId="47B95A3D">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26.6评标过程的保密</w:t>
      </w:r>
    </w:p>
    <w:p w14:paraId="4622CB6F">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26.6.1评标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6939D5E5">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26.6.2任何单位和个人不得非法干预、影响评审工作。采购人、采购代理机构和评审委员会在评审工作中，依法相互监督和制约，并自觉接受财政部门的监督。对非法干预评审工作等违法违规行为，将及时向财政部门报告。</w:t>
      </w:r>
    </w:p>
    <w:p w14:paraId="533A208E">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27.有下列情形之一的，视为投标人串通投标，其投标无效：</w:t>
      </w:r>
    </w:p>
    <w:p w14:paraId="6E73A040">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（一）不同投标人的投标文件由同一单位或者个人编制；</w:t>
      </w:r>
    </w:p>
    <w:p w14:paraId="7F5C89BA">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（二）不同投标人委托同一单位或者个人办理投标事宜；</w:t>
      </w:r>
    </w:p>
    <w:p w14:paraId="1E5AA24B">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（三）不同投标人的投标文件载明的项目管理成员或者联系人员为同一人；</w:t>
      </w:r>
    </w:p>
    <w:p w14:paraId="65DCCDB4">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（四）不同投标人的投标文件异常一致或者投标报价呈规律性差异；</w:t>
      </w:r>
    </w:p>
    <w:p w14:paraId="5BF4EE85">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（五）不同投标人的投标文件相互混装；</w:t>
      </w:r>
    </w:p>
    <w:p w14:paraId="5A51D149">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（六）不同投标人的投标保证金从同一单位或者个人的账户转出。</w:t>
      </w:r>
    </w:p>
    <w:p w14:paraId="6CD8E799">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投标人应当遵循公平竞争的原则，不得恶意串通，不得妨碍其他投标人的竞争行为，不得损害采购人或者其他投标人的合法权益。</w:t>
      </w:r>
    </w:p>
    <w:p w14:paraId="6C20B0C2">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在评标过程中发现投标人有上述情形的，评标委员会应当认定其投标无效，并书面报告本级财政部门。</w:t>
      </w:r>
    </w:p>
    <w:p w14:paraId="077BF26C">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28.投标人存在下列情况之一的，投标无效：</w:t>
      </w:r>
    </w:p>
    <w:p w14:paraId="71021C72">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（一）未按照招标文件的规定提交投标保证金的；</w:t>
      </w:r>
    </w:p>
    <w:p w14:paraId="0A3E16A7">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（二）投标文件未按招标文件要求签署、盖章的；</w:t>
      </w:r>
    </w:p>
    <w:p w14:paraId="58D8F10A">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（三）不具备招标文件中规定的资格要求的；</w:t>
      </w:r>
    </w:p>
    <w:p w14:paraId="64B4FF4B">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（四）报价超过招标文件中规定的预算金额或者最高限价的；</w:t>
      </w:r>
    </w:p>
    <w:p w14:paraId="5ADC0CAB">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（五）投标文件含有采购人不能接受的附加条件的</w:t>
      </w:r>
      <w:r>
        <w:rPr>
          <w:rFonts w:hint="eastAsia" w:ascii="宋体" w:hAnsi="宋体" w:eastAsia="宋体" w:cs="宋体"/>
          <w:color w:val="auto"/>
          <w:szCs w:val="21"/>
          <w:highlight w:val="none"/>
          <w:lang w:eastAsia="zh-CN"/>
        </w:rPr>
        <w:t>；</w:t>
      </w:r>
    </w:p>
    <w:p w14:paraId="09E03634">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（六）法律、法规和招标文件规定的其他无效情形。</w:t>
      </w:r>
    </w:p>
    <w:p w14:paraId="02A89960">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29.在招标采购中，出现下列情形之一的，应予废标：</w:t>
      </w:r>
    </w:p>
    <w:p w14:paraId="60D634B8">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（一）符合专业条件的投标人或者对招标文件作实质响应的投标人不足三家的；</w:t>
      </w:r>
    </w:p>
    <w:p w14:paraId="52E2F343">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（二）出现影响采购公正的违法、违规行为的；</w:t>
      </w:r>
    </w:p>
    <w:p w14:paraId="449ACDCC">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（三）投标人的报价均超过了采购预算，采购人不能支付的；</w:t>
      </w:r>
    </w:p>
    <w:p w14:paraId="2AB304C7">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（四）因重大变故，采购任务取消的。</w:t>
      </w:r>
    </w:p>
    <w:p w14:paraId="4F004ED1">
      <w:pPr>
        <w:pageBreakBefore w:val="0"/>
        <w:kinsoku/>
        <w:overflowPunct/>
        <w:topLinePunct w:val="0"/>
        <w:bidi w:val="0"/>
        <w:adjustRightInd/>
        <w:spacing w:line="480" w:lineRule="exact"/>
        <w:ind w:left="0" w:leftChars="0" w:firstLine="42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废标后，采购人应当将废标理由通知所有投标人。</w:t>
      </w:r>
    </w:p>
    <w:p w14:paraId="26FE0E06">
      <w:pPr>
        <w:pStyle w:val="3"/>
        <w:pageBreakBefore w:val="0"/>
        <w:kinsoku/>
        <w:overflowPunct/>
        <w:topLinePunct w:val="0"/>
        <w:bidi w:val="0"/>
        <w:adjustRightInd/>
        <w:spacing w:before="0" w:line="480" w:lineRule="exact"/>
        <w:ind w:left="0" w:leftChars="0"/>
        <w:jc w:val="center"/>
        <w:rPr>
          <w:rFonts w:hint="eastAsia" w:ascii="宋体" w:hAnsi="宋体" w:eastAsia="宋体" w:cs="宋体"/>
          <w:color w:val="auto"/>
          <w:spacing w:val="0"/>
          <w:kern w:val="0"/>
          <w:sz w:val="28"/>
          <w:szCs w:val="28"/>
          <w:highlight w:val="none"/>
        </w:rPr>
      </w:pPr>
      <w:bookmarkStart w:id="39" w:name="_Toc5584"/>
      <w:bookmarkStart w:id="40" w:name="_Toc9857"/>
      <w:r>
        <w:rPr>
          <w:rFonts w:hint="eastAsia" w:ascii="宋体" w:hAnsi="宋体" w:eastAsia="宋体" w:cs="宋体"/>
          <w:color w:val="auto"/>
          <w:spacing w:val="0"/>
          <w:kern w:val="0"/>
          <w:sz w:val="28"/>
          <w:szCs w:val="28"/>
          <w:highlight w:val="none"/>
        </w:rPr>
        <w:t>七、中标结果</w:t>
      </w:r>
      <w:bookmarkEnd w:id="39"/>
      <w:bookmarkEnd w:id="40"/>
    </w:p>
    <w:p w14:paraId="36B78DCF">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30.中标人的确定</w:t>
      </w:r>
    </w:p>
    <w:p w14:paraId="120F6FA1">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30</w:t>
      </w:r>
      <w:r>
        <w:rPr>
          <w:rFonts w:hint="eastAsia" w:ascii="宋体" w:hAnsi="宋体" w:eastAsia="宋体" w:cs="宋体"/>
          <w:color w:val="auto"/>
          <w:szCs w:val="21"/>
          <w:highlight w:val="none"/>
        </w:rPr>
        <w:t>.1采购代理机构应当在评标结束后2个工作日内将评标报告送采购人。</w:t>
      </w:r>
    </w:p>
    <w:p w14:paraId="2C58A8C2">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30</w:t>
      </w:r>
      <w:r>
        <w:rPr>
          <w:rFonts w:hint="eastAsia" w:ascii="宋体" w:hAnsi="宋体" w:eastAsia="宋体" w:cs="宋体"/>
          <w:color w:val="auto"/>
          <w:szCs w:val="21"/>
          <w:highlight w:val="none"/>
        </w:rPr>
        <w:t>.2采购人应当自收到评标报告之日起5个工作日内，在评标报告确定的中标候选人名单中按顺序确定中标人。</w:t>
      </w:r>
    </w:p>
    <w:p w14:paraId="016D5574">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31.中标通知书</w:t>
      </w:r>
    </w:p>
    <w:p w14:paraId="3287BABC">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31.1中标人确定之日起2个工作日内，采购代理机构向中标人发出中标通知书，并在财政部门指定的政府采购信息发布媒体上公告中标结果</w:t>
      </w:r>
      <w:r>
        <w:rPr>
          <w:rFonts w:hint="eastAsia" w:ascii="宋体" w:hAnsi="宋体" w:eastAsia="宋体" w:cs="宋体"/>
          <w:color w:val="auto"/>
          <w:szCs w:val="21"/>
          <w:highlight w:val="none"/>
          <w:lang w:val="en-US" w:eastAsia="zh-CN"/>
        </w:rPr>
        <w:t>及中标人</w:t>
      </w:r>
      <w:r>
        <w:rPr>
          <w:rFonts w:hint="eastAsia" w:ascii="宋体" w:hAnsi="宋体" w:eastAsia="宋体" w:cs="宋体"/>
          <w:color w:val="auto"/>
          <w:szCs w:val="21"/>
          <w:highlight w:val="none"/>
        </w:rPr>
        <w:t>的评审总得分。中标公告期限为1个工作日。</w:t>
      </w:r>
    </w:p>
    <w:p w14:paraId="7466C264">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31.2中标通知书是合同的一个组成部分。</w:t>
      </w:r>
    </w:p>
    <w:p w14:paraId="4754CBC1">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32.签订合同</w:t>
      </w:r>
    </w:p>
    <w:p w14:paraId="6D08AB59">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32.1采购人应当自中标通知书发出之日起30日内，按照招标文件和中标人投标文件的规定，与中标人签订书面合同。所签订的合同不得对招标文件确定的事项和中标人投标文件作实质性修改。</w:t>
      </w:r>
    </w:p>
    <w:p w14:paraId="1797650E">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32.2中标通知书发出后，中标人无正当理由放弃中标或拒签合同的，采购人取消其中标资格，其投标保证金不予退还；给采购人造成的损失超过投标保证金数额的，中标人还应当对超过部分予以赔偿。</w:t>
      </w:r>
    </w:p>
    <w:p w14:paraId="09F0FCB1">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32.3排名第一的中标候选人放弃中标、因不可抗力不能履行合同或者被查实存在影响中标结果的违法行为等情形，不符合中标条件的，采购人将按照评标委员会提出的中标候选人名单排序依次确定其他中标候选人为中标人，也可以重新招标。</w:t>
      </w:r>
    </w:p>
    <w:p w14:paraId="6125FE1E">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32.4政府采购合同应当包括采购人与中标人的名称和住所、标的、数量、质量、价款或者报酬、履行期限及地点和方式、验收要求、违约责任、解决争议的方法等内容。</w:t>
      </w:r>
    </w:p>
    <w:p w14:paraId="14EF071F">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32.5政府采购合同履行中，采购人需追加与合同标的相同的货物、工程或者服务的，在不改变合同其他条款的前提下，可以与中标人协商签订补充合同，但所有补充合同的采购金额不得超过原合同采购金额的百分之十。</w:t>
      </w:r>
    </w:p>
    <w:p w14:paraId="5BEA0961">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32.6本项目不允许分包，若中标人在中标后将中标项目分包的，采购人取消其中标资格，其投标保证金不予退还；给采购人造成的损失超过投标保证金数额的，中标人还应当对超过部分予以赔偿</w:t>
      </w:r>
      <w:r>
        <w:rPr>
          <w:rFonts w:hint="eastAsia" w:ascii="宋体" w:hAnsi="宋体" w:eastAsia="宋体" w:cs="宋体"/>
          <w:color w:val="auto"/>
          <w:szCs w:val="21"/>
          <w:highlight w:val="none"/>
          <w:lang w:val="en-US" w:eastAsia="zh-CN"/>
        </w:rPr>
        <w:t>。</w:t>
      </w:r>
    </w:p>
    <w:p w14:paraId="1E4CDF61">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33.履约保证金</w:t>
      </w:r>
    </w:p>
    <w:p w14:paraId="20DB6345">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33.1中标人应按《投标人须知前附表》上确定的履约保证金的金额及形式，向采购人提交履约保证金。</w:t>
      </w:r>
    </w:p>
    <w:p w14:paraId="5E883424">
      <w:pPr>
        <w:pageBreakBefore w:val="0"/>
        <w:kinsoku/>
        <w:overflowPunct/>
        <w:topLinePunct w:val="0"/>
        <w:bidi w:val="0"/>
        <w:adjustRightInd/>
        <w:spacing w:line="480" w:lineRule="exact"/>
        <w:ind w:left="0" w:leftChars="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33.2</w:t>
      </w:r>
      <w:r>
        <w:rPr>
          <w:rFonts w:hint="eastAsia" w:ascii="宋体" w:hAnsi="宋体" w:eastAsia="宋体" w:cs="宋体"/>
          <w:color w:val="auto"/>
          <w:szCs w:val="21"/>
          <w:highlight w:val="none"/>
          <w:lang w:eastAsia="zh-CN"/>
        </w:rPr>
        <w:t>签订合同后，如中标人不按双方签订合同约定履约，则没收其全部履约保证金，给采购人造成的损失超过履约保证金数额的，中标人还应当对超过部分予以赔偿</w:t>
      </w:r>
      <w:r>
        <w:rPr>
          <w:rFonts w:hint="eastAsia" w:ascii="宋体" w:hAnsi="宋体" w:eastAsia="宋体" w:cs="宋体"/>
          <w:color w:val="auto"/>
          <w:szCs w:val="21"/>
          <w:highlight w:val="none"/>
        </w:rPr>
        <w:t>。</w:t>
      </w:r>
    </w:p>
    <w:p w14:paraId="76998C03">
      <w:pPr>
        <w:pStyle w:val="3"/>
        <w:pageBreakBefore w:val="0"/>
        <w:kinsoku/>
        <w:overflowPunct/>
        <w:topLinePunct w:val="0"/>
        <w:bidi w:val="0"/>
        <w:adjustRightInd/>
        <w:spacing w:before="0" w:line="480" w:lineRule="exact"/>
        <w:ind w:left="0" w:leftChars="0"/>
        <w:jc w:val="center"/>
        <w:rPr>
          <w:rFonts w:hint="eastAsia" w:ascii="宋体" w:hAnsi="宋体" w:eastAsia="宋体" w:cs="宋体"/>
          <w:color w:val="auto"/>
          <w:spacing w:val="0"/>
          <w:kern w:val="0"/>
          <w:sz w:val="28"/>
          <w:szCs w:val="28"/>
          <w:highlight w:val="none"/>
        </w:rPr>
      </w:pPr>
      <w:bookmarkStart w:id="41" w:name="_Toc24917"/>
      <w:bookmarkStart w:id="42" w:name="_Toc13305"/>
      <w:r>
        <w:rPr>
          <w:rFonts w:hint="eastAsia" w:ascii="宋体" w:hAnsi="宋体" w:eastAsia="宋体" w:cs="宋体"/>
          <w:color w:val="auto"/>
          <w:spacing w:val="0"/>
          <w:kern w:val="0"/>
          <w:sz w:val="28"/>
          <w:szCs w:val="28"/>
          <w:highlight w:val="none"/>
        </w:rPr>
        <w:t>八、其他事项</w:t>
      </w:r>
      <w:bookmarkEnd w:id="41"/>
      <w:bookmarkEnd w:id="42"/>
    </w:p>
    <w:p w14:paraId="302B943B">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34.采购代理服务费</w:t>
      </w:r>
    </w:p>
    <w:p w14:paraId="4BE2FA92">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34.1采购代理服务费：</w:t>
      </w:r>
      <w:r>
        <w:rPr>
          <w:rFonts w:hint="eastAsia" w:ascii="宋体" w:hAnsi="宋体" w:cs="宋体"/>
          <w:color w:val="auto"/>
          <w:szCs w:val="21"/>
          <w:highlight w:val="none"/>
          <w:lang w:eastAsia="zh-CN"/>
        </w:rPr>
        <w:t>本项目采购代理服务费参照国家计委[2002]1980号文件规定的货物收费标准向中标人收取（计算基准价为中标金额）</w:t>
      </w:r>
      <w:r>
        <w:rPr>
          <w:rFonts w:hint="eastAsia" w:ascii="宋体" w:hAnsi="宋体" w:eastAsia="宋体" w:cs="宋体"/>
          <w:color w:val="auto"/>
          <w:szCs w:val="21"/>
          <w:highlight w:val="none"/>
        </w:rPr>
        <w:t>。</w:t>
      </w:r>
    </w:p>
    <w:tbl>
      <w:tblPr>
        <w:tblStyle w:val="47"/>
        <w:tblW w:w="8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29"/>
        <w:gridCol w:w="1983"/>
        <w:gridCol w:w="1983"/>
        <w:gridCol w:w="1984"/>
      </w:tblGrid>
      <w:tr w14:paraId="7EDDE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69" w:hRule="atLeast"/>
          <w:jc w:val="center"/>
        </w:trPr>
        <w:tc>
          <w:tcPr>
            <w:tcW w:w="2229" w:type="dxa"/>
            <w:vMerge w:val="restart"/>
            <w:vAlign w:val="center"/>
          </w:tcPr>
          <w:p w14:paraId="4C87B15E">
            <w:pPr>
              <w:pageBreakBefore w:val="0"/>
              <w:kinsoku/>
              <w:overflowPunct/>
              <w:topLinePunct w:val="0"/>
              <w:bidi w:val="0"/>
              <w:adjustRightInd/>
              <w:spacing w:line="480" w:lineRule="exact"/>
              <w:ind w:left="0" w:leftChars="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中标金额</w:t>
            </w:r>
          </w:p>
          <w:p w14:paraId="46B79549">
            <w:pPr>
              <w:pageBreakBefore w:val="0"/>
              <w:kinsoku/>
              <w:overflowPunct/>
              <w:topLinePunct w:val="0"/>
              <w:bidi w:val="0"/>
              <w:adjustRightInd/>
              <w:spacing w:line="480" w:lineRule="exact"/>
              <w:ind w:left="0" w:leftChars="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5950" w:type="dxa"/>
            <w:gridSpan w:val="3"/>
            <w:vAlign w:val="center"/>
          </w:tcPr>
          <w:p w14:paraId="4D3ACE9D">
            <w:pPr>
              <w:pageBreakBefore w:val="0"/>
              <w:kinsoku/>
              <w:overflowPunct/>
              <w:topLinePunct w:val="0"/>
              <w:bidi w:val="0"/>
              <w:adjustRightInd/>
              <w:spacing w:line="480" w:lineRule="exact"/>
              <w:ind w:left="0" w:leftChars="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收费标准</w:t>
            </w:r>
          </w:p>
        </w:tc>
      </w:tr>
      <w:tr w14:paraId="0E97C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jc w:val="center"/>
        </w:trPr>
        <w:tc>
          <w:tcPr>
            <w:tcW w:w="2229" w:type="dxa"/>
            <w:vMerge w:val="continue"/>
            <w:shd w:val="clear" w:color="auto" w:fill="auto"/>
            <w:vAlign w:val="center"/>
          </w:tcPr>
          <w:p w14:paraId="02F1E884">
            <w:pPr>
              <w:pageBreakBefore w:val="0"/>
              <w:kinsoku/>
              <w:overflowPunct/>
              <w:topLinePunct w:val="0"/>
              <w:bidi w:val="0"/>
              <w:adjustRightInd/>
              <w:spacing w:line="480" w:lineRule="exact"/>
              <w:ind w:left="0" w:leftChars="0"/>
              <w:jc w:val="center"/>
              <w:outlineLvl w:val="9"/>
              <w:rPr>
                <w:rFonts w:hint="eastAsia" w:ascii="宋体" w:hAnsi="宋体" w:eastAsia="宋体" w:cs="宋体"/>
                <w:color w:val="auto"/>
                <w:highlight w:val="none"/>
              </w:rPr>
            </w:pPr>
          </w:p>
        </w:tc>
        <w:tc>
          <w:tcPr>
            <w:tcW w:w="1983" w:type="dxa"/>
            <w:shd w:val="clear" w:color="auto" w:fill="FFFFFF"/>
            <w:vAlign w:val="center"/>
          </w:tcPr>
          <w:p w14:paraId="0C418F22">
            <w:pPr>
              <w:pageBreakBefore w:val="0"/>
              <w:kinsoku/>
              <w:overflowPunct/>
              <w:topLinePunct w:val="0"/>
              <w:bidi w:val="0"/>
              <w:adjustRightInd/>
              <w:spacing w:line="480" w:lineRule="exact"/>
              <w:ind w:left="0" w:leftChars="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货物招标</w:t>
            </w:r>
          </w:p>
        </w:tc>
        <w:tc>
          <w:tcPr>
            <w:tcW w:w="1983" w:type="dxa"/>
            <w:vAlign w:val="center"/>
          </w:tcPr>
          <w:p w14:paraId="7E4A6369">
            <w:pPr>
              <w:pageBreakBefore w:val="0"/>
              <w:kinsoku/>
              <w:overflowPunct/>
              <w:topLinePunct w:val="0"/>
              <w:bidi w:val="0"/>
              <w:adjustRightInd/>
              <w:spacing w:line="480" w:lineRule="exact"/>
              <w:ind w:left="0" w:leftChars="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服务招标</w:t>
            </w:r>
          </w:p>
        </w:tc>
        <w:tc>
          <w:tcPr>
            <w:tcW w:w="1984" w:type="dxa"/>
            <w:vAlign w:val="center"/>
          </w:tcPr>
          <w:p w14:paraId="15B2CB5D">
            <w:pPr>
              <w:pageBreakBefore w:val="0"/>
              <w:kinsoku/>
              <w:overflowPunct/>
              <w:topLinePunct w:val="0"/>
              <w:bidi w:val="0"/>
              <w:adjustRightInd/>
              <w:spacing w:line="480" w:lineRule="exact"/>
              <w:ind w:left="0" w:leftChars="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工程招标</w:t>
            </w:r>
          </w:p>
        </w:tc>
      </w:tr>
      <w:tr w14:paraId="71044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229" w:type="dxa"/>
            <w:shd w:val="clear" w:color="auto" w:fill="auto"/>
          </w:tcPr>
          <w:p w14:paraId="0F38009B">
            <w:pPr>
              <w:pageBreakBefore w:val="0"/>
              <w:kinsoku/>
              <w:overflowPunct/>
              <w:topLinePunct w:val="0"/>
              <w:bidi w:val="0"/>
              <w:adjustRightInd/>
              <w:spacing w:line="480" w:lineRule="exact"/>
              <w:ind w:left="0" w:leftChars="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100以下</w:t>
            </w:r>
          </w:p>
        </w:tc>
        <w:tc>
          <w:tcPr>
            <w:tcW w:w="1983" w:type="dxa"/>
            <w:shd w:val="clear" w:color="auto" w:fill="FFFFFF"/>
          </w:tcPr>
          <w:p w14:paraId="6FC26D91">
            <w:pPr>
              <w:pageBreakBefore w:val="0"/>
              <w:kinsoku/>
              <w:overflowPunct/>
              <w:topLinePunct w:val="0"/>
              <w:bidi w:val="0"/>
              <w:adjustRightInd/>
              <w:spacing w:line="480" w:lineRule="exact"/>
              <w:ind w:left="0" w:leftChars="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1.5%</w:t>
            </w:r>
          </w:p>
        </w:tc>
        <w:tc>
          <w:tcPr>
            <w:tcW w:w="1983" w:type="dxa"/>
          </w:tcPr>
          <w:p w14:paraId="082DC525">
            <w:pPr>
              <w:pageBreakBefore w:val="0"/>
              <w:kinsoku/>
              <w:overflowPunct/>
              <w:topLinePunct w:val="0"/>
              <w:bidi w:val="0"/>
              <w:adjustRightInd/>
              <w:spacing w:line="480" w:lineRule="exact"/>
              <w:ind w:left="0" w:leftChars="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1.5%</w:t>
            </w:r>
          </w:p>
        </w:tc>
        <w:tc>
          <w:tcPr>
            <w:tcW w:w="1984" w:type="dxa"/>
          </w:tcPr>
          <w:p w14:paraId="6D847ACE">
            <w:pPr>
              <w:pageBreakBefore w:val="0"/>
              <w:kinsoku/>
              <w:overflowPunct/>
              <w:topLinePunct w:val="0"/>
              <w:bidi w:val="0"/>
              <w:adjustRightInd/>
              <w:spacing w:line="480" w:lineRule="exact"/>
              <w:ind w:left="0" w:leftChars="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1.0%</w:t>
            </w:r>
          </w:p>
        </w:tc>
      </w:tr>
      <w:tr w14:paraId="7B835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229" w:type="dxa"/>
            <w:shd w:val="clear" w:color="auto" w:fill="auto"/>
          </w:tcPr>
          <w:p w14:paraId="06AD67FC">
            <w:pPr>
              <w:pageBreakBefore w:val="0"/>
              <w:kinsoku/>
              <w:overflowPunct/>
              <w:topLinePunct w:val="0"/>
              <w:bidi w:val="0"/>
              <w:adjustRightInd/>
              <w:spacing w:line="480" w:lineRule="exact"/>
              <w:ind w:left="0" w:leftChars="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100—500</w:t>
            </w:r>
          </w:p>
        </w:tc>
        <w:tc>
          <w:tcPr>
            <w:tcW w:w="1983" w:type="dxa"/>
            <w:shd w:val="clear" w:color="auto" w:fill="FFFFFF"/>
          </w:tcPr>
          <w:p w14:paraId="3E347A81">
            <w:pPr>
              <w:pageBreakBefore w:val="0"/>
              <w:kinsoku/>
              <w:overflowPunct/>
              <w:topLinePunct w:val="0"/>
              <w:bidi w:val="0"/>
              <w:adjustRightInd/>
              <w:spacing w:line="480" w:lineRule="exact"/>
              <w:ind w:left="0" w:leftChars="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1.1%</w:t>
            </w:r>
          </w:p>
        </w:tc>
        <w:tc>
          <w:tcPr>
            <w:tcW w:w="1983" w:type="dxa"/>
          </w:tcPr>
          <w:p w14:paraId="16D3F570">
            <w:pPr>
              <w:pageBreakBefore w:val="0"/>
              <w:kinsoku/>
              <w:overflowPunct/>
              <w:topLinePunct w:val="0"/>
              <w:bidi w:val="0"/>
              <w:adjustRightInd/>
              <w:spacing w:line="480" w:lineRule="exact"/>
              <w:ind w:left="0" w:leftChars="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0.8%</w:t>
            </w:r>
          </w:p>
        </w:tc>
        <w:tc>
          <w:tcPr>
            <w:tcW w:w="1984" w:type="dxa"/>
          </w:tcPr>
          <w:p w14:paraId="5D4F45C1">
            <w:pPr>
              <w:pageBreakBefore w:val="0"/>
              <w:kinsoku/>
              <w:overflowPunct/>
              <w:topLinePunct w:val="0"/>
              <w:bidi w:val="0"/>
              <w:adjustRightInd/>
              <w:spacing w:line="480" w:lineRule="exact"/>
              <w:ind w:left="0" w:leftChars="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0.7%</w:t>
            </w:r>
          </w:p>
        </w:tc>
      </w:tr>
      <w:tr w14:paraId="5FB7D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229" w:type="dxa"/>
            <w:shd w:val="clear" w:color="auto" w:fill="auto"/>
          </w:tcPr>
          <w:p w14:paraId="7EE6DE5C">
            <w:pPr>
              <w:pageBreakBefore w:val="0"/>
              <w:kinsoku/>
              <w:overflowPunct/>
              <w:topLinePunct w:val="0"/>
              <w:bidi w:val="0"/>
              <w:adjustRightInd/>
              <w:spacing w:line="480" w:lineRule="exact"/>
              <w:ind w:left="0" w:leftChars="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500—1000</w:t>
            </w:r>
          </w:p>
        </w:tc>
        <w:tc>
          <w:tcPr>
            <w:tcW w:w="1983" w:type="dxa"/>
            <w:shd w:val="clear" w:color="auto" w:fill="FFFFFF"/>
          </w:tcPr>
          <w:p w14:paraId="745EA1A4">
            <w:pPr>
              <w:pageBreakBefore w:val="0"/>
              <w:kinsoku/>
              <w:overflowPunct/>
              <w:topLinePunct w:val="0"/>
              <w:bidi w:val="0"/>
              <w:adjustRightInd/>
              <w:spacing w:line="480" w:lineRule="exact"/>
              <w:ind w:left="0" w:leftChars="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0.8%</w:t>
            </w:r>
          </w:p>
        </w:tc>
        <w:tc>
          <w:tcPr>
            <w:tcW w:w="1983" w:type="dxa"/>
          </w:tcPr>
          <w:p w14:paraId="26F0161A">
            <w:pPr>
              <w:pageBreakBefore w:val="0"/>
              <w:kinsoku/>
              <w:overflowPunct/>
              <w:topLinePunct w:val="0"/>
              <w:bidi w:val="0"/>
              <w:adjustRightInd/>
              <w:spacing w:line="480" w:lineRule="exact"/>
              <w:ind w:left="0" w:leftChars="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0.45%</w:t>
            </w:r>
          </w:p>
        </w:tc>
        <w:tc>
          <w:tcPr>
            <w:tcW w:w="1984" w:type="dxa"/>
          </w:tcPr>
          <w:p w14:paraId="6660A8F9">
            <w:pPr>
              <w:pageBreakBefore w:val="0"/>
              <w:kinsoku/>
              <w:overflowPunct/>
              <w:topLinePunct w:val="0"/>
              <w:bidi w:val="0"/>
              <w:adjustRightInd/>
              <w:spacing w:line="480" w:lineRule="exact"/>
              <w:ind w:left="0" w:leftChars="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0.55%</w:t>
            </w:r>
          </w:p>
        </w:tc>
      </w:tr>
      <w:tr w14:paraId="50274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229" w:type="dxa"/>
            <w:shd w:val="clear" w:color="auto" w:fill="auto"/>
          </w:tcPr>
          <w:p w14:paraId="19F2CDCC">
            <w:pPr>
              <w:pageBreakBefore w:val="0"/>
              <w:kinsoku/>
              <w:overflowPunct/>
              <w:topLinePunct w:val="0"/>
              <w:bidi w:val="0"/>
              <w:adjustRightInd/>
              <w:spacing w:line="480" w:lineRule="exact"/>
              <w:ind w:left="0" w:leftChars="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1000—5000</w:t>
            </w:r>
          </w:p>
        </w:tc>
        <w:tc>
          <w:tcPr>
            <w:tcW w:w="1983" w:type="dxa"/>
            <w:shd w:val="clear" w:color="auto" w:fill="FFFFFF"/>
          </w:tcPr>
          <w:p w14:paraId="138E1186">
            <w:pPr>
              <w:pageBreakBefore w:val="0"/>
              <w:kinsoku/>
              <w:overflowPunct/>
              <w:topLinePunct w:val="0"/>
              <w:bidi w:val="0"/>
              <w:adjustRightInd/>
              <w:spacing w:line="480" w:lineRule="exact"/>
              <w:ind w:left="0" w:leftChars="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0.5%</w:t>
            </w:r>
          </w:p>
        </w:tc>
        <w:tc>
          <w:tcPr>
            <w:tcW w:w="1983" w:type="dxa"/>
          </w:tcPr>
          <w:p w14:paraId="5F3A43C7">
            <w:pPr>
              <w:pageBreakBefore w:val="0"/>
              <w:kinsoku/>
              <w:overflowPunct/>
              <w:topLinePunct w:val="0"/>
              <w:bidi w:val="0"/>
              <w:adjustRightInd/>
              <w:spacing w:line="480" w:lineRule="exact"/>
              <w:ind w:left="0" w:leftChars="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0.25%</w:t>
            </w:r>
          </w:p>
        </w:tc>
        <w:tc>
          <w:tcPr>
            <w:tcW w:w="1984" w:type="dxa"/>
          </w:tcPr>
          <w:p w14:paraId="2C2DB95A">
            <w:pPr>
              <w:pageBreakBefore w:val="0"/>
              <w:kinsoku/>
              <w:overflowPunct/>
              <w:topLinePunct w:val="0"/>
              <w:bidi w:val="0"/>
              <w:adjustRightInd/>
              <w:spacing w:line="480" w:lineRule="exact"/>
              <w:ind w:left="0" w:leftChars="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0.35%</w:t>
            </w:r>
          </w:p>
        </w:tc>
      </w:tr>
      <w:tr w14:paraId="0E19C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2229" w:type="dxa"/>
            <w:shd w:val="clear" w:color="auto" w:fill="auto"/>
          </w:tcPr>
          <w:p w14:paraId="2FCB1892">
            <w:pPr>
              <w:pageBreakBefore w:val="0"/>
              <w:kinsoku/>
              <w:overflowPunct/>
              <w:topLinePunct w:val="0"/>
              <w:bidi w:val="0"/>
              <w:adjustRightInd/>
              <w:spacing w:line="480" w:lineRule="exact"/>
              <w:ind w:left="0" w:leftChars="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5000—10000</w:t>
            </w:r>
          </w:p>
        </w:tc>
        <w:tc>
          <w:tcPr>
            <w:tcW w:w="1983" w:type="dxa"/>
            <w:shd w:val="clear" w:color="auto" w:fill="FFFFFF"/>
          </w:tcPr>
          <w:p w14:paraId="6FD94D57">
            <w:pPr>
              <w:pageBreakBefore w:val="0"/>
              <w:kinsoku/>
              <w:overflowPunct/>
              <w:topLinePunct w:val="0"/>
              <w:bidi w:val="0"/>
              <w:adjustRightInd/>
              <w:spacing w:line="480" w:lineRule="exact"/>
              <w:ind w:left="0" w:leftChars="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0.25%</w:t>
            </w:r>
          </w:p>
        </w:tc>
        <w:tc>
          <w:tcPr>
            <w:tcW w:w="1983" w:type="dxa"/>
          </w:tcPr>
          <w:p w14:paraId="65320C63">
            <w:pPr>
              <w:pageBreakBefore w:val="0"/>
              <w:kinsoku/>
              <w:overflowPunct/>
              <w:topLinePunct w:val="0"/>
              <w:bidi w:val="0"/>
              <w:adjustRightInd/>
              <w:spacing w:line="480" w:lineRule="exact"/>
              <w:ind w:left="0" w:leftChars="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0.1%</w:t>
            </w:r>
          </w:p>
        </w:tc>
        <w:tc>
          <w:tcPr>
            <w:tcW w:w="1984" w:type="dxa"/>
          </w:tcPr>
          <w:p w14:paraId="6A7B7940">
            <w:pPr>
              <w:pageBreakBefore w:val="0"/>
              <w:kinsoku/>
              <w:overflowPunct/>
              <w:topLinePunct w:val="0"/>
              <w:bidi w:val="0"/>
              <w:adjustRightInd/>
              <w:spacing w:line="480" w:lineRule="exact"/>
              <w:ind w:left="0" w:leftChars="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0.2%</w:t>
            </w:r>
          </w:p>
        </w:tc>
      </w:tr>
    </w:tbl>
    <w:p w14:paraId="2D5603D0">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备注：采购代理服务费按差额定率累进法计算。</w:t>
      </w:r>
    </w:p>
    <w:p w14:paraId="3A7525FC">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34.2中标人应在接受“中标通知书”</w:t>
      </w:r>
      <w:r>
        <w:rPr>
          <w:rFonts w:hint="eastAsia" w:ascii="宋体" w:hAnsi="宋体" w:eastAsia="宋体" w:cs="宋体"/>
          <w:color w:val="auto"/>
          <w:szCs w:val="21"/>
          <w:highlight w:val="none"/>
          <w:lang w:val="en-US" w:eastAsia="zh-CN"/>
        </w:rPr>
        <w:t>时</w:t>
      </w:r>
      <w:r>
        <w:rPr>
          <w:rFonts w:hint="eastAsia" w:ascii="宋体" w:hAnsi="宋体" w:eastAsia="宋体" w:cs="宋体"/>
          <w:color w:val="auto"/>
          <w:szCs w:val="21"/>
          <w:highlight w:val="none"/>
        </w:rPr>
        <w:t>向采购代理机构一次付清采购代理服务费。</w:t>
      </w:r>
    </w:p>
    <w:p w14:paraId="37D6B5C9">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34.3</w:t>
      </w:r>
      <w:r>
        <w:rPr>
          <w:rFonts w:hint="eastAsia" w:ascii="宋体" w:hAnsi="宋体" w:eastAsia="宋体" w:cs="宋体"/>
          <w:color w:val="auto"/>
          <w:szCs w:val="21"/>
          <w:highlight w:val="none"/>
        </w:rPr>
        <w:t>采购代理服务费</w:t>
      </w:r>
      <w:r>
        <w:rPr>
          <w:rFonts w:hint="eastAsia" w:ascii="宋体" w:hAnsi="宋体" w:cs="宋体"/>
          <w:color w:val="auto"/>
          <w:szCs w:val="21"/>
          <w:highlight w:val="none"/>
          <w:lang w:val="en-US" w:eastAsia="zh-CN"/>
        </w:rPr>
        <w:t>支付方式：网银、电汇、支票、现金等。</w:t>
      </w:r>
    </w:p>
    <w:p w14:paraId="767631C8">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35.招标文件编制依据</w:t>
      </w:r>
    </w:p>
    <w:p w14:paraId="0E358647">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35.1本招标文件根据《中华人民共和国政府采购法》、《中华人民共和国政府采购法实施条例》、《政府采购货物和服务招标投标管理办法》（财政部令第87号）等有关法律、法规编制，解释权属于采购人、采购代理机构。</w:t>
      </w:r>
    </w:p>
    <w:p w14:paraId="42BC2745">
      <w:pPr>
        <w:pageBreakBefore w:val="0"/>
        <w:kinsoku/>
        <w:overflowPunct/>
        <w:topLinePunct w:val="0"/>
        <w:bidi w:val="0"/>
        <w:adjustRightInd/>
        <w:spacing w:line="480" w:lineRule="exact"/>
        <w:ind w:left="0" w:leftChars="0"/>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36.需要补充的其他内容</w:t>
      </w:r>
    </w:p>
    <w:p w14:paraId="5760B9F4">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36.</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关于监狱企业：</w:t>
      </w:r>
    </w:p>
    <w:p w14:paraId="4E48BB54">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36.</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E4838E3">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36.</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.2在政府采购活动中，监狱企业视同小型、微型企业，享受预留份额。</w:t>
      </w:r>
    </w:p>
    <w:p w14:paraId="4AC30965">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36.</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rPr>
        <w:t>关于残疾人福利性单位：</w:t>
      </w:r>
    </w:p>
    <w:p w14:paraId="276CF74C">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36.</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rPr>
        <w:t>.1根据《三部门联合发布关于促进残疾人就业政府采购政策的通知》（财库〔2017〕141号）的规定，享受政府采购支持政策的残疾人福利性单位应当同时满足以下条件：</w:t>
      </w:r>
    </w:p>
    <w:p w14:paraId="126600DD">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（一）安置的残疾人占本单位在职职工人数的比例不低于25%（含25%），并且安置的残疾人人数不少于10人（含10人）；</w:t>
      </w:r>
    </w:p>
    <w:p w14:paraId="059F3A4E">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（二）依法与安置的每位残疾人签订了一年以上（含一年）的劳动合同或服务协议；</w:t>
      </w:r>
    </w:p>
    <w:p w14:paraId="2AF56166">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（三）为安置的每位残疾人按月足额缴纳了基本养老保险、基本医疗保险、失业保险、工伤保险和生育保险等社会保险费；</w:t>
      </w:r>
    </w:p>
    <w:p w14:paraId="30E64F77">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（四）通过银行等金融机构向安置的每位残疾人，按月支付了不低于单位所在区县适用的经省级人民政府批准的月最低工资标准的工资；</w:t>
      </w:r>
    </w:p>
    <w:p w14:paraId="379EA4E2">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（五）提供本单位制造的货物、承担的工程或者服务（以下简称产品），或者提供其他残疾人福利性单位制造的货物（不包括使用非残疾人福利性单位注册商标的货物）。</w:t>
      </w:r>
    </w:p>
    <w:p w14:paraId="5236EE39">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D6F8ED7">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36.</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rPr>
        <w:t>.2符合条件的残疾人福利性单位在参加政府采购活动时，应当按《三部门联合发布关于促进残疾人就业政府采购政策的通知》（财库〔2017〕141号）提供规定的《残疾人福利性单位声明函》，并对声明的真实性负责。</w:t>
      </w:r>
    </w:p>
    <w:p w14:paraId="60D65031">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36.</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rPr>
        <w:t>.3在政府采购活动中，残疾人福利性单位视同小型、微型企业，享受预留份额。残疾人福利性单位属于小型、微型企业的，不重复享受政策。</w:t>
      </w:r>
    </w:p>
    <w:p w14:paraId="15538FA6">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36.</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关于节能产品及环境标志产品：</w:t>
      </w:r>
    </w:p>
    <w:p w14:paraId="2FADC6A4">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36.</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.1根据《财政部发展改革委生态环境部市场监管总局关于调整优化节能产品、环境标志产品政府采购执行机制的通知》（财库〔2019〕9号），对政府采购节能产品、环境标志产品实施品目清单管理。</w:t>
      </w:r>
    </w:p>
    <w:p w14:paraId="66C4AFDA">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36.</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.2节能产品是指列入财政部和发展改革委公布的《关于印发节能产品政府采购品目清单的通知》（财库〔2019〕19号）《节能产品政府采购品目清单》中的产品，其中以“★”标注的为政府强制采购产品。</w:t>
      </w:r>
    </w:p>
    <w:p w14:paraId="555046F6">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36.</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.3环境标志产品是指列入财政部和生态环境部公布的《关于印发环境标志产品政府采购品目清单的通知》（财库〔2019〕18号）《环境标志产品政府采购品目清单》中的产品。</w:t>
      </w:r>
    </w:p>
    <w:p w14:paraId="19EC91C8">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36.</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4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6BEF1C87">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36.</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5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p>
    <w:p w14:paraId="3A38C749">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36.</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关于采购本国产品：</w:t>
      </w:r>
    </w:p>
    <w:p w14:paraId="03D0AC66">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36.</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.1根据《国务院办公厅关于在政府采购中实施本国产品标准及相关政策的通知》（国办发〔2025〕34号）的规定，本国产品应当符合以下条件：</w:t>
      </w:r>
    </w:p>
    <w:p w14:paraId="0D90E48A">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（一）在中国境内生产</w:t>
      </w:r>
    </w:p>
    <w:p w14:paraId="5747684C">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产品应当在中国境内生产，即在中华人民共和国关境内实现从原材料、组件到产品的属性改变。</w:t>
      </w:r>
    </w:p>
    <w:p w14:paraId="6AE9711E">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属性改变是指经过制造、加工或者组装等工序，产生完全不同于原材料、组件的新产品，并具有新的名称和特征（用途）。属性改变不包括以下细微操作：</w:t>
      </w:r>
    </w:p>
    <w:p w14:paraId="53A7E88D">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1.为确保产品在运输或者储存期间保持某种状态而进行的操作；</w:t>
      </w:r>
    </w:p>
    <w:p w14:paraId="41107DCC">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2.为产品运输或者销售进行的包装或者展示；</w:t>
      </w:r>
    </w:p>
    <w:p w14:paraId="469C35E3">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3.在产品或者其包装上粘贴或者印刷品牌、标志、标识以及其他用于区别的标记；</w:t>
      </w:r>
    </w:p>
    <w:p w14:paraId="1F76DAA5">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4.简单的上漆、磨光和分装；</w:t>
      </w:r>
    </w:p>
    <w:p w14:paraId="204AD6A5">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5.其他不属于属性改变的情形。</w:t>
      </w:r>
    </w:p>
    <w:p w14:paraId="3B6E94C0">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（二）在中国境内生产的组件成本占比达到规定比例</w:t>
      </w:r>
    </w:p>
    <w:p w14:paraId="2DE3863F">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产品在中国境内生产的组件成本占比应当达到规定比例，计算公式为：</w:t>
      </w:r>
    </w:p>
    <w:p w14:paraId="65047E9D">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产品在中国境内生产的组件成本/产品总成本≥规定比例</w:t>
      </w:r>
    </w:p>
    <w:p w14:paraId="438758E6">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财政部会同有关行业主管部门，分产品确定在中国境内生产的组件成本占比应当达到的规定比例。在分产品的中国境内生产的组件成本占比相关要求实施前，符合</w:t>
      </w:r>
      <w:r>
        <w:rPr>
          <w:rFonts w:hint="eastAsia" w:ascii="宋体" w:hAnsi="宋体" w:cs="宋体"/>
          <w:color w:val="auto"/>
          <w:szCs w:val="21"/>
          <w:highlight w:val="none"/>
          <w:lang w:eastAsia="zh-CN"/>
        </w:rPr>
        <w:t>《国务院办公厅关于在政府采购中实施本国产品标准及相关政策的通知》（国办发〔2025〕34号）</w:t>
      </w:r>
      <w:r>
        <w:rPr>
          <w:rFonts w:hint="eastAsia" w:ascii="宋体" w:hAnsi="宋体" w:eastAsia="宋体" w:cs="宋体"/>
          <w:color w:val="auto"/>
          <w:szCs w:val="21"/>
          <w:highlight w:val="none"/>
        </w:rPr>
        <w:t>第一条第（一）项条件的产品在政府采购活动中视同本国产品。</w:t>
      </w:r>
    </w:p>
    <w:p w14:paraId="25FC4C12">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（三）特定产品的关键组件、关键工序符合相关要求</w:t>
      </w:r>
    </w:p>
    <w:p w14:paraId="486121CD">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对特定产品，在符合</w:t>
      </w:r>
      <w:r>
        <w:rPr>
          <w:rFonts w:hint="eastAsia" w:ascii="宋体" w:hAnsi="宋体" w:cs="宋体"/>
          <w:color w:val="auto"/>
          <w:szCs w:val="21"/>
          <w:highlight w:val="none"/>
          <w:lang w:eastAsia="zh-CN"/>
        </w:rPr>
        <w:t>《国务院办公厅关于在政府采购中实施本国产品标准及相关政策的通知》（国办发〔2025〕34号）</w:t>
      </w:r>
      <w:r>
        <w:rPr>
          <w:rFonts w:hint="eastAsia" w:ascii="宋体" w:hAnsi="宋体" w:eastAsia="宋体" w:cs="宋体"/>
          <w:color w:val="auto"/>
          <w:szCs w:val="21"/>
          <w:highlight w:val="none"/>
        </w:rPr>
        <w:t>第一条第（一）项和第（二）项条件的基础上，应当符合财政部会同有关行业主管部门确定的其关键组件、关键工序在中国境内生产、完成等要求。</w:t>
      </w:r>
    </w:p>
    <w:p w14:paraId="770A91FD">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36.</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.2本国产品标准的适用范围</w:t>
      </w:r>
    </w:p>
    <w:p w14:paraId="25D5C7BD">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53A1264">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36.</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.3对本国产品的支持政策</w:t>
      </w:r>
    </w:p>
    <w:p w14:paraId="55A2D84E">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政府采购活动中既有本国产品又有非本国产品参与竞争的，依法对本国产品给予价格评审优惠，对本国产品的报价给予20%的价格扣除，用扣除后的价格参与评审。</w:t>
      </w:r>
    </w:p>
    <w:p w14:paraId="70AA93C2">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p w14:paraId="3FB79217">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36.</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.4产品在中国境内生产的组件成本，按照《中国境内生产的组件成本核算基本规则》计算</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即：产品在中国境内生产的组件成本，一般按照其二级组件的相关成本进行核算。按照产品的一级组件进行成本核算能够满足中国境内生产的组件成本判定需求的，可以按照一级组件的相关成本进行核算。一、产品的一级组件是指直接组成产品的组件。产品的二级组件是指直接组成产品一级组件的组件。一级组件不可分解的，视同二级组件。二、二级组件在中国境内生产的，其全部成本计入中国境内生产的组件成本；二级组件不在中国境内生产的，其成本不计入中国境内生产的组件成本。三、产品总成本和组件成本以相关会计核算数据、采购合同、进货记录等为基础进行计算。四、需要对成本核算规则予以进一步明确的其他有关事项，由财政部会同有关部门另行规定。</w:t>
      </w:r>
    </w:p>
    <w:p w14:paraId="3992BCB3">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36.</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5投标人对其提供的产品出具《关于符合本国产品标准的声明函》（以下简称《声明函》）或财政部会同有关部门规定的有关证明文件。出具符合要求的《声明函》或有关证明文件的，该产品视为本国产品。投标人提供虚假《声明函》、虚假证明文件谋取中标的，依照《中华人民共和国政府采购法》等法律法规规定追究相应责任。</w:t>
      </w:r>
    </w:p>
    <w:p w14:paraId="27E3891E">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采购人、采购代理机构将随中标、成交结果同时公告中标</w:t>
      </w:r>
      <w:r>
        <w:rPr>
          <w:rFonts w:hint="eastAsia" w:ascii="宋体" w:hAnsi="宋体" w:cs="宋体"/>
          <w:color w:val="auto"/>
          <w:szCs w:val="21"/>
          <w:highlight w:val="none"/>
          <w:lang w:val="en-US" w:eastAsia="zh-CN"/>
        </w:rPr>
        <w:t>人</w:t>
      </w:r>
      <w:r>
        <w:rPr>
          <w:rFonts w:hint="eastAsia" w:ascii="宋体" w:hAnsi="宋体" w:eastAsia="宋体" w:cs="宋体"/>
          <w:color w:val="auto"/>
          <w:szCs w:val="21"/>
          <w:highlight w:val="none"/>
        </w:rPr>
        <w:t>提供的《声明函》或有关证明文件。</w:t>
      </w:r>
    </w:p>
    <w:p w14:paraId="4880FC6D">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rPr>
        <w:t>其它注意事项：以下情况视为</w:t>
      </w: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同意撤回已上传系统的</w:t>
      </w:r>
      <w:r>
        <w:rPr>
          <w:rFonts w:hint="eastAsia" w:ascii="宋体" w:hAnsi="宋体" w:eastAsia="宋体" w:cs="宋体"/>
          <w:color w:val="auto"/>
          <w:szCs w:val="21"/>
          <w:highlight w:val="none"/>
          <w:lang w:eastAsia="zh-CN"/>
        </w:rPr>
        <w:t>投标</w:t>
      </w:r>
      <w:r>
        <w:rPr>
          <w:rFonts w:hint="eastAsia" w:ascii="宋体" w:hAnsi="宋体" w:eastAsia="宋体" w:cs="宋体"/>
          <w:color w:val="auto"/>
          <w:szCs w:val="21"/>
          <w:highlight w:val="none"/>
        </w:rPr>
        <w:t>文件或其</w:t>
      </w:r>
      <w:r>
        <w:rPr>
          <w:rFonts w:hint="eastAsia" w:ascii="宋体" w:hAnsi="宋体" w:eastAsia="宋体" w:cs="宋体"/>
          <w:color w:val="auto"/>
          <w:szCs w:val="21"/>
          <w:highlight w:val="none"/>
          <w:lang w:eastAsia="zh-CN"/>
        </w:rPr>
        <w:t>投标</w:t>
      </w:r>
      <w:r>
        <w:rPr>
          <w:rFonts w:hint="eastAsia" w:ascii="宋体" w:hAnsi="宋体" w:eastAsia="宋体" w:cs="宋体"/>
          <w:color w:val="auto"/>
          <w:szCs w:val="21"/>
          <w:highlight w:val="none"/>
        </w:rPr>
        <w:t>文件无效：</w:t>
      </w:r>
    </w:p>
    <w:p w14:paraId="5CED66DA">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（1）政采云电子平台显示投标人未上传投标文件；</w:t>
      </w:r>
    </w:p>
    <w:p w14:paraId="4950E1CE">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（2）因投标人原因上传的投标文件在开启文件时无法解密。</w:t>
      </w:r>
    </w:p>
    <w:p w14:paraId="61FED2D9">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）因投标人自身原因导致未在规定时间内完成投标文件解密。</w:t>
      </w:r>
    </w:p>
    <w:p w14:paraId="13B2C90A">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Cs w:val="32"/>
          <w:highlight w:val="none"/>
        </w:rPr>
        <w:br w:type="page"/>
      </w:r>
    </w:p>
    <w:p w14:paraId="02A0BA8B">
      <w:pPr>
        <w:pStyle w:val="2"/>
        <w:pageBreakBefore w:val="0"/>
        <w:kinsoku/>
        <w:wordWrap/>
        <w:overflowPunct/>
        <w:topLinePunct w:val="0"/>
        <w:bidi w:val="0"/>
        <w:spacing w:before="0" w:after="0" w:line="480" w:lineRule="exact"/>
        <w:textAlignment w:val="auto"/>
        <w:rPr>
          <w:rFonts w:hint="eastAsia" w:ascii="宋体" w:hAnsi="宋体" w:eastAsia="宋体" w:cs="宋体"/>
          <w:color w:val="auto"/>
          <w:sz w:val="32"/>
          <w:szCs w:val="32"/>
          <w:highlight w:val="none"/>
          <w:lang w:eastAsia="zh-CN"/>
        </w:rPr>
      </w:pPr>
      <w:bookmarkStart w:id="43" w:name="_Toc32183"/>
      <w:r>
        <w:rPr>
          <w:rFonts w:hint="eastAsia" w:ascii="宋体" w:hAnsi="宋体" w:cs="宋体"/>
          <w:color w:val="auto"/>
          <w:sz w:val="32"/>
          <w:szCs w:val="32"/>
          <w:highlight w:val="none"/>
          <w:lang w:eastAsia="zh-CN"/>
        </w:rPr>
        <w:t>第三章政府采购合同专用条款及合同书样式</w:t>
      </w:r>
      <w:bookmarkEnd w:id="43"/>
    </w:p>
    <w:p w14:paraId="356126F6">
      <w:pPr>
        <w:pStyle w:val="3"/>
        <w:pageBreakBefore w:val="0"/>
        <w:kinsoku/>
        <w:wordWrap/>
        <w:overflowPunct/>
        <w:topLinePunct w:val="0"/>
        <w:bidi w:val="0"/>
        <w:spacing w:before="0" w:line="480" w:lineRule="exact"/>
        <w:jc w:val="center"/>
        <w:textAlignment w:val="auto"/>
        <w:rPr>
          <w:rFonts w:hint="eastAsia" w:ascii="宋体" w:hAnsi="宋体" w:eastAsia="宋体" w:cs="宋体"/>
          <w:color w:val="auto"/>
          <w:spacing w:val="0"/>
          <w:kern w:val="0"/>
          <w:sz w:val="28"/>
          <w:szCs w:val="28"/>
          <w:highlight w:val="none"/>
          <w:lang w:eastAsia="zh-CN"/>
        </w:rPr>
      </w:pPr>
      <w:bookmarkStart w:id="44" w:name="_Toc20855"/>
      <w:r>
        <w:rPr>
          <w:rFonts w:hint="eastAsia" w:ascii="宋体" w:hAnsi="宋体" w:cs="宋体"/>
          <w:color w:val="auto"/>
          <w:spacing w:val="0"/>
          <w:kern w:val="0"/>
          <w:sz w:val="28"/>
          <w:szCs w:val="28"/>
          <w:highlight w:val="none"/>
          <w:lang w:val="en-US" w:eastAsia="zh-CN"/>
        </w:rPr>
        <w:t>政府采购合同专用条款</w:t>
      </w:r>
      <w:bookmarkEnd w:id="44"/>
    </w:p>
    <w:tbl>
      <w:tblPr>
        <w:tblStyle w:val="47"/>
        <w:tblW w:w="88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8116"/>
      </w:tblGrid>
      <w:tr w14:paraId="156CB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91" w:type="dxa"/>
            <w:vAlign w:val="center"/>
          </w:tcPr>
          <w:p w14:paraId="286548EE">
            <w:pPr>
              <w:pStyle w:val="22"/>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8116" w:type="dxa"/>
            <w:vAlign w:val="center"/>
          </w:tcPr>
          <w:p w14:paraId="40C5756F">
            <w:pPr>
              <w:pStyle w:val="22"/>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Cs w:val="21"/>
                <w:highlight w:val="none"/>
                <w:lang w:eastAsia="zh-CN"/>
              </w:rPr>
              <w:t>商务条款</w:t>
            </w:r>
          </w:p>
        </w:tc>
      </w:tr>
      <w:tr w14:paraId="05241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jc w:val="center"/>
        </w:trPr>
        <w:tc>
          <w:tcPr>
            <w:tcW w:w="691" w:type="dxa"/>
            <w:vAlign w:val="center"/>
          </w:tcPr>
          <w:p w14:paraId="1E52A161">
            <w:pPr>
              <w:pStyle w:val="22"/>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8116" w:type="dxa"/>
            <w:vAlign w:val="center"/>
          </w:tcPr>
          <w:p w14:paraId="7855EDF9">
            <w:pPr>
              <w:pStyle w:val="22"/>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项目实施期限、项目实施地点</w:t>
            </w:r>
          </w:p>
          <w:p w14:paraId="537B6B63">
            <w:pPr>
              <w:pStyle w:val="22"/>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1.项目实施期限：</w:t>
            </w:r>
            <w:r>
              <w:rPr>
                <w:rFonts w:hint="eastAsia" w:ascii="宋体" w:hAnsi="宋体" w:cs="宋体"/>
                <w:color w:val="auto"/>
                <w:szCs w:val="21"/>
                <w:highlight w:val="none"/>
                <w:lang w:eastAsia="zh-CN"/>
              </w:rPr>
              <w:t>合同签订后</w:t>
            </w:r>
            <w:r>
              <w:rPr>
                <w:rFonts w:hint="eastAsia" w:ascii="宋体" w:hAnsi="宋体" w:cs="宋体"/>
                <w:color w:val="auto"/>
                <w:szCs w:val="21"/>
                <w:highlight w:val="none"/>
                <w:lang w:val="en-US" w:eastAsia="zh-CN"/>
              </w:rPr>
              <w:t>15</w:t>
            </w:r>
            <w:r>
              <w:rPr>
                <w:rFonts w:hint="eastAsia" w:ascii="宋体" w:hAnsi="宋体" w:cs="宋体"/>
                <w:color w:val="auto"/>
                <w:szCs w:val="21"/>
                <w:highlight w:val="none"/>
                <w:lang w:eastAsia="zh-CN"/>
              </w:rPr>
              <w:t>天内完成供货</w:t>
            </w:r>
            <w:r>
              <w:rPr>
                <w:rFonts w:hint="eastAsia" w:ascii="宋体" w:hAnsi="宋体" w:cs="宋体"/>
                <w:color w:val="auto"/>
                <w:szCs w:val="21"/>
                <w:highlight w:val="none"/>
                <w:lang w:val="en-US" w:eastAsia="zh-CN"/>
              </w:rPr>
              <w:t>及安装调试工作</w:t>
            </w:r>
            <w:r>
              <w:rPr>
                <w:rFonts w:hint="eastAsia" w:ascii="宋体" w:hAnsi="宋体" w:cs="宋体"/>
                <w:color w:val="auto"/>
                <w:szCs w:val="21"/>
                <w:highlight w:val="none"/>
                <w:lang w:eastAsia="zh-CN"/>
              </w:rPr>
              <w:t>，投标人可在规定的时限内自报最短交货期，若采购人有分批次供货要求的，投标人按照采购人的要求执行</w:t>
            </w:r>
            <w:r>
              <w:rPr>
                <w:rFonts w:hint="eastAsia" w:ascii="宋体" w:hAnsi="宋体" w:eastAsia="宋体" w:cs="宋体"/>
                <w:color w:val="auto"/>
                <w:sz w:val="21"/>
                <w:szCs w:val="21"/>
                <w:highlight w:val="none"/>
                <w:lang w:eastAsia="zh-CN"/>
              </w:rPr>
              <w:t>。</w:t>
            </w:r>
          </w:p>
          <w:p w14:paraId="71B4A064">
            <w:pPr>
              <w:pStyle w:val="22"/>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2.项目实施地点：</w:t>
            </w:r>
            <w:r>
              <w:rPr>
                <w:rFonts w:hint="eastAsia" w:hAnsi="宋体" w:cs="宋体"/>
                <w:color w:val="auto"/>
                <w:sz w:val="21"/>
                <w:szCs w:val="21"/>
                <w:highlight w:val="none"/>
                <w:lang w:eastAsia="zh-CN"/>
              </w:rPr>
              <w:t>怒江州民族中等专业学校指定地点</w:t>
            </w:r>
            <w:r>
              <w:rPr>
                <w:rFonts w:hint="eastAsia" w:ascii="宋体" w:hAnsi="宋体" w:eastAsia="宋体" w:cs="宋体"/>
                <w:color w:val="auto"/>
                <w:sz w:val="21"/>
                <w:szCs w:val="21"/>
                <w:highlight w:val="none"/>
                <w:lang w:eastAsia="zh-CN"/>
              </w:rPr>
              <w:t>。</w:t>
            </w:r>
          </w:p>
        </w:tc>
      </w:tr>
      <w:tr w14:paraId="22126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691" w:type="dxa"/>
            <w:vAlign w:val="center"/>
          </w:tcPr>
          <w:p w14:paraId="28DF55CF">
            <w:pPr>
              <w:pStyle w:val="22"/>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p>
        </w:tc>
        <w:tc>
          <w:tcPr>
            <w:tcW w:w="8116" w:type="dxa"/>
            <w:vAlign w:val="center"/>
          </w:tcPr>
          <w:p w14:paraId="445A2F88">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质保期：</w:t>
            </w:r>
          </w:p>
          <w:p w14:paraId="45B56119">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textAlignment w:val="auto"/>
              <w:rPr>
                <w:rFonts w:hint="eastAsia" w:ascii="宋体" w:hAnsi="宋体" w:eastAsia="宋体" w:cs="宋体"/>
                <w:color w:val="auto"/>
                <w:sz w:val="21"/>
                <w:szCs w:val="21"/>
                <w:highlight w:val="none"/>
                <w:u w:val="none"/>
                <w:lang w:val="en-US" w:eastAsia="zh-CN"/>
              </w:rPr>
            </w:pPr>
            <w:r>
              <w:rPr>
                <w:rFonts w:hint="eastAsia" w:ascii="宋体" w:hAnsi="宋体" w:cs="宋体"/>
                <w:color w:val="auto"/>
                <w:sz w:val="21"/>
                <w:szCs w:val="21"/>
                <w:highlight w:val="none"/>
                <w:u w:val="none"/>
                <w:lang w:val="en-US" w:eastAsia="zh-CN"/>
              </w:rPr>
              <w:t>本项目产品质保期为双方在《产品到货验收单》上签字确认起</w:t>
            </w:r>
            <w:r>
              <w:rPr>
                <w:rFonts w:hint="eastAsia" w:ascii="宋体" w:hAnsi="宋体" w:eastAsia="宋体" w:cs="宋体"/>
                <w:color w:val="auto"/>
                <w:sz w:val="21"/>
                <w:szCs w:val="21"/>
                <w:highlight w:val="none"/>
                <w:u w:val="none"/>
                <w:lang w:val="en-US" w:eastAsia="zh-CN"/>
              </w:rPr>
              <w:t>三年。</w:t>
            </w:r>
            <w:r>
              <w:rPr>
                <w:rFonts w:hint="eastAsia" w:ascii="宋体" w:hAnsi="宋体" w:cs="宋体"/>
                <w:color w:val="auto"/>
                <w:sz w:val="21"/>
                <w:szCs w:val="21"/>
                <w:highlight w:val="none"/>
                <w:u w:val="none"/>
                <w:lang w:val="en-US" w:eastAsia="zh-CN"/>
              </w:rPr>
              <w:t>在质保期内，产品出现质量问题，乙方应当在甲方通知之日起1日内给予回复，采购单位有权要求乙方无条件换货。</w:t>
            </w:r>
          </w:p>
        </w:tc>
      </w:tr>
      <w:tr w14:paraId="4C1E2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91" w:type="dxa"/>
            <w:vAlign w:val="center"/>
          </w:tcPr>
          <w:p w14:paraId="21D2DDAA">
            <w:pPr>
              <w:pStyle w:val="22"/>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8116" w:type="dxa"/>
            <w:vAlign w:val="center"/>
          </w:tcPr>
          <w:p w14:paraId="6DACCCDF">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售</w:t>
            </w:r>
            <w:r>
              <w:rPr>
                <w:rFonts w:hint="eastAsia" w:ascii="宋体" w:hAnsi="宋体" w:eastAsia="宋体" w:cs="宋体"/>
                <w:color w:val="auto"/>
                <w:sz w:val="21"/>
                <w:szCs w:val="21"/>
                <w:highlight w:val="none"/>
                <w:u w:val="none"/>
                <w:lang w:val="en-US" w:eastAsia="zh-CN"/>
              </w:rPr>
              <w:t>后服务：</w:t>
            </w:r>
          </w:p>
          <w:p w14:paraId="5BC95A26">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1.质保期为验收合格移交后不少于三年，在质保期内，乙方应对货物出现的质量及安全问题负责处理解决并承担一切费用。</w:t>
            </w:r>
          </w:p>
          <w:p w14:paraId="42A4E266">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2.采购项目由于运输造成损坏的，由乙方免费更换。 </w:t>
            </w:r>
          </w:p>
          <w:p w14:paraId="38C616AD">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3.乙方需向甲方提供项目的验收和送达签收单据。 </w:t>
            </w:r>
            <w:r>
              <w:rPr>
                <w:rFonts w:hint="eastAsia" w:ascii="宋体" w:hAnsi="宋体" w:eastAsia="宋体" w:cs="宋体"/>
                <w:color w:val="auto"/>
                <w:sz w:val="21"/>
                <w:szCs w:val="21"/>
                <w:highlight w:val="none"/>
                <w:u w:val="none"/>
                <w:lang w:val="en-US" w:eastAsia="zh-CN"/>
              </w:rPr>
              <w:tab/>
            </w:r>
            <w:r>
              <w:rPr>
                <w:rFonts w:hint="eastAsia" w:ascii="宋体" w:hAnsi="宋体" w:eastAsia="宋体" w:cs="宋体"/>
                <w:color w:val="auto"/>
                <w:sz w:val="21"/>
                <w:szCs w:val="21"/>
                <w:highlight w:val="none"/>
                <w:u w:val="none"/>
                <w:lang w:val="en-US" w:eastAsia="zh-CN"/>
              </w:rPr>
              <w:tab/>
            </w:r>
            <w:r>
              <w:rPr>
                <w:rFonts w:hint="eastAsia" w:ascii="宋体" w:hAnsi="宋体" w:eastAsia="宋体" w:cs="宋体"/>
                <w:color w:val="auto"/>
                <w:sz w:val="21"/>
                <w:szCs w:val="21"/>
                <w:highlight w:val="none"/>
                <w:u w:val="none"/>
                <w:lang w:val="en-US" w:eastAsia="zh-CN"/>
              </w:rPr>
              <w:tab/>
            </w:r>
            <w:r>
              <w:rPr>
                <w:rFonts w:hint="eastAsia" w:ascii="宋体" w:hAnsi="宋体" w:eastAsia="宋体" w:cs="宋体"/>
                <w:color w:val="auto"/>
                <w:sz w:val="21"/>
                <w:szCs w:val="21"/>
                <w:highlight w:val="none"/>
                <w:u w:val="none"/>
                <w:lang w:val="en-US" w:eastAsia="zh-CN"/>
              </w:rPr>
              <w:tab/>
            </w:r>
            <w:r>
              <w:rPr>
                <w:rFonts w:hint="eastAsia" w:ascii="宋体" w:hAnsi="宋体" w:eastAsia="宋体" w:cs="宋体"/>
                <w:color w:val="auto"/>
                <w:sz w:val="21"/>
                <w:szCs w:val="21"/>
                <w:highlight w:val="none"/>
                <w:u w:val="none"/>
                <w:lang w:val="en-US" w:eastAsia="zh-CN"/>
              </w:rPr>
              <w:tab/>
            </w:r>
          </w:p>
          <w:p w14:paraId="71405658">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4.质保期内出现需因质量或尺寸问题需要修改或调换等非人为原因问题，乙方应无条件免费修改或更换。 </w:t>
            </w:r>
          </w:p>
          <w:p w14:paraId="19DFFC5C">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5.乙方接到甲方质量问题反馈时，乙方应当在甲方通知之日起1日内给予回复，并根据实际情况及时进行处理。</w:t>
            </w:r>
          </w:p>
        </w:tc>
      </w:tr>
      <w:tr w14:paraId="17049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91" w:type="dxa"/>
            <w:vAlign w:val="center"/>
          </w:tcPr>
          <w:p w14:paraId="3512E8E8">
            <w:pPr>
              <w:pStyle w:val="22"/>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r>
              <w:rPr>
                <w:rFonts w:hint="eastAsia" w:hAnsi="宋体" w:cs="宋体"/>
                <w:color w:val="auto"/>
                <w:sz w:val="21"/>
                <w:szCs w:val="21"/>
                <w:highlight w:val="none"/>
                <w:lang w:val="en-US" w:eastAsia="zh-CN"/>
              </w:rPr>
              <w:t>4</w:t>
            </w:r>
          </w:p>
        </w:tc>
        <w:tc>
          <w:tcPr>
            <w:tcW w:w="8116" w:type="dxa"/>
            <w:vAlign w:val="center"/>
          </w:tcPr>
          <w:p w14:paraId="1BD3B597">
            <w:pPr>
              <w:pStyle w:val="22"/>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付款方式：</w:t>
            </w:r>
            <w:r>
              <w:rPr>
                <w:rFonts w:hint="eastAsia" w:hAnsi="宋体" w:cs="宋体"/>
                <w:color w:val="auto"/>
                <w:kern w:val="2"/>
                <w:sz w:val="21"/>
                <w:szCs w:val="21"/>
                <w:highlight w:val="none"/>
                <w:lang w:val="en-US" w:eastAsia="zh-CN" w:bidi="ar-SA"/>
              </w:rPr>
              <w:t>签订合同时双方约定</w:t>
            </w:r>
            <w:r>
              <w:rPr>
                <w:rFonts w:hint="eastAsia" w:ascii="宋体" w:hAnsi="宋体" w:eastAsia="宋体" w:cs="宋体"/>
                <w:color w:val="auto"/>
                <w:kern w:val="2"/>
                <w:sz w:val="21"/>
                <w:szCs w:val="21"/>
                <w:highlight w:val="none"/>
                <w:lang w:val="en-US" w:eastAsia="zh-CN" w:bidi="ar-SA"/>
              </w:rPr>
              <w:t>。</w:t>
            </w:r>
          </w:p>
        </w:tc>
      </w:tr>
      <w:tr w14:paraId="10940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691" w:type="dxa"/>
            <w:vAlign w:val="center"/>
          </w:tcPr>
          <w:p w14:paraId="371E06F7">
            <w:pPr>
              <w:pStyle w:val="22"/>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r>
              <w:rPr>
                <w:rFonts w:hint="eastAsia" w:hAnsi="宋体" w:cs="宋体"/>
                <w:color w:val="auto"/>
                <w:sz w:val="21"/>
                <w:szCs w:val="21"/>
                <w:highlight w:val="none"/>
                <w:lang w:val="en-US" w:eastAsia="zh-CN"/>
              </w:rPr>
              <w:t>5</w:t>
            </w:r>
          </w:p>
        </w:tc>
        <w:tc>
          <w:tcPr>
            <w:tcW w:w="8116" w:type="dxa"/>
            <w:vAlign w:val="center"/>
          </w:tcPr>
          <w:p w14:paraId="5B6ABF31">
            <w:pPr>
              <w:pStyle w:val="22"/>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验收及验收标准：</w:t>
            </w:r>
          </w:p>
          <w:p w14:paraId="43589BF5">
            <w:pPr>
              <w:pStyle w:val="22"/>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乙方应严格执行合同约定的供货周期，保质、保量的完成产品的供货。全部货物到达甲方指定地点后，</w:t>
            </w:r>
            <w:r>
              <w:rPr>
                <w:rFonts w:hint="eastAsia" w:hAnsi="宋体" w:cs="宋体"/>
                <w:color w:val="auto"/>
                <w:sz w:val="21"/>
                <w:szCs w:val="21"/>
                <w:highlight w:val="none"/>
                <w:lang w:val="en-US" w:eastAsia="zh-CN"/>
              </w:rPr>
              <w:t>甲方组建验收小组对产品进行验收，产品验收合格的</w:t>
            </w:r>
            <w:r>
              <w:rPr>
                <w:rFonts w:hint="eastAsia" w:ascii="宋体" w:hAnsi="宋体" w:eastAsia="宋体" w:cs="宋体"/>
                <w:color w:val="auto"/>
                <w:sz w:val="21"/>
                <w:szCs w:val="21"/>
                <w:highlight w:val="none"/>
                <w:lang w:val="en-US" w:eastAsia="zh-CN"/>
              </w:rPr>
              <w:t>，双方签署《产品到货验收单》；若出现产品品类、规格、数量等与合同约定不一致，或有质量缺陷的，甲方有权要求乙方在规定时间内无条件更换、补足或退货，由此产生的费用由乙方承担，因此延误交货期的，乙方承担相应的违约责任。</w:t>
            </w:r>
          </w:p>
        </w:tc>
      </w:tr>
      <w:tr w14:paraId="56465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1" w:type="dxa"/>
            <w:vAlign w:val="center"/>
          </w:tcPr>
          <w:p w14:paraId="34D615C4">
            <w:pPr>
              <w:pStyle w:val="22"/>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r>
              <w:rPr>
                <w:rFonts w:hint="eastAsia" w:hAnsi="宋体" w:cs="宋体"/>
                <w:color w:val="auto"/>
                <w:sz w:val="21"/>
                <w:szCs w:val="21"/>
                <w:highlight w:val="none"/>
                <w:lang w:val="en-US" w:eastAsia="zh-CN"/>
              </w:rPr>
              <w:t>6</w:t>
            </w:r>
          </w:p>
        </w:tc>
        <w:tc>
          <w:tcPr>
            <w:tcW w:w="8116" w:type="dxa"/>
            <w:vAlign w:val="center"/>
          </w:tcPr>
          <w:p w14:paraId="47EAE65A">
            <w:pPr>
              <w:pStyle w:val="22"/>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违约责任：</w:t>
            </w:r>
          </w:p>
          <w:p w14:paraId="19081467">
            <w:pPr>
              <w:pStyle w:val="22"/>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除发生不可抗力事实外，乙方交付产品与合同标准不相符合的，甲方有权拒绝验收；乙方有以下情形之一，视为违约，甲方有权解除合同，如果乙方已经收取费用的，已经收取的费用应退还甲方，并且乙方除承担本合同总额10%的违约责任外，给甲方造成损失的，还应当赔偿甲方的损失。（1）未经甲方同意，乙方将本合同项下的权利和义务部分或全部转让给第三人，或随意变更项目负责人的；（2）乙方逾期向甲方交付产品每日偿付合同总额千分之一的违约金，且逾期交付超过30个日历天的；（3）乙方所提供的产品质量等不符合双方合同约定，经甲方提出整改后仍未达到甲方要求的；（4）乙方违反合同或法律法规规定其他义务的。</w:t>
            </w:r>
          </w:p>
          <w:p w14:paraId="70F5995E">
            <w:pPr>
              <w:pStyle w:val="22"/>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2.甲方有权拒付合同价款以外的其他任何费用，乙方有权要求甲方承担逾期支付资金的违约责任。因乙方违约导致甲方因诉讼、维权而产生的立案费、律师费、交通费、保全费等均由乙方负责。</w:t>
            </w:r>
          </w:p>
        </w:tc>
      </w:tr>
    </w:tbl>
    <w:p w14:paraId="749F1579">
      <w:pPr>
        <w:rPr>
          <w:rFonts w:hint="eastAsia" w:ascii="宋体" w:hAnsi="宋体" w:eastAsia="宋体" w:cs="宋体"/>
          <w:color w:val="auto"/>
          <w:spacing w:val="0"/>
          <w:kern w:val="0"/>
          <w:sz w:val="28"/>
          <w:szCs w:val="28"/>
          <w:highlight w:val="none"/>
          <w:lang w:eastAsia="zh-CN"/>
        </w:rPr>
      </w:pPr>
      <w:r>
        <w:rPr>
          <w:rFonts w:hint="eastAsia" w:ascii="宋体" w:hAnsi="宋体" w:eastAsia="宋体" w:cs="宋体"/>
          <w:color w:val="auto"/>
          <w:spacing w:val="0"/>
          <w:kern w:val="0"/>
          <w:sz w:val="28"/>
          <w:szCs w:val="28"/>
          <w:highlight w:val="none"/>
          <w:lang w:eastAsia="zh-CN"/>
        </w:rPr>
        <w:br w:type="page"/>
      </w:r>
    </w:p>
    <w:p w14:paraId="35E005D8">
      <w:pPr>
        <w:keepNext w:val="0"/>
        <w:keepLines w:val="0"/>
        <w:widowControl/>
        <w:suppressLineNumbers w:val="0"/>
        <w:jc w:val="both"/>
        <w:rPr>
          <w:rFonts w:hint="eastAsia" w:ascii="宋体" w:hAnsi="宋体" w:eastAsia="宋体" w:cs="宋体"/>
          <w:color w:val="auto"/>
          <w:kern w:val="0"/>
          <w:sz w:val="50"/>
          <w:szCs w:val="50"/>
          <w:highlight w:val="none"/>
          <w:lang w:val="en-US" w:eastAsia="zh-CN" w:bidi="ar"/>
        </w:rPr>
      </w:pPr>
    </w:p>
    <w:p w14:paraId="4625DF55">
      <w:pPr>
        <w:keepNext w:val="0"/>
        <w:keepLines w:val="0"/>
        <w:widowControl/>
        <w:suppressLineNumbers w:val="0"/>
        <w:jc w:val="center"/>
        <w:rPr>
          <w:rFonts w:hint="eastAsia" w:ascii="宋体" w:hAnsi="宋体" w:eastAsia="宋体" w:cs="宋体"/>
          <w:color w:val="auto"/>
          <w:kern w:val="0"/>
          <w:sz w:val="50"/>
          <w:szCs w:val="50"/>
          <w:highlight w:val="none"/>
          <w:lang w:val="en-US" w:eastAsia="zh-CN" w:bidi="ar"/>
        </w:rPr>
      </w:pPr>
    </w:p>
    <w:p w14:paraId="321BED7E">
      <w:pPr>
        <w:keepNext w:val="0"/>
        <w:keepLines w:val="0"/>
        <w:widowControl/>
        <w:suppressLineNumbers w:val="0"/>
        <w:jc w:val="center"/>
        <w:rPr>
          <w:rFonts w:hint="eastAsia" w:ascii="宋体" w:hAnsi="宋体" w:eastAsia="宋体" w:cs="宋体"/>
          <w:color w:val="auto"/>
          <w:highlight w:val="none"/>
        </w:rPr>
      </w:pPr>
      <w:r>
        <w:rPr>
          <w:rFonts w:hint="eastAsia" w:ascii="宋体" w:hAnsi="宋体" w:eastAsia="宋体" w:cs="宋体"/>
          <w:color w:val="auto"/>
          <w:kern w:val="0"/>
          <w:sz w:val="50"/>
          <w:szCs w:val="50"/>
          <w:highlight w:val="none"/>
          <w:lang w:val="en-US" w:eastAsia="zh-CN" w:bidi="ar"/>
        </w:rPr>
        <w:t>政府采购合同</w:t>
      </w:r>
    </w:p>
    <w:p w14:paraId="2AF95FE6">
      <w:pPr>
        <w:keepNext w:val="0"/>
        <w:keepLines w:val="0"/>
        <w:widowControl/>
        <w:suppressLineNumbers w:val="0"/>
        <w:jc w:val="center"/>
        <w:rPr>
          <w:rFonts w:hint="eastAsia" w:ascii="宋体" w:hAnsi="宋体" w:eastAsia="宋体" w:cs="宋体"/>
          <w:color w:val="auto"/>
          <w:kern w:val="0"/>
          <w:sz w:val="24"/>
          <w:szCs w:val="24"/>
          <w:highlight w:val="none"/>
          <w:lang w:val="en-US" w:eastAsia="zh-CN" w:bidi="ar"/>
        </w:rPr>
      </w:pPr>
    </w:p>
    <w:p w14:paraId="5B4CD07A">
      <w:pPr>
        <w:keepNext w:val="0"/>
        <w:keepLines w:val="0"/>
        <w:widowControl/>
        <w:suppressLineNumbers w:val="0"/>
        <w:jc w:val="center"/>
        <w:rPr>
          <w:rFonts w:hint="eastAsia" w:ascii="宋体" w:hAnsi="宋体" w:eastAsia="宋体" w:cs="宋体"/>
          <w:color w:val="auto"/>
          <w:kern w:val="0"/>
          <w:sz w:val="24"/>
          <w:szCs w:val="24"/>
          <w:highlight w:val="none"/>
          <w:lang w:val="en-US" w:eastAsia="zh-CN" w:bidi="ar"/>
        </w:rPr>
      </w:pPr>
    </w:p>
    <w:p w14:paraId="7713DB2D">
      <w:pPr>
        <w:keepNext w:val="0"/>
        <w:keepLines w:val="0"/>
        <w:widowControl/>
        <w:suppressLineNumbers w:val="0"/>
        <w:spacing w:line="360" w:lineRule="auto"/>
        <w:ind w:firstLine="960" w:firstLineChars="400"/>
        <w:jc w:val="left"/>
        <w:rPr>
          <w:rFonts w:hint="eastAsia" w:ascii="宋体" w:hAnsi="宋体" w:eastAsia="宋体" w:cs="宋体"/>
          <w:color w:val="auto"/>
          <w:kern w:val="0"/>
          <w:sz w:val="24"/>
          <w:szCs w:val="24"/>
          <w:highlight w:val="none"/>
          <w:lang w:val="en-US" w:eastAsia="zh-CN" w:bidi="ar"/>
        </w:rPr>
      </w:pPr>
    </w:p>
    <w:p w14:paraId="7B062102">
      <w:pPr>
        <w:keepNext w:val="0"/>
        <w:keepLines w:val="0"/>
        <w:widowControl/>
        <w:suppressLineNumbers w:val="0"/>
        <w:spacing w:line="360" w:lineRule="auto"/>
        <w:ind w:firstLine="960" w:firstLineChars="400"/>
        <w:jc w:val="left"/>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lang w:val="en-US" w:eastAsia="zh-CN" w:bidi="ar"/>
        </w:rPr>
        <w:t>项目名称：</w:t>
      </w:r>
      <w:r>
        <w:rPr>
          <w:rFonts w:hint="eastAsia" w:ascii="宋体" w:hAnsi="宋体" w:cs="宋体"/>
          <w:color w:val="auto"/>
          <w:kern w:val="0"/>
          <w:sz w:val="24"/>
          <w:szCs w:val="24"/>
          <w:highlight w:val="none"/>
          <w:lang w:val="en-US" w:eastAsia="zh-CN" w:bidi="ar"/>
        </w:rPr>
        <w:t>怒江职业技术学院建筑材料智能检测实训基地建设项目</w:t>
      </w:r>
    </w:p>
    <w:p w14:paraId="7C658051">
      <w:pPr>
        <w:keepNext w:val="0"/>
        <w:keepLines w:val="0"/>
        <w:widowControl/>
        <w:suppressLineNumbers w:val="0"/>
        <w:spacing w:line="360" w:lineRule="auto"/>
        <w:jc w:val="left"/>
        <w:rPr>
          <w:rFonts w:hint="eastAsia" w:ascii="宋体" w:hAnsi="宋体" w:eastAsia="宋体" w:cs="宋体"/>
          <w:color w:val="auto"/>
          <w:kern w:val="0"/>
          <w:sz w:val="24"/>
          <w:szCs w:val="24"/>
          <w:highlight w:val="none"/>
          <w:lang w:val="en-US" w:eastAsia="zh-CN" w:bidi="ar"/>
        </w:rPr>
      </w:pPr>
    </w:p>
    <w:p w14:paraId="139205F2">
      <w:pPr>
        <w:keepNext w:val="0"/>
        <w:keepLines w:val="0"/>
        <w:widowControl/>
        <w:suppressLineNumbers w:val="0"/>
        <w:spacing w:line="360" w:lineRule="auto"/>
        <w:jc w:val="left"/>
        <w:rPr>
          <w:rFonts w:hint="eastAsia" w:ascii="宋体" w:hAnsi="宋体" w:eastAsia="宋体" w:cs="宋体"/>
          <w:color w:val="auto"/>
          <w:kern w:val="0"/>
          <w:sz w:val="24"/>
          <w:szCs w:val="24"/>
          <w:highlight w:val="none"/>
          <w:lang w:val="en-US" w:eastAsia="zh-CN" w:bidi="ar"/>
        </w:rPr>
      </w:pPr>
    </w:p>
    <w:p w14:paraId="2F02FF32">
      <w:pPr>
        <w:keepNext w:val="0"/>
        <w:keepLines w:val="0"/>
        <w:widowControl/>
        <w:suppressLineNumbers w:val="0"/>
        <w:spacing w:line="360" w:lineRule="auto"/>
        <w:ind w:firstLine="960" w:firstLineChars="40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合同编号：（自编号，如有）</w:t>
      </w:r>
    </w:p>
    <w:p w14:paraId="5A774F88">
      <w:pPr>
        <w:keepNext w:val="0"/>
        <w:keepLines w:val="0"/>
        <w:widowControl/>
        <w:suppressLineNumbers w:val="0"/>
        <w:spacing w:line="360" w:lineRule="auto"/>
        <w:jc w:val="left"/>
        <w:rPr>
          <w:rFonts w:hint="eastAsia" w:ascii="宋体" w:hAnsi="宋体" w:eastAsia="宋体" w:cs="宋体"/>
          <w:color w:val="auto"/>
          <w:kern w:val="0"/>
          <w:sz w:val="24"/>
          <w:szCs w:val="24"/>
          <w:highlight w:val="none"/>
          <w:lang w:val="en-US" w:eastAsia="zh-CN" w:bidi="ar"/>
        </w:rPr>
      </w:pPr>
    </w:p>
    <w:p w14:paraId="18425B05">
      <w:pPr>
        <w:keepNext w:val="0"/>
        <w:keepLines w:val="0"/>
        <w:widowControl/>
        <w:suppressLineNumbers w:val="0"/>
        <w:spacing w:line="360" w:lineRule="auto"/>
        <w:jc w:val="left"/>
        <w:rPr>
          <w:rFonts w:hint="eastAsia" w:ascii="宋体" w:hAnsi="宋体" w:eastAsia="宋体" w:cs="宋体"/>
          <w:color w:val="auto"/>
          <w:kern w:val="0"/>
          <w:sz w:val="24"/>
          <w:szCs w:val="24"/>
          <w:highlight w:val="none"/>
          <w:lang w:val="en-US" w:eastAsia="zh-CN" w:bidi="ar"/>
        </w:rPr>
      </w:pPr>
    </w:p>
    <w:p w14:paraId="64D12A6E">
      <w:pPr>
        <w:keepNext w:val="0"/>
        <w:keepLines w:val="0"/>
        <w:widowControl/>
        <w:suppressLineNumbers w:val="0"/>
        <w:spacing w:line="360" w:lineRule="auto"/>
        <w:ind w:firstLine="960" w:firstLineChars="400"/>
        <w:jc w:val="left"/>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lang w:val="en-US" w:eastAsia="zh-CN" w:bidi="ar"/>
        </w:rPr>
        <w:t>甲方：</w:t>
      </w:r>
      <w:r>
        <w:rPr>
          <w:rFonts w:hint="eastAsia" w:ascii="宋体" w:hAnsi="宋体" w:cs="宋体"/>
          <w:color w:val="auto"/>
          <w:kern w:val="0"/>
          <w:sz w:val="24"/>
          <w:szCs w:val="24"/>
          <w:highlight w:val="none"/>
          <w:lang w:val="en-US" w:eastAsia="zh-CN" w:bidi="ar"/>
        </w:rPr>
        <w:t>怒江州民族中等专业学校</w:t>
      </w:r>
    </w:p>
    <w:p w14:paraId="7E5BE3B3">
      <w:pPr>
        <w:keepNext w:val="0"/>
        <w:keepLines w:val="0"/>
        <w:widowControl/>
        <w:suppressLineNumbers w:val="0"/>
        <w:spacing w:line="360" w:lineRule="auto"/>
        <w:jc w:val="left"/>
        <w:rPr>
          <w:rFonts w:hint="eastAsia" w:ascii="宋体" w:hAnsi="宋体" w:eastAsia="宋体" w:cs="宋体"/>
          <w:color w:val="auto"/>
          <w:kern w:val="0"/>
          <w:sz w:val="24"/>
          <w:szCs w:val="24"/>
          <w:highlight w:val="none"/>
          <w:lang w:val="en-US" w:eastAsia="zh-CN" w:bidi="ar"/>
        </w:rPr>
      </w:pPr>
    </w:p>
    <w:p w14:paraId="0ACCCBEF">
      <w:pPr>
        <w:keepNext w:val="0"/>
        <w:keepLines w:val="0"/>
        <w:widowControl/>
        <w:suppressLineNumbers w:val="0"/>
        <w:spacing w:line="360" w:lineRule="auto"/>
        <w:jc w:val="left"/>
        <w:rPr>
          <w:rFonts w:hint="eastAsia" w:ascii="宋体" w:hAnsi="宋体" w:eastAsia="宋体" w:cs="宋体"/>
          <w:color w:val="auto"/>
          <w:kern w:val="0"/>
          <w:sz w:val="24"/>
          <w:szCs w:val="24"/>
          <w:highlight w:val="none"/>
          <w:lang w:val="en-US" w:eastAsia="zh-CN" w:bidi="ar"/>
        </w:rPr>
      </w:pPr>
    </w:p>
    <w:p w14:paraId="7FF9E819">
      <w:pPr>
        <w:keepNext w:val="0"/>
        <w:keepLines w:val="0"/>
        <w:widowControl/>
        <w:suppressLineNumbers w:val="0"/>
        <w:spacing w:line="360" w:lineRule="auto"/>
        <w:ind w:firstLine="960" w:firstLineChars="400"/>
        <w:jc w:val="left"/>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lang w:val="en-US" w:eastAsia="zh-CN" w:bidi="ar"/>
        </w:rPr>
        <w:t>乙方：</w:t>
      </w:r>
    </w:p>
    <w:p w14:paraId="0278AC04">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r>
    </w:p>
    <w:p w14:paraId="43056C15">
      <w:pPr>
        <w:rPr>
          <w:rFonts w:hint="eastAsia"/>
          <w:color w:val="auto"/>
          <w:highlight w:val="none"/>
        </w:rPr>
      </w:pPr>
    </w:p>
    <w:p w14:paraId="1E09B14D">
      <w:pPr>
        <w:spacing w:line="48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甲方（采购人公章）名称：</w:t>
      </w:r>
      <w:r>
        <w:rPr>
          <w:rFonts w:hint="eastAsia" w:ascii="宋体" w:hAnsi="宋体" w:cs="宋体"/>
          <w:color w:val="auto"/>
          <w:highlight w:val="none"/>
          <w:lang w:val="en-US" w:eastAsia="zh-CN"/>
        </w:rPr>
        <w:t>怒江州民族中等专业学校</w:t>
      </w:r>
    </w:p>
    <w:p w14:paraId="50D5FECD">
      <w:pPr>
        <w:spacing w:line="48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地址：</w:t>
      </w:r>
    </w:p>
    <w:p w14:paraId="60BF1E3F">
      <w:pPr>
        <w:spacing w:line="48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邮编：</w:t>
      </w:r>
    </w:p>
    <w:p w14:paraId="76DDD2F3">
      <w:pPr>
        <w:spacing w:line="48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法定代表人或委托代理人：</w:t>
      </w:r>
    </w:p>
    <w:p w14:paraId="74A9BB09">
      <w:pPr>
        <w:spacing w:line="48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项目（技术）负责人：</w:t>
      </w:r>
    </w:p>
    <w:p w14:paraId="09A5D293">
      <w:pPr>
        <w:spacing w:line="48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电话：</w:t>
      </w:r>
    </w:p>
    <w:p w14:paraId="53581758">
      <w:pPr>
        <w:spacing w:line="48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签订日期：</w:t>
      </w:r>
    </w:p>
    <w:p w14:paraId="33702453">
      <w:pPr>
        <w:spacing w:line="480" w:lineRule="auto"/>
        <w:rPr>
          <w:rFonts w:hint="eastAsia" w:ascii="宋体" w:hAnsi="宋体" w:eastAsia="宋体" w:cs="宋体"/>
          <w:color w:val="auto"/>
          <w:highlight w:val="none"/>
          <w:lang w:val="en-US" w:eastAsia="zh-CN"/>
        </w:rPr>
      </w:pPr>
    </w:p>
    <w:p w14:paraId="40DE88F1">
      <w:pPr>
        <w:spacing w:line="480" w:lineRule="auto"/>
        <w:rPr>
          <w:rFonts w:hint="eastAsia" w:ascii="宋体" w:hAnsi="宋体" w:eastAsia="宋体" w:cs="宋体"/>
          <w:color w:val="auto"/>
          <w:highlight w:val="none"/>
          <w:lang w:val="en-US" w:eastAsia="zh-CN"/>
        </w:rPr>
      </w:pPr>
    </w:p>
    <w:p w14:paraId="3194CA4B">
      <w:pPr>
        <w:spacing w:line="480" w:lineRule="auto"/>
        <w:rPr>
          <w:rFonts w:hint="eastAsia" w:ascii="宋体" w:hAnsi="宋体" w:eastAsia="宋体" w:cs="宋体"/>
          <w:color w:val="auto"/>
          <w:highlight w:val="none"/>
          <w:lang w:val="en-US" w:eastAsia="zh-CN"/>
        </w:rPr>
      </w:pPr>
    </w:p>
    <w:p w14:paraId="033A2EAE">
      <w:pPr>
        <w:spacing w:line="480" w:lineRule="auto"/>
        <w:rPr>
          <w:rFonts w:hint="eastAsia" w:ascii="宋体" w:hAnsi="宋体" w:eastAsia="宋体" w:cs="宋体"/>
          <w:color w:val="auto"/>
          <w:highlight w:val="none"/>
          <w:lang w:val="en-US" w:eastAsia="zh-CN"/>
        </w:rPr>
      </w:pPr>
    </w:p>
    <w:p w14:paraId="563A4052">
      <w:pPr>
        <w:spacing w:line="480" w:lineRule="auto"/>
        <w:rPr>
          <w:rFonts w:hint="eastAsia" w:ascii="宋体" w:hAnsi="宋体" w:eastAsia="宋体" w:cs="宋体"/>
          <w:color w:val="auto"/>
          <w:highlight w:val="none"/>
          <w:lang w:val="en-US" w:eastAsia="zh-CN"/>
        </w:rPr>
      </w:pPr>
    </w:p>
    <w:p w14:paraId="3DA610B2">
      <w:pPr>
        <w:spacing w:line="480" w:lineRule="auto"/>
        <w:rPr>
          <w:rFonts w:hint="eastAsia" w:ascii="宋体" w:hAnsi="宋体" w:eastAsia="宋体" w:cs="宋体"/>
          <w:color w:val="auto"/>
          <w:highlight w:val="none"/>
          <w:lang w:val="en-US" w:eastAsia="zh-CN"/>
        </w:rPr>
      </w:pPr>
    </w:p>
    <w:p w14:paraId="0BA8CEB7">
      <w:pPr>
        <w:spacing w:line="48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乙方（投标人公章）名称：</w:t>
      </w:r>
    </w:p>
    <w:p w14:paraId="27CBFADC">
      <w:pPr>
        <w:spacing w:line="48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地址：</w:t>
      </w:r>
    </w:p>
    <w:p w14:paraId="7CD5F129">
      <w:pPr>
        <w:spacing w:line="48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邮编：</w:t>
      </w:r>
    </w:p>
    <w:p w14:paraId="32B1A978">
      <w:pPr>
        <w:spacing w:line="48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法定代表人或委托代理人：</w:t>
      </w:r>
    </w:p>
    <w:p w14:paraId="1CA7152B">
      <w:pPr>
        <w:spacing w:line="48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经办人：</w:t>
      </w:r>
    </w:p>
    <w:p w14:paraId="75E1F29F">
      <w:pPr>
        <w:spacing w:line="48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电话：</w:t>
      </w:r>
    </w:p>
    <w:p w14:paraId="1A2384A6">
      <w:pPr>
        <w:spacing w:line="48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签订日期：</w:t>
      </w:r>
    </w:p>
    <w:p w14:paraId="263E353A">
      <w:pPr>
        <w:spacing w:line="480" w:lineRule="auto"/>
        <w:rPr>
          <w:rFonts w:hint="eastAsia" w:ascii="宋体" w:hAnsi="宋体" w:eastAsia="宋体" w:cs="宋体"/>
          <w:color w:val="auto"/>
          <w:highlight w:val="none"/>
          <w:lang w:val="en-US" w:eastAsia="zh-CN"/>
        </w:rPr>
      </w:pPr>
    </w:p>
    <w:p w14:paraId="1EC1CEE9">
      <w:pPr>
        <w:rPr>
          <w:rFonts w:hint="eastAsia" w:ascii="宋体" w:hAnsi="宋体" w:eastAsia="宋体" w:cs="宋体"/>
          <w:color w:val="auto"/>
          <w:spacing w:val="0"/>
          <w:kern w:val="0"/>
          <w:sz w:val="28"/>
          <w:szCs w:val="28"/>
          <w:highlight w:val="none"/>
        </w:rPr>
      </w:pPr>
      <w:r>
        <w:rPr>
          <w:rFonts w:hint="eastAsia" w:ascii="宋体" w:hAnsi="宋体" w:eastAsia="宋体" w:cs="宋体"/>
          <w:color w:val="auto"/>
          <w:spacing w:val="0"/>
          <w:kern w:val="0"/>
          <w:sz w:val="28"/>
          <w:szCs w:val="28"/>
          <w:highlight w:val="none"/>
        </w:rPr>
        <w:br w:type="page"/>
      </w:r>
    </w:p>
    <w:p w14:paraId="7AF2367D">
      <w:pPr>
        <w:pStyle w:val="3"/>
        <w:pageBreakBefore w:val="0"/>
        <w:kinsoku/>
        <w:wordWrap/>
        <w:overflowPunct/>
        <w:topLinePunct w:val="0"/>
        <w:bidi w:val="0"/>
        <w:spacing w:before="0" w:line="480" w:lineRule="exact"/>
        <w:ind w:left="0"/>
        <w:jc w:val="center"/>
        <w:textAlignment w:val="auto"/>
        <w:rPr>
          <w:rFonts w:hint="eastAsia" w:ascii="宋体" w:hAnsi="宋体" w:eastAsia="宋体" w:cs="宋体"/>
          <w:color w:val="auto"/>
          <w:spacing w:val="0"/>
          <w:kern w:val="0"/>
          <w:sz w:val="28"/>
          <w:szCs w:val="28"/>
          <w:highlight w:val="none"/>
        </w:rPr>
      </w:pPr>
      <w:bookmarkStart w:id="45" w:name="_Toc18987"/>
      <w:bookmarkStart w:id="46" w:name="_Toc12837"/>
      <w:r>
        <w:rPr>
          <w:rFonts w:hint="eastAsia" w:ascii="宋体" w:hAnsi="宋体" w:eastAsia="宋体" w:cs="宋体"/>
          <w:color w:val="auto"/>
          <w:spacing w:val="0"/>
          <w:kern w:val="0"/>
          <w:sz w:val="28"/>
          <w:szCs w:val="28"/>
          <w:highlight w:val="none"/>
        </w:rPr>
        <w:t>合同书样式</w:t>
      </w:r>
      <w:bookmarkEnd w:id="45"/>
      <w:bookmarkEnd w:id="46"/>
    </w:p>
    <w:p w14:paraId="6B7B391F">
      <w:pPr>
        <w:spacing w:line="360" w:lineRule="auto"/>
        <w:jc w:val="center"/>
        <w:textAlignment w:val="baseline"/>
        <w:rPr>
          <w:rFonts w:hint="eastAsia" w:ascii="宋体" w:hAnsi="宋体" w:eastAsia="宋体" w:cs="宋体"/>
          <w:b/>
          <w:color w:val="auto"/>
          <w:sz w:val="21"/>
          <w:szCs w:val="21"/>
          <w:highlight w:val="none"/>
        </w:rPr>
      </w:pP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本合同仅供参考，</w:t>
      </w:r>
      <w:r>
        <w:rPr>
          <w:rFonts w:hint="eastAsia" w:ascii="宋体" w:hAnsi="宋体" w:eastAsia="宋体" w:cs="宋体"/>
          <w:color w:val="auto"/>
          <w:szCs w:val="21"/>
          <w:highlight w:val="none"/>
        </w:rPr>
        <w:t>具体内容以实际签订合同为准）</w:t>
      </w:r>
    </w:p>
    <w:p w14:paraId="23BF9BD0">
      <w:pPr>
        <w:spacing w:line="360" w:lineRule="auto"/>
        <w:textAlignment w:val="baseline"/>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甲方：</w:t>
      </w:r>
      <w:r>
        <w:rPr>
          <w:rFonts w:hint="eastAsia" w:ascii="宋体" w:hAnsi="宋体" w:cs="宋体"/>
          <w:b/>
          <w:color w:val="auto"/>
          <w:sz w:val="21"/>
          <w:szCs w:val="21"/>
          <w:highlight w:val="none"/>
          <w:lang w:eastAsia="zh-CN"/>
        </w:rPr>
        <w:t>怒江州民族中等专业学校</w:t>
      </w:r>
    </w:p>
    <w:p w14:paraId="13738DF1">
      <w:pPr>
        <w:spacing w:line="360" w:lineRule="auto"/>
        <w:textAlignment w:val="baseline"/>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乙方:</w:t>
      </w:r>
    </w:p>
    <w:p w14:paraId="3EAD11DF">
      <w:pPr>
        <w:spacing w:line="360" w:lineRule="auto"/>
        <w:ind w:firstLine="525" w:firstLineChars="250"/>
        <w:textAlignment w:val="baseline"/>
        <w:rPr>
          <w:rFonts w:hint="eastAsia" w:ascii="宋体" w:hAnsi="宋体" w:eastAsia="宋体" w:cs="宋体"/>
          <w:color w:val="auto"/>
          <w:sz w:val="21"/>
          <w:szCs w:val="21"/>
          <w:highlight w:val="none"/>
        </w:rPr>
      </w:pPr>
    </w:p>
    <w:p w14:paraId="0863C5A3">
      <w:pPr>
        <w:keepNext w:val="0"/>
        <w:keepLines w:val="0"/>
        <w:pageBreakBefore w:val="0"/>
        <w:widowControl w:val="0"/>
        <w:kinsoku/>
        <w:wordWrap/>
        <w:overflowPunct/>
        <w:topLinePunct w:val="0"/>
        <w:autoSpaceDE/>
        <w:autoSpaceDN/>
        <w:bidi w:val="0"/>
        <w:snapToGrid/>
        <w:spacing w:line="440" w:lineRule="exact"/>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本合同由甲乙双方根据</w:t>
      </w:r>
      <w:r>
        <w:rPr>
          <w:rFonts w:hint="eastAsia" w:ascii="宋体" w:hAnsi="宋体" w:cs="宋体"/>
          <w:color w:val="auto"/>
          <w:sz w:val="21"/>
          <w:szCs w:val="21"/>
          <w:highlight w:val="none"/>
          <w:lang w:eastAsia="zh-CN"/>
        </w:rPr>
        <w:t>怒江职业技术学院建筑材料智能检测实训基地建设项目</w:t>
      </w:r>
      <w:r>
        <w:rPr>
          <w:rFonts w:hint="eastAsia" w:ascii="宋体" w:hAnsi="宋体" w:eastAsia="宋体" w:cs="宋体"/>
          <w:color w:val="auto"/>
          <w:sz w:val="21"/>
          <w:szCs w:val="21"/>
          <w:highlight w:val="none"/>
          <w:u w:val="none"/>
        </w:rPr>
        <w:t>公开招标</w:t>
      </w:r>
      <w:r>
        <w:rPr>
          <w:rFonts w:hint="eastAsia" w:ascii="宋体" w:hAnsi="宋体" w:eastAsia="宋体" w:cs="宋体"/>
          <w:color w:val="auto"/>
          <w:sz w:val="21"/>
          <w:szCs w:val="21"/>
          <w:highlight w:val="none"/>
        </w:rPr>
        <w:t>采购结果，经双方协定达成一致，签订以下合同，共同信守：</w:t>
      </w:r>
    </w:p>
    <w:p w14:paraId="737A038B">
      <w:pPr>
        <w:keepNext w:val="0"/>
        <w:keepLines w:val="0"/>
        <w:pageBreakBefore w:val="0"/>
        <w:kinsoku/>
        <w:wordWrap/>
        <w:overflowPunct/>
        <w:topLinePunct w:val="0"/>
        <w:bidi w:val="0"/>
        <w:snapToGrid/>
        <w:spacing w:line="440" w:lineRule="exact"/>
        <w:ind w:firstLine="0" w:firstLineChars="0"/>
        <w:rPr>
          <w:rFonts w:ascii="Times New Roman" w:hAnsi="Times New Roman"/>
          <w:b/>
          <w:bCs/>
          <w:color w:val="auto"/>
          <w:szCs w:val="21"/>
          <w:highlight w:val="none"/>
        </w:rPr>
      </w:pPr>
      <w:r>
        <w:rPr>
          <w:rFonts w:ascii="Times New Roman" w:hAnsi="Times New Roman"/>
          <w:b/>
          <w:bCs/>
          <w:color w:val="auto"/>
          <w:szCs w:val="21"/>
          <w:highlight w:val="none"/>
        </w:rPr>
        <w:t>一、合同标的及要求</w:t>
      </w:r>
    </w:p>
    <w:p w14:paraId="4DD13FA4">
      <w:pPr>
        <w:keepNext w:val="0"/>
        <w:keepLines w:val="0"/>
        <w:pageBreakBefore w:val="0"/>
        <w:kinsoku/>
        <w:wordWrap/>
        <w:overflowPunct/>
        <w:topLinePunct w:val="0"/>
        <w:bidi w:val="0"/>
        <w:snapToGrid/>
        <w:spacing w:line="440" w:lineRule="exact"/>
        <w:ind w:firstLine="0" w:firstLineChars="0"/>
        <w:rPr>
          <w:rFonts w:ascii="Times New Roman" w:hAnsi="Times New Roman"/>
          <w:color w:val="auto"/>
          <w:szCs w:val="21"/>
          <w:highlight w:val="none"/>
          <w:u w:val="single"/>
        </w:rPr>
      </w:pPr>
      <w:r>
        <w:rPr>
          <w:rFonts w:ascii="Times New Roman" w:hAnsi="Times New Roman"/>
          <w:color w:val="auto"/>
          <w:szCs w:val="21"/>
          <w:highlight w:val="none"/>
        </w:rPr>
        <w:t>（一）合同标的：</w:t>
      </w:r>
    </w:p>
    <w:p w14:paraId="7D5ACA72">
      <w:pPr>
        <w:keepNext w:val="0"/>
        <w:keepLines w:val="0"/>
        <w:pageBreakBefore w:val="0"/>
        <w:kinsoku/>
        <w:wordWrap/>
        <w:overflowPunct/>
        <w:topLinePunct w:val="0"/>
        <w:bidi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（二）供货要求</w:t>
      </w:r>
    </w:p>
    <w:p w14:paraId="0BACEE59">
      <w:pPr>
        <w:keepNext w:val="0"/>
        <w:keepLines w:val="0"/>
        <w:pageBreakBefore w:val="0"/>
        <w:kinsoku/>
        <w:wordWrap/>
        <w:overflowPunct/>
        <w:topLinePunct w:val="0"/>
        <w:bidi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1.项目名称、生产厂商/制造商名称、数量及价格：</w:t>
      </w:r>
    </w:p>
    <w:tbl>
      <w:tblPr>
        <w:tblStyle w:val="47"/>
        <w:tblW w:w="8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3"/>
        <w:gridCol w:w="1086"/>
        <w:gridCol w:w="1940"/>
        <w:gridCol w:w="1940"/>
        <w:gridCol w:w="543"/>
        <w:gridCol w:w="543"/>
        <w:gridCol w:w="1006"/>
        <w:gridCol w:w="1116"/>
      </w:tblGrid>
      <w:tr w14:paraId="39ED7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exact"/>
          <w:tblHeader/>
          <w:jc w:val="center"/>
        </w:trPr>
        <w:tc>
          <w:tcPr>
            <w:tcW w:w="543" w:type="dxa"/>
            <w:noWrap w:val="0"/>
            <w:vAlign w:val="center"/>
          </w:tcPr>
          <w:p w14:paraId="51569404">
            <w:pPr>
              <w:keepNext w:val="0"/>
              <w:keepLines w:val="0"/>
              <w:pageBreakBefore w:val="0"/>
              <w:kinsoku/>
              <w:wordWrap/>
              <w:overflowPunct/>
              <w:topLinePunct w:val="0"/>
              <w:bidi w:val="0"/>
              <w:snapToGrid/>
              <w:spacing w:line="440" w:lineRule="exact"/>
              <w:ind w:firstLine="0" w:firstLineChars="0"/>
              <w:jc w:val="center"/>
              <w:rPr>
                <w:rFonts w:ascii="Times New Roman" w:hAnsi="Times New Roman"/>
                <w:color w:val="auto"/>
                <w:szCs w:val="21"/>
                <w:highlight w:val="none"/>
              </w:rPr>
            </w:pPr>
            <w:r>
              <w:rPr>
                <w:rFonts w:ascii="Times New Roman" w:hAnsi="Times New Roman"/>
                <w:color w:val="auto"/>
                <w:szCs w:val="21"/>
                <w:highlight w:val="none"/>
              </w:rPr>
              <w:t>序号</w:t>
            </w:r>
          </w:p>
        </w:tc>
        <w:tc>
          <w:tcPr>
            <w:tcW w:w="1086" w:type="dxa"/>
            <w:noWrap w:val="0"/>
            <w:vAlign w:val="center"/>
          </w:tcPr>
          <w:p w14:paraId="2595DC6E">
            <w:pPr>
              <w:keepNext w:val="0"/>
              <w:keepLines w:val="0"/>
              <w:pageBreakBefore w:val="0"/>
              <w:kinsoku/>
              <w:wordWrap/>
              <w:overflowPunct/>
              <w:topLinePunct w:val="0"/>
              <w:bidi w:val="0"/>
              <w:snapToGrid/>
              <w:spacing w:line="440" w:lineRule="exact"/>
              <w:ind w:firstLine="0" w:firstLineChars="0"/>
              <w:jc w:val="center"/>
              <w:rPr>
                <w:rFonts w:ascii="Times New Roman" w:hAnsi="Times New Roman"/>
                <w:color w:val="auto"/>
                <w:szCs w:val="21"/>
                <w:highlight w:val="none"/>
              </w:rPr>
            </w:pPr>
            <w:r>
              <w:rPr>
                <w:rFonts w:ascii="Times New Roman" w:hAnsi="Times New Roman"/>
                <w:color w:val="auto"/>
                <w:szCs w:val="21"/>
                <w:highlight w:val="none"/>
              </w:rPr>
              <w:t>项目名称</w:t>
            </w:r>
          </w:p>
        </w:tc>
        <w:tc>
          <w:tcPr>
            <w:tcW w:w="1940" w:type="dxa"/>
            <w:noWrap w:val="0"/>
            <w:vAlign w:val="center"/>
          </w:tcPr>
          <w:p w14:paraId="6297568E">
            <w:pPr>
              <w:keepNext w:val="0"/>
              <w:keepLines w:val="0"/>
              <w:pageBreakBefore w:val="0"/>
              <w:kinsoku/>
              <w:wordWrap/>
              <w:overflowPunct/>
              <w:topLinePunct w:val="0"/>
              <w:bidi w:val="0"/>
              <w:snapToGrid/>
              <w:spacing w:line="440" w:lineRule="exact"/>
              <w:ind w:firstLine="0" w:firstLineChars="0"/>
              <w:jc w:val="center"/>
              <w:rPr>
                <w:rFonts w:hint="default" w:ascii="Times New Roman" w:hAnsi="Times New Roman" w:eastAsia="宋体"/>
                <w:color w:val="auto"/>
                <w:szCs w:val="21"/>
                <w:highlight w:val="none"/>
                <w:lang w:val="en-US" w:eastAsia="zh-CN"/>
              </w:rPr>
            </w:pPr>
            <w:r>
              <w:rPr>
                <w:rFonts w:hint="eastAsia"/>
                <w:color w:val="auto"/>
                <w:szCs w:val="21"/>
                <w:highlight w:val="none"/>
                <w:lang w:val="en-US" w:eastAsia="zh-CN"/>
              </w:rPr>
              <w:t>品牌、规格型号</w:t>
            </w:r>
          </w:p>
        </w:tc>
        <w:tc>
          <w:tcPr>
            <w:tcW w:w="1940" w:type="dxa"/>
            <w:noWrap w:val="0"/>
            <w:vAlign w:val="center"/>
          </w:tcPr>
          <w:p w14:paraId="036589A6">
            <w:pPr>
              <w:keepNext w:val="0"/>
              <w:keepLines w:val="0"/>
              <w:pageBreakBefore w:val="0"/>
              <w:kinsoku/>
              <w:wordWrap/>
              <w:overflowPunct/>
              <w:topLinePunct w:val="0"/>
              <w:bidi w:val="0"/>
              <w:snapToGrid/>
              <w:spacing w:line="440" w:lineRule="exact"/>
              <w:ind w:firstLine="0" w:firstLineChars="0"/>
              <w:jc w:val="center"/>
              <w:rPr>
                <w:rFonts w:ascii="Times New Roman" w:hAnsi="Times New Roman"/>
                <w:color w:val="auto"/>
                <w:szCs w:val="21"/>
                <w:highlight w:val="none"/>
              </w:rPr>
            </w:pPr>
            <w:r>
              <w:rPr>
                <w:rFonts w:ascii="Times New Roman" w:hAnsi="Times New Roman"/>
                <w:color w:val="auto"/>
                <w:szCs w:val="21"/>
                <w:highlight w:val="none"/>
              </w:rPr>
              <w:t>生产厂商/制造商名称</w:t>
            </w:r>
          </w:p>
        </w:tc>
        <w:tc>
          <w:tcPr>
            <w:tcW w:w="543" w:type="dxa"/>
            <w:noWrap w:val="0"/>
            <w:vAlign w:val="center"/>
          </w:tcPr>
          <w:p w14:paraId="4E5F3FCE">
            <w:pPr>
              <w:keepNext w:val="0"/>
              <w:keepLines w:val="0"/>
              <w:pageBreakBefore w:val="0"/>
              <w:kinsoku/>
              <w:wordWrap/>
              <w:overflowPunct/>
              <w:topLinePunct w:val="0"/>
              <w:bidi w:val="0"/>
              <w:snapToGrid/>
              <w:spacing w:line="440" w:lineRule="exact"/>
              <w:ind w:firstLine="0" w:firstLineChars="0"/>
              <w:jc w:val="center"/>
              <w:rPr>
                <w:rFonts w:ascii="Times New Roman" w:hAnsi="Times New Roman"/>
                <w:color w:val="auto"/>
                <w:szCs w:val="21"/>
                <w:highlight w:val="none"/>
              </w:rPr>
            </w:pPr>
            <w:r>
              <w:rPr>
                <w:rFonts w:ascii="Times New Roman" w:hAnsi="Times New Roman"/>
                <w:color w:val="auto"/>
                <w:szCs w:val="21"/>
                <w:highlight w:val="none"/>
              </w:rPr>
              <w:t>数量</w:t>
            </w:r>
          </w:p>
        </w:tc>
        <w:tc>
          <w:tcPr>
            <w:tcW w:w="543" w:type="dxa"/>
            <w:noWrap w:val="0"/>
            <w:vAlign w:val="center"/>
          </w:tcPr>
          <w:p w14:paraId="30AEF69E">
            <w:pPr>
              <w:keepNext w:val="0"/>
              <w:keepLines w:val="0"/>
              <w:pageBreakBefore w:val="0"/>
              <w:kinsoku/>
              <w:wordWrap/>
              <w:overflowPunct/>
              <w:topLinePunct w:val="0"/>
              <w:bidi w:val="0"/>
              <w:snapToGrid/>
              <w:spacing w:line="440" w:lineRule="exact"/>
              <w:ind w:firstLine="0" w:firstLineChars="0"/>
              <w:jc w:val="center"/>
              <w:rPr>
                <w:rFonts w:ascii="Times New Roman" w:hAnsi="Times New Roman"/>
                <w:color w:val="auto"/>
                <w:szCs w:val="21"/>
                <w:highlight w:val="none"/>
              </w:rPr>
            </w:pPr>
            <w:r>
              <w:rPr>
                <w:rFonts w:ascii="Times New Roman" w:hAnsi="Times New Roman"/>
                <w:color w:val="auto"/>
                <w:szCs w:val="21"/>
                <w:highlight w:val="none"/>
              </w:rPr>
              <w:t>单位</w:t>
            </w:r>
          </w:p>
        </w:tc>
        <w:tc>
          <w:tcPr>
            <w:tcW w:w="1006" w:type="dxa"/>
            <w:noWrap w:val="0"/>
            <w:vAlign w:val="center"/>
          </w:tcPr>
          <w:p w14:paraId="0C2EDA7C">
            <w:pPr>
              <w:keepNext w:val="0"/>
              <w:keepLines w:val="0"/>
              <w:pageBreakBefore w:val="0"/>
              <w:kinsoku/>
              <w:wordWrap/>
              <w:overflowPunct/>
              <w:topLinePunct w:val="0"/>
              <w:bidi w:val="0"/>
              <w:snapToGrid/>
              <w:spacing w:line="440" w:lineRule="exact"/>
              <w:ind w:firstLine="0" w:firstLineChars="0"/>
              <w:jc w:val="center"/>
              <w:rPr>
                <w:rFonts w:ascii="Times New Roman" w:hAnsi="Times New Roman"/>
                <w:color w:val="auto"/>
                <w:szCs w:val="21"/>
                <w:highlight w:val="none"/>
              </w:rPr>
            </w:pPr>
            <w:r>
              <w:rPr>
                <w:rFonts w:ascii="Times New Roman" w:hAnsi="Times New Roman"/>
                <w:color w:val="auto"/>
                <w:szCs w:val="21"/>
                <w:highlight w:val="none"/>
              </w:rPr>
              <w:t>单价（元）</w:t>
            </w:r>
          </w:p>
        </w:tc>
        <w:tc>
          <w:tcPr>
            <w:tcW w:w="1116" w:type="dxa"/>
            <w:noWrap w:val="0"/>
            <w:vAlign w:val="center"/>
          </w:tcPr>
          <w:p w14:paraId="54B3898C">
            <w:pPr>
              <w:keepNext w:val="0"/>
              <w:keepLines w:val="0"/>
              <w:pageBreakBefore w:val="0"/>
              <w:kinsoku/>
              <w:wordWrap/>
              <w:overflowPunct/>
              <w:topLinePunct w:val="0"/>
              <w:bidi w:val="0"/>
              <w:snapToGrid/>
              <w:spacing w:line="440" w:lineRule="exact"/>
              <w:ind w:firstLine="0" w:firstLineChars="0"/>
              <w:jc w:val="center"/>
              <w:rPr>
                <w:rFonts w:ascii="Times New Roman" w:hAnsi="Times New Roman"/>
                <w:color w:val="auto"/>
                <w:szCs w:val="21"/>
                <w:highlight w:val="none"/>
              </w:rPr>
            </w:pPr>
            <w:r>
              <w:rPr>
                <w:rFonts w:ascii="Times New Roman" w:hAnsi="Times New Roman"/>
                <w:color w:val="auto"/>
                <w:szCs w:val="21"/>
                <w:highlight w:val="none"/>
              </w:rPr>
              <w:t>总价（元）</w:t>
            </w:r>
          </w:p>
        </w:tc>
      </w:tr>
      <w:tr w14:paraId="40D63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543" w:type="dxa"/>
            <w:shd w:val="clear" w:color="auto" w:fill="FFFFFF"/>
            <w:noWrap w:val="0"/>
            <w:vAlign w:val="center"/>
          </w:tcPr>
          <w:p w14:paraId="4111F743">
            <w:pPr>
              <w:keepNext w:val="0"/>
              <w:keepLines w:val="0"/>
              <w:pageBreakBefore w:val="0"/>
              <w:widowControl/>
              <w:kinsoku/>
              <w:wordWrap/>
              <w:overflowPunct/>
              <w:topLinePunct w:val="0"/>
              <w:bidi w:val="0"/>
              <w:snapToGrid/>
              <w:spacing w:line="440" w:lineRule="exact"/>
              <w:ind w:firstLine="0" w:firstLineChars="0"/>
              <w:jc w:val="center"/>
              <w:textAlignment w:val="center"/>
              <w:rPr>
                <w:rFonts w:ascii="Times New Roman" w:hAnsi="Times New Roman"/>
                <w:color w:val="auto"/>
                <w:szCs w:val="21"/>
                <w:highlight w:val="none"/>
              </w:rPr>
            </w:pPr>
            <w:r>
              <w:rPr>
                <w:rFonts w:ascii="Times New Roman" w:hAnsi="Times New Roman"/>
                <w:color w:val="auto"/>
                <w:szCs w:val="21"/>
                <w:highlight w:val="none"/>
              </w:rPr>
              <w:t>1</w:t>
            </w:r>
          </w:p>
        </w:tc>
        <w:tc>
          <w:tcPr>
            <w:tcW w:w="1086" w:type="dxa"/>
            <w:shd w:val="clear" w:color="auto" w:fill="FFFFFF"/>
            <w:noWrap w:val="0"/>
            <w:vAlign w:val="center"/>
          </w:tcPr>
          <w:p w14:paraId="11980E26">
            <w:pPr>
              <w:keepNext w:val="0"/>
              <w:keepLines w:val="0"/>
              <w:pageBreakBefore w:val="0"/>
              <w:widowControl/>
              <w:kinsoku/>
              <w:wordWrap/>
              <w:overflowPunct/>
              <w:topLinePunct w:val="0"/>
              <w:bidi w:val="0"/>
              <w:snapToGrid/>
              <w:spacing w:line="440" w:lineRule="exact"/>
              <w:ind w:firstLine="0" w:firstLineChars="0"/>
              <w:jc w:val="center"/>
              <w:textAlignment w:val="center"/>
              <w:rPr>
                <w:rFonts w:ascii="Times New Roman" w:hAnsi="Times New Roman"/>
                <w:color w:val="auto"/>
                <w:szCs w:val="21"/>
                <w:highlight w:val="none"/>
              </w:rPr>
            </w:pPr>
          </w:p>
        </w:tc>
        <w:tc>
          <w:tcPr>
            <w:tcW w:w="1940" w:type="dxa"/>
            <w:shd w:val="clear" w:color="auto" w:fill="FFFFFF"/>
            <w:noWrap w:val="0"/>
            <w:vAlign w:val="center"/>
          </w:tcPr>
          <w:p w14:paraId="3CF541B7">
            <w:pPr>
              <w:keepNext w:val="0"/>
              <w:keepLines w:val="0"/>
              <w:pageBreakBefore w:val="0"/>
              <w:widowControl/>
              <w:kinsoku/>
              <w:wordWrap/>
              <w:overflowPunct/>
              <w:topLinePunct w:val="0"/>
              <w:bidi w:val="0"/>
              <w:snapToGrid/>
              <w:spacing w:line="440" w:lineRule="exact"/>
              <w:ind w:firstLine="0" w:firstLineChars="0"/>
              <w:jc w:val="center"/>
              <w:textAlignment w:val="center"/>
              <w:rPr>
                <w:rFonts w:ascii="Times New Roman" w:hAnsi="Times New Roman"/>
                <w:color w:val="auto"/>
                <w:szCs w:val="21"/>
                <w:highlight w:val="none"/>
              </w:rPr>
            </w:pPr>
          </w:p>
        </w:tc>
        <w:tc>
          <w:tcPr>
            <w:tcW w:w="1940" w:type="dxa"/>
            <w:shd w:val="clear" w:color="auto" w:fill="FFFFFF"/>
            <w:noWrap w:val="0"/>
            <w:vAlign w:val="center"/>
          </w:tcPr>
          <w:p w14:paraId="6AE3A7C8">
            <w:pPr>
              <w:keepNext w:val="0"/>
              <w:keepLines w:val="0"/>
              <w:pageBreakBefore w:val="0"/>
              <w:widowControl/>
              <w:kinsoku/>
              <w:wordWrap/>
              <w:overflowPunct/>
              <w:topLinePunct w:val="0"/>
              <w:bidi w:val="0"/>
              <w:snapToGrid/>
              <w:spacing w:line="440" w:lineRule="exact"/>
              <w:ind w:firstLine="0" w:firstLineChars="0"/>
              <w:jc w:val="center"/>
              <w:textAlignment w:val="center"/>
              <w:rPr>
                <w:rFonts w:ascii="Times New Roman" w:hAnsi="Times New Roman"/>
                <w:color w:val="auto"/>
                <w:szCs w:val="21"/>
                <w:highlight w:val="none"/>
              </w:rPr>
            </w:pPr>
          </w:p>
        </w:tc>
        <w:tc>
          <w:tcPr>
            <w:tcW w:w="543" w:type="dxa"/>
            <w:shd w:val="clear" w:color="auto" w:fill="FFFFFF"/>
            <w:noWrap w:val="0"/>
            <w:vAlign w:val="center"/>
          </w:tcPr>
          <w:p w14:paraId="078919E0">
            <w:pPr>
              <w:pStyle w:val="22"/>
              <w:keepNext w:val="0"/>
              <w:keepLines w:val="0"/>
              <w:pageBreakBefore w:val="0"/>
              <w:widowControl/>
              <w:kinsoku/>
              <w:wordWrap/>
              <w:overflowPunct/>
              <w:topLinePunct w:val="0"/>
              <w:bidi w:val="0"/>
              <w:snapToGrid/>
              <w:spacing w:line="440" w:lineRule="exact"/>
              <w:ind w:firstLine="0" w:firstLineChars="0"/>
              <w:jc w:val="center"/>
              <w:textAlignment w:val="center"/>
              <w:rPr>
                <w:rFonts w:ascii="Times New Roman"/>
                <w:color w:val="auto"/>
                <w:highlight w:val="none"/>
                <w:lang w:val="en-US" w:eastAsia="zh-CN"/>
              </w:rPr>
            </w:pPr>
          </w:p>
        </w:tc>
        <w:tc>
          <w:tcPr>
            <w:tcW w:w="543" w:type="dxa"/>
            <w:shd w:val="clear" w:color="auto" w:fill="FFFFFF"/>
            <w:noWrap w:val="0"/>
            <w:vAlign w:val="center"/>
          </w:tcPr>
          <w:p w14:paraId="09CF609F">
            <w:pPr>
              <w:keepNext w:val="0"/>
              <w:keepLines w:val="0"/>
              <w:pageBreakBefore w:val="0"/>
              <w:kinsoku/>
              <w:wordWrap/>
              <w:overflowPunct/>
              <w:topLinePunct w:val="0"/>
              <w:bidi w:val="0"/>
              <w:snapToGrid/>
              <w:spacing w:line="440" w:lineRule="exact"/>
              <w:ind w:firstLine="0" w:firstLineChars="0"/>
              <w:jc w:val="center"/>
              <w:rPr>
                <w:rFonts w:ascii="Times New Roman" w:hAnsi="Times New Roman"/>
                <w:color w:val="auto"/>
                <w:szCs w:val="21"/>
                <w:highlight w:val="none"/>
              </w:rPr>
            </w:pPr>
          </w:p>
        </w:tc>
        <w:tc>
          <w:tcPr>
            <w:tcW w:w="1006" w:type="dxa"/>
            <w:noWrap w:val="0"/>
            <w:vAlign w:val="center"/>
          </w:tcPr>
          <w:p w14:paraId="3AFDEF71">
            <w:pPr>
              <w:keepNext w:val="0"/>
              <w:keepLines w:val="0"/>
              <w:pageBreakBefore w:val="0"/>
              <w:widowControl/>
              <w:kinsoku/>
              <w:wordWrap/>
              <w:overflowPunct/>
              <w:topLinePunct w:val="0"/>
              <w:bidi w:val="0"/>
              <w:snapToGrid/>
              <w:spacing w:line="440" w:lineRule="exact"/>
              <w:ind w:firstLine="0" w:firstLineChars="0"/>
              <w:jc w:val="right"/>
              <w:textAlignment w:val="center"/>
              <w:rPr>
                <w:rFonts w:ascii="Times New Roman" w:hAnsi="Times New Roman"/>
                <w:color w:val="auto"/>
                <w:szCs w:val="21"/>
                <w:highlight w:val="none"/>
              </w:rPr>
            </w:pPr>
          </w:p>
        </w:tc>
        <w:tc>
          <w:tcPr>
            <w:tcW w:w="1116" w:type="dxa"/>
            <w:noWrap w:val="0"/>
            <w:vAlign w:val="center"/>
          </w:tcPr>
          <w:p w14:paraId="0DC39C36">
            <w:pPr>
              <w:keepNext w:val="0"/>
              <w:keepLines w:val="0"/>
              <w:pageBreakBefore w:val="0"/>
              <w:widowControl/>
              <w:kinsoku/>
              <w:wordWrap/>
              <w:overflowPunct/>
              <w:topLinePunct w:val="0"/>
              <w:bidi w:val="0"/>
              <w:snapToGrid/>
              <w:spacing w:line="440" w:lineRule="exact"/>
              <w:ind w:firstLine="0" w:firstLineChars="0"/>
              <w:jc w:val="right"/>
              <w:textAlignment w:val="center"/>
              <w:rPr>
                <w:rFonts w:ascii="Times New Roman" w:hAnsi="Times New Roman"/>
                <w:color w:val="auto"/>
                <w:szCs w:val="21"/>
                <w:highlight w:val="none"/>
              </w:rPr>
            </w:pPr>
          </w:p>
        </w:tc>
      </w:tr>
      <w:tr w14:paraId="6E801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543" w:type="dxa"/>
            <w:shd w:val="clear" w:color="auto" w:fill="FFFFFF"/>
            <w:noWrap w:val="0"/>
            <w:vAlign w:val="center"/>
          </w:tcPr>
          <w:p w14:paraId="42676490">
            <w:pPr>
              <w:keepNext w:val="0"/>
              <w:keepLines w:val="0"/>
              <w:pageBreakBefore w:val="0"/>
              <w:widowControl/>
              <w:kinsoku/>
              <w:wordWrap/>
              <w:overflowPunct/>
              <w:topLinePunct w:val="0"/>
              <w:bidi w:val="0"/>
              <w:snapToGrid/>
              <w:spacing w:line="440" w:lineRule="exact"/>
              <w:ind w:firstLine="0" w:firstLineChars="0"/>
              <w:jc w:val="center"/>
              <w:textAlignment w:val="center"/>
              <w:rPr>
                <w:rFonts w:ascii="Times New Roman" w:hAnsi="Times New Roman"/>
                <w:color w:val="auto"/>
                <w:szCs w:val="21"/>
                <w:highlight w:val="none"/>
              </w:rPr>
            </w:pPr>
            <w:r>
              <w:rPr>
                <w:rFonts w:ascii="Times New Roman" w:hAnsi="Times New Roman"/>
                <w:color w:val="auto"/>
                <w:szCs w:val="21"/>
                <w:highlight w:val="none"/>
              </w:rPr>
              <w:t>2</w:t>
            </w:r>
          </w:p>
        </w:tc>
        <w:tc>
          <w:tcPr>
            <w:tcW w:w="1086" w:type="dxa"/>
            <w:shd w:val="clear" w:color="auto" w:fill="FFFFFF"/>
            <w:noWrap w:val="0"/>
            <w:vAlign w:val="center"/>
          </w:tcPr>
          <w:p w14:paraId="13E4D7D9">
            <w:pPr>
              <w:keepNext w:val="0"/>
              <w:keepLines w:val="0"/>
              <w:pageBreakBefore w:val="0"/>
              <w:widowControl/>
              <w:kinsoku/>
              <w:wordWrap/>
              <w:overflowPunct/>
              <w:topLinePunct w:val="0"/>
              <w:bidi w:val="0"/>
              <w:snapToGrid/>
              <w:spacing w:line="440" w:lineRule="exact"/>
              <w:ind w:firstLine="0" w:firstLineChars="0"/>
              <w:jc w:val="center"/>
              <w:textAlignment w:val="center"/>
              <w:rPr>
                <w:rFonts w:ascii="Times New Roman" w:hAnsi="Times New Roman"/>
                <w:color w:val="auto"/>
                <w:szCs w:val="21"/>
                <w:highlight w:val="none"/>
              </w:rPr>
            </w:pPr>
          </w:p>
        </w:tc>
        <w:tc>
          <w:tcPr>
            <w:tcW w:w="1940" w:type="dxa"/>
            <w:shd w:val="clear" w:color="auto" w:fill="FFFFFF"/>
            <w:noWrap w:val="0"/>
            <w:vAlign w:val="center"/>
          </w:tcPr>
          <w:p w14:paraId="0C6CA43F">
            <w:pPr>
              <w:keepNext w:val="0"/>
              <w:keepLines w:val="0"/>
              <w:pageBreakBefore w:val="0"/>
              <w:widowControl/>
              <w:kinsoku/>
              <w:wordWrap/>
              <w:overflowPunct/>
              <w:topLinePunct w:val="0"/>
              <w:bidi w:val="0"/>
              <w:snapToGrid/>
              <w:spacing w:line="440" w:lineRule="exact"/>
              <w:ind w:firstLine="0" w:firstLineChars="0"/>
              <w:jc w:val="center"/>
              <w:textAlignment w:val="center"/>
              <w:rPr>
                <w:rFonts w:ascii="Times New Roman" w:hAnsi="Times New Roman"/>
                <w:color w:val="auto"/>
                <w:szCs w:val="21"/>
                <w:highlight w:val="none"/>
              </w:rPr>
            </w:pPr>
          </w:p>
        </w:tc>
        <w:tc>
          <w:tcPr>
            <w:tcW w:w="1940" w:type="dxa"/>
            <w:shd w:val="clear" w:color="auto" w:fill="FFFFFF"/>
            <w:noWrap w:val="0"/>
            <w:vAlign w:val="center"/>
          </w:tcPr>
          <w:p w14:paraId="6D34B712">
            <w:pPr>
              <w:keepNext w:val="0"/>
              <w:keepLines w:val="0"/>
              <w:pageBreakBefore w:val="0"/>
              <w:widowControl/>
              <w:kinsoku/>
              <w:wordWrap/>
              <w:overflowPunct/>
              <w:topLinePunct w:val="0"/>
              <w:bidi w:val="0"/>
              <w:snapToGrid/>
              <w:spacing w:line="440" w:lineRule="exact"/>
              <w:ind w:firstLine="0" w:firstLineChars="0"/>
              <w:jc w:val="center"/>
              <w:textAlignment w:val="center"/>
              <w:rPr>
                <w:rFonts w:ascii="Times New Roman" w:hAnsi="Times New Roman"/>
                <w:color w:val="auto"/>
                <w:szCs w:val="21"/>
                <w:highlight w:val="none"/>
              </w:rPr>
            </w:pPr>
          </w:p>
        </w:tc>
        <w:tc>
          <w:tcPr>
            <w:tcW w:w="543" w:type="dxa"/>
            <w:shd w:val="clear" w:color="auto" w:fill="FFFFFF"/>
            <w:noWrap w:val="0"/>
            <w:vAlign w:val="center"/>
          </w:tcPr>
          <w:p w14:paraId="32DF66BA">
            <w:pPr>
              <w:keepNext w:val="0"/>
              <w:keepLines w:val="0"/>
              <w:pageBreakBefore w:val="0"/>
              <w:widowControl/>
              <w:kinsoku/>
              <w:wordWrap/>
              <w:overflowPunct/>
              <w:topLinePunct w:val="0"/>
              <w:bidi w:val="0"/>
              <w:snapToGrid/>
              <w:spacing w:line="440" w:lineRule="exact"/>
              <w:ind w:firstLine="0" w:firstLineChars="0"/>
              <w:jc w:val="center"/>
              <w:textAlignment w:val="center"/>
              <w:rPr>
                <w:rFonts w:ascii="Times New Roman" w:hAnsi="Times New Roman"/>
                <w:color w:val="auto"/>
                <w:szCs w:val="21"/>
                <w:highlight w:val="none"/>
              </w:rPr>
            </w:pPr>
          </w:p>
        </w:tc>
        <w:tc>
          <w:tcPr>
            <w:tcW w:w="543" w:type="dxa"/>
            <w:shd w:val="clear" w:color="auto" w:fill="FFFFFF"/>
            <w:noWrap w:val="0"/>
            <w:vAlign w:val="center"/>
          </w:tcPr>
          <w:p w14:paraId="79A9FC09">
            <w:pPr>
              <w:keepNext w:val="0"/>
              <w:keepLines w:val="0"/>
              <w:pageBreakBefore w:val="0"/>
              <w:kinsoku/>
              <w:wordWrap/>
              <w:overflowPunct/>
              <w:topLinePunct w:val="0"/>
              <w:bidi w:val="0"/>
              <w:snapToGrid/>
              <w:spacing w:line="440" w:lineRule="exact"/>
              <w:ind w:firstLine="0" w:firstLineChars="0"/>
              <w:jc w:val="center"/>
              <w:rPr>
                <w:rFonts w:ascii="Times New Roman" w:hAnsi="Times New Roman"/>
                <w:color w:val="auto"/>
                <w:szCs w:val="21"/>
                <w:highlight w:val="none"/>
              </w:rPr>
            </w:pPr>
          </w:p>
        </w:tc>
        <w:tc>
          <w:tcPr>
            <w:tcW w:w="1006" w:type="dxa"/>
            <w:noWrap w:val="0"/>
            <w:vAlign w:val="center"/>
          </w:tcPr>
          <w:p w14:paraId="46D35986">
            <w:pPr>
              <w:keepNext w:val="0"/>
              <w:keepLines w:val="0"/>
              <w:pageBreakBefore w:val="0"/>
              <w:widowControl/>
              <w:kinsoku/>
              <w:wordWrap/>
              <w:overflowPunct/>
              <w:topLinePunct w:val="0"/>
              <w:bidi w:val="0"/>
              <w:snapToGrid/>
              <w:spacing w:line="440" w:lineRule="exact"/>
              <w:ind w:firstLine="0" w:firstLineChars="0"/>
              <w:jc w:val="right"/>
              <w:textAlignment w:val="center"/>
              <w:rPr>
                <w:rFonts w:ascii="Times New Roman" w:hAnsi="Times New Roman"/>
                <w:color w:val="auto"/>
                <w:szCs w:val="21"/>
                <w:highlight w:val="none"/>
              </w:rPr>
            </w:pPr>
          </w:p>
        </w:tc>
        <w:tc>
          <w:tcPr>
            <w:tcW w:w="1116" w:type="dxa"/>
            <w:noWrap w:val="0"/>
            <w:vAlign w:val="center"/>
          </w:tcPr>
          <w:p w14:paraId="692A7292">
            <w:pPr>
              <w:keepNext w:val="0"/>
              <w:keepLines w:val="0"/>
              <w:pageBreakBefore w:val="0"/>
              <w:widowControl/>
              <w:kinsoku/>
              <w:wordWrap/>
              <w:overflowPunct/>
              <w:topLinePunct w:val="0"/>
              <w:bidi w:val="0"/>
              <w:snapToGrid/>
              <w:spacing w:line="440" w:lineRule="exact"/>
              <w:ind w:firstLine="0" w:firstLineChars="0"/>
              <w:jc w:val="right"/>
              <w:textAlignment w:val="center"/>
              <w:rPr>
                <w:rFonts w:ascii="Times New Roman" w:hAnsi="Times New Roman"/>
                <w:color w:val="auto"/>
                <w:szCs w:val="21"/>
                <w:highlight w:val="none"/>
              </w:rPr>
            </w:pPr>
          </w:p>
        </w:tc>
      </w:tr>
      <w:tr w14:paraId="12826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8" w:hRule="atLeast"/>
          <w:jc w:val="center"/>
        </w:trPr>
        <w:tc>
          <w:tcPr>
            <w:tcW w:w="543" w:type="dxa"/>
            <w:shd w:val="clear" w:color="auto" w:fill="FFFFFF"/>
            <w:noWrap w:val="0"/>
            <w:vAlign w:val="center"/>
          </w:tcPr>
          <w:p w14:paraId="7280D2E9">
            <w:pPr>
              <w:keepNext w:val="0"/>
              <w:keepLines w:val="0"/>
              <w:pageBreakBefore w:val="0"/>
              <w:widowControl/>
              <w:kinsoku/>
              <w:wordWrap/>
              <w:overflowPunct/>
              <w:topLinePunct w:val="0"/>
              <w:bidi w:val="0"/>
              <w:snapToGrid/>
              <w:spacing w:line="440" w:lineRule="exact"/>
              <w:ind w:firstLine="0" w:firstLineChars="0"/>
              <w:jc w:val="center"/>
              <w:textAlignment w:val="center"/>
              <w:rPr>
                <w:rFonts w:ascii="Times New Roman" w:hAnsi="Times New Roman"/>
                <w:color w:val="auto"/>
                <w:szCs w:val="21"/>
                <w:highlight w:val="none"/>
              </w:rPr>
            </w:pPr>
            <w:r>
              <w:rPr>
                <w:rFonts w:ascii="Times New Roman" w:hAnsi="Times New Roman"/>
                <w:color w:val="auto"/>
                <w:szCs w:val="21"/>
                <w:highlight w:val="none"/>
              </w:rPr>
              <w:t>3</w:t>
            </w:r>
          </w:p>
        </w:tc>
        <w:tc>
          <w:tcPr>
            <w:tcW w:w="1086" w:type="dxa"/>
            <w:shd w:val="clear" w:color="auto" w:fill="FFFFFF"/>
            <w:noWrap w:val="0"/>
            <w:vAlign w:val="center"/>
          </w:tcPr>
          <w:p w14:paraId="0FC16EEC">
            <w:pPr>
              <w:keepNext w:val="0"/>
              <w:keepLines w:val="0"/>
              <w:pageBreakBefore w:val="0"/>
              <w:widowControl/>
              <w:kinsoku/>
              <w:wordWrap/>
              <w:overflowPunct/>
              <w:topLinePunct w:val="0"/>
              <w:bidi w:val="0"/>
              <w:snapToGrid/>
              <w:spacing w:line="440" w:lineRule="exact"/>
              <w:ind w:firstLine="0" w:firstLineChars="0"/>
              <w:jc w:val="center"/>
              <w:textAlignment w:val="center"/>
              <w:rPr>
                <w:rFonts w:ascii="Times New Roman" w:hAnsi="Times New Roman"/>
                <w:color w:val="auto"/>
                <w:szCs w:val="21"/>
                <w:highlight w:val="none"/>
              </w:rPr>
            </w:pPr>
          </w:p>
        </w:tc>
        <w:tc>
          <w:tcPr>
            <w:tcW w:w="1940" w:type="dxa"/>
            <w:shd w:val="clear" w:color="auto" w:fill="FFFFFF"/>
            <w:noWrap w:val="0"/>
            <w:vAlign w:val="center"/>
          </w:tcPr>
          <w:p w14:paraId="5C00559D">
            <w:pPr>
              <w:keepNext w:val="0"/>
              <w:keepLines w:val="0"/>
              <w:pageBreakBefore w:val="0"/>
              <w:widowControl/>
              <w:kinsoku/>
              <w:wordWrap/>
              <w:overflowPunct/>
              <w:topLinePunct w:val="0"/>
              <w:bidi w:val="0"/>
              <w:snapToGrid/>
              <w:spacing w:line="440" w:lineRule="exact"/>
              <w:ind w:firstLine="0" w:firstLineChars="0"/>
              <w:jc w:val="center"/>
              <w:textAlignment w:val="center"/>
              <w:rPr>
                <w:rFonts w:ascii="Times New Roman" w:hAnsi="Times New Roman"/>
                <w:color w:val="auto"/>
                <w:szCs w:val="21"/>
                <w:highlight w:val="none"/>
              </w:rPr>
            </w:pPr>
          </w:p>
        </w:tc>
        <w:tc>
          <w:tcPr>
            <w:tcW w:w="1940" w:type="dxa"/>
            <w:shd w:val="clear" w:color="auto" w:fill="FFFFFF"/>
            <w:noWrap w:val="0"/>
            <w:vAlign w:val="center"/>
          </w:tcPr>
          <w:p w14:paraId="74D5A818">
            <w:pPr>
              <w:keepNext w:val="0"/>
              <w:keepLines w:val="0"/>
              <w:pageBreakBefore w:val="0"/>
              <w:widowControl/>
              <w:kinsoku/>
              <w:wordWrap/>
              <w:overflowPunct/>
              <w:topLinePunct w:val="0"/>
              <w:bidi w:val="0"/>
              <w:snapToGrid/>
              <w:spacing w:line="440" w:lineRule="exact"/>
              <w:ind w:firstLine="0" w:firstLineChars="0"/>
              <w:jc w:val="center"/>
              <w:textAlignment w:val="center"/>
              <w:rPr>
                <w:rFonts w:ascii="Times New Roman" w:hAnsi="Times New Roman"/>
                <w:color w:val="auto"/>
                <w:szCs w:val="21"/>
                <w:highlight w:val="none"/>
              </w:rPr>
            </w:pPr>
          </w:p>
        </w:tc>
        <w:tc>
          <w:tcPr>
            <w:tcW w:w="543" w:type="dxa"/>
            <w:shd w:val="clear" w:color="auto" w:fill="FFFFFF"/>
            <w:noWrap w:val="0"/>
            <w:vAlign w:val="center"/>
          </w:tcPr>
          <w:p w14:paraId="65ABD602">
            <w:pPr>
              <w:keepNext w:val="0"/>
              <w:keepLines w:val="0"/>
              <w:pageBreakBefore w:val="0"/>
              <w:widowControl/>
              <w:kinsoku/>
              <w:wordWrap/>
              <w:overflowPunct/>
              <w:topLinePunct w:val="0"/>
              <w:bidi w:val="0"/>
              <w:snapToGrid/>
              <w:spacing w:line="440" w:lineRule="exact"/>
              <w:ind w:firstLine="0" w:firstLineChars="0"/>
              <w:jc w:val="center"/>
              <w:textAlignment w:val="center"/>
              <w:rPr>
                <w:rFonts w:ascii="Times New Roman" w:hAnsi="Times New Roman"/>
                <w:color w:val="auto"/>
                <w:szCs w:val="21"/>
                <w:highlight w:val="none"/>
              </w:rPr>
            </w:pPr>
          </w:p>
        </w:tc>
        <w:tc>
          <w:tcPr>
            <w:tcW w:w="543" w:type="dxa"/>
            <w:shd w:val="clear" w:color="auto" w:fill="FFFFFF"/>
            <w:noWrap w:val="0"/>
            <w:vAlign w:val="center"/>
          </w:tcPr>
          <w:p w14:paraId="17545D07">
            <w:pPr>
              <w:keepNext w:val="0"/>
              <w:keepLines w:val="0"/>
              <w:pageBreakBefore w:val="0"/>
              <w:kinsoku/>
              <w:wordWrap/>
              <w:overflowPunct/>
              <w:topLinePunct w:val="0"/>
              <w:bidi w:val="0"/>
              <w:snapToGrid/>
              <w:spacing w:line="440" w:lineRule="exact"/>
              <w:ind w:firstLine="0" w:firstLineChars="0"/>
              <w:jc w:val="center"/>
              <w:rPr>
                <w:rFonts w:ascii="Times New Roman" w:hAnsi="Times New Roman"/>
                <w:color w:val="auto"/>
                <w:szCs w:val="21"/>
                <w:highlight w:val="none"/>
              </w:rPr>
            </w:pPr>
          </w:p>
        </w:tc>
        <w:tc>
          <w:tcPr>
            <w:tcW w:w="1006" w:type="dxa"/>
            <w:noWrap w:val="0"/>
            <w:vAlign w:val="center"/>
          </w:tcPr>
          <w:p w14:paraId="6E6AF46C">
            <w:pPr>
              <w:keepNext w:val="0"/>
              <w:keepLines w:val="0"/>
              <w:pageBreakBefore w:val="0"/>
              <w:widowControl/>
              <w:kinsoku/>
              <w:wordWrap/>
              <w:overflowPunct/>
              <w:topLinePunct w:val="0"/>
              <w:bidi w:val="0"/>
              <w:snapToGrid/>
              <w:spacing w:line="440" w:lineRule="exact"/>
              <w:ind w:firstLine="0" w:firstLineChars="0"/>
              <w:jc w:val="right"/>
              <w:textAlignment w:val="center"/>
              <w:rPr>
                <w:rFonts w:ascii="Times New Roman" w:hAnsi="Times New Roman"/>
                <w:color w:val="auto"/>
                <w:szCs w:val="21"/>
                <w:highlight w:val="none"/>
              </w:rPr>
            </w:pPr>
          </w:p>
        </w:tc>
        <w:tc>
          <w:tcPr>
            <w:tcW w:w="1116" w:type="dxa"/>
            <w:noWrap w:val="0"/>
            <w:vAlign w:val="center"/>
          </w:tcPr>
          <w:p w14:paraId="75BFAF09">
            <w:pPr>
              <w:keepNext w:val="0"/>
              <w:keepLines w:val="0"/>
              <w:pageBreakBefore w:val="0"/>
              <w:widowControl/>
              <w:kinsoku/>
              <w:wordWrap/>
              <w:overflowPunct/>
              <w:topLinePunct w:val="0"/>
              <w:bidi w:val="0"/>
              <w:snapToGrid/>
              <w:spacing w:line="440" w:lineRule="exact"/>
              <w:ind w:firstLine="0" w:firstLineChars="0"/>
              <w:jc w:val="right"/>
              <w:textAlignment w:val="center"/>
              <w:rPr>
                <w:rFonts w:ascii="Times New Roman" w:hAnsi="Times New Roman"/>
                <w:color w:val="auto"/>
                <w:szCs w:val="21"/>
                <w:highlight w:val="none"/>
              </w:rPr>
            </w:pPr>
          </w:p>
        </w:tc>
      </w:tr>
      <w:tr w14:paraId="20070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543" w:type="dxa"/>
            <w:shd w:val="clear" w:color="auto" w:fill="FFFFFF"/>
            <w:noWrap w:val="0"/>
            <w:vAlign w:val="center"/>
          </w:tcPr>
          <w:p w14:paraId="65F49A38">
            <w:pPr>
              <w:keepNext w:val="0"/>
              <w:keepLines w:val="0"/>
              <w:pageBreakBefore w:val="0"/>
              <w:widowControl/>
              <w:kinsoku/>
              <w:wordWrap/>
              <w:overflowPunct/>
              <w:topLinePunct w:val="0"/>
              <w:bidi w:val="0"/>
              <w:snapToGrid/>
              <w:spacing w:line="440" w:lineRule="exact"/>
              <w:ind w:firstLine="0" w:firstLineChars="0"/>
              <w:jc w:val="center"/>
              <w:textAlignment w:val="center"/>
              <w:rPr>
                <w:rFonts w:ascii="Times New Roman" w:hAnsi="Times New Roman"/>
                <w:color w:val="auto"/>
                <w:szCs w:val="21"/>
                <w:highlight w:val="none"/>
              </w:rPr>
            </w:pPr>
            <w:r>
              <w:rPr>
                <w:rFonts w:ascii="Times New Roman" w:hAnsi="Times New Roman"/>
                <w:color w:val="auto"/>
                <w:szCs w:val="21"/>
                <w:highlight w:val="none"/>
              </w:rPr>
              <w:t>4</w:t>
            </w:r>
          </w:p>
        </w:tc>
        <w:tc>
          <w:tcPr>
            <w:tcW w:w="1086" w:type="dxa"/>
            <w:shd w:val="clear" w:color="auto" w:fill="FFFFFF"/>
            <w:noWrap w:val="0"/>
            <w:vAlign w:val="center"/>
          </w:tcPr>
          <w:p w14:paraId="75B7DDE5">
            <w:pPr>
              <w:keepNext w:val="0"/>
              <w:keepLines w:val="0"/>
              <w:pageBreakBefore w:val="0"/>
              <w:widowControl/>
              <w:kinsoku/>
              <w:wordWrap/>
              <w:overflowPunct/>
              <w:topLinePunct w:val="0"/>
              <w:bidi w:val="0"/>
              <w:snapToGrid/>
              <w:spacing w:line="440" w:lineRule="exact"/>
              <w:ind w:firstLine="0" w:firstLineChars="0"/>
              <w:jc w:val="center"/>
              <w:textAlignment w:val="center"/>
              <w:rPr>
                <w:rFonts w:ascii="Times New Roman" w:hAnsi="Times New Roman"/>
                <w:color w:val="auto"/>
                <w:szCs w:val="21"/>
                <w:highlight w:val="none"/>
              </w:rPr>
            </w:pPr>
          </w:p>
        </w:tc>
        <w:tc>
          <w:tcPr>
            <w:tcW w:w="1940" w:type="dxa"/>
            <w:shd w:val="clear" w:color="auto" w:fill="FFFFFF"/>
            <w:noWrap w:val="0"/>
            <w:vAlign w:val="center"/>
          </w:tcPr>
          <w:p w14:paraId="0DF73FFF">
            <w:pPr>
              <w:keepNext w:val="0"/>
              <w:keepLines w:val="0"/>
              <w:pageBreakBefore w:val="0"/>
              <w:widowControl/>
              <w:kinsoku/>
              <w:wordWrap/>
              <w:overflowPunct/>
              <w:topLinePunct w:val="0"/>
              <w:bidi w:val="0"/>
              <w:snapToGrid/>
              <w:spacing w:line="440" w:lineRule="exact"/>
              <w:ind w:firstLine="0" w:firstLineChars="0"/>
              <w:jc w:val="center"/>
              <w:textAlignment w:val="center"/>
              <w:rPr>
                <w:rFonts w:ascii="Times New Roman" w:hAnsi="Times New Roman"/>
                <w:color w:val="auto"/>
                <w:szCs w:val="21"/>
                <w:highlight w:val="none"/>
              </w:rPr>
            </w:pPr>
          </w:p>
        </w:tc>
        <w:tc>
          <w:tcPr>
            <w:tcW w:w="1940" w:type="dxa"/>
            <w:shd w:val="clear" w:color="auto" w:fill="FFFFFF"/>
            <w:noWrap w:val="0"/>
            <w:vAlign w:val="center"/>
          </w:tcPr>
          <w:p w14:paraId="10E48EE8">
            <w:pPr>
              <w:keepNext w:val="0"/>
              <w:keepLines w:val="0"/>
              <w:pageBreakBefore w:val="0"/>
              <w:widowControl/>
              <w:kinsoku/>
              <w:wordWrap/>
              <w:overflowPunct/>
              <w:topLinePunct w:val="0"/>
              <w:bidi w:val="0"/>
              <w:snapToGrid/>
              <w:spacing w:line="440" w:lineRule="exact"/>
              <w:ind w:firstLine="0" w:firstLineChars="0"/>
              <w:jc w:val="center"/>
              <w:textAlignment w:val="center"/>
              <w:rPr>
                <w:rFonts w:ascii="Times New Roman" w:hAnsi="Times New Roman"/>
                <w:color w:val="auto"/>
                <w:szCs w:val="21"/>
                <w:highlight w:val="none"/>
              </w:rPr>
            </w:pPr>
          </w:p>
        </w:tc>
        <w:tc>
          <w:tcPr>
            <w:tcW w:w="543" w:type="dxa"/>
            <w:shd w:val="clear" w:color="auto" w:fill="FFFFFF"/>
            <w:noWrap w:val="0"/>
            <w:vAlign w:val="center"/>
          </w:tcPr>
          <w:p w14:paraId="575ACBC9">
            <w:pPr>
              <w:keepNext w:val="0"/>
              <w:keepLines w:val="0"/>
              <w:pageBreakBefore w:val="0"/>
              <w:widowControl/>
              <w:kinsoku/>
              <w:wordWrap/>
              <w:overflowPunct/>
              <w:topLinePunct w:val="0"/>
              <w:bidi w:val="0"/>
              <w:snapToGrid/>
              <w:spacing w:line="440" w:lineRule="exact"/>
              <w:ind w:firstLine="0" w:firstLineChars="0"/>
              <w:jc w:val="center"/>
              <w:textAlignment w:val="center"/>
              <w:rPr>
                <w:rFonts w:ascii="Times New Roman" w:hAnsi="Times New Roman"/>
                <w:color w:val="auto"/>
                <w:szCs w:val="21"/>
                <w:highlight w:val="none"/>
              </w:rPr>
            </w:pPr>
          </w:p>
        </w:tc>
        <w:tc>
          <w:tcPr>
            <w:tcW w:w="543" w:type="dxa"/>
            <w:shd w:val="clear" w:color="auto" w:fill="FFFFFF"/>
            <w:noWrap w:val="0"/>
            <w:vAlign w:val="center"/>
          </w:tcPr>
          <w:p w14:paraId="0639834B">
            <w:pPr>
              <w:keepNext w:val="0"/>
              <w:keepLines w:val="0"/>
              <w:pageBreakBefore w:val="0"/>
              <w:kinsoku/>
              <w:wordWrap/>
              <w:overflowPunct/>
              <w:topLinePunct w:val="0"/>
              <w:bidi w:val="0"/>
              <w:snapToGrid/>
              <w:spacing w:line="440" w:lineRule="exact"/>
              <w:ind w:firstLine="0" w:firstLineChars="0"/>
              <w:jc w:val="center"/>
              <w:rPr>
                <w:rFonts w:ascii="Times New Roman" w:hAnsi="Times New Roman"/>
                <w:color w:val="auto"/>
                <w:szCs w:val="21"/>
                <w:highlight w:val="none"/>
              </w:rPr>
            </w:pPr>
          </w:p>
        </w:tc>
        <w:tc>
          <w:tcPr>
            <w:tcW w:w="1006" w:type="dxa"/>
            <w:noWrap w:val="0"/>
            <w:vAlign w:val="center"/>
          </w:tcPr>
          <w:p w14:paraId="1472B4C5">
            <w:pPr>
              <w:keepNext w:val="0"/>
              <w:keepLines w:val="0"/>
              <w:pageBreakBefore w:val="0"/>
              <w:widowControl/>
              <w:kinsoku/>
              <w:wordWrap/>
              <w:overflowPunct/>
              <w:topLinePunct w:val="0"/>
              <w:bidi w:val="0"/>
              <w:snapToGrid/>
              <w:spacing w:line="440" w:lineRule="exact"/>
              <w:ind w:firstLine="0" w:firstLineChars="0"/>
              <w:jc w:val="right"/>
              <w:textAlignment w:val="center"/>
              <w:rPr>
                <w:rFonts w:ascii="Times New Roman" w:hAnsi="Times New Roman"/>
                <w:color w:val="auto"/>
                <w:szCs w:val="21"/>
                <w:highlight w:val="none"/>
              </w:rPr>
            </w:pPr>
          </w:p>
        </w:tc>
        <w:tc>
          <w:tcPr>
            <w:tcW w:w="1116" w:type="dxa"/>
            <w:noWrap w:val="0"/>
            <w:vAlign w:val="center"/>
          </w:tcPr>
          <w:p w14:paraId="2950769C">
            <w:pPr>
              <w:keepNext w:val="0"/>
              <w:keepLines w:val="0"/>
              <w:pageBreakBefore w:val="0"/>
              <w:widowControl/>
              <w:kinsoku/>
              <w:wordWrap/>
              <w:overflowPunct/>
              <w:topLinePunct w:val="0"/>
              <w:bidi w:val="0"/>
              <w:snapToGrid/>
              <w:spacing w:line="440" w:lineRule="exact"/>
              <w:ind w:firstLine="0" w:firstLineChars="0"/>
              <w:jc w:val="right"/>
              <w:textAlignment w:val="center"/>
              <w:rPr>
                <w:rFonts w:ascii="Times New Roman" w:hAnsi="Times New Roman"/>
                <w:color w:val="auto"/>
                <w:szCs w:val="21"/>
                <w:highlight w:val="none"/>
              </w:rPr>
            </w:pPr>
          </w:p>
        </w:tc>
      </w:tr>
      <w:tr w14:paraId="7727B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8" w:hRule="atLeast"/>
          <w:jc w:val="center"/>
        </w:trPr>
        <w:tc>
          <w:tcPr>
            <w:tcW w:w="543" w:type="dxa"/>
            <w:shd w:val="clear" w:color="auto" w:fill="FFFFFF"/>
            <w:noWrap w:val="0"/>
            <w:vAlign w:val="center"/>
          </w:tcPr>
          <w:p w14:paraId="00213C85">
            <w:pPr>
              <w:keepNext w:val="0"/>
              <w:keepLines w:val="0"/>
              <w:pageBreakBefore w:val="0"/>
              <w:widowControl/>
              <w:kinsoku/>
              <w:wordWrap/>
              <w:overflowPunct/>
              <w:topLinePunct w:val="0"/>
              <w:bidi w:val="0"/>
              <w:snapToGrid/>
              <w:spacing w:line="440" w:lineRule="exact"/>
              <w:ind w:firstLine="0" w:firstLineChars="0"/>
              <w:jc w:val="center"/>
              <w:textAlignment w:val="center"/>
              <w:rPr>
                <w:rFonts w:ascii="Times New Roman" w:hAnsi="Times New Roman"/>
                <w:color w:val="auto"/>
                <w:szCs w:val="21"/>
                <w:highlight w:val="none"/>
              </w:rPr>
            </w:pPr>
            <w:r>
              <w:rPr>
                <w:rFonts w:ascii="Times New Roman" w:hAnsi="Times New Roman"/>
                <w:color w:val="auto"/>
                <w:szCs w:val="21"/>
                <w:highlight w:val="none"/>
              </w:rPr>
              <w:t>5</w:t>
            </w:r>
          </w:p>
        </w:tc>
        <w:tc>
          <w:tcPr>
            <w:tcW w:w="1086" w:type="dxa"/>
            <w:shd w:val="clear" w:color="auto" w:fill="FFFFFF"/>
            <w:noWrap w:val="0"/>
            <w:vAlign w:val="center"/>
          </w:tcPr>
          <w:p w14:paraId="5499F3F7">
            <w:pPr>
              <w:keepNext w:val="0"/>
              <w:keepLines w:val="0"/>
              <w:pageBreakBefore w:val="0"/>
              <w:widowControl/>
              <w:kinsoku/>
              <w:wordWrap/>
              <w:overflowPunct/>
              <w:topLinePunct w:val="0"/>
              <w:bidi w:val="0"/>
              <w:snapToGrid/>
              <w:spacing w:line="440" w:lineRule="exact"/>
              <w:ind w:firstLine="0" w:firstLineChars="0"/>
              <w:jc w:val="center"/>
              <w:textAlignment w:val="center"/>
              <w:rPr>
                <w:rFonts w:ascii="Times New Roman" w:hAnsi="Times New Roman"/>
                <w:color w:val="auto"/>
                <w:szCs w:val="21"/>
                <w:highlight w:val="none"/>
              </w:rPr>
            </w:pPr>
          </w:p>
        </w:tc>
        <w:tc>
          <w:tcPr>
            <w:tcW w:w="1940" w:type="dxa"/>
            <w:shd w:val="clear" w:color="auto" w:fill="FFFFFF"/>
            <w:noWrap w:val="0"/>
            <w:vAlign w:val="center"/>
          </w:tcPr>
          <w:p w14:paraId="7762FBFE">
            <w:pPr>
              <w:keepNext w:val="0"/>
              <w:keepLines w:val="0"/>
              <w:pageBreakBefore w:val="0"/>
              <w:widowControl/>
              <w:kinsoku/>
              <w:wordWrap/>
              <w:overflowPunct/>
              <w:topLinePunct w:val="0"/>
              <w:bidi w:val="0"/>
              <w:snapToGrid/>
              <w:spacing w:line="440" w:lineRule="exact"/>
              <w:ind w:firstLine="0" w:firstLineChars="0"/>
              <w:jc w:val="center"/>
              <w:textAlignment w:val="center"/>
              <w:rPr>
                <w:rFonts w:ascii="Times New Roman" w:hAnsi="Times New Roman"/>
                <w:color w:val="auto"/>
                <w:szCs w:val="21"/>
                <w:highlight w:val="none"/>
              </w:rPr>
            </w:pPr>
          </w:p>
        </w:tc>
        <w:tc>
          <w:tcPr>
            <w:tcW w:w="1940" w:type="dxa"/>
            <w:shd w:val="clear" w:color="auto" w:fill="FFFFFF"/>
            <w:noWrap w:val="0"/>
            <w:vAlign w:val="center"/>
          </w:tcPr>
          <w:p w14:paraId="6F7D437E">
            <w:pPr>
              <w:keepNext w:val="0"/>
              <w:keepLines w:val="0"/>
              <w:pageBreakBefore w:val="0"/>
              <w:widowControl/>
              <w:kinsoku/>
              <w:wordWrap/>
              <w:overflowPunct/>
              <w:topLinePunct w:val="0"/>
              <w:bidi w:val="0"/>
              <w:snapToGrid/>
              <w:spacing w:line="440" w:lineRule="exact"/>
              <w:ind w:firstLine="0" w:firstLineChars="0"/>
              <w:jc w:val="center"/>
              <w:textAlignment w:val="center"/>
              <w:rPr>
                <w:rFonts w:ascii="Times New Roman" w:hAnsi="Times New Roman"/>
                <w:color w:val="auto"/>
                <w:szCs w:val="21"/>
                <w:highlight w:val="none"/>
              </w:rPr>
            </w:pPr>
          </w:p>
        </w:tc>
        <w:tc>
          <w:tcPr>
            <w:tcW w:w="543" w:type="dxa"/>
            <w:shd w:val="clear" w:color="auto" w:fill="FFFFFF"/>
            <w:noWrap w:val="0"/>
            <w:vAlign w:val="center"/>
          </w:tcPr>
          <w:p w14:paraId="1807E089">
            <w:pPr>
              <w:keepNext w:val="0"/>
              <w:keepLines w:val="0"/>
              <w:pageBreakBefore w:val="0"/>
              <w:widowControl/>
              <w:kinsoku/>
              <w:wordWrap/>
              <w:overflowPunct/>
              <w:topLinePunct w:val="0"/>
              <w:bidi w:val="0"/>
              <w:snapToGrid/>
              <w:spacing w:line="440" w:lineRule="exact"/>
              <w:ind w:firstLine="0" w:firstLineChars="0"/>
              <w:jc w:val="center"/>
              <w:textAlignment w:val="center"/>
              <w:rPr>
                <w:rFonts w:ascii="Times New Roman" w:hAnsi="Times New Roman"/>
                <w:color w:val="auto"/>
                <w:szCs w:val="21"/>
                <w:highlight w:val="none"/>
              </w:rPr>
            </w:pPr>
          </w:p>
        </w:tc>
        <w:tc>
          <w:tcPr>
            <w:tcW w:w="543" w:type="dxa"/>
            <w:shd w:val="clear" w:color="auto" w:fill="FFFFFF"/>
            <w:noWrap w:val="0"/>
            <w:vAlign w:val="center"/>
          </w:tcPr>
          <w:p w14:paraId="76D50EF1">
            <w:pPr>
              <w:keepNext w:val="0"/>
              <w:keepLines w:val="0"/>
              <w:pageBreakBefore w:val="0"/>
              <w:kinsoku/>
              <w:wordWrap/>
              <w:overflowPunct/>
              <w:topLinePunct w:val="0"/>
              <w:bidi w:val="0"/>
              <w:snapToGrid/>
              <w:spacing w:line="440" w:lineRule="exact"/>
              <w:ind w:firstLine="0" w:firstLineChars="0"/>
              <w:jc w:val="center"/>
              <w:rPr>
                <w:rFonts w:ascii="Times New Roman" w:hAnsi="Times New Roman"/>
                <w:color w:val="auto"/>
                <w:szCs w:val="21"/>
                <w:highlight w:val="none"/>
              </w:rPr>
            </w:pPr>
          </w:p>
        </w:tc>
        <w:tc>
          <w:tcPr>
            <w:tcW w:w="1006" w:type="dxa"/>
            <w:noWrap w:val="0"/>
            <w:vAlign w:val="center"/>
          </w:tcPr>
          <w:p w14:paraId="5BCB9328">
            <w:pPr>
              <w:keepNext w:val="0"/>
              <w:keepLines w:val="0"/>
              <w:pageBreakBefore w:val="0"/>
              <w:widowControl/>
              <w:kinsoku/>
              <w:wordWrap/>
              <w:overflowPunct/>
              <w:topLinePunct w:val="0"/>
              <w:bidi w:val="0"/>
              <w:snapToGrid/>
              <w:spacing w:line="440" w:lineRule="exact"/>
              <w:ind w:firstLine="0" w:firstLineChars="0"/>
              <w:jc w:val="right"/>
              <w:textAlignment w:val="center"/>
              <w:rPr>
                <w:rFonts w:ascii="Times New Roman" w:hAnsi="Times New Roman"/>
                <w:color w:val="auto"/>
                <w:szCs w:val="21"/>
                <w:highlight w:val="none"/>
              </w:rPr>
            </w:pPr>
          </w:p>
        </w:tc>
        <w:tc>
          <w:tcPr>
            <w:tcW w:w="1116" w:type="dxa"/>
            <w:noWrap w:val="0"/>
            <w:vAlign w:val="center"/>
          </w:tcPr>
          <w:p w14:paraId="6B4A3EB0">
            <w:pPr>
              <w:keepNext w:val="0"/>
              <w:keepLines w:val="0"/>
              <w:pageBreakBefore w:val="0"/>
              <w:widowControl/>
              <w:kinsoku/>
              <w:wordWrap/>
              <w:overflowPunct/>
              <w:topLinePunct w:val="0"/>
              <w:bidi w:val="0"/>
              <w:snapToGrid/>
              <w:spacing w:line="440" w:lineRule="exact"/>
              <w:ind w:firstLine="0" w:firstLineChars="0"/>
              <w:jc w:val="right"/>
              <w:textAlignment w:val="center"/>
              <w:rPr>
                <w:rFonts w:ascii="Times New Roman" w:hAnsi="Times New Roman"/>
                <w:color w:val="auto"/>
                <w:szCs w:val="21"/>
                <w:highlight w:val="none"/>
              </w:rPr>
            </w:pPr>
          </w:p>
        </w:tc>
      </w:tr>
      <w:tr w14:paraId="00958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543" w:type="dxa"/>
            <w:shd w:val="clear" w:color="auto" w:fill="FFFFFF"/>
            <w:noWrap w:val="0"/>
            <w:vAlign w:val="center"/>
          </w:tcPr>
          <w:p w14:paraId="64DC7259">
            <w:pPr>
              <w:keepNext w:val="0"/>
              <w:keepLines w:val="0"/>
              <w:pageBreakBefore w:val="0"/>
              <w:widowControl/>
              <w:kinsoku/>
              <w:wordWrap/>
              <w:overflowPunct/>
              <w:topLinePunct w:val="0"/>
              <w:bidi w:val="0"/>
              <w:snapToGrid/>
              <w:spacing w:line="440" w:lineRule="exact"/>
              <w:ind w:firstLine="0" w:firstLineChars="0"/>
              <w:jc w:val="center"/>
              <w:textAlignment w:val="center"/>
              <w:rPr>
                <w:rFonts w:ascii="Times New Roman" w:hAnsi="Times New Roman"/>
                <w:color w:val="auto"/>
                <w:szCs w:val="21"/>
                <w:highlight w:val="none"/>
              </w:rPr>
            </w:pPr>
            <w:r>
              <w:rPr>
                <w:rFonts w:ascii="Times New Roman" w:hAnsi="Times New Roman"/>
                <w:color w:val="auto"/>
                <w:szCs w:val="21"/>
                <w:highlight w:val="none"/>
              </w:rPr>
              <w:t>6</w:t>
            </w:r>
          </w:p>
        </w:tc>
        <w:tc>
          <w:tcPr>
            <w:tcW w:w="1086" w:type="dxa"/>
            <w:shd w:val="clear" w:color="auto" w:fill="FFFFFF"/>
            <w:noWrap w:val="0"/>
            <w:vAlign w:val="center"/>
          </w:tcPr>
          <w:p w14:paraId="21FEF31D">
            <w:pPr>
              <w:keepNext w:val="0"/>
              <w:keepLines w:val="0"/>
              <w:pageBreakBefore w:val="0"/>
              <w:widowControl/>
              <w:kinsoku/>
              <w:wordWrap/>
              <w:overflowPunct/>
              <w:topLinePunct w:val="0"/>
              <w:bidi w:val="0"/>
              <w:snapToGrid/>
              <w:spacing w:line="440" w:lineRule="exact"/>
              <w:ind w:firstLine="0" w:firstLineChars="0"/>
              <w:jc w:val="center"/>
              <w:textAlignment w:val="center"/>
              <w:rPr>
                <w:rFonts w:ascii="Times New Roman" w:hAnsi="Times New Roman"/>
                <w:color w:val="auto"/>
                <w:szCs w:val="21"/>
                <w:highlight w:val="none"/>
              </w:rPr>
            </w:pPr>
          </w:p>
        </w:tc>
        <w:tc>
          <w:tcPr>
            <w:tcW w:w="1940" w:type="dxa"/>
            <w:shd w:val="clear" w:color="auto" w:fill="FFFFFF"/>
            <w:noWrap w:val="0"/>
            <w:vAlign w:val="center"/>
          </w:tcPr>
          <w:p w14:paraId="497A0F36">
            <w:pPr>
              <w:keepNext w:val="0"/>
              <w:keepLines w:val="0"/>
              <w:pageBreakBefore w:val="0"/>
              <w:widowControl/>
              <w:kinsoku/>
              <w:wordWrap/>
              <w:overflowPunct/>
              <w:topLinePunct w:val="0"/>
              <w:bidi w:val="0"/>
              <w:snapToGrid/>
              <w:spacing w:line="440" w:lineRule="exact"/>
              <w:ind w:firstLine="0" w:firstLineChars="0"/>
              <w:jc w:val="center"/>
              <w:textAlignment w:val="center"/>
              <w:rPr>
                <w:rFonts w:ascii="Times New Roman" w:hAnsi="Times New Roman"/>
                <w:color w:val="auto"/>
                <w:szCs w:val="21"/>
                <w:highlight w:val="none"/>
              </w:rPr>
            </w:pPr>
          </w:p>
        </w:tc>
        <w:tc>
          <w:tcPr>
            <w:tcW w:w="1940" w:type="dxa"/>
            <w:shd w:val="clear" w:color="auto" w:fill="FFFFFF"/>
            <w:noWrap w:val="0"/>
            <w:vAlign w:val="center"/>
          </w:tcPr>
          <w:p w14:paraId="44906489">
            <w:pPr>
              <w:keepNext w:val="0"/>
              <w:keepLines w:val="0"/>
              <w:pageBreakBefore w:val="0"/>
              <w:widowControl/>
              <w:kinsoku/>
              <w:wordWrap/>
              <w:overflowPunct/>
              <w:topLinePunct w:val="0"/>
              <w:bidi w:val="0"/>
              <w:snapToGrid/>
              <w:spacing w:line="440" w:lineRule="exact"/>
              <w:ind w:firstLine="0" w:firstLineChars="0"/>
              <w:jc w:val="center"/>
              <w:textAlignment w:val="center"/>
              <w:rPr>
                <w:rFonts w:ascii="Times New Roman" w:hAnsi="Times New Roman"/>
                <w:color w:val="auto"/>
                <w:szCs w:val="21"/>
                <w:highlight w:val="none"/>
              </w:rPr>
            </w:pPr>
          </w:p>
        </w:tc>
        <w:tc>
          <w:tcPr>
            <w:tcW w:w="543" w:type="dxa"/>
            <w:shd w:val="clear" w:color="auto" w:fill="FFFFFF"/>
            <w:noWrap w:val="0"/>
            <w:vAlign w:val="center"/>
          </w:tcPr>
          <w:p w14:paraId="1B4D8153">
            <w:pPr>
              <w:keepNext w:val="0"/>
              <w:keepLines w:val="0"/>
              <w:pageBreakBefore w:val="0"/>
              <w:widowControl/>
              <w:kinsoku/>
              <w:wordWrap/>
              <w:overflowPunct/>
              <w:topLinePunct w:val="0"/>
              <w:bidi w:val="0"/>
              <w:snapToGrid/>
              <w:spacing w:line="440" w:lineRule="exact"/>
              <w:ind w:firstLine="0" w:firstLineChars="0"/>
              <w:jc w:val="center"/>
              <w:textAlignment w:val="center"/>
              <w:rPr>
                <w:rFonts w:ascii="Times New Roman" w:hAnsi="Times New Roman"/>
                <w:color w:val="auto"/>
                <w:szCs w:val="21"/>
                <w:highlight w:val="none"/>
              </w:rPr>
            </w:pPr>
          </w:p>
        </w:tc>
        <w:tc>
          <w:tcPr>
            <w:tcW w:w="543" w:type="dxa"/>
            <w:shd w:val="clear" w:color="auto" w:fill="FFFFFF"/>
            <w:noWrap w:val="0"/>
            <w:vAlign w:val="center"/>
          </w:tcPr>
          <w:p w14:paraId="1F3C4FBA">
            <w:pPr>
              <w:keepNext w:val="0"/>
              <w:keepLines w:val="0"/>
              <w:pageBreakBefore w:val="0"/>
              <w:kinsoku/>
              <w:wordWrap/>
              <w:overflowPunct/>
              <w:topLinePunct w:val="0"/>
              <w:bidi w:val="0"/>
              <w:snapToGrid/>
              <w:spacing w:line="440" w:lineRule="exact"/>
              <w:ind w:firstLine="0" w:firstLineChars="0"/>
              <w:jc w:val="center"/>
              <w:rPr>
                <w:rFonts w:ascii="Times New Roman" w:hAnsi="Times New Roman"/>
                <w:color w:val="auto"/>
                <w:szCs w:val="21"/>
                <w:highlight w:val="none"/>
              </w:rPr>
            </w:pPr>
          </w:p>
        </w:tc>
        <w:tc>
          <w:tcPr>
            <w:tcW w:w="1006" w:type="dxa"/>
            <w:noWrap w:val="0"/>
            <w:vAlign w:val="center"/>
          </w:tcPr>
          <w:p w14:paraId="3CC661CB">
            <w:pPr>
              <w:keepNext w:val="0"/>
              <w:keepLines w:val="0"/>
              <w:pageBreakBefore w:val="0"/>
              <w:widowControl/>
              <w:kinsoku/>
              <w:wordWrap/>
              <w:overflowPunct/>
              <w:topLinePunct w:val="0"/>
              <w:bidi w:val="0"/>
              <w:snapToGrid/>
              <w:spacing w:line="440" w:lineRule="exact"/>
              <w:ind w:firstLine="0" w:firstLineChars="0"/>
              <w:jc w:val="right"/>
              <w:textAlignment w:val="center"/>
              <w:rPr>
                <w:rFonts w:ascii="Times New Roman" w:hAnsi="Times New Roman"/>
                <w:color w:val="auto"/>
                <w:szCs w:val="21"/>
                <w:highlight w:val="none"/>
              </w:rPr>
            </w:pPr>
          </w:p>
        </w:tc>
        <w:tc>
          <w:tcPr>
            <w:tcW w:w="1116" w:type="dxa"/>
            <w:noWrap w:val="0"/>
            <w:vAlign w:val="center"/>
          </w:tcPr>
          <w:p w14:paraId="77FFBD10">
            <w:pPr>
              <w:keepNext w:val="0"/>
              <w:keepLines w:val="0"/>
              <w:pageBreakBefore w:val="0"/>
              <w:widowControl/>
              <w:kinsoku/>
              <w:wordWrap/>
              <w:overflowPunct/>
              <w:topLinePunct w:val="0"/>
              <w:bidi w:val="0"/>
              <w:snapToGrid/>
              <w:spacing w:line="440" w:lineRule="exact"/>
              <w:ind w:firstLine="0" w:firstLineChars="0"/>
              <w:jc w:val="right"/>
              <w:textAlignment w:val="center"/>
              <w:rPr>
                <w:rFonts w:ascii="Times New Roman" w:hAnsi="Times New Roman"/>
                <w:color w:val="auto"/>
                <w:szCs w:val="21"/>
                <w:highlight w:val="none"/>
              </w:rPr>
            </w:pPr>
          </w:p>
        </w:tc>
      </w:tr>
      <w:tr w14:paraId="305B0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7" w:hRule="exact"/>
          <w:jc w:val="center"/>
        </w:trPr>
        <w:tc>
          <w:tcPr>
            <w:tcW w:w="8717" w:type="dxa"/>
            <w:gridSpan w:val="8"/>
            <w:noWrap w:val="0"/>
            <w:vAlign w:val="center"/>
          </w:tcPr>
          <w:p w14:paraId="7FBCC8E3">
            <w:pPr>
              <w:keepNext w:val="0"/>
              <w:keepLines w:val="0"/>
              <w:pageBreakBefore w:val="0"/>
              <w:kinsoku/>
              <w:wordWrap/>
              <w:overflowPunct/>
              <w:topLinePunct w:val="0"/>
              <w:bidi w:val="0"/>
              <w:snapToGrid/>
              <w:spacing w:line="440" w:lineRule="exact"/>
              <w:ind w:firstLine="0" w:firstLineChars="0"/>
              <w:jc w:val="left"/>
              <w:rPr>
                <w:rFonts w:ascii="Times New Roman" w:hAnsi="Times New Roman"/>
                <w:color w:val="auto"/>
                <w:szCs w:val="21"/>
                <w:highlight w:val="none"/>
              </w:rPr>
            </w:pPr>
            <w:r>
              <w:rPr>
                <w:rFonts w:ascii="Times New Roman" w:hAnsi="Times New Roman"/>
                <w:color w:val="auto"/>
                <w:szCs w:val="21"/>
                <w:highlight w:val="none"/>
              </w:rPr>
              <w:t>合计（元）</w:t>
            </w:r>
          </w:p>
          <w:p w14:paraId="554EBA97">
            <w:pPr>
              <w:pStyle w:val="22"/>
              <w:keepNext w:val="0"/>
              <w:keepLines w:val="0"/>
              <w:pageBreakBefore w:val="0"/>
              <w:kinsoku/>
              <w:wordWrap/>
              <w:overflowPunct/>
              <w:topLinePunct w:val="0"/>
              <w:bidi w:val="0"/>
              <w:snapToGrid/>
              <w:spacing w:line="440" w:lineRule="exact"/>
              <w:ind w:firstLine="0" w:firstLineChars="0"/>
              <w:jc w:val="right"/>
              <w:rPr>
                <w:rFonts w:ascii="Times New Roman"/>
                <w:color w:val="auto"/>
                <w:highlight w:val="none"/>
                <w:lang w:val="en-US" w:eastAsia="zh-CN"/>
              </w:rPr>
            </w:pPr>
            <w:r>
              <w:rPr>
                <w:rFonts w:ascii="Times New Roman"/>
                <w:color w:val="auto"/>
                <w:highlight w:val="none"/>
                <w:lang w:val="en-US" w:eastAsia="zh-CN"/>
              </w:rPr>
              <w:t xml:space="preserve"> </w:t>
            </w:r>
          </w:p>
        </w:tc>
      </w:tr>
    </w:tbl>
    <w:p w14:paraId="2AF1F843">
      <w:pPr>
        <w:keepNext w:val="0"/>
        <w:keepLines w:val="0"/>
        <w:pageBreakBefore w:val="0"/>
        <w:kinsoku/>
        <w:wordWrap/>
        <w:overflowPunct/>
        <w:topLinePunct w:val="0"/>
        <w:bidi w:val="0"/>
        <w:snapToGrid/>
        <w:spacing w:line="440" w:lineRule="exact"/>
        <w:ind w:firstLine="0" w:firstLineChars="0"/>
        <w:rPr>
          <w:rFonts w:ascii="Times New Roman" w:hAnsi="Times New Roman"/>
          <w:color w:val="auto"/>
          <w:szCs w:val="21"/>
          <w:highlight w:val="none"/>
        </w:rPr>
      </w:pPr>
      <w:r>
        <w:rPr>
          <w:rFonts w:ascii="Times New Roman" w:hAnsi="Times New Roman" w:eastAsia="宋体" w:cs="Times New Roman"/>
          <w:color w:val="auto"/>
          <w:kern w:val="2"/>
          <w:sz w:val="21"/>
          <w:szCs w:val="21"/>
          <w:highlight w:val="none"/>
          <w:lang w:val="en-US" w:eastAsia="zh-CN" w:bidi="ar-SA"/>
        </w:rPr>
        <w:t>2.</w:t>
      </w:r>
      <w:r>
        <w:rPr>
          <w:rFonts w:ascii="Times New Roman" w:hAnsi="Times New Roman"/>
          <w:color w:val="auto"/>
          <w:szCs w:val="21"/>
          <w:highlight w:val="none"/>
        </w:rPr>
        <w:t>交货及项目实施进度要求：乙方按甲方或甲方用户单位指定的时间、地点及项目实施进度要求履行</w:t>
      </w:r>
      <w:r>
        <w:rPr>
          <w:rFonts w:hint="eastAsia"/>
          <w:color w:val="auto"/>
          <w:szCs w:val="21"/>
          <w:highlight w:val="none"/>
          <w:lang w:val="en-US" w:eastAsia="zh-CN"/>
        </w:rPr>
        <w:t>.</w:t>
      </w:r>
      <w:r>
        <w:rPr>
          <w:rFonts w:hint="eastAsia"/>
          <w:b/>
          <w:color w:val="auto"/>
          <w:szCs w:val="21"/>
          <w:highlight w:val="none"/>
          <w:lang w:val="en-US" w:eastAsia="zh-CN"/>
        </w:rPr>
        <w:t>项目实施期限</w:t>
      </w:r>
      <w:r>
        <w:rPr>
          <w:rFonts w:ascii="Times New Roman" w:hAnsi="Times New Roman"/>
          <w:b/>
          <w:bCs/>
          <w:color w:val="auto"/>
          <w:szCs w:val="21"/>
          <w:highlight w:val="none"/>
        </w:rPr>
        <w:t>：</w:t>
      </w:r>
      <w:r>
        <w:rPr>
          <w:rFonts w:hint="eastAsia"/>
          <w:b/>
          <w:bCs/>
          <w:color w:val="auto"/>
          <w:szCs w:val="21"/>
          <w:highlight w:val="none"/>
          <w:lang w:eastAsia="zh-CN"/>
        </w:rPr>
        <w:t>合同签订后</w:t>
      </w:r>
      <w:r>
        <w:rPr>
          <w:rFonts w:hint="eastAsia"/>
          <w:b/>
          <w:bCs/>
          <w:color w:val="auto"/>
          <w:szCs w:val="21"/>
          <w:highlight w:val="none"/>
          <w:lang w:val="en-US" w:eastAsia="zh-CN"/>
        </w:rPr>
        <w:t xml:space="preserve">    </w:t>
      </w:r>
      <w:r>
        <w:rPr>
          <w:rFonts w:hint="eastAsia"/>
          <w:b/>
          <w:bCs/>
          <w:color w:val="auto"/>
          <w:szCs w:val="21"/>
          <w:highlight w:val="none"/>
          <w:lang w:eastAsia="zh-CN"/>
        </w:rPr>
        <w:t>天内完成供货，投标人可在规定的时限内自报最短交货期，若采购人有分批次供货要求的，投标人按照采购人的要求执行</w:t>
      </w:r>
      <w:r>
        <w:rPr>
          <w:rFonts w:ascii="Times New Roman" w:hAnsi="Times New Roman"/>
          <w:b/>
          <w:bCs/>
          <w:color w:val="auto"/>
          <w:szCs w:val="21"/>
          <w:highlight w:val="none"/>
        </w:rPr>
        <w:t>。</w:t>
      </w:r>
      <w:r>
        <w:rPr>
          <w:rFonts w:hint="eastAsia"/>
          <w:b/>
          <w:color w:val="auto"/>
          <w:szCs w:val="21"/>
          <w:highlight w:val="none"/>
          <w:lang w:val="en-US" w:eastAsia="zh-CN"/>
        </w:rPr>
        <w:t>项目实施</w:t>
      </w:r>
      <w:r>
        <w:rPr>
          <w:rFonts w:ascii="Times New Roman" w:hAnsi="Times New Roman"/>
          <w:b/>
          <w:bCs/>
          <w:color w:val="auto"/>
          <w:szCs w:val="21"/>
          <w:highlight w:val="none"/>
        </w:rPr>
        <w:t>地点：</w:t>
      </w:r>
      <w:r>
        <w:rPr>
          <w:rFonts w:hint="eastAsia"/>
          <w:b/>
          <w:bCs/>
          <w:color w:val="auto"/>
          <w:szCs w:val="21"/>
          <w:highlight w:val="none"/>
          <w:lang w:eastAsia="zh-CN"/>
        </w:rPr>
        <w:t>怒江州民族中等专业学校指定地点</w:t>
      </w:r>
      <w:r>
        <w:rPr>
          <w:rFonts w:ascii="Times New Roman" w:hAnsi="Times New Roman"/>
          <w:b/>
          <w:bCs/>
          <w:color w:val="auto"/>
          <w:szCs w:val="21"/>
          <w:highlight w:val="none"/>
        </w:rPr>
        <w:t>。</w:t>
      </w:r>
    </w:p>
    <w:p w14:paraId="696121D0">
      <w:pPr>
        <w:keepNext w:val="0"/>
        <w:keepLines w:val="0"/>
        <w:pageBreakBefore w:val="0"/>
        <w:kinsoku/>
        <w:wordWrap/>
        <w:overflowPunct/>
        <w:topLinePunct w:val="0"/>
        <w:bidi w:val="0"/>
        <w:snapToGrid/>
        <w:spacing w:line="440" w:lineRule="exact"/>
        <w:ind w:firstLine="0" w:firstLineChars="0"/>
        <w:rPr>
          <w:rFonts w:ascii="Times New Roman" w:hAnsi="Times New Roman"/>
          <w:b/>
          <w:bCs/>
          <w:color w:val="auto"/>
          <w:szCs w:val="21"/>
          <w:highlight w:val="none"/>
        </w:rPr>
      </w:pPr>
      <w:r>
        <w:rPr>
          <w:rFonts w:ascii="Times New Roman" w:hAnsi="Times New Roman"/>
          <w:b/>
          <w:bCs/>
          <w:color w:val="auto"/>
          <w:szCs w:val="21"/>
          <w:highlight w:val="none"/>
        </w:rPr>
        <w:t>二、合同总价</w:t>
      </w:r>
    </w:p>
    <w:p w14:paraId="629ED444">
      <w:pPr>
        <w:keepNext w:val="0"/>
        <w:keepLines w:val="0"/>
        <w:pageBreakBefore w:val="0"/>
        <w:kinsoku/>
        <w:wordWrap/>
        <w:overflowPunct/>
        <w:topLinePunct w:val="0"/>
        <w:bidi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人民币小写：</w:t>
      </w:r>
      <w:r>
        <w:rPr>
          <w:rFonts w:ascii="Times New Roman" w:hAnsi="Times New Roman"/>
          <w:color w:val="auto"/>
          <w:szCs w:val="21"/>
          <w:highlight w:val="none"/>
          <w:u w:val="single"/>
        </w:rPr>
        <w:t>￥        元</w:t>
      </w:r>
    </w:p>
    <w:p w14:paraId="67988E88">
      <w:pPr>
        <w:keepNext w:val="0"/>
        <w:keepLines w:val="0"/>
        <w:pageBreakBefore w:val="0"/>
        <w:kinsoku/>
        <w:wordWrap/>
        <w:overflowPunct/>
        <w:topLinePunct w:val="0"/>
        <w:bidi w:val="0"/>
        <w:snapToGrid/>
        <w:spacing w:line="440" w:lineRule="exact"/>
        <w:ind w:firstLine="0" w:firstLineChars="0"/>
        <w:rPr>
          <w:rFonts w:ascii="Times New Roman" w:hAnsi="Times New Roman"/>
          <w:color w:val="auto"/>
          <w:szCs w:val="21"/>
          <w:highlight w:val="none"/>
          <w:u w:val="single"/>
        </w:rPr>
      </w:pPr>
      <w:r>
        <w:rPr>
          <w:rFonts w:ascii="Times New Roman" w:hAnsi="Times New Roman"/>
          <w:color w:val="auto"/>
          <w:szCs w:val="21"/>
          <w:highlight w:val="none"/>
        </w:rPr>
        <w:t>大写：</w:t>
      </w:r>
      <w:r>
        <w:rPr>
          <w:rFonts w:ascii="Times New Roman" w:hAnsi="Times New Roman"/>
          <w:color w:val="auto"/>
          <w:szCs w:val="21"/>
          <w:highlight w:val="none"/>
          <w:u w:val="single"/>
        </w:rPr>
        <w:t xml:space="preserve">             </w:t>
      </w:r>
    </w:p>
    <w:p w14:paraId="7C8AD1B0">
      <w:pPr>
        <w:keepNext w:val="0"/>
        <w:keepLines w:val="0"/>
        <w:pageBreakBefore w:val="0"/>
        <w:kinsoku/>
        <w:wordWrap/>
        <w:overflowPunct/>
        <w:topLinePunct w:val="0"/>
        <w:bidi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以上价格是货物（设备）的出厂价、项目需要的运输、人工服务费、质保期内缺陷的修复补救费用及退换货处理发生的所有费用，也包含乙方应当提供的售后服务费用，并不得再有其他费用,否则甲方有权拒付。</w:t>
      </w:r>
    </w:p>
    <w:p w14:paraId="02290C7C">
      <w:pPr>
        <w:keepNext w:val="0"/>
        <w:keepLines w:val="0"/>
        <w:pageBreakBefore w:val="0"/>
        <w:kinsoku/>
        <w:wordWrap/>
        <w:overflowPunct/>
        <w:topLinePunct w:val="0"/>
        <w:bidi w:val="0"/>
        <w:snapToGrid/>
        <w:spacing w:line="440" w:lineRule="exact"/>
        <w:ind w:firstLine="0" w:firstLineChars="0"/>
        <w:rPr>
          <w:rFonts w:ascii="Times New Roman" w:hAnsi="Times New Roman"/>
          <w:b/>
          <w:bCs/>
          <w:color w:val="auto"/>
          <w:szCs w:val="21"/>
          <w:highlight w:val="none"/>
        </w:rPr>
      </w:pPr>
      <w:r>
        <w:rPr>
          <w:rFonts w:ascii="Times New Roman" w:hAnsi="Times New Roman"/>
          <w:b/>
          <w:bCs/>
          <w:color w:val="auto"/>
          <w:szCs w:val="21"/>
          <w:highlight w:val="none"/>
        </w:rPr>
        <w:t>三、甲、乙双方的权利和义务</w:t>
      </w:r>
    </w:p>
    <w:p w14:paraId="3591B555">
      <w:pPr>
        <w:keepNext w:val="0"/>
        <w:keepLines w:val="0"/>
        <w:pageBreakBefore w:val="0"/>
        <w:kinsoku/>
        <w:wordWrap/>
        <w:overflowPunct/>
        <w:topLinePunct w:val="0"/>
        <w:bidi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（一）甲方的权利和义务</w:t>
      </w:r>
    </w:p>
    <w:p w14:paraId="314E0CC6">
      <w:pPr>
        <w:keepNext w:val="0"/>
        <w:keepLines w:val="0"/>
        <w:pageBreakBefore w:val="0"/>
        <w:kinsoku/>
        <w:wordWrap/>
        <w:overflowPunct/>
        <w:topLinePunct w:val="0"/>
        <w:autoSpaceDE w:val="0"/>
        <w:autoSpaceDN w:val="0"/>
        <w:bidi w:val="0"/>
        <w:adjustRightInd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1.甲方按本合同约定享有乙方提供的货物及项目实施服务的权利。甲方用户单位（</w:t>
      </w:r>
      <w:r>
        <w:rPr>
          <w:rFonts w:hint="eastAsia"/>
          <w:color w:val="auto"/>
          <w:szCs w:val="21"/>
          <w:highlight w:val="none"/>
          <w:lang w:eastAsia="zh-CN"/>
        </w:rPr>
        <w:t>怒江州民族中等专业学校</w:t>
      </w:r>
      <w:r>
        <w:rPr>
          <w:rFonts w:ascii="Times New Roman" w:hAnsi="Times New Roman"/>
          <w:color w:val="auto"/>
          <w:szCs w:val="21"/>
          <w:highlight w:val="none"/>
          <w:u w:val="single"/>
        </w:rPr>
        <w:t xml:space="preserve">     </w:t>
      </w:r>
      <w:r>
        <w:rPr>
          <w:rFonts w:ascii="Times New Roman" w:hAnsi="Times New Roman"/>
          <w:color w:val="auto"/>
          <w:szCs w:val="21"/>
          <w:highlight w:val="none"/>
        </w:rPr>
        <w:t>）有权对乙方提供的货物及项目实施服务进行监督。甲方用户单位联系人：</w:t>
      </w:r>
      <w:r>
        <w:rPr>
          <w:rFonts w:ascii="Times New Roman" w:hAnsi="Times New Roman"/>
          <w:color w:val="auto"/>
          <w:szCs w:val="21"/>
          <w:highlight w:val="none"/>
          <w:u w:val="single"/>
        </w:rPr>
        <w:t xml:space="preserve">      </w:t>
      </w:r>
      <w:r>
        <w:rPr>
          <w:rFonts w:ascii="Times New Roman" w:hAnsi="Times New Roman"/>
          <w:color w:val="auto"/>
          <w:szCs w:val="21"/>
          <w:highlight w:val="none"/>
        </w:rPr>
        <w:t>，联系电话：</w:t>
      </w:r>
      <w:r>
        <w:rPr>
          <w:rFonts w:ascii="Times New Roman" w:hAnsi="Times New Roman"/>
          <w:color w:val="auto"/>
          <w:szCs w:val="21"/>
          <w:highlight w:val="none"/>
          <w:u w:val="single"/>
        </w:rPr>
        <w:t xml:space="preserve">           </w:t>
      </w:r>
      <w:r>
        <w:rPr>
          <w:rFonts w:ascii="Times New Roman" w:hAnsi="Times New Roman"/>
          <w:color w:val="auto"/>
          <w:szCs w:val="21"/>
          <w:highlight w:val="none"/>
        </w:rPr>
        <w:t>。</w:t>
      </w:r>
    </w:p>
    <w:p w14:paraId="03BAAC3B">
      <w:pPr>
        <w:keepNext w:val="0"/>
        <w:keepLines w:val="0"/>
        <w:pageBreakBefore w:val="0"/>
        <w:kinsoku/>
        <w:wordWrap/>
        <w:overflowPunct/>
        <w:topLinePunct w:val="0"/>
        <w:autoSpaceDE w:val="0"/>
        <w:autoSpaceDN w:val="0"/>
        <w:bidi w:val="0"/>
        <w:adjustRightInd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2.甲方负责向乙方提供本合同货物及项目实施服务所必需的场地和环境。</w:t>
      </w:r>
    </w:p>
    <w:p w14:paraId="3357F63E">
      <w:pPr>
        <w:keepNext w:val="0"/>
        <w:keepLines w:val="0"/>
        <w:pageBreakBefore w:val="0"/>
        <w:kinsoku/>
        <w:wordWrap/>
        <w:overflowPunct/>
        <w:topLinePunct w:val="0"/>
        <w:autoSpaceDE w:val="0"/>
        <w:autoSpaceDN w:val="0"/>
        <w:bidi w:val="0"/>
        <w:adjustRightInd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3.甲方负责组织成立验收组对乙方提供的本合同货物及项目实施服务进行验收并签署验收报告。</w:t>
      </w:r>
    </w:p>
    <w:p w14:paraId="4ADC6228">
      <w:pPr>
        <w:keepNext w:val="0"/>
        <w:keepLines w:val="0"/>
        <w:pageBreakBefore w:val="0"/>
        <w:kinsoku/>
        <w:wordWrap/>
        <w:overflowPunct/>
        <w:topLinePunct w:val="0"/>
        <w:bidi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（二）乙方的权利和义务</w:t>
      </w:r>
    </w:p>
    <w:p w14:paraId="45013B5F">
      <w:pPr>
        <w:keepNext w:val="0"/>
        <w:keepLines w:val="0"/>
        <w:pageBreakBefore w:val="0"/>
        <w:kinsoku/>
        <w:wordWrap/>
        <w:overflowPunct/>
        <w:topLinePunct w:val="0"/>
        <w:autoSpaceDE w:val="0"/>
        <w:autoSpaceDN w:val="0"/>
        <w:bidi w:val="0"/>
        <w:adjustRightInd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1.乙方按本合同约定享有向甲方收取货款的权利。</w:t>
      </w:r>
    </w:p>
    <w:p w14:paraId="719A207B">
      <w:pPr>
        <w:keepNext w:val="0"/>
        <w:keepLines w:val="0"/>
        <w:pageBreakBefore w:val="0"/>
        <w:kinsoku/>
        <w:wordWrap/>
        <w:overflowPunct/>
        <w:topLinePunct w:val="0"/>
        <w:autoSpaceDE w:val="0"/>
        <w:autoSpaceDN w:val="0"/>
        <w:bidi w:val="0"/>
        <w:adjustRightInd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2.乙方保证按本合同约定提供合法的货物及项目实施服务，并接受甲方及甲方用户单位的监督。</w:t>
      </w:r>
    </w:p>
    <w:p w14:paraId="379FA06F">
      <w:pPr>
        <w:keepNext w:val="0"/>
        <w:keepLines w:val="0"/>
        <w:pageBreakBefore w:val="0"/>
        <w:kinsoku/>
        <w:wordWrap/>
        <w:overflowPunct/>
        <w:topLinePunct w:val="0"/>
        <w:autoSpaceDE w:val="0"/>
        <w:autoSpaceDN w:val="0"/>
        <w:bidi w:val="0"/>
        <w:adjustRightInd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3.乙方应严格遵守投标、技术澄清、中标所承诺的一切规定和条款。</w:t>
      </w:r>
    </w:p>
    <w:p w14:paraId="1A5DDC61">
      <w:pPr>
        <w:keepNext w:val="0"/>
        <w:keepLines w:val="0"/>
        <w:pageBreakBefore w:val="0"/>
        <w:kinsoku/>
        <w:wordWrap/>
        <w:overflowPunct/>
        <w:topLinePunct w:val="0"/>
        <w:autoSpaceDE w:val="0"/>
        <w:autoSpaceDN w:val="0"/>
        <w:bidi w:val="0"/>
        <w:adjustRightInd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4.乙方应积极配合甲方共同进行货物和项目实施服务的验收，并提供相关资料。</w:t>
      </w:r>
    </w:p>
    <w:p w14:paraId="298AAEA8">
      <w:pPr>
        <w:keepNext w:val="0"/>
        <w:keepLines w:val="0"/>
        <w:pageBreakBefore w:val="0"/>
        <w:kinsoku/>
        <w:wordWrap/>
        <w:overflowPunct/>
        <w:topLinePunct w:val="0"/>
        <w:autoSpaceDE w:val="0"/>
        <w:autoSpaceDN w:val="0"/>
        <w:bidi w:val="0"/>
        <w:adjustRightInd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5.乙方保证其提供的合同货物及项目实施服务不侵犯他人的专利权、商标权,若因此而引起的纠纷及法律责任，由乙方全部负责承担；若甲方及甲方使用单位因此而遭受损失，甲方可以向乙方追偿。</w:t>
      </w:r>
    </w:p>
    <w:p w14:paraId="01E41F37">
      <w:pPr>
        <w:keepNext w:val="0"/>
        <w:keepLines w:val="0"/>
        <w:pageBreakBefore w:val="0"/>
        <w:kinsoku/>
        <w:wordWrap/>
        <w:overflowPunct/>
        <w:topLinePunct w:val="0"/>
        <w:autoSpaceDE w:val="0"/>
        <w:autoSpaceDN w:val="0"/>
        <w:bidi w:val="0"/>
        <w:adjustRightInd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6.乙方承担本项目实施过程中的全部安全责任，包括但不限于服务人员的人身安全责任。</w:t>
      </w:r>
    </w:p>
    <w:p w14:paraId="65204DA1">
      <w:pPr>
        <w:keepNext w:val="0"/>
        <w:keepLines w:val="0"/>
        <w:pageBreakBefore w:val="0"/>
        <w:kinsoku/>
        <w:wordWrap/>
        <w:overflowPunct/>
        <w:topLinePunct w:val="0"/>
        <w:autoSpaceDE w:val="0"/>
        <w:autoSpaceDN w:val="0"/>
        <w:bidi w:val="0"/>
        <w:adjustRightInd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7.项目服务期间，乙方有责任和义务保持甲方现场服务的安全和完整，且必须按甲方现场管理人员要求进行服务，如因乙方原因造成甲方现场设施设备损坏或丢失，由乙方负责恢复原状，若无法恢复原状的，由乙方负责按原价赔偿。因项目实施而产生的其他费用由乙方承担。</w:t>
      </w:r>
    </w:p>
    <w:p w14:paraId="20E80675">
      <w:pPr>
        <w:keepNext w:val="0"/>
        <w:keepLines w:val="0"/>
        <w:pageBreakBefore w:val="0"/>
        <w:kinsoku/>
        <w:wordWrap/>
        <w:overflowPunct/>
        <w:topLinePunct w:val="0"/>
        <w:bidi w:val="0"/>
        <w:snapToGrid/>
        <w:spacing w:line="440" w:lineRule="exact"/>
        <w:ind w:firstLine="0" w:firstLineChars="0"/>
        <w:rPr>
          <w:rFonts w:ascii="Times New Roman" w:hAnsi="Times New Roman"/>
          <w:b/>
          <w:bCs/>
          <w:color w:val="auto"/>
          <w:szCs w:val="21"/>
          <w:highlight w:val="none"/>
        </w:rPr>
      </w:pPr>
      <w:r>
        <w:rPr>
          <w:rFonts w:ascii="Times New Roman" w:hAnsi="Times New Roman"/>
          <w:b/>
          <w:bCs/>
          <w:color w:val="auto"/>
          <w:szCs w:val="21"/>
          <w:highlight w:val="none"/>
        </w:rPr>
        <w:t>四、售后服务标准及要求</w:t>
      </w:r>
    </w:p>
    <w:p w14:paraId="2DD9DD7B">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1.质保期为验收合格移交后不少于</w:t>
      </w:r>
      <w:r>
        <w:rPr>
          <w:rFonts w:hint="eastAsia" w:ascii="宋体" w:hAnsi="宋体" w:cs="宋体"/>
          <w:color w:val="auto"/>
          <w:sz w:val="21"/>
          <w:szCs w:val="21"/>
          <w:highlight w:val="none"/>
          <w:u w:val="none"/>
          <w:lang w:val="en-US" w:eastAsia="zh-CN"/>
        </w:rPr>
        <w:t>三</w:t>
      </w:r>
      <w:r>
        <w:rPr>
          <w:rFonts w:hint="eastAsia" w:ascii="宋体" w:hAnsi="宋体" w:eastAsia="宋体" w:cs="宋体"/>
          <w:color w:val="auto"/>
          <w:sz w:val="21"/>
          <w:szCs w:val="21"/>
          <w:highlight w:val="none"/>
          <w:u w:val="none"/>
          <w:lang w:val="en-US" w:eastAsia="zh-CN"/>
        </w:rPr>
        <w:t>年，在质保期内，乙方应对货物出现的质量及安全问题负责处理解决并承担一切费用。</w:t>
      </w:r>
    </w:p>
    <w:p w14:paraId="2AA0EDE1">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2.采购项目由于运输造成损坏的，由乙方免费更换。 </w:t>
      </w:r>
    </w:p>
    <w:p w14:paraId="567A243A">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3.乙方需向甲方提供项目的验收和送达签收单据。 </w:t>
      </w:r>
      <w:r>
        <w:rPr>
          <w:rFonts w:hint="eastAsia" w:ascii="宋体" w:hAnsi="宋体" w:eastAsia="宋体" w:cs="宋体"/>
          <w:color w:val="auto"/>
          <w:sz w:val="21"/>
          <w:szCs w:val="21"/>
          <w:highlight w:val="none"/>
          <w:u w:val="none"/>
          <w:lang w:val="en-US" w:eastAsia="zh-CN"/>
        </w:rPr>
        <w:tab/>
      </w:r>
      <w:r>
        <w:rPr>
          <w:rFonts w:hint="eastAsia" w:ascii="宋体" w:hAnsi="宋体" w:eastAsia="宋体" w:cs="宋体"/>
          <w:color w:val="auto"/>
          <w:sz w:val="21"/>
          <w:szCs w:val="21"/>
          <w:highlight w:val="none"/>
          <w:u w:val="none"/>
          <w:lang w:val="en-US" w:eastAsia="zh-CN"/>
        </w:rPr>
        <w:tab/>
      </w:r>
      <w:r>
        <w:rPr>
          <w:rFonts w:hint="eastAsia" w:ascii="宋体" w:hAnsi="宋体" w:eastAsia="宋体" w:cs="宋体"/>
          <w:color w:val="auto"/>
          <w:sz w:val="21"/>
          <w:szCs w:val="21"/>
          <w:highlight w:val="none"/>
          <w:u w:val="none"/>
          <w:lang w:val="en-US" w:eastAsia="zh-CN"/>
        </w:rPr>
        <w:tab/>
      </w:r>
      <w:r>
        <w:rPr>
          <w:rFonts w:hint="eastAsia" w:ascii="宋体" w:hAnsi="宋体" w:eastAsia="宋体" w:cs="宋体"/>
          <w:color w:val="auto"/>
          <w:sz w:val="21"/>
          <w:szCs w:val="21"/>
          <w:highlight w:val="none"/>
          <w:u w:val="none"/>
          <w:lang w:val="en-US" w:eastAsia="zh-CN"/>
        </w:rPr>
        <w:tab/>
      </w:r>
      <w:r>
        <w:rPr>
          <w:rFonts w:hint="eastAsia" w:ascii="宋体" w:hAnsi="宋体" w:eastAsia="宋体" w:cs="宋体"/>
          <w:color w:val="auto"/>
          <w:sz w:val="21"/>
          <w:szCs w:val="21"/>
          <w:highlight w:val="none"/>
          <w:u w:val="none"/>
          <w:lang w:val="en-US" w:eastAsia="zh-CN"/>
        </w:rPr>
        <w:tab/>
      </w:r>
    </w:p>
    <w:p w14:paraId="24BE1330">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4.质保期内出现需因质量或尺寸问题需要修改或调换等非人为原因问题，乙方应无条件免费修改或更换。 </w:t>
      </w:r>
    </w:p>
    <w:p w14:paraId="50146D41">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5.乙方接到甲方质量问题反馈时，乙方应当在甲方通知之日起1日内给予回复，并根据实际情况及时进行处理。</w:t>
      </w:r>
    </w:p>
    <w:p w14:paraId="4896EE04">
      <w:pPr>
        <w:keepNext w:val="0"/>
        <w:keepLines w:val="0"/>
        <w:pageBreakBefore w:val="0"/>
        <w:kinsoku/>
        <w:wordWrap/>
        <w:overflowPunct/>
        <w:topLinePunct w:val="0"/>
        <w:autoSpaceDE w:val="0"/>
        <w:autoSpaceDN w:val="0"/>
        <w:bidi w:val="0"/>
        <w:adjustRightInd w:val="0"/>
        <w:snapToGrid/>
        <w:spacing w:line="440" w:lineRule="exact"/>
        <w:ind w:firstLine="0" w:firstLineChars="0"/>
        <w:rPr>
          <w:rFonts w:ascii="Times New Roman" w:hAnsi="Times New Roman"/>
          <w:b/>
          <w:bCs/>
          <w:color w:val="auto"/>
          <w:szCs w:val="21"/>
          <w:highlight w:val="none"/>
        </w:rPr>
      </w:pPr>
      <w:r>
        <w:rPr>
          <w:rFonts w:ascii="Times New Roman" w:hAnsi="Times New Roman"/>
          <w:b/>
          <w:bCs/>
          <w:color w:val="auto"/>
          <w:szCs w:val="21"/>
          <w:highlight w:val="none"/>
        </w:rPr>
        <w:t>五、包装要求及验收标准</w:t>
      </w:r>
    </w:p>
    <w:p w14:paraId="5109C1A6">
      <w:pPr>
        <w:keepNext w:val="0"/>
        <w:keepLines w:val="0"/>
        <w:pageBreakBefore w:val="0"/>
        <w:kinsoku/>
        <w:wordWrap/>
        <w:overflowPunct/>
        <w:topLinePunct w:val="0"/>
        <w:autoSpaceDE w:val="0"/>
        <w:autoSpaceDN w:val="0"/>
        <w:bidi w:val="0"/>
        <w:adjustRightInd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（一）包装要求</w:t>
      </w:r>
    </w:p>
    <w:p w14:paraId="0DDE2101">
      <w:pPr>
        <w:keepNext w:val="0"/>
        <w:keepLines w:val="0"/>
        <w:pageBreakBefore w:val="0"/>
        <w:kinsoku/>
        <w:wordWrap/>
        <w:overflowPunct/>
        <w:topLinePunct w:val="0"/>
        <w:autoSpaceDE w:val="0"/>
        <w:autoSpaceDN w:val="0"/>
        <w:bidi w:val="0"/>
        <w:adjustRightInd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除合同另有规定外，乙方提供的全部货物均应按标准保护措施进行包装。该包装应适应于远距离运输、防潮、防震、防锈和防野蛮装卸，以确保货物安全无损运抵甲方指定地点。由于包装不善等引起的货物损失均由乙方承担。</w:t>
      </w:r>
    </w:p>
    <w:p w14:paraId="7A516657">
      <w:pPr>
        <w:keepNext w:val="0"/>
        <w:keepLines w:val="0"/>
        <w:pageBreakBefore w:val="0"/>
        <w:kinsoku/>
        <w:wordWrap/>
        <w:overflowPunct/>
        <w:topLinePunct w:val="0"/>
        <w:autoSpaceDE w:val="0"/>
        <w:autoSpaceDN w:val="0"/>
        <w:bidi w:val="0"/>
        <w:adjustRightInd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（二）项目验收</w:t>
      </w:r>
    </w:p>
    <w:p w14:paraId="196DE379">
      <w:pPr>
        <w:keepNext w:val="0"/>
        <w:keepLines w:val="0"/>
        <w:pageBreakBefore w:val="0"/>
        <w:kinsoku/>
        <w:wordWrap/>
        <w:overflowPunct/>
        <w:topLinePunct w:val="0"/>
        <w:bidi w:val="0"/>
        <w:snapToGrid/>
        <w:spacing w:line="440" w:lineRule="exact"/>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乙方应严格执行合同约定的供货周期，保质、保量的完成产品的供货。全部货物到达甲方指定地点后，</w:t>
      </w:r>
      <w:r>
        <w:rPr>
          <w:rFonts w:hint="eastAsia" w:ascii="宋体" w:hAnsi="宋体" w:cs="宋体"/>
          <w:color w:val="auto"/>
          <w:sz w:val="21"/>
          <w:szCs w:val="21"/>
          <w:highlight w:val="none"/>
          <w:lang w:val="en-US" w:eastAsia="zh-CN"/>
        </w:rPr>
        <w:t>甲方组建验收小组对产品进行验收，产品验收合格的</w:t>
      </w:r>
      <w:r>
        <w:rPr>
          <w:rFonts w:hint="eastAsia" w:ascii="宋体" w:hAnsi="宋体" w:eastAsia="宋体" w:cs="宋体"/>
          <w:color w:val="auto"/>
          <w:sz w:val="21"/>
          <w:szCs w:val="21"/>
          <w:highlight w:val="none"/>
          <w:lang w:val="en-US" w:eastAsia="zh-CN"/>
        </w:rPr>
        <w:t>，双方签署《产品到货验收单》；若出现产品品类、规格、数量等与合同约定不一致，或有质量缺陷的，甲方有权要求乙方在规定时间内无条件更换、补足或退货，由此产生的费用由乙方承担，因此延误交货期的，乙方承担相应的违约责任。</w:t>
      </w:r>
    </w:p>
    <w:p w14:paraId="18A30D59">
      <w:pPr>
        <w:keepNext w:val="0"/>
        <w:keepLines w:val="0"/>
        <w:pageBreakBefore w:val="0"/>
        <w:kinsoku/>
        <w:wordWrap/>
        <w:overflowPunct/>
        <w:topLinePunct w:val="0"/>
        <w:bidi w:val="0"/>
        <w:snapToGrid/>
        <w:spacing w:line="440" w:lineRule="exact"/>
        <w:ind w:firstLine="0" w:firstLineChars="0"/>
        <w:rPr>
          <w:rFonts w:ascii="Times New Roman" w:hAnsi="Times New Roman"/>
          <w:b/>
          <w:bCs/>
          <w:color w:val="auto"/>
          <w:szCs w:val="21"/>
          <w:highlight w:val="none"/>
        </w:rPr>
      </w:pPr>
      <w:r>
        <w:rPr>
          <w:rFonts w:ascii="Times New Roman" w:hAnsi="Times New Roman"/>
          <w:b/>
          <w:bCs/>
          <w:color w:val="auto"/>
          <w:szCs w:val="21"/>
          <w:highlight w:val="none"/>
        </w:rPr>
        <w:t>六、合同价款结算</w:t>
      </w:r>
    </w:p>
    <w:p w14:paraId="2F7BFC7E">
      <w:pPr>
        <w:keepNext w:val="0"/>
        <w:keepLines w:val="0"/>
        <w:pageBreakBefore w:val="0"/>
        <w:kinsoku/>
        <w:wordWrap/>
        <w:overflowPunct/>
        <w:topLinePunct w:val="0"/>
        <w:bidi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（一）本合同价款的支付办法</w:t>
      </w:r>
    </w:p>
    <w:p w14:paraId="28D68E18">
      <w:pPr>
        <w:pStyle w:val="22"/>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1.合同签订后，</w:t>
      </w:r>
      <w:r>
        <w:rPr>
          <w:rFonts w:hint="eastAsia" w:hAnsi="宋体" w:cs="宋体"/>
          <w:color w:val="auto"/>
          <w:kern w:val="2"/>
          <w:sz w:val="21"/>
          <w:szCs w:val="21"/>
          <w:highlight w:val="none"/>
          <w:lang w:val="en-US" w:eastAsia="zh-CN" w:bidi="ar-SA"/>
        </w:rPr>
        <w:t>乙方应在规定时间内完成货物的供货</w:t>
      </w:r>
      <w:r>
        <w:rPr>
          <w:rFonts w:hint="eastAsia" w:ascii="宋体" w:hAnsi="宋体" w:eastAsia="宋体" w:cs="宋体"/>
          <w:color w:val="auto"/>
          <w:kern w:val="2"/>
          <w:sz w:val="21"/>
          <w:szCs w:val="21"/>
          <w:highlight w:val="none"/>
          <w:lang w:val="en-US" w:eastAsia="zh-CN" w:bidi="ar-SA"/>
        </w:rPr>
        <w:t>。</w:t>
      </w:r>
    </w:p>
    <w:p w14:paraId="70D9A4AA">
      <w:pPr>
        <w:pStyle w:val="22"/>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r>
        <w:rPr>
          <w:rFonts w:hint="eastAsia" w:hAnsi="宋体" w:cs="宋体"/>
          <w:color w:val="auto"/>
          <w:kern w:val="2"/>
          <w:sz w:val="21"/>
          <w:szCs w:val="21"/>
          <w:highlight w:val="none"/>
          <w:lang w:val="en-US" w:eastAsia="zh-CN" w:bidi="ar-SA"/>
        </w:rPr>
        <w:t>供货完成后，甲乙双方在规定时间内完成货物的验收</w:t>
      </w:r>
      <w:r>
        <w:rPr>
          <w:rFonts w:hint="eastAsia" w:ascii="宋体" w:hAnsi="宋体" w:eastAsia="宋体" w:cs="宋体"/>
          <w:color w:val="auto"/>
          <w:kern w:val="2"/>
          <w:sz w:val="21"/>
          <w:szCs w:val="21"/>
          <w:highlight w:val="none"/>
          <w:lang w:val="en-US" w:eastAsia="zh-CN" w:bidi="ar-SA"/>
        </w:rPr>
        <w:t>。</w:t>
      </w:r>
    </w:p>
    <w:p w14:paraId="70164D09">
      <w:pPr>
        <w:pStyle w:val="22"/>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w:t>
      </w:r>
      <w:r>
        <w:rPr>
          <w:rFonts w:hint="eastAsia" w:hAnsi="宋体" w:cs="宋体"/>
          <w:color w:val="auto"/>
          <w:kern w:val="2"/>
          <w:sz w:val="21"/>
          <w:szCs w:val="21"/>
          <w:highlight w:val="none"/>
          <w:lang w:val="en-US" w:eastAsia="zh-CN" w:bidi="ar-SA"/>
        </w:rPr>
        <w:t>验收合格后</w:t>
      </w:r>
      <w:r>
        <w:rPr>
          <w:rFonts w:hint="eastAsia" w:ascii="宋体" w:hAnsi="宋体" w:eastAsia="宋体" w:cs="宋体"/>
          <w:color w:val="auto"/>
          <w:kern w:val="2"/>
          <w:sz w:val="21"/>
          <w:szCs w:val="21"/>
          <w:highlight w:val="none"/>
          <w:lang w:val="en-US" w:eastAsia="zh-CN" w:bidi="ar-SA"/>
        </w:rPr>
        <w:t>，</w:t>
      </w:r>
      <w:r>
        <w:rPr>
          <w:rFonts w:hint="eastAsia" w:hAnsi="宋体" w:cs="宋体"/>
          <w:color w:val="auto"/>
          <w:kern w:val="2"/>
          <w:sz w:val="21"/>
          <w:szCs w:val="21"/>
          <w:highlight w:val="none"/>
          <w:lang w:val="en-US" w:eastAsia="zh-CN" w:bidi="ar-SA"/>
        </w:rPr>
        <w:t>乙方向甲方提交本项目的所有技术资料。</w:t>
      </w:r>
      <w:r>
        <w:rPr>
          <w:rFonts w:hint="eastAsia" w:ascii="宋体" w:hAnsi="宋体" w:eastAsia="宋体" w:cs="宋体"/>
          <w:color w:val="auto"/>
          <w:kern w:val="2"/>
          <w:sz w:val="21"/>
          <w:szCs w:val="21"/>
          <w:highlight w:val="none"/>
          <w:lang w:val="en-US" w:eastAsia="zh-CN" w:bidi="ar-SA"/>
        </w:rPr>
        <w:t>乙方按</w:t>
      </w:r>
      <w:r>
        <w:rPr>
          <w:rFonts w:hint="eastAsia" w:hAnsi="宋体" w:cs="宋体"/>
          <w:color w:val="auto"/>
          <w:kern w:val="2"/>
          <w:sz w:val="21"/>
          <w:szCs w:val="21"/>
          <w:highlight w:val="none"/>
          <w:lang w:val="en-US" w:eastAsia="zh-CN" w:bidi="ar-SA"/>
        </w:rPr>
        <w:t>合同供货明细</w:t>
      </w:r>
      <w:r>
        <w:rPr>
          <w:rFonts w:hint="eastAsia" w:ascii="宋体" w:hAnsi="宋体" w:eastAsia="宋体" w:cs="宋体"/>
          <w:color w:val="auto"/>
          <w:kern w:val="2"/>
          <w:sz w:val="21"/>
          <w:szCs w:val="21"/>
          <w:highlight w:val="none"/>
          <w:lang w:val="en-US" w:eastAsia="zh-CN" w:bidi="ar-SA"/>
        </w:rPr>
        <w:t>开具发票给甲方，甲方按照合同约定支付合同</w:t>
      </w:r>
      <w:r>
        <w:rPr>
          <w:rFonts w:hint="eastAsia" w:hAnsi="宋体" w:cs="宋体"/>
          <w:color w:val="auto"/>
          <w:kern w:val="2"/>
          <w:sz w:val="21"/>
          <w:szCs w:val="21"/>
          <w:highlight w:val="none"/>
          <w:lang w:val="en-US" w:eastAsia="zh-CN" w:bidi="ar-SA"/>
        </w:rPr>
        <w:t>货</w:t>
      </w:r>
      <w:r>
        <w:rPr>
          <w:rFonts w:hint="eastAsia" w:ascii="宋体" w:hAnsi="宋体" w:eastAsia="宋体" w:cs="宋体"/>
          <w:color w:val="auto"/>
          <w:kern w:val="2"/>
          <w:sz w:val="21"/>
          <w:szCs w:val="21"/>
          <w:highlight w:val="none"/>
          <w:lang w:val="en-US" w:eastAsia="zh-CN" w:bidi="ar-SA"/>
        </w:rPr>
        <w:t>款。</w:t>
      </w:r>
    </w:p>
    <w:p w14:paraId="79E64DD8">
      <w:pPr>
        <w:keepNext w:val="0"/>
        <w:keepLines w:val="0"/>
        <w:pageBreakBefore w:val="0"/>
        <w:kinsoku/>
        <w:wordWrap/>
        <w:overflowPunct/>
        <w:topLinePunct w:val="0"/>
        <w:bidi w:val="0"/>
        <w:snapToGrid/>
        <w:spacing w:line="440" w:lineRule="exact"/>
        <w:ind w:firstLine="0" w:firstLineChars="0"/>
        <w:rPr>
          <w:rFonts w:ascii="Times New Roman" w:hAnsi="Times New Roman"/>
          <w:color w:val="auto"/>
          <w:szCs w:val="21"/>
          <w:highlight w:val="none"/>
        </w:rPr>
      </w:pPr>
      <w:r>
        <w:rPr>
          <w:rFonts w:hint="eastAsia" w:ascii="宋体" w:hAnsi="宋体" w:eastAsia="宋体" w:cs="宋体"/>
          <w:color w:val="auto"/>
          <w:kern w:val="2"/>
          <w:sz w:val="21"/>
          <w:szCs w:val="21"/>
          <w:highlight w:val="none"/>
          <w:lang w:val="en-US" w:eastAsia="zh-CN" w:bidi="ar-SA"/>
        </w:rPr>
        <w:t>4.乙方所提供的收款账号信息以本合同为准，若有更改，应提前以书面形式通知甲方，否则因此造成的任何损失，均由乙方自行承担。</w:t>
      </w:r>
    </w:p>
    <w:p w14:paraId="77740E7B">
      <w:pPr>
        <w:keepNext w:val="0"/>
        <w:keepLines w:val="0"/>
        <w:pageBreakBefore w:val="0"/>
        <w:kinsoku/>
        <w:wordWrap/>
        <w:overflowPunct/>
        <w:topLinePunct w:val="0"/>
        <w:bidi w:val="0"/>
        <w:snapToGrid/>
        <w:spacing w:line="440" w:lineRule="exact"/>
        <w:ind w:firstLine="0" w:firstLineChars="0"/>
        <w:rPr>
          <w:rFonts w:ascii="Times New Roman" w:hAnsi="Times New Roman"/>
          <w:b/>
          <w:bCs/>
          <w:color w:val="auto"/>
          <w:szCs w:val="21"/>
          <w:highlight w:val="none"/>
        </w:rPr>
      </w:pPr>
      <w:r>
        <w:rPr>
          <w:rFonts w:ascii="Times New Roman" w:hAnsi="Times New Roman"/>
          <w:b/>
          <w:bCs/>
          <w:color w:val="auto"/>
          <w:szCs w:val="21"/>
          <w:highlight w:val="none"/>
        </w:rPr>
        <w:t>七、合同的变更必须经甲、乙双方协商一致，并按照相关的变更程序加以书面确认后方可进行。</w:t>
      </w:r>
    </w:p>
    <w:p w14:paraId="6A6A8E94">
      <w:pPr>
        <w:keepNext w:val="0"/>
        <w:keepLines w:val="0"/>
        <w:pageBreakBefore w:val="0"/>
        <w:kinsoku/>
        <w:wordWrap/>
        <w:overflowPunct/>
        <w:topLinePunct w:val="0"/>
        <w:bidi w:val="0"/>
        <w:snapToGrid/>
        <w:spacing w:line="440" w:lineRule="exact"/>
        <w:ind w:firstLine="0" w:firstLineChars="0"/>
        <w:rPr>
          <w:rFonts w:ascii="Times New Roman" w:hAnsi="Times New Roman"/>
          <w:b/>
          <w:bCs/>
          <w:color w:val="auto"/>
          <w:szCs w:val="21"/>
          <w:highlight w:val="none"/>
        </w:rPr>
      </w:pPr>
      <w:r>
        <w:rPr>
          <w:rFonts w:ascii="Times New Roman" w:hAnsi="Times New Roman"/>
          <w:b/>
          <w:bCs/>
          <w:color w:val="auto"/>
          <w:szCs w:val="21"/>
          <w:highlight w:val="none"/>
        </w:rPr>
        <w:t>八、违约责任</w:t>
      </w:r>
    </w:p>
    <w:p w14:paraId="5EA1697B">
      <w:pPr>
        <w:keepNext w:val="0"/>
        <w:keepLines w:val="0"/>
        <w:pageBreakBefore w:val="0"/>
        <w:kinsoku/>
        <w:wordWrap/>
        <w:overflowPunct/>
        <w:topLinePunct w:val="0"/>
        <w:autoSpaceDE w:val="0"/>
        <w:autoSpaceDN w:val="0"/>
        <w:bidi w:val="0"/>
        <w:adjustRightInd w:val="0"/>
        <w:snapToGrid/>
        <w:spacing w:line="440" w:lineRule="exact"/>
        <w:ind w:firstLine="0" w:firstLineChars="0"/>
        <w:rPr>
          <w:rFonts w:hint="eastAsia" w:ascii="Times New Roman" w:hAnsi="Times New Roman"/>
          <w:color w:val="auto"/>
          <w:szCs w:val="21"/>
          <w:highlight w:val="none"/>
        </w:rPr>
      </w:pPr>
      <w:r>
        <w:rPr>
          <w:rFonts w:hint="eastAsia" w:ascii="Times New Roman" w:hAnsi="Times New Roman"/>
          <w:color w:val="auto"/>
          <w:szCs w:val="21"/>
          <w:highlight w:val="none"/>
        </w:rPr>
        <w:t>1.除发生不可抗力事实外，乙方交付产品与合同标准不相符合的，甲方有权拒绝验收；乙方有以下情形之一，视为违约，甲方有权解除合同，如果乙方已经收取费用的，已经收取的费用应退还甲方，并且乙方除承担本合同总额10%的违约责任外，给甲方造成损失的，还应当赔偿甲方的损失。（1）未经甲方同意，乙方将本合同项下的权利和义务部分或全部转让给第三人，或随意变更项目负责人的；（2）乙方逾期向甲方交付产品每日偿付合同总额千分之一的违约金，且逾期交付超过</w:t>
      </w:r>
      <w:r>
        <w:rPr>
          <w:rFonts w:hint="eastAsia"/>
          <w:color w:val="auto"/>
          <w:szCs w:val="21"/>
          <w:highlight w:val="none"/>
          <w:lang w:val="en-US" w:eastAsia="zh-CN"/>
        </w:rPr>
        <w:t>7</w:t>
      </w:r>
      <w:r>
        <w:rPr>
          <w:rFonts w:hint="eastAsia" w:ascii="Times New Roman" w:hAnsi="Times New Roman"/>
          <w:color w:val="auto"/>
          <w:szCs w:val="21"/>
          <w:highlight w:val="none"/>
        </w:rPr>
        <w:t>个日历天的</w:t>
      </w:r>
      <w:r>
        <w:rPr>
          <w:rFonts w:hint="eastAsia"/>
          <w:color w:val="auto"/>
          <w:szCs w:val="21"/>
          <w:highlight w:val="none"/>
          <w:lang w:eastAsia="zh-CN"/>
        </w:rPr>
        <w:t>，</w:t>
      </w:r>
      <w:r>
        <w:rPr>
          <w:rFonts w:hint="eastAsia"/>
          <w:color w:val="auto"/>
          <w:szCs w:val="21"/>
          <w:highlight w:val="none"/>
          <w:lang w:val="en-US" w:eastAsia="zh-CN"/>
        </w:rPr>
        <w:t>甲方有权解除合同</w:t>
      </w:r>
      <w:r>
        <w:rPr>
          <w:rFonts w:hint="eastAsia" w:ascii="Times New Roman" w:hAnsi="Times New Roman"/>
          <w:color w:val="auto"/>
          <w:szCs w:val="21"/>
          <w:highlight w:val="none"/>
        </w:rPr>
        <w:t>；（3）乙方所提供的产品质量等不符合双方合同约定</w:t>
      </w:r>
      <w:r>
        <w:rPr>
          <w:rFonts w:hint="eastAsia"/>
          <w:color w:val="auto"/>
          <w:szCs w:val="21"/>
          <w:highlight w:val="none"/>
          <w:lang w:val="en-US" w:eastAsia="zh-CN"/>
        </w:rPr>
        <w:t>及投标文件</w:t>
      </w:r>
      <w:r>
        <w:rPr>
          <w:rFonts w:hint="eastAsia" w:ascii="Times New Roman" w:hAnsi="Times New Roman"/>
          <w:color w:val="auto"/>
          <w:szCs w:val="21"/>
          <w:highlight w:val="none"/>
        </w:rPr>
        <w:t>，</w:t>
      </w:r>
      <w:r>
        <w:rPr>
          <w:rFonts w:hint="eastAsia"/>
          <w:color w:val="auto"/>
          <w:szCs w:val="21"/>
          <w:highlight w:val="none"/>
          <w:lang w:val="en-US" w:eastAsia="zh-CN"/>
        </w:rPr>
        <w:t>甲方有权拒收货物并解除合同</w:t>
      </w:r>
      <w:r>
        <w:rPr>
          <w:rFonts w:hint="eastAsia" w:ascii="Times New Roman" w:hAnsi="Times New Roman"/>
          <w:color w:val="auto"/>
          <w:szCs w:val="21"/>
          <w:highlight w:val="none"/>
        </w:rPr>
        <w:t>；（4）乙方违反合同或法律法规规定其他义务的。</w:t>
      </w:r>
    </w:p>
    <w:p w14:paraId="250AFE0A">
      <w:pPr>
        <w:keepNext w:val="0"/>
        <w:keepLines w:val="0"/>
        <w:pageBreakBefore w:val="0"/>
        <w:kinsoku/>
        <w:wordWrap/>
        <w:overflowPunct/>
        <w:topLinePunct w:val="0"/>
        <w:autoSpaceDE w:val="0"/>
        <w:autoSpaceDN w:val="0"/>
        <w:bidi w:val="0"/>
        <w:adjustRightInd w:val="0"/>
        <w:snapToGrid/>
        <w:spacing w:line="440" w:lineRule="exact"/>
        <w:ind w:firstLine="0" w:firstLineChars="0"/>
        <w:rPr>
          <w:rFonts w:ascii="Times New Roman" w:hAnsi="Times New Roman"/>
          <w:color w:val="auto"/>
          <w:szCs w:val="21"/>
          <w:highlight w:val="none"/>
        </w:rPr>
      </w:pPr>
      <w:r>
        <w:rPr>
          <w:rFonts w:hint="eastAsia" w:ascii="Times New Roman" w:hAnsi="Times New Roman"/>
          <w:color w:val="auto"/>
          <w:szCs w:val="21"/>
          <w:highlight w:val="none"/>
        </w:rPr>
        <w:t>2.甲方有权拒付合同价款以外的其他任何费用，乙方有权要求甲方承担逾期支付资金的违约责任。因乙方违约导致甲方因诉讼、维权而产生的立案费、律师费、交通费、保全费等均由乙方负责。</w:t>
      </w:r>
    </w:p>
    <w:p w14:paraId="0745282F">
      <w:pPr>
        <w:keepNext w:val="0"/>
        <w:keepLines w:val="0"/>
        <w:pageBreakBefore w:val="0"/>
        <w:kinsoku/>
        <w:wordWrap/>
        <w:overflowPunct/>
        <w:topLinePunct w:val="0"/>
        <w:bidi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九、甲方有权拒付合同价以外的任何费用；乙方有权拒绝合同整体范围以外的不合理条件。</w:t>
      </w:r>
    </w:p>
    <w:p w14:paraId="0F959AA0">
      <w:pPr>
        <w:keepNext w:val="0"/>
        <w:keepLines w:val="0"/>
        <w:pageBreakBefore w:val="0"/>
        <w:kinsoku/>
        <w:wordWrap/>
        <w:overflowPunct/>
        <w:topLinePunct w:val="0"/>
        <w:bidi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十、除《政府采购法》第49条、第50条第二款规定的情形外，本合同一经签订，甲、乙双方不得擅自变更、中止或终止合同。乙方不得擅自部分或全部转让其应履行的合同义务。</w:t>
      </w:r>
    </w:p>
    <w:p w14:paraId="02CCA6F8">
      <w:pPr>
        <w:keepNext w:val="0"/>
        <w:keepLines w:val="0"/>
        <w:pageBreakBefore w:val="0"/>
        <w:kinsoku/>
        <w:wordWrap/>
        <w:overflowPunct/>
        <w:topLinePunct w:val="0"/>
        <w:bidi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十一、经甲、乙双方协商一致，可以就本合同中的相关事宜签订补充协议，但不得违反相关法律法规规定。</w:t>
      </w:r>
    </w:p>
    <w:p w14:paraId="434D4B79">
      <w:pPr>
        <w:keepNext w:val="0"/>
        <w:keepLines w:val="0"/>
        <w:pageBreakBefore w:val="0"/>
        <w:kinsoku/>
        <w:wordWrap/>
        <w:overflowPunct/>
        <w:topLinePunct w:val="0"/>
        <w:bidi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十二、甲、乙双方在履行合同过程中发生纠纷，应</w:t>
      </w:r>
      <w:r>
        <w:rPr>
          <w:rFonts w:hint="eastAsia"/>
          <w:color w:val="auto"/>
          <w:szCs w:val="21"/>
          <w:highlight w:val="none"/>
          <w:lang w:val="en-US" w:eastAsia="zh-CN"/>
        </w:rPr>
        <w:t>友好协商</w:t>
      </w:r>
      <w:r>
        <w:rPr>
          <w:rFonts w:ascii="Times New Roman" w:hAnsi="Times New Roman"/>
          <w:color w:val="auto"/>
          <w:szCs w:val="21"/>
          <w:highlight w:val="none"/>
        </w:rPr>
        <w:t>；如果协商不能解决争议，则向甲方所在地有管辖权的人民法院提起诉讼。</w:t>
      </w:r>
    </w:p>
    <w:p w14:paraId="19E82BEF">
      <w:pPr>
        <w:keepNext w:val="0"/>
        <w:keepLines w:val="0"/>
        <w:pageBreakBefore w:val="0"/>
        <w:kinsoku/>
        <w:wordWrap/>
        <w:overflowPunct/>
        <w:topLinePunct w:val="0"/>
        <w:bidi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十三、本合同其他未尽事宜，按国家《民法典》有关规定处理。</w:t>
      </w:r>
    </w:p>
    <w:p w14:paraId="57C87DA6">
      <w:pPr>
        <w:keepNext w:val="0"/>
        <w:keepLines w:val="0"/>
        <w:pageBreakBefore w:val="0"/>
        <w:kinsoku/>
        <w:wordWrap/>
        <w:overflowPunct/>
        <w:topLinePunct w:val="0"/>
        <w:bidi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十四、本合同一式</w:t>
      </w:r>
      <w:r>
        <w:rPr>
          <w:rFonts w:hint="eastAsia" w:ascii="Times New Roman" w:hAnsi="Times New Roman"/>
          <w:color w:val="auto"/>
          <w:szCs w:val="21"/>
          <w:highlight w:val="none"/>
          <w:lang w:val="en-US" w:eastAsia="zh-CN"/>
        </w:rPr>
        <w:t xml:space="preserve">    </w:t>
      </w:r>
      <w:r>
        <w:rPr>
          <w:rFonts w:ascii="Times New Roman" w:hAnsi="Times New Roman"/>
          <w:color w:val="auto"/>
          <w:szCs w:val="21"/>
          <w:highlight w:val="none"/>
        </w:rPr>
        <w:t>份，甲方</w:t>
      </w:r>
      <w:r>
        <w:rPr>
          <w:rFonts w:hint="eastAsia" w:ascii="Times New Roman" w:hAnsi="Times New Roman"/>
          <w:color w:val="auto"/>
          <w:szCs w:val="21"/>
          <w:highlight w:val="none"/>
          <w:lang w:val="en-US" w:eastAsia="zh-CN"/>
        </w:rPr>
        <w:t xml:space="preserve">    </w:t>
      </w:r>
      <w:r>
        <w:rPr>
          <w:rFonts w:ascii="Times New Roman" w:hAnsi="Times New Roman"/>
          <w:color w:val="auto"/>
          <w:szCs w:val="21"/>
          <w:highlight w:val="none"/>
        </w:rPr>
        <w:t>份，乙方</w:t>
      </w:r>
      <w:r>
        <w:rPr>
          <w:rFonts w:hint="eastAsia" w:ascii="Times New Roman" w:hAnsi="Times New Roman"/>
          <w:color w:val="auto"/>
          <w:szCs w:val="21"/>
          <w:highlight w:val="none"/>
          <w:lang w:val="en-US" w:eastAsia="zh-CN"/>
        </w:rPr>
        <w:t xml:space="preserve">    </w:t>
      </w:r>
      <w:r>
        <w:rPr>
          <w:rFonts w:ascii="Times New Roman" w:hAnsi="Times New Roman"/>
          <w:color w:val="auto"/>
          <w:szCs w:val="21"/>
          <w:highlight w:val="none"/>
        </w:rPr>
        <w:t>份。</w:t>
      </w:r>
    </w:p>
    <w:p w14:paraId="757AD91A">
      <w:pPr>
        <w:keepNext w:val="0"/>
        <w:keepLines w:val="0"/>
        <w:pageBreakBefore w:val="0"/>
        <w:kinsoku/>
        <w:wordWrap/>
        <w:overflowPunct/>
        <w:topLinePunct w:val="0"/>
        <w:bidi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十五、本合同自签订之日起生效。</w:t>
      </w:r>
    </w:p>
    <w:p w14:paraId="458B8AF7">
      <w:pPr>
        <w:keepNext w:val="0"/>
        <w:keepLines w:val="0"/>
        <w:pageBreakBefore w:val="0"/>
        <w:kinsoku/>
        <w:wordWrap/>
        <w:overflowPunct/>
        <w:topLinePunct w:val="0"/>
        <w:bidi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十六、本合同不可分割之部分及解释顺序：</w:t>
      </w:r>
    </w:p>
    <w:p w14:paraId="111EBB75">
      <w:pPr>
        <w:keepNext w:val="0"/>
        <w:keepLines w:val="0"/>
        <w:pageBreakBefore w:val="0"/>
        <w:kinsoku/>
        <w:wordWrap/>
        <w:overflowPunct/>
        <w:topLinePunct w:val="0"/>
        <w:bidi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1.合同及附件。</w:t>
      </w:r>
    </w:p>
    <w:p w14:paraId="2D353EAB">
      <w:pPr>
        <w:keepNext w:val="0"/>
        <w:keepLines w:val="0"/>
        <w:pageBreakBefore w:val="0"/>
        <w:kinsoku/>
        <w:wordWrap/>
        <w:overflowPunct/>
        <w:topLinePunct w:val="0"/>
        <w:bidi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2.中标通知书。</w:t>
      </w:r>
    </w:p>
    <w:p w14:paraId="060C48C1">
      <w:pPr>
        <w:keepNext w:val="0"/>
        <w:keepLines w:val="0"/>
        <w:pageBreakBefore w:val="0"/>
        <w:kinsoku/>
        <w:wordWrap/>
        <w:overflowPunct/>
        <w:topLinePunct w:val="0"/>
        <w:bidi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3.中标人的投标文件及澄清（如有）。</w:t>
      </w:r>
    </w:p>
    <w:p w14:paraId="27E2FACA">
      <w:pPr>
        <w:keepNext w:val="0"/>
        <w:keepLines w:val="0"/>
        <w:pageBreakBefore w:val="0"/>
        <w:kinsoku/>
        <w:wordWrap/>
        <w:overflowPunct/>
        <w:topLinePunct w:val="0"/>
        <w:bidi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4.招标文件。</w:t>
      </w:r>
    </w:p>
    <w:p w14:paraId="121EAE1A">
      <w:pPr>
        <w:keepNext w:val="0"/>
        <w:keepLines w:val="0"/>
        <w:pageBreakBefore w:val="0"/>
        <w:kinsoku/>
        <w:wordWrap/>
        <w:overflowPunct/>
        <w:topLinePunct w:val="0"/>
        <w:bidi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5.甲、乙双方商定的其他文件。</w:t>
      </w:r>
    </w:p>
    <w:p w14:paraId="587126F7">
      <w:pPr>
        <w:keepNext w:val="0"/>
        <w:keepLines w:val="0"/>
        <w:pageBreakBefore w:val="0"/>
        <w:kinsoku/>
        <w:wordWrap/>
        <w:overflowPunct/>
        <w:topLinePunct w:val="0"/>
        <w:bidi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十七、合同签订地点：。</w:t>
      </w:r>
    </w:p>
    <w:p w14:paraId="48B4B495">
      <w:pPr>
        <w:keepNext w:val="0"/>
        <w:keepLines w:val="0"/>
        <w:pageBreakBefore w:val="0"/>
        <w:widowControl/>
        <w:kinsoku/>
        <w:wordWrap/>
        <w:overflowPunct/>
        <w:topLinePunct w:val="0"/>
        <w:bidi w:val="0"/>
        <w:snapToGrid/>
        <w:spacing w:line="440" w:lineRule="exact"/>
        <w:ind w:firstLine="0" w:firstLineChars="0"/>
        <w:rPr>
          <w:rFonts w:ascii="Times New Roman" w:hAnsi="Times New Roman"/>
          <w:color w:val="auto"/>
          <w:szCs w:val="21"/>
          <w:highlight w:val="none"/>
        </w:rPr>
      </w:pPr>
      <w:r>
        <w:rPr>
          <w:rFonts w:ascii="Times New Roman" w:hAnsi="Times New Roman"/>
          <w:color w:val="auto"/>
          <w:szCs w:val="21"/>
          <w:highlight w:val="none"/>
        </w:rPr>
        <w:t>十八、附件</w:t>
      </w:r>
    </w:p>
    <w:p w14:paraId="7534863D">
      <w:pPr>
        <w:rPr>
          <w:rFonts w:hint="eastAsia"/>
          <w:color w:val="auto"/>
          <w:highlight w:val="none"/>
          <w:lang w:eastAsia="zh-CN"/>
        </w:rPr>
      </w:pPr>
    </w:p>
    <w:p w14:paraId="3EB17263">
      <w:pPr>
        <w:rPr>
          <w:rFonts w:hint="eastAsia" w:ascii="宋体" w:hAnsi="宋体" w:eastAsia="宋体" w:cs="宋体"/>
          <w:color w:val="auto"/>
          <w:szCs w:val="21"/>
          <w:highlight w:val="none"/>
        </w:rPr>
      </w:pPr>
      <w:r>
        <w:rPr>
          <w:rFonts w:hint="eastAsia" w:ascii="宋体" w:hAnsi="宋体" w:eastAsia="宋体" w:cs="宋体"/>
          <w:b/>
          <w:bCs/>
          <w:color w:val="auto"/>
          <w:sz w:val="24"/>
          <w:szCs w:val="24"/>
          <w:highlight w:val="none"/>
        </w:rPr>
        <w:br w:type="page"/>
      </w:r>
    </w:p>
    <w:p w14:paraId="535E019C">
      <w:pPr>
        <w:jc w:val="center"/>
        <w:rPr>
          <w:rFonts w:hint="eastAsia" w:ascii="宋体" w:hAnsi="宋体" w:eastAsia="宋体" w:cs="宋体"/>
          <w:color w:val="auto"/>
          <w:szCs w:val="21"/>
          <w:highlight w:val="none"/>
        </w:rPr>
      </w:pPr>
    </w:p>
    <w:p w14:paraId="0C7B1B3A">
      <w:pPr>
        <w:jc w:val="center"/>
        <w:rPr>
          <w:rFonts w:hint="eastAsia" w:ascii="宋体" w:hAnsi="宋体" w:eastAsia="宋体" w:cs="宋体"/>
          <w:color w:val="auto"/>
          <w:szCs w:val="21"/>
          <w:highlight w:val="none"/>
        </w:rPr>
      </w:pPr>
    </w:p>
    <w:p w14:paraId="35B3B5C7">
      <w:pPr>
        <w:jc w:val="both"/>
        <w:rPr>
          <w:rFonts w:hint="eastAsia" w:ascii="宋体" w:hAnsi="宋体" w:eastAsia="宋体" w:cs="宋体"/>
          <w:color w:val="auto"/>
          <w:szCs w:val="21"/>
          <w:highlight w:val="none"/>
        </w:rPr>
      </w:pPr>
    </w:p>
    <w:p w14:paraId="565F1C08">
      <w:pPr>
        <w:pStyle w:val="2"/>
        <w:spacing w:before="0" w:after="0" w:line="500" w:lineRule="exact"/>
        <w:rPr>
          <w:rFonts w:hint="eastAsia" w:ascii="宋体" w:hAnsi="宋体" w:eastAsia="宋体" w:cs="宋体"/>
          <w:color w:val="auto"/>
          <w:sz w:val="32"/>
          <w:szCs w:val="32"/>
          <w:highlight w:val="none"/>
        </w:rPr>
      </w:pPr>
      <w:bookmarkStart w:id="47" w:name="_Toc28900"/>
      <w:r>
        <w:rPr>
          <w:rFonts w:hint="eastAsia" w:ascii="宋体" w:hAnsi="宋体" w:eastAsia="宋体" w:cs="宋体"/>
          <w:color w:val="auto"/>
          <w:sz w:val="32"/>
          <w:szCs w:val="32"/>
          <w:highlight w:val="none"/>
        </w:rPr>
        <w:t>第四章投标文件格式</w:t>
      </w:r>
      <w:bookmarkEnd w:id="47"/>
    </w:p>
    <w:p w14:paraId="7E3BB6EF">
      <w:pPr>
        <w:widowControl/>
        <w:jc w:val="left"/>
        <w:rPr>
          <w:rFonts w:hint="eastAsia" w:ascii="宋体" w:hAnsi="宋体" w:eastAsia="宋体" w:cs="宋体"/>
          <w:color w:val="auto"/>
          <w:spacing w:val="0"/>
          <w:kern w:val="0"/>
          <w:sz w:val="28"/>
          <w:szCs w:val="28"/>
          <w:highlight w:val="none"/>
          <w:lang w:val="en-US" w:eastAsia="zh-CN"/>
        </w:rPr>
      </w:pPr>
      <w:bookmarkStart w:id="48" w:name="_Toc17449"/>
      <w:bookmarkStart w:id="49" w:name="_Toc5662"/>
      <w:r>
        <w:rPr>
          <w:rFonts w:hint="eastAsia" w:ascii="宋体" w:hAnsi="宋体" w:eastAsia="宋体" w:cs="宋体"/>
          <w:color w:val="auto"/>
          <w:spacing w:val="0"/>
          <w:kern w:val="0"/>
          <w:sz w:val="28"/>
          <w:szCs w:val="28"/>
          <w:highlight w:val="none"/>
          <w:lang w:val="en-US" w:eastAsia="zh-CN"/>
        </w:rPr>
        <w:t>一、</w:t>
      </w:r>
      <w:r>
        <w:rPr>
          <w:rFonts w:hint="eastAsia" w:ascii="宋体" w:hAnsi="宋体" w:cs="宋体"/>
          <w:color w:val="auto"/>
          <w:spacing w:val="0"/>
          <w:kern w:val="0"/>
          <w:sz w:val="28"/>
          <w:szCs w:val="28"/>
          <w:highlight w:val="none"/>
          <w:lang w:val="en-US" w:eastAsia="zh-CN"/>
        </w:rPr>
        <w:t>资格文件</w:t>
      </w:r>
      <w:bookmarkEnd w:id="48"/>
      <w:bookmarkEnd w:id="49"/>
    </w:p>
    <w:p w14:paraId="372B4701">
      <w:pPr>
        <w:pStyle w:val="22"/>
        <w:numPr>
          <w:ilvl w:val="0"/>
          <w:numId w:val="0"/>
        </w:numPr>
        <w:kinsoku/>
        <w:wordWrap/>
        <w:overflowPunct/>
        <w:topLinePunct w:val="0"/>
        <w:autoSpaceDE/>
        <w:autoSpaceDN/>
        <w:bidi w:val="0"/>
        <w:adjustRightInd/>
        <w:snapToGrid/>
        <w:spacing w:line="480" w:lineRule="exact"/>
        <w:ind w:leftChars="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投标人应填写和提交下述规定的有关资料。</w:t>
      </w:r>
    </w:p>
    <w:p w14:paraId="32C9242E">
      <w:pPr>
        <w:pStyle w:val="22"/>
        <w:numPr>
          <w:ilvl w:val="0"/>
          <w:numId w:val="0"/>
        </w:numPr>
        <w:kinsoku/>
        <w:wordWrap/>
        <w:overflowPunct/>
        <w:topLinePunct w:val="0"/>
        <w:autoSpaceDE/>
        <w:autoSpaceDN/>
        <w:bidi w:val="0"/>
        <w:adjustRightInd/>
        <w:snapToGrid/>
        <w:spacing w:line="480" w:lineRule="exact"/>
        <w:ind w:leftChars="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所附格式要求填写的全部内容都必须填写</w:t>
      </w:r>
      <w:r>
        <w:rPr>
          <w:rFonts w:hint="eastAsia" w:hAnsi="宋体" w:cs="宋体"/>
          <w:color w:val="auto"/>
          <w:szCs w:val="21"/>
          <w:highlight w:val="none"/>
          <w:lang w:eastAsia="zh-CN"/>
        </w:rPr>
        <w:t>，</w:t>
      </w:r>
      <w:r>
        <w:rPr>
          <w:rFonts w:hint="eastAsia" w:hAnsi="宋体" w:cs="宋体"/>
          <w:color w:val="000000" w:themeColor="text1"/>
          <w:szCs w:val="21"/>
          <w:highlight w:val="none"/>
          <w:lang w:val="en-US" w:eastAsia="zh-CN"/>
          <w14:textFill>
            <w14:solidFill>
              <w14:schemeClr w14:val="tx1"/>
            </w14:solidFill>
          </w14:textFill>
        </w:rPr>
        <w:t>填写不全，即投标无效</w:t>
      </w:r>
      <w:r>
        <w:rPr>
          <w:rFonts w:hint="eastAsia" w:ascii="宋体" w:hAnsi="宋体" w:eastAsia="宋体" w:cs="宋体"/>
          <w:color w:val="auto"/>
          <w:szCs w:val="21"/>
          <w:highlight w:val="none"/>
        </w:rPr>
        <w:t>。</w:t>
      </w:r>
    </w:p>
    <w:p w14:paraId="11ABB44B">
      <w:pPr>
        <w:pStyle w:val="22"/>
        <w:numPr>
          <w:ilvl w:val="0"/>
          <w:numId w:val="0"/>
        </w:numPr>
        <w:kinsoku/>
        <w:wordWrap/>
        <w:overflowPunct/>
        <w:topLinePunct w:val="0"/>
        <w:autoSpaceDE/>
        <w:autoSpaceDN/>
        <w:bidi w:val="0"/>
        <w:adjustRightInd/>
        <w:snapToGrid/>
        <w:spacing w:line="480" w:lineRule="exact"/>
        <w:ind w:leftChars="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投标人应保证全部声明和填写的内容是真实的和正确的。</w:t>
      </w:r>
    </w:p>
    <w:p w14:paraId="69759C6D">
      <w:pPr>
        <w:pStyle w:val="22"/>
        <w:numPr>
          <w:ilvl w:val="0"/>
          <w:numId w:val="0"/>
        </w:numPr>
        <w:kinsoku/>
        <w:wordWrap/>
        <w:overflowPunct/>
        <w:topLinePunct w:val="0"/>
        <w:autoSpaceDE/>
        <w:autoSpaceDN/>
        <w:bidi w:val="0"/>
        <w:adjustRightInd/>
        <w:snapToGrid/>
        <w:spacing w:line="480" w:lineRule="exact"/>
        <w:ind w:leftChars="0"/>
        <w:textAlignment w:val="auto"/>
        <w:outlineLvl w:val="9"/>
        <w:rPr>
          <w:rFonts w:hint="eastAsia" w:ascii="宋体" w:hAnsi="宋体" w:eastAsia="宋体" w:cs="宋体"/>
          <w:b/>
          <w:bCs/>
          <w:color w:val="auto"/>
          <w:sz w:val="28"/>
          <w:szCs w:val="32"/>
          <w:highlight w:val="none"/>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投标人提交的材料将被保密，但不退还。</w:t>
      </w:r>
    </w:p>
    <w:p w14:paraId="56B4EFF0">
      <w:pPr>
        <w:kinsoku/>
        <w:wordWrap/>
        <w:overflowPunct/>
        <w:topLinePunct w:val="0"/>
        <w:autoSpaceDE/>
        <w:autoSpaceDN/>
        <w:bidi w:val="0"/>
        <w:adjustRightInd/>
        <w:snapToGrid/>
        <w:spacing w:line="480" w:lineRule="exact"/>
        <w:textAlignment w:val="auto"/>
        <w:outlineLvl w:val="9"/>
        <w:rPr>
          <w:rFonts w:hint="eastAsia" w:ascii="宋体" w:hAnsi="宋体" w:eastAsia="宋体" w:cs="宋体"/>
          <w:b/>
          <w:bCs/>
          <w:color w:val="auto"/>
          <w:sz w:val="28"/>
          <w:szCs w:val="32"/>
          <w:highlight w:val="none"/>
        </w:rPr>
      </w:pPr>
      <w:r>
        <w:rPr>
          <w:rFonts w:hint="eastAsia" w:ascii="宋体" w:hAnsi="宋体" w:eastAsia="宋体" w:cs="宋体"/>
          <w:color w:val="auto"/>
          <w:szCs w:val="21"/>
          <w:highlight w:val="none"/>
        </w:rPr>
        <w:br w:type="page"/>
      </w:r>
    </w:p>
    <w:p w14:paraId="137F656E">
      <w:pPr>
        <w:pStyle w:val="22"/>
        <w:kinsoku/>
        <w:wordWrap/>
        <w:overflowPunct/>
        <w:topLinePunct w:val="0"/>
        <w:autoSpaceDE/>
        <w:autoSpaceDN/>
        <w:bidi w:val="0"/>
        <w:adjustRightInd/>
        <w:snapToGrid/>
        <w:spacing w:line="480" w:lineRule="exact"/>
        <w:textAlignment w:val="auto"/>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格式1</w:t>
      </w:r>
    </w:p>
    <w:p w14:paraId="03C010FD">
      <w:pPr>
        <w:widowControl/>
        <w:kinsoku/>
        <w:wordWrap/>
        <w:overflowPunct/>
        <w:topLinePunct w:val="0"/>
        <w:autoSpaceDE/>
        <w:autoSpaceDN/>
        <w:bidi w:val="0"/>
        <w:adjustRightInd/>
        <w:snapToGrid/>
        <w:spacing w:line="480" w:lineRule="exact"/>
        <w:jc w:val="left"/>
        <w:textAlignment w:val="auto"/>
        <w:outlineLvl w:val="9"/>
        <w:rPr>
          <w:rFonts w:hint="eastAsia" w:ascii="宋体" w:hAnsi="宋体" w:eastAsia="宋体" w:cs="宋体"/>
          <w:b/>
          <w:color w:val="auto"/>
          <w:szCs w:val="21"/>
          <w:highlight w:val="none"/>
          <w:lang w:eastAsia="zh-CN"/>
        </w:rPr>
      </w:pPr>
      <w:r>
        <w:rPr>
          <w:rFonts w:hint="eastAsia" w:ascii="宋体" w:hAnsi="宋体" w:cs="宋体"/>
          <w:b/>
          <w:color w:val="auto"/>
          <w:kern w:val="0"/>
          <w:szCs w:val="21"/>
          <w:highlight w:val="none"/>
          <w:lang w:eastAsia="zh-CN"/>
        </w:rPr>
        <w:t>具有独立承担民事责任的能力</w:t>
      </w:r>
      <w:r>
        <w:rPr>
          <w:rFonts w:hint="eastAsia" w:ascii="宋体" w:hAnsi="宋体" w:eastAsia="宋体" w:cs="宋体"/>
          <w:b/>
          <w:color w:val="auto"/>
          <w:kern w:val="0"/>
          <w:szCs w:val="21"/>
          <w:highlight w:val="none"/>
        </w:rPr>
        <w:t>：</w:t>
      </w:r>
      <w:r>
        <w:rPr>
          <w:rFonts w:hint="eastAsia" w:ascii="宋体" w:hAnsi="宋体" w:cs="宋体"/>
          <w:b/>
          <w:color w:val="auto"/>
          <w:kern w:val="0"/>
          <w:szCs w:val="21"/>
          <w:highlight w:val="none"/>
          <w:lang w:eastAsia="zh-CN"/>
        </w:rPr>
        <w:t>投标人须在中华人民共和国境内注册，提供市场监督管理部门核发的有效的三证合一营业执照或其他组织形式的相关主体资格证明材料（扫描件加盖投标人电子公章）</w:t>
      </w:r>
      <w:r>
        <w:rPr>
          <w:rFonts w:hint="eastAsia" w:ascii="宋体" w:hAnsi="宋体" w:eastAsia="宋体" w:cs="宋体"/>
          <w:b/>
          <w:color w:val="auto"/>
          <w:kern w:val="0"/>
          <w:szCs w:val="21"/>
          <w:highlight w:val="none"/>
        </w:rPr>
        <w:t>；</w:t>
      </w:r>
    </w:p>
    <w:p w14:paraId="4CBCA100">
      <w:pPr>
        <w:pStyle w:val="22"/>
        <w:kinsoku/>
        <w:wordWrap/>
        <w:overflowPunct/>
        <w:topLinePunct w:val="0"/>
        <w:autoSpaceDE/>
        <w:autoSpaceDN/>
        <w:bidi w:val="0"/>
        <w:adjustRightInd/>
        <w:snapToGrid/>
        <w:spacing w:line="480" w:lineRule="exact"/>
        <w:textAlignment w:val="auto"/>
        <w:outlineLvl w:val="9"/>
        <w:rPr>
          <w:rFonts w:hint="eastAsia" w:ascii="宋体" w:hAnsi="宋体" w:eastAsia="宋体" w:cs="宋体"/>
          <w:b/>
          <w:color w:val="auto"/>
          <w:sz w:val="28"/>
          <w:szCs w:val="28"/>
          <w:highlight w:val="none"/>
        </w:rPr>
      </w:pPr>
    </w:p>
    <w:p w14:paraId="0EEFE04C">
      <w:pPr>
        <w:pStyle w:val="22"/>
        <w:kinsoku/>
        <w:wordWrap/>
        <w:overflowPunct/>
        <w:topLinePunct w:val="0"/>
        <w:autoSpaceDE/>
        <w:autoSpaceDN/>
        <w:bidi w:val="0"/>
        <w:adjustRightInd/>
        <w:snapToGrid/>
        <w:spacing w:line="480" w:lineRule="exact"/>
        <w:textAlignment w:val="auto"/>
        <w:outlineLvl w:val="9"/>
        <w:rPr>
          <w:rFonts w:hint="eastAsia" w:ascii="宋体" w:hAnsi="宋体" w:eastAsia="宋体" w:cs="宋体"/>
          <w:b/>
          <w:color w:val="auto"/>
          <w:sz w:val="28"/>
          <w:szCs w:val="28"/>
          <w:highlight w:val="none"/>
        </w:rPr>
      </w:pPr>
    </w:p>
    <w:p w14:paraId="678D1F49">
      <w:pPr>
        <w:pStyle w:val="22"/>
        <w:kinsoku/>
        <w:wordWrap/>
        <w:overflowPunct/>
        <w:topLinePunct w:val="0"/>
        <w:autoSpaceDE/>
        <w:autoSpaceDN/>
        <w:bidi w:val="0"/>
        <w:adjustRightInd/>
        <w:snapToGrid/>
        <w:spacing w:line="480" w:lineRule="exact"/>
        <w:textAlignment w:val="auto"/>
        <w:outlineLvl w:val="9"/>
        <w:rPr>
          <w:rFonts w:hint="eastAsia" w:ascii="宋体" w:hAnsi="宋体" w:eastAsia="宋体" w:cs="宋体"/>
          <w:b/>
          <w:color w:val="auto"/>
          <w:sz w:val="28"/>
          <w:szCs w:val="28"/>
          <w:highlight w:val="none"/>
        </w:rPr>
      </w:pPr>
    </w:p>
    <w:p w14:paraId="67BED730">
      <w:pPr>
        <w:pStyle w:val="22"/>
        <w:kinsoku/>
        <w:wordWrap/>
        <w:overflowPunct/>
        <w:topLinePunct w:val="0"/>
        <w:autoSpaceDE/>
        <w:autoSpaceDN/>
        <w:bidi w:val="0"/>
        <w:adjustRightInd/>
        <w:snapToGrid/>
        <w:spacing w:line="480" w:lineRule="exact"/>
        <w:textAlignment w:val="auto"/>
        <w:outlineLvl w:val="9"/>
        <w:rPr>
          <w:rFonts w:hint="eastAsia" w:ascii="宋体" w:hAnsi="宋体" w:eastAsia="宋体" w:cs="宋体"/>
          <w:b/>
          <w:color w:val="auto"/>
          <w:sz w:val="28"/>
          <w:szCs w:val="28"/>
          <w:highlight w:val="none"/>
        </w:rPr>
      </w:pPr>
    </w:p>
    <w:p w14:paraId="2B228CCB">
      <w:pPr>
        <w:pStyle w:val="22"/>
        <w:kinsoku/>
        <w:wordWrap/>
        <w:overflowPunct/>
        <w:topLinePunct w:val="0"/>
        <w:autoSpaceDE/>
        <w:autoSpaceDN/>
        <w:bidi w:val="0"/>
        <w:adjustRightInd/>
        <w:snapToGrid/>
        <w:spacing w:line="480" w:lineRule="exact"/>
        <w:textAlignment w:val="auto"/>
        <w:outlineLvl w:val="9"/>
        <w:rPr>
          <w:rFonts w:hint="eastAsia" w:ascii="宋体" w:hAnsi="宋体" w:eastAsia="宋体" w:cs="宋体"/>
          <w:b/>
          <w:color w:val="auto"/>
          <w:sz w:val="28"/>
          <w:szCs w:val="28"/>
          <w:highlight w:val="none"/>
        </w:rPr>
      </w:pPr>
    </w:p>
    <w:p w14:paraId="4E59F367">
      <w:pPr>
        <w:pStyle w:val="22"/>
        <w:kinsoku/>
        <w:wordWrap/>
        <w:overflowPunct/>
        <w:topLinePunct w:val="0"/>
        <w:autoSpaceDE/>
        <w:autoSpaceDN/>
        <w:bidi w:val="0"/>
        <w:adjustRightInd/>
        <w:snapToGrid/>
        <w:spacing w:line="480" w:lineRule="exact"/>
        <w:textAlignment w:val="auto"/>
        <w:outlineLvl w:val="9"/>
        <w:rPr>
          <w:rFonts w:hint="eastAsia" w:ascii="宋体" w:hAnsi="宋体" w:eastAsia="宋体" w:cs="宋体"/>
          <w:b/>
          <w:color w:val="auto"/>
          <w:sz w:val="28"/>
          <w:szCs w:val="28"/>
          <w:highlight w:val="none"/>
        </w:rPr>
      </w:pPr>
    </w:p>
    <w:p w14:paraId="4FD8D887">
      <w:pPr>
        <w:pStyle w:val="22"/>
        <w:kinsoku/>
        <w:wordWrap/>
        <w:overflowPunct/>
        <w:topLinePunct w:val="0"/>
        <w:autoSpaceDE/>
        <w:autoSpaceDN/>
        <w:bidi w:val="0"/>
        <w:adjustRightInd/>
        <w:snapToGrid/>
        <w:spacing w:line="480" w:lineRule="exact"/>
        <w:textAlignment w:val="auto"/>
        <w:outlineLvl w:val="9"/>
        <w:rPr>
          <w:rFonts w:hint="eastAsia" w:ascii="宋体" w:hAnsi="宋体" w:eastAsia="宋体" w:cs="宋体"/>
          <w:b/>
          <w:color w:val="auto"/>
          <w:sz w:val="28"/>
          <w:szCs w:val="28"/>
          <w:highlight w:val="none"/>
        </w:rPr>
      </w:pPr>
    </w:p>
    <w:p w14:paraId="64454093">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7C9FC5BE">
      <w:pPr>
        <w:pStyle w:val="22"/>
        <w:kinsoku/>
        <w:wordWrap/>
        <w:overflowPunct/>
        <w:topLinePunct w:val="0"/>
        <w:autoSpaceDE/>
        <w:autoSpaceDN/>
        <w:bidi w:val="0"/>
        <w:adjustRightInd/>
        <w:snapToGrid/>
        <w:spacing w:line="480" w:lineRule="exact"/>
        <w:textAlignment w:val="auto"/>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格式</w:t>
      </w:r>
      <w:r>
        <w:rPr>
          <w:rFonts w:hint="eastAsia" w:ascii="宋体" w:hAnsi="宋体" w:eastAsia="宋体" w:cs="宋体"/>
          <w:b/>
          <w:color w:val="auto"/>
          <w:sz w:val="28"/>
          <w:szCs w:val="28"/>
          <w:highlight w:val="none"/>
          <w:lang w:val="en-US" w:eastAsia="zh-CN"/>
        </w:rPr>
        <w:t>2</w:t>
      </w:r>
    </w:p>
    <w:p w14:paraId="1F33318C">
      <w:pPr>
        <w:widowControl/>
        <w:kinsoku/>
        <w:wordWrap/>
        <w:overflowPunct/>
        <w:topLinePunct w:val="0"/>
        <w:autoSpaceDE/>
        <w:autoSpaceDN/>
        <w:bidi w:val="0"/>
        <w:adjustRightInd/>
        <w:snapToGrid/>
        <w:spacing w:line="480" w:lineRule="exact"/>
        <w:jc w:val="left"/>
        <w:textAlignment w:val="auto"/>
        <w:outlineLvl w:val="9"/>
        <w:rPr>
          <w:rFonts w:hint="eastAsia" w:ascii="宋体" w:hAnsi="宋体" w:eastAsia="宋体" w:cs="宋体"/>
          <w:b/>
          <w:color w:val="auto"/>
          <w:kern w:val="0"/>
          <w:szCs w:val="21"/>
          <w:highlight w:val="none"/>
          <w:lang w:eastAsia="zh-CN"/>
        </w:rPr>
      </w:pPr>
      <w:r>
        <w:rPr>
          <w:rFonts w:hint="eastAsia" w:ascii="宋体" w:hAnsi="宋体" w:cs="宋体"/>
          <w:b/>
          <w:color w:val="auto"/>
          <w:kern w:val="0"/>
          <w:szCs w:val="21"/>
          <w:highlight w:val="none"/>
          <w:lang w:eastAsia="zh-CN"/>
        </w:rPr>
        <w:t>具有良好的商业信誉和健全的财务会计制度</w:t>
      </w:r>
      <w:r>
        <w:rPr>
          <w:rFonts w:hint="eastAsia" w:ascii="宋体" w:hAnsi="宋体" w:eastAsia="宋体" w:cs="宋体"/>
          <w:b/>
          <w:color w:val="auto"/>
          <w:kern w:val="0"/>
          <w:szCs w:val="21"/>
          <w:highlight w:val="none"/>
          <w:lang w:eastAsia="zh-CN"/>
        </w:rPr>
        <w:t>：</w:t>
      </w:r>
    </w:p>
    <w:p w14:paraId="6FBA8BBC">
      <w:pPr>
        <w:widowControl/>
        <w:kinsoku/>
        <w:wordWrap/>
        <w:overflowPunct/>
        <w:topLinePunct w:val="0"/>
        <w:autoSpaceDE/>
        <w:autoSpaceDN/>
        <w:bidi w:val="0"/>
        <w:adjustRightInd/>
        <w:snapToGrid/>
        <w:spacing w:line="480" w:lineRule="exact"/>
        <w:jc w:val="left"/>
        <w:textAlignment w:val="auto"/>
        <w:outlineLvl w:val="9"/>
        <w:rPr>
          <w:rFonts w:hint="eastAsia" w:ascii="宋体" w:hAnsi="宋体" w:eastAsia="宋体" w:cs="宋体"/>
          <w:color w:val="auto"/>
          <w:kern w:val="0"/>
          <w:szCs w:val="21"/>
          <w:highlight w:val="none"/>
        </w:rPr>
      </w:pPr>
      <w:r>
        <w:rPr>
          <w:rFonts w:hint="eastAsia" w:ascii="宋体" w:hAnsi="宋体" w:cs="宋体"/>
          <w:b/>
          <w:color w:val="auto"/>
          <w:kern w:val="0"/>
          <w:szCs w:val="21"/>
          <w:highlight w:val="none"/>
          <w:lang w:eastAsia="zh-CN"/>
        </w:rPr>
        <w:t>提供投标人2024年度或2025年度经第三方审计的财务报告及报表（报表至少应包括资产负债表</w:t>
      </w:r>
      <w:r>
        <w:rPr>
          <w:rFonts w:hint="eastAsia" w:ascii="宋体" w:hAnsi="宋体" w:eastAsia="宋体" w:cs="宋体"/>
          <w:b/>
          <w:color w:val="auto"/>
          <w:kern w:val="0"/>
          <w:szCs w:val="21"/>
          <w:highlight w:val="none"/>
          <w:lang w:eastAsia="zh-CN"/>
        </w:rPr>
        <w:t>、利润表（损益表）、现金流量表）或提供自提交投标文件截止时间前三个月内基本开户银行出具的资信证明（扫描件加盖投标人电子公章），至投标文件提交截止时间止成立不足一年的投标人可提供相关情况说明（加盖投标人电子公章）</w:t>
      </w:r>
      <w:r>
        <w:rPr>
          <w:rFonts w:hint="eastAsia" w:ascii="宋体" w:hAnsi="宋体" w:eastAsia="宋体" w:cs="宋体"/>
          <w:b/>
          <w:color w:val="auto"/>
          <w:kern w:val="0"/>
          <w:szCs w:val="21"/>
          <w:highlight w:val="none"/>
        </w:rPr>
        <w:t>；</w:t>
      </w:r>
      <w:r>
        <w:rPr>
          <w:rFonts w:hint="eastAsia" w:ascii="宋体" w:hAnsi="宋体" w:eastAsia="宋体" w:cs="宋体"/>
          <w:b/>
          <w:color w:val="auto"/>
          <w:kern w:val="0"/>
          <w:szCs w:val="21"/>
          <w:highlight w:val="none"/>
        </w:rPr>
        <w:br w:type="page"/>
      </w:r>
      <w:r>
        <w:rPr>
          <w:rFonts w:hint="eastAsia" w:ascii="宋体" w:hAnsi="宋体" w:eastAsia="宋体" w:cs="宋体"/>
          <w:b/>
          <w:color w:val="auto"/>
          <w:kern w:val="2"/>
          <w:sz w:val="28"/>
          <w:szCs w:val="28"/>
          <w:highlight w:val="none"/>
          <w:lang w:val="en-US" w:eastAsia="zh-CN" w:bidi="ar-SA"/>
        </w:rPr>
        <w:t>格式3</w:t>
      </w:r>
    </w:p>
    <w:p w14:paraId="7C3A96C7">
      <w:pPr>
        <w:widowControl/>
        <w:kinsoku/>
        <w:wordWrap/>
        <w:overflowPunct/>
        <w:topLinePunct w:val="0"/>
        <w:autoSpaceDE/>
        <w:autoSpaceDN/>
        <w:bidi w:val="0"/>
        <w:adjustRightInd/>
        <w:snapToGrid/>
        <w:spacing w:line="480" w:lineRule="exact"/>
        <w:jc w:val="left"/>
        <w:textAlignment w:val="auto"/>
        <w:outlineLvl w:val="9"/>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具有履行合同所必需的设备和专业技术能力</w:t>
      </w:r>
      <w:r>
        <w:rPr>
          <w:rFonts w:hint="eastAsia" w:ascii="宋体" w:hAnsi="宋体" w:eastAsia="宋体" w:cs="宋体"/>
          <w:b/>
          <w:color w:val="auto"/>
          <w:szCs w:val="21"/>
          <w:highlight w:val="none"/>
        </w:rPr>
        <w:t>：提供投标人</w:t>
      </w:r>
      <w:r>
        <w:rPr>
          <w:rFonts w:hint="eastAsia" w:ascii="宋体" w:hAnsi="宋体" w:cs="宋体"/>
          <w:b/>
          <w:color w:val="auto"/>
          <w:szCs w:val="21"/>
          <w:highlight w:val="none"/>
          <w:lang w:eastAsia="zh-CN"/>
        </w:rPr>
        <w:t>具有履行合同所必需的设备和专业技术能力</w:t>
      </w:r>
      <w:r>
        <w:rPr>
          <w:rFonts w:hint="eastAsia" w:ascii="宋体" w:hAnsi="宋体" w:eastAsia="宋体" w:cs="宋体"/>
          <w:b/>
          <w:color w:val="auto"/>
          <w:szCs w:val="21"/>
          <w:highlight w:val="none"/>
        </w:rPr>
        <w:t>证明材料（扫描件加盖投标人电子公章）或书面声明（加盖投标人电子公章）；</w:t>
      </w:r>
    </w:p>
    <w:p w14:paraId="18007E50">
      <w:pPr>
        <w:widowControl/>
        <w:kinsoku/>
        <w:wordWrap/>
        <w:overflowPunct/>
        <w:topLinePunct w:val="0"/>
        <w:autoSpaceDE/>
        <w:autoSpaceDN/>
        <w:bidi w:val="0"/>
        <w:adjustRightInd/>
        <w:snapToGrid/>
        <w:spacing w:line="480" w:lineRule="exact"/>
        <w:jc w:val="left"/>
        <w:textAlignment w:val="auto"/>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r>
      <w:r>
        <w:rPr>
          <w:rFonts w:hint="eastAsia" w:ascii="宋体" w:hAnsi="宋体" w:eastAsia="宋体" w:cs="宋体"/>
          <w:b/>
          <w:color w:val="auto"/>
          <w:kern w:val="2"/>
          <w:sz w:val="28"/>
          <w:szCs w:val="28"/>
          <w:highlight w:val="none"/>
          <w:lang w:val="en-US" w:eastAsia="zh-CN" w:bidi="ar-SA"/>
        </w:rPr>
        <w:t>格式4</w:t>
      </w:r>
    </w:p>
    <w:p w14:paraId="6E8288CD">
      <w:pPr>
        <w:widowControl/>
        <w:kinsoku/>
        <w:wordWrap/>
        <w:overflowPunct/>
        <w:topLinePunct w:val="0"/>
        <w:autoSpaceDE/>
        <w:autoSpaceDN/>
        <w:bidi w:val="0"/>
        <w:adjustRightInd/>
        <w:snapToGrid/>
        <w:spacing w:line="480" w:lineRule="exact"/>
        <w:jc w:val="left"/>
        <w:textAlignment w:val="auto"/>
        <w:outlineLvl w:val="9"/>
        <w:rPr>
          <w:rFonts w:hint="eastAsia" w:ascii="宋体" w:hAnsi="宋体" w:eastAsia="宋体" w:cs="宋体"/>
          <w:b/>
          <w:bCs/>
          <w:color w:val="auto"/>
          <w:kern w:val="0"/>
          <w:szCs w:val="21"/>
          <w:highlight w:val="none"/>
        </w:rPr>
      </w:pPr>
      <w:r>
        <w:rPr>
          <w:rFonts w:hint="eastAsia" w:ascii="宋体" w:hAnsi="宋体" w:cs="宋体"/>
          <w:b/>
          <w:bCs/>
          <w:color w:val="auto"/>
          <w:kern w:val="0"/>
          <w:szCs w:val="21"/>
          <w:highlight w:val="none"/>
          <w:lang w:eastAsia="zh-CN"/>
        </w:rPr>
        <w:t>有依法缴纳税收和社会保障资金的良好记录</w:t>
      </w:r>
      <w:r>
        <w:rPr>
          <w:rFonts w:hint="eastAsia" w:ascii="宋体" w:hAnsi="宋体" w:eastAsia="宋体" w:cs="宋体"/>
          <w:b/>
          <w:bCs/>
          <w:color w:val="auto"/>
          <w:kern w:val="0"/>
          <w:szCs w:val="21"/>
          <w:highlight w:val="none"/>
        </w:rPr>
        <w:t>：</w:t>
      </w:r>
    </w:p>
    <w:p w14:paraId="7F07CEAA">
      <w:pPr>
        <w:widowControl/>
        <w:kinsoku/>
        <w:wordWrap/>
        <w:overflowPunct/>
        <w:topLinePunct w:val="0"/>
        <w:autoSpaceDE/>
        <w:autoSpaceDN/>
        <w:bidi w:val="0"/>
        <w:adjustRightInd/>
        <w:snapToGrid/>
        <w:spacing w:line="480" w:lineRule="exact"/>
        <w:jc w:val="left"/>
        <w:textAlignment w:val="auto"/>
        <w:outlineLvl w:val="9"/>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1</w:t>
      </w:r>
      <w:r>
        <w:rPr>
          <w:rFonts w:hint="eastAsia" w:ascii="宋体" w:hAnsi="宋体" w:eastAsia="宋体" w:cs="宋体"/>
          <w:b/>
          <w:bCs/>
          <w:color w:val="auto"/>
          <w:kern w:val="0"/>
          <w:szCs w:val="21"/>
          <w:highlight w:val="none"/>
          <w:lang w:val="en-US" w:eastAsia="zh-CN"/>
        </w:rPr>
        <w:t>.提供投标人缴税所属时间在</w:t>
      </w:r>
      <w:r>
        <w:rPr>
          <w:rFonts w:hint="eastAsia" w:ascii="宋体" w:hAnsi="宋体" w:cs="宋体"/>
          <w:b/>
          <w:bCs/>
          <w:color w:val="auto"/>
          <w:kern w:val="0"/>
          <w:szCs w:val="21"/>
          <w:highlight w:val="none"/>
          <w:lang w:val="en-US" w:eastAsia="zh-CN"/>
        </w:rPr>
        <w:t>2025年01月至本项目提交投标文件截止时间前任意3</w:t>
      </w:r>
      <w:r>
        <w:rPr>
          <w:rFonts w:hint="eastAsia" w:ascii="宋体" w:hAnsi="宋体" w:eastAsia="宋体" w:cs="宋体"/>
          <w:b/>
          <w:bCs/>
          <w:color w:val="auto"/>
          <w:kern w:val="0"/>
          <w:szCs w:val="21"/>
          <w:highlight w:val="none"/>
          <w:lang w:val="en-US" w:eastAsia="zh-CN"/>
        </w:rPr>
        <w:t>个月的税务局税收通用缴款书或银行电子缴税（费）凭证或税务局出具纳税情况的相关证明，依法免税的，应提供依法免税的相关证明文件（扫描件加盖投标人电子公章），至投标文件提交截止时间止成立不足一年的投标人可提供相关情况说明（加盖投标人电子公章）；</w:t>
      </w:r>
    </w:p>
    <w:p w14:paraId="530AAF84">
      <w:pPr>
        <w:widowControl/>
        <w:kinsoku/>
        <w:wordWrap/>
        <w:overflowPunct/>
        <w:topLinePunct w:val="0"/>
        <w:autoSpaceDE/>
        <w:autoSpaceDN/>
        <w:bidi w:val="0"/>
        <w:adjustRightInd/>
        <w:snapToGrid/>
        <w:spacing w:line="480" w:lineRule="exact"/>
        <w:jc w:val="left"/>
        <w:textAlignment w:val="auto"/>
        <w:outlineLvl w:val="9"/>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2</w:t>
      </w:r>
      <w:r>
        <w:rPr>
          <w:rFonts w:hint="eastAsia" w:ascii="宋体" w:hAnsi="宋体" w:eastAsia="宋体" w:cs="宋体"/>
          <w:b/>
          <w:bCs/>
          <w:color w:val="auto"/>
          <w:kern w:val="0"/>
          <w:szCs w:val="21"/>
          <w:highlight w:val="none"/>
          <w:lang w:val="en-US" w:eastAsia="zh-CN"/>
        </w:rPr>
        <w:t>.提供投标人缴费所属时间在</w:t>
      </w:r>
      <w:r>
        <w:rPr>
          <w:rFonts w:hint="eastAsia" w:ascii="宋体" w:hAnsi="宋体" w:cs="宋体"/>
          <w:b/>
          <w:bCs/>
          <w:color w:val="auto"/>
          <w:kern w:val="0"/>
          <w:szCs w:val="21"/>
          <w:highlight w:val="none"/>
          <w:lang w:val="en-US" w:eastAsia="zh-CN"/>
        </w:rPr>
        <w:t>2025年01月至本项目提交投标文件截止时间前任意3</w:t>
      </w:r>
      <w:r>
        <w:rPr>
          <w:rFonts w:hint="eastAsia" w:ascii="宋体" w:hAnsi="宋体" w:eastAsia="宋体" w:cs="宋体"/>
          <w:b/>
          <w:bCs/>
          <w:color w:val="auto"/>
          <w:kern w:val="0"/>
          <w:szCs w:val="21"/>
          <w:highlight w:val="none"/>
          <w:lang w:val="en-US" w:eastAsia="zh-CN"/>
        </w:rPr>
        <w:t>个月的社会保险费缴款书或银行电子缴税（费）凭证或社保管理部门出具的有效的缴款证明，依法免缴的，应提供依法免缴的相关证明文件（扫描件加盖投标人电子公章），至投标文件提交截止时间止成立不足一年的投标人可提供相关情况说明（加盖投标人电子公章）；</w:t>
      </w:r>
    </w:p>
    <w:p w14:paraId="08CCE749">
      <w:pPr>
        <w:widowControl/>
        <w:kinsoku/>
        <w:wordWrap/>
        <w:overflowPunct/>
        <w:topLinePunct w:val="0"/>
        <w:autoSpaceDE/>
        <w:autoSpaceDN/>
        <w:bidi w:val="0"/>
        <w:adjustRightInd/>
        <w:snapToGrid/>
        <w:spacing w:line="480" w:lineRule="exact"/>
        <w:textAlignment w:val="auto"/>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r>
        <w:rPr>
          <w:rFonts w:hint="eastAsia" w:ascii="宋体" w:hAnsi="宋体" w:eastAsia="宋体" w:cs="宋体"/>
          <w:b/>
          <w:color w:val="auto"/>
          <w:kern w:val="2"/>
          <w:sz w:val="28"/>
          <w:szCs w:val="28"/>
          <w:highlight w:val="none"/>
          <w:lang w:val="en-US" w:eastAsia="zh-CN" w:bidi="ar-SA"/>
        </w:rPr>
        <w:t>格式5</w:t>
      </w:r>
    </w:p>
    <w:p w14:paraId="28ADB935">
      <w:pPr>
        <w:widowControl/>
        <w:kinsoku/>
        <w:wordWrap/>
        <w:overflowPunct/>
        <w:topLinePunct w:val="0"/>
        <w:autoSpaceDE/>
        <w:autoSpaceDN/>
        <w:bidi w:val="0"/>
        <w:adjustRightInd/>
        <w:snapToGrid/>
        <w:spacing w:line="480" w:lineRule="exact"/>
        <w:jc w:val="left"/>
        <w:textAlignment w:val="auto"/>
        <w:outlineLvl w:val="9"/>
        <w:rPr>
          <w:rFonts w:hint="eastAsia" w:ascii="宋体" w:hAnsi="宋体" w:eastAsia="宋体" w:cs="宋体"/>
          <w:b/>
          <w:color w:val="auto"/>
          <w:kern w:val="0"/>
          <w:szCs w:val="21"/>
          <w:highlight w:val="none"/>
        </w:rPr>
      </w:pPr>
      <w:r>
        <w:rPr>
          <w:rFonts w:hint="eastAsia" w:ascii="宋体" w:hAnsi="宋体" w:cs="宋体"/>
          <w:b/>
          <w:color w:val="auto"/>
          <w:kern w:val="0"/>
          <w:szCs w:val="21"/>
          <w:highlight w:val="none"/>
          <w:lang w:eastAsia="zh-CN"/>
        </w:rPr>
        <w:t>参加政府采购活动前三年内，在经营活动中没有重大违法记录</w:t>
      </w:r>
      <w:r>
        <w:rPr>
          <w:rFonts w:hint="eastAsia" w:ascii="宋体" w:hAnsi="宋体" w:eastAsia="宋体" w:cs="宋体"/>
          <w:b/>
          <w:color w:val="auto"/>
          <w:kern w:val="0"/>
          <w:szCs w:val="21"/>
          <w:highlight w:val="none"/>
          <w:lang w:eastAsia="zh-CN"/>
        </w:rPr>
        <w:t>：提供投标人</w:t>
      </w:r>
      <w:r>
        <w:rPr>
          <w:rFonts w:hint="eastAsia" w:ascii="宋体" w:hAnsi="宋体" w:cs="宋体"/>
          <w:b/>
          <w:color w:val="auto"/>
          <w:kern w:val="0"/>
          <w:szCs w:val="21"/>
          <w:highlight w:val="none"/>
          <w:lang w:eastAsia="zh-CN"/>
        </w:rPr>
        <w:t>参加政府采购活动前三年内，在经营活动中没有重大违法记录</w:t>
      </w:r>
      <w:r>
        <w:rPr>
          <w:rFonts w:hint="eastAsia" w:ascii="宋体" w:hAnsi="宋体" w:eastAsia="宋体" w:cs="宋体"/>
          <w:b/>
          <w:color w:val="auto"/>
          <w:kern w:val="0"/>
          <w:szCs w:val="21"/>
          <w:highlight w:val="none"/>
          <w:lang w:eastAsia="zh-CN"/>
        </w:rPr>
        <w:t>（重大违法记录，是指投标人因违法经营受到刑事处罚或者责令停产停业、吊销许可证或者执照、较大数额罚款等行政处罚）的书面声明（加盖投标人电子公章）</w:t>
      </w:r>
      <w:r>
        <w:rPr>
          <w:rFonts w:hint="eastAsia" w:ascii="宋体" w:hAnsi="宋体" w:eastAsia="宋体" w:cs="宋体"/>
          <w:b/>
          <w:color w:val="auto"/>
          <w:kern w:val="0"/>
          <w:szCs w:val="21"/>
          <w:highlight w:val="none"/>
        </w:rPr>
        <w:t>；</w:t>
      </w:r>
    </w:p>
    <w:p w14:paraId="42048EF6">
      <w:pPr>
        <w:kinsoku/>
        <w:wordWrap/>
        <w:overflowPunct/>
        <w:topLinePunct w:val="0"/>
        <w:autoSpaceDE/>
        <w:autoSpaceDN/>
        <w:bidi w:val="0"/>
        <w:adjustRightInd/>
        <w:snapToGrid/>
        <w:spacing w:line="480" w:lineRule="exact"/>
        <w:textAlignment w:val="auto"/>
        <w:outlineLvl w:val="9"/>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br w:type="page"/>
      </w:r>
    </w:p>
    <w:p w14:paraId="47AA3877">
      <w:pPr>
        <w:pStyle w:val="22"/>
        <w:kinsoku/>
        <w:wordWrap/>
        <w:overflowPunct/>
        <w:topLinePunct w:val="0"/>
        <w:autoSpaceDE/>
        <w:autoSpaceDN/>
        <w:bidi w:val="0"/>
        <w:adjustRightInd/>
        <w:snapToGrid/>
        <w:spacing w:line="480" w:lineRule="exact"/>
        <w:textAlignment w:val="auto"/>
        <w:outlineLvl w:val="9"/>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格式</w:t>
      </w:r>
      <w:r>
        <w:rPr>
          <w:rFonts w:hint="eastAsia" w:ascii="宋体" w:hAnsi="宋体" w:eastAsia="宋体" w:cs="宋体"/>
          <w:b/>
          <w:color w:val="auto"/>
          <w:sz w:val="28"/>
          <w:szCs w:val="28"/>
          <w:highlight w:val="none"/>
          <w:lang w:val="en-US" w:eastAsia="zh-CN"/>
        </w:rPr>
        <w:t>6</w:t>
      </w:r>
    </w:p>
    <w:p w14:paraId="5B04E4B4">
      <w:pPr>
        <w:widowControl/>
        <w:kinsoku/>
        <w:wordWrap/>
        <w:overflowPunct/>
        <w:topLinePunct w:val="0"/>
        <w:autoSpaceDE/>
        <w:autoSpaceDN/>
        <w:bidi w:val="0"/>
        <w:adjustRightInd/>
        <w:snapToGrid/>
        <w:spacing w:line="480" w:lineRule="exact"/>
        <w:textAlignment w:val="auto"/>
        <w:outlineLvl w:val="9"/>
        <w:rPr>
          <w:rFonts w:hint="eastAsia" w:ascii="宋体" w:hAnsi="宋体" w:eastAsia="宋体" w:cs="宋体"/>
          <w:b/>
          <w:color w:val="auto"/>
          <w:sz w:val="28"/>
          <w:szCs w:val="28"/>
          <w:highlight w:val="none"/>
        </w:rPr>
      </w:pPr>
      <w:r>
        <w:rPr>
          <w:rFonts w:hint="eastAsia" w:ascii="宋体" w:hAnsi="宋体" w:eastAsia="宋体" w:cs="宋体"/>
          <w:b/>
          <w:color w:val="auto"/>
          <w:kern w:val="0"/>
          <w:szCs w:val="21"/>
          <w:highlight w:val="none"/>
        </w:rPr>
        <w:t>法律、行政法规规定的其他条件：单位负责人为同一人或者存在直接控股、管理关系不同的投标人，不得同时参与本项目的采购活动。为采购项目提供整体设计、规范编制和项目管理、监理、检测等服务的投标人，不得参与本项目采购活动（提供承诺函加盖投标人电子公章）；</w:t>
      </w:r>
    </w:p>
    <w:p w14:paraId="5C44AB58">
      <w:pPr>
        <w:rPr>
          <w:rFonts w:hint="eastAsia" w:ascii="宋体" w:hAnsi="宋体" w:eastAsia="宋体" w:cs="宋体"/>
          <w:b/>
          <w:bCs/>
          <w:color w:val="auto"/>
          <w:kern w:val="0"/>
          <w:sz w:val="56"/>
          <w:szCs w:val="56"/>
          <w:highlight w:val="none"/>
        </w:rPr>
      </w:pPr>
      <w:r>
        <w:rPr>
          <w:rFonts w:hint="eastAsia" w:ascii="宋体" w:hAnsi="宋体" w:eastAsia="宋体" w:cs="宋体"/>
          <w:b/>
          <w:color w:val="auto"/>
          <w:sz w:val="28"/>
          <w:szCs w:val="28"/>
          <w:highlight w:val="none"/>
        </w:rPr>
        <w:br w:type="page"/>
      </w:r>
    </w:p>
    <w:p w14:paraId="2E671302">
      <w:pPr>
        <w:outlineLvl w:val="9"/>
        <w:rPr>
          <w:rFonts w:hint="eastAsia" w:ascii="宋体" w:hAnsi="宋体" w:eastAsia="宋体" w:cs="宋体"/>
          <w:color w:val="auto"/>
          <w:spacing w:val="0"/>
          <w:kern w:val="0"/>
          <w:sz w:val="28"/>
          <w:szCs w:val="28"/>
          <w:highlight w:val="none"/>
          <w:lang w:val="en-US" w:eastAsia="zh-CN"/>
        </w:rPr>
      </w:pPr>
      <w:bookmarkStart w:id="50" w:name="_Toc4440"/>
      <w:bookmarkStart w:id="51" w:name="_Toc17981"/>
      <w:r>
        <w:rPr>
          <w:rFonts w:hint="eastAsia" w:ascii="宋体" w:hAnsi="宋体" w:eastAsia="宋体" w:cs="宋体"/>
          <w:color w:val="auto"/>
          <w:spacing w:val="0"/>
          <w:kern w:val="0"/>
          <w:sz w:val="28"/>
          <w:szCs w:val="28"/>
          <w:highlight w:val="none"/>
          <w:lang w:val="en-US" w:eastAsia="zh-CN"/>
        </w:rPr>
        <w:t>二、报价文件</w:t>
      </w:r>
      <w:bookmarkEnd w:id="50"/>
      <w:bookmarkEnd w:id="51"/>
    </w:p>
    <w:p w14:paraId="0BC77207">
      <w:pPr>
        <w:pStyle w:val="22"/>
        <w:kinsoku/>
        <w:wordWrap/>
        <w:overflowPunct/>
        <w:topLinePunct w:val="0"/>
        <w:autoSpaceDE/>
        <w:autoSpaceDN/>
        <w:bidi w:val="0"/>
        <w:adjustRightInd/>
        <w:snapToGrid/>
        <w:spacing w:line="480" w:lineRule="exact"/>
        <w:textAlignment w:val="auto"/>
        <w:outlineLvl w:val="9"/>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格式</w:t>
      </w:r>
      <w:r>
        <w:rPr>
          <w:rFonts w:hint="eastAsia" w:hAnsi="宋体" w:cs="宋体"/>
          <w:b/>
          <w:color w:val="auto"/>
          <w:sz w:val="28"/>
          <w:szCs w:val="28"/>
          <w:highlight w:val="none"/>
          <w:lang w:val="en-US" w:eastAsia="zh-CN"/>
        </w:rPr>
        <w:t>7</w:t>
      </w:r>
    </w:p>
    <w:p w14:paraId="6A6B0BE1">
      <w:pPr>
        <w:pageBreakBefore w:val="0"/>
        <w:kinsoku/>
        <w:overflowPunct/>
        <w:topLinePunct w:val="0"/>
        <w:autoSpaceDE/>
        <w:autoSpaceDN/>
        <w:bidi w:val="0"/>
        <w:adjustRightInd/>
        <w:snapToGrid/>
        <w:spacing w:line="480" w:lineRule="exact"/>
        <w:ind w:left="0"/>
        <w:jc w:val="center"/>
        <w:textAlignment w:val="auto"/>
        <w:outlineLvl w:val="9"/>
        <w:rPr>
          <w:rFonts w:hint="eastAsia" w:ascii="宋体" w:hAnsi="宋体" w:eastAsia="宋体" w:cs="宋体"/>
          <w:color w:val="auto"/>
          <w:szCs w:val="32"/>
          <w:highlight w:val="none"/>
        </w:rPr>
      </w:pPr>
      <w:r>
        <w:rPr>
          <w:rFonts w:hint="eastAsia" w:ascii="宋体" w:hAnsi="宋体" w:eastAsia="宋体" w:cs="宋体"/>
          <w:b/>
          <w:color w:val="auto"/>
          <w:kern w:val="2"/>
          <w:sz w:val="28"/>
          <w:szCs w:val="28"/>
          <w:highlight w:val="none"/>
          <w:lang w:val="en-US" w:eastAsia="zh-CN" w:bidi="ar-SA"/>
        </w:rPr>
        <w:t>开标一览表</w:t>
      </w:r>
    </w:p>
    <w:p w14:paraId="4317A759">
      <w:pPr>
        <w:pStyle w:val="22"/>
        <w:pageBreakBefore w:val="0"/>
        <w:kinsoku/>
        <w:overflowPunct/>
        <w:topLinePunct w:val="0"/>
        <w:autoSpaceDE/>
        <w:autoSpaceDN/>
        <w:bidi w:val="0"/>
        <w:adjustRightInd/>
        <w:snapToGrid/>
        <w:spacing w:line="480" w:lineRule="exact"/>
        <w:ind w:left="0"/>
        <w:textAlignment w:val="auto"/>
        <w:outlineLvl w:val="9"/>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项目名称：</w:t>
      </w:r>
    </w:p>
    <w:p w14:paraId="7596425A">
      <w:pPr>
        <w:pageBreakBefore w:val="0"/>
        <w:kinsoku/>
        <w:overflowPunct/>
        <w:topLinePunct w:val="0"/>
        <w:autoSpaceDE/>
        <w:autoSpaceDN/>
        <w:bidi w:val="0"/>
        <w:adjustRightInd/>
        <w:snapToGrid/>
        <w:spacing w:line="480" w:lineRule="exact"/>
        <w:ind w:left="0"/>
        <w:textAlignment w:val="auto"/>
        <w:outlineLvl w:val="9"/>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rPr>
        <w:t>项目编号：</w:t>
      </w:r>
    </w:p>
    <w:tbl>
      <w:tblPr>
        <w:tblStyle w:val="47"/>
        <w:tblW w:w="86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41"/>
        <w:gridCol w:w="6158"/>
      </w:tblGrid>
      <w:tr w14:paraId="7FF5D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jc w:val="center"/>
        </w:trPr>
        <w:tc>
          <w:tcPr>
            <w:tcW w:w="2541" w:type="dxa"/>
            <w:vAlign w:val="center"/>
          </w:tcPr>
          <w:p w14:paraId="72893327">
            <w:pPr>
              <w:pageBreakBefore w:val="0"/>
              <w:kinsoku/>
              <w:overflowPunct/>
              <w:topLinePunct w:val="0"/>
              <w:autoSpaceDE/>
              <w:autoSpaceDN/>
              <w:bidi w:val="0"/>
              <w:adjustRightInd/>
              <w:snapToGrid/>
              <w:spacing w:line="480" w:lineRule="exact"/>
              <w:ind w:left="0"/>
              <w:jc w:val="center"/>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p>
        </w:tc>
        <w:tc>
          <w:tcPr>
            <w:tcW w:w="6158" w:type="dxa"/>
            <w:vAlign w:val="center"/>
          </w:tcPr>
          <w:p w14:paraId="0B7B75C2">
            <w:pPr>
              <w:pageBreakBefore w:val="0"/>
              <w:kinsoku/>
              <w:overflowPunct/>
              <w:topLinePunct w:val="0"/>
              <w:autoSpaceDE/>
              <w:autoSpaceDN/>
              <w:bidi w:val="0"/>
              <w:adjustRightInd/>
              <w:snapToGrid/>
              <w:spacing w:line="480" w:lineRule="exact"/>
              <w:ind w:left="0"/>
              <w:jc w:val="both"/>
              <w:textAlignment w:val="auto"/>
              <w:outlineLvl w:val="9"/>
              <w:rPr>
                <w:rFonts w:hint="eastAsia" w:ascii="宋体" w:hAnsi="宋体" w:eastAsia="宋体" w:cs="宋体"/>
                <w:color w:val="auto"/>
                <w:szCs w:val="21"/>
                <w:highlight w:val="none"/>
              </w:rPr>
            </w:pPr>
          </w:p>
        </w:tc>
      </w:tr>
      <w:tr w14:paraId="477CA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2541" w:type="dxa"/>
            <w:vAlign w:val="center"/>
          </w:tcPr>
          <w:p w14:paraId="30E2D88D">
            <w:pPr>
              <w:pStyle w:val="22"/>
              <w:pageBreakBefore w:val="0"/>
              <w:kinsoku/>
              <w:overflowPunct/>
              <w:topLinePunct w:val="0"/>
              <w:autoSpaceDE/>
              <w:autoSpaceDN/>
              <w:bidi w:val="0"/>
              <w:adjustRightInd/>
              <w:snapToGrid/>
              <w:spacing w:line="480" w:lineRule="exact"/>
              <w:ind w:left="0"/>
              <w:jc w:val="center"/>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投标报价（元）</w:t>
            </w:r>
          </w:p>
        </w:tc>
        <w:tc>
          <w:tcPr>
            <w:tcW w:w="6158" w:type="dxa"/>
            <w:vAlign w:val="center"/>
          </w:tcPr>
          <w:p w14:paraId="06B8DA43">
            <w:pPr>
              <w:pageBreakBefore w:val="0"/>
              <w:kinsoku/>
              <w:overflowPunct/>
              <w:topLinePunct w:val="0"/>
              <w:autoSpaceDE/>
              <w:autoSpaceDN/>
              <w:bidi w:val="0"/>
              <w:adjustRightInd/>
              <w:snapToGrid/>
              <w:spacing w:line="480" w:lineRule="exact"/>
              <w:ind w:left="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小写：</w:t>
            </w:r>
          </w:p>
          <w:p w14:paraId="34A29B38">
            <w:pPr>
              <w:pageBreakBefore w:val="0"/>
              <w:kinsoku/>
              <w:overflowPunct/>
              <w:topLinePunct w:val="0"/>
              <w:autoSpaceDE/>
              <w:autoSpaceDN/>
              <w:bidi w:val="0"/>
              <w:adjustRightInd/>
              <w:snapToGrid/>
              <w:spacing w:line="480" w:lineRule="exact"/>
              <w:ind w:left="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大写：</w:t>
            </w:r>
          </w:p>
        </w:tc>
      </w:tr>
      <w:tr w14:paraId="25300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2541" w:type="dxa"/>
            <w:vAlign w:val="center"/>
          </w:tcPr>
          <w:p w14:paraId="134F4FE7">
            <w:pPr>
              <w:pageBreakBefore w:val="0"/>
              <w:kinsoku/>
              <w:overflowPunct/>
              <w:topLinePunct w:val="0"/>
              <w:autoSpaceDE/>
              <w:autoSpaceDN/>
              <w:bidi w:val="0"/>
              <w:adjustRightInd/>
              <w:snapToGrid/>
              <w:spacing w:line="480" w:lineRule="exact"/>
              <w:ind w:left="0"/>
              <w:jc w:val="center"/>
              <w:textAlignment w:val="auto"/>
              <w:outlineLvl w:val="9"/>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项目实施期限</w:t>
            </w:r>
          </w:p>
        </w:tc>
        <w:tc>
          <w:tcPr>
            <w:tcW w:w="6158" w:type="dxa"/>
            <w:vAlign w:val="center"/>
          </w:tcPr>
          <w:p w14:paraId="4C65E8B3">
            <w:pPr>
              <w:pageBreakBefore w:val="0"/>
              <w:widowControl/>
              <w:kinsoku/>
              <w:overflowPunct/>
              <w:topLinePunct w:val="0"/>
              <w:autoSpaceDE/>
              <w:autoSpaceDN/>
              <w:bidi w:val="0"/>
              <w:adjustRightInd/>
              <w:snapToGrid/>
              <w:spacing w:line="480" w:lineRule="exact"/>
              <w:ind w:left="0"/>
              <w:jc w:val="both"/>
              <w:textAlignment w:val="auto"/>
              <w:outlineLvl w:val="9"/>
              <w:rPr>
                <w:rFonts w:hint="eastAsia" w:ascii="宋体" w:hAnsi="宋体" w:eastAsia="宋体" w:cs="宋体"/>
                <w:color w:val="auto"/>
                <w:szCs w:val="21"/>
                <w:highlight w:val="none"/>
              </w:rPr>
            </w:pPr>
          </w:p>
        </w:tc>
      </w:tr>
      <w:tr w14:paraId="4DC66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2541" w:type="dxa"/>
            <w:vAlign w:val="center"/>
          </w:tcPr>
          <w:p w14:paraId="3913EBC6">
            <w:pPr>
              <w:pageBreakBefore w:val="0"/>
              <w:kinsoku/>
              <w:overflowPunct/>
              <w:topLinePunct w:val="0"/>
              <w:autoSpaceDE/>
              <w:autoSpaceDN/>
              <w:bidi w:val="0"/>
              <w:adjustRightInd/>
              <w:snapToGrid/>
              <w:spacing w:line="480" w:lineRule="exact"/>
              <w:ind w:left="0"/>
              <w:jc w:val="center"/>
              <w:textAlignment w:val="auto"/>
              <w:outlineLvl w:val="9"/>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项目实施地点</w:t>
            </w:r>
          </w:p>
        </w:tc>
        <w:tc>
          <w:tcPr>
            <w:tcW w:w="6158" w:type="dxa"/>
            <w:vAlign w:val="center"/>
          </w:tcPr>
          <w:p w14:paraId="78EF7C50">
            <w:pPr>
              <w:pageBreakBefore w:val="0"/>
              <w:kinsoku/>
              <w:overflowPunct/>
              <w:topLinePunct w:val="0"/>
              <w:autoSpaceDE/>
              <w:autoSpaceDN/>
              <w:bidi w:val="0"/>
              <w:adjustRightInd/>
              <w:snapToGrid/>
              <w:spacing w:line="480" w:lineRule="exact"/>
              <w:ind w:left="0"/>
              <w:jc w:val="center"/>
              <w:textAlignment w:val="auto"/>
              <w:outlineLvl w:val="9"/>
              <w:rPr>
                <w:rFonts w:hint="eastAsia" w:ascii="宋体" w:hAnsi="宋体" w:eastAsia="宋体" w:cs="宋体"/>
                <w:color w:val="auto"/>
                <w:szCs w:val="21"/>
                <w:highlight w:val="none"/>
              </w:rPr>
            </w:pPr>
          </w:p>
        </w:tc>
      </w:tr>
      <w:tr w14:paraId="16498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8699" w:type="dxa"/>
            <w:gridSpan w:val="2"/>
            <w:vAlign w:val="center"/>
          </w:tcPr>
          <w:p w14:paraId="7687B3CA">
            <w:pPr>
              <w:pageBreakBefore w:val="0"/>
              <w:kinsoku/>
              <w:overflowPunct/>
              <w:topLinePunct w:val="0"/>
              <w:autoSpaceDE/>
              <w:autoSpaceDN/>
              <w:bidi w:val="0"/>
              <w:adjustRightInd/>
              <w:snapToGrid/>
              <w:spacing w:line="480" w:lineRule="exact"/>
              <w:ind w:left="0"/>
              <w:jc w:val="left"/>
              <w:textAlignment w:val="auto"/>
              <w:outlineLvl w:val="9"/>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备注</w:t>
            </w:r>
          </w:p>
        </w:tc>
      </w:tr>
    </w:tbl>
    <w:p w14:paraId="2B463BB7">
      <w:pPr>
        <w:pStyle w:val="22"/>
        <w:pageBreakBefore w:val="0"/>
        <w:kinsoku/>
        <w:overflowPunct/>
        <w:topLinePunct w:val="0"/>
        <w:autoSpaceDE/>
        <w:autoSpaceDN/>
        <w:bidi w:val="0"/>
        <w:adjustRightInd/>
        <w:snapToGrid/>
        <w:spacing w:line="480" w:lineRule="exact"/>
        <w:ind w:left="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w:t>
      </w:r>
    </w:p>
    <w:p w14:paraId="194D5E83">
      <w:pPr>
        <w:pStyle w:val="22"/>
        <w:pageBreakBefore w:val="0"/>
        <w:kinsoku/>
        <w:overflowPunct/>
        <w:topLinePunct w:val="0"/>
        <w:autoSpaceDE/>
        <w:autoSpaceDN/>
        <w:bidi w:val="0"/>
        <w:adjustRightInd/>
        <w:snapToGrid/>
        <w:spacing w:line="480" w:lineRule="exact"/>
        <w:ind w:left="0"/>
        <w:textAlignment w:val="auto"/>
        <w:outlineLvl w:val="9"/>
        <w:rPr>
          <w:rFonts w:hint="eastAsia" w:ascii="宋体" w:hAnsi="宋体" w:eastAsia="宋体" w:cs="宋体"/>
          <w:color w:val="auto"/>
          <w:szCs w:val="21"/>
          <w:highlight w:val="none"/>
          <w:lang w:val="en-US" w:eastAsia="zh-CN"/>
        </w:rPr>
      </w:pPr>
      <w:r>
        <w:rPr>
          <w:rFonts w:hint="eastAsia" w:hAnsi="宋体" w:cs="宋体"/>
          <w:color w:val="auto"/>
          <w:szCs w:val="21"/>
          <w:highlight w:val="none"/>
          <w:lang w:val="en-US" w:eastAsia="zh-CN"/>
        </w:rPr>
        <w:t>1.</w:t>
      </w:r>
      <w:r>
        <w:rPr>
          <w:rFonts w:hint="eastAsia" w:ascii="宋体" w:hAnsi="宋体" w:eastAsia="宋体" w:cs="宋体"/>
          <w:color w:val="auto"/>
          <w:szCs w:val="21"/>
          <w:highlight w:val="none"/>
        </w:rPr>
        <w:t>表中“投标报价”</w:t>
      </w:r>
      <w:r>
        <w:rPr>
          <w:rFonts w:hint="eastAsia" w:ascii="宋体" w:hAnsi="宋体" w:eastAsia="宋体" w:cs="宋体"/>
          <w:color w:val="auto"/>
          <w:szCs w:val="21"/>
          <w:highlight w:val="none"/>
          <w:lang w:val="en-US" w:eastAsia="zh-CN"/>
        </w:rPr>
        <w:t>应与“投标函”中“投标报价”和“投标报价汇总表”中“投标报价”一致。</w:t>
      </w:r>
    </w:p>
    <w:p w14:paraId="6A010B65">
      <w:pPr>
        <w:pageBreakBefore w:val="0"/>
        <w:kinsoku/>
        <w:overflowPunct/>
        <w:topLinePunct w:val="0"/>
        <w:autoSpaceDE/>
        <w:autoSpaceDN/>
        <w:bidi w:val="0"/>
        <w:adjustRightInd/>
        <w:snapToGrid/>
        <w:spacing w:line="480" w:lineRule="exact"/>
        <w:ind w:left="0" w:firstLine="2" w:firstLineChars="1"/>
        <w:textAlignment w:val="auto"/>
        <w:outlineLvl w:val="9"/>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2.若本表与“政采云”平台“开标记录表”中所填写的信息不一致时，以“政采云”平台“开标记录表”中填写的信息为准。</w:t>
      </w:r>
    </w:p>
    <w:p w14:paraId="19D87368">
      <w:pPr>
        <w:pageBreakBefore w:val="0"/>
        <w:kinsoku/>
        <w:overflowPunct/>
        <w:topLinePunct w:val="0"/>
        <w:autoSpaceDE/>
        <w:autoSpaceDN/>
        <w:bidi w:val="0"/>
        <w:adjustRightInd/>
        <w:snapToGrid/>
        <w:spacing w:line="480" w:lineRule="exact"/>
        <w:ind w:left="0" w:firstLine="2" w:firstLineChars="1"/>
        <w:textAlignment w:val="auto"/>
        <w:outlineLvl w:val="9"/>
        <w:rPr>
          <w:rFonts w:hint="eastAsia" w:ascii="宋体" w:hAnsi="宋体" w:eastAsia="宋体" w:cs="宋体"/>
          <w:color w:val="auto"/>
          <w:szCs w:val="21"/>
          <w:highlight w:val="none"/>
        </w:rPr>
      </w:pPr>
    </w:p>
    <w:p w14:paraId="60AE4FF8">
      <w:pPr>
        <w:pageBreakBefore w:val="0"/>
        <w:kinsoku/>
        <w:overflowPunct/>
        <w:topLinePunct w:val="0"/>
        <w:autoSpaceDE/>
        <w:autoSpaceDN/>
        <w:bidi w:val="0"/>
        <w:adjustRightInd/>
        <w:snapToGrid/>
        <w:spacing w:line="480" w:lineRule="exact"/>
        <w:ind w:left="0" w:firstLine="2" w:firstLineChars="1"/>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投标人（加盖投标人电子公章）：</w:t>
      </w:r>
    </w:p>
    <w:p w14:paraId="17004F41">
      <w:pPr>
        <w:pageBreakBefore w:val="0"/>
        <w:kinsoku/>
        <w:overflowPunct/>
        <w:topLinePunct w:val="0"/>
        <w:autoSpaceDE/>
        <w:autoSpaceDN/>
        <w:bidi w:val="0"/>
        <w:adjustRightInd/>
        <w:snapToGrid/>
        <w:spacing w:line="480" w:lineRule="exact"/>
        <w:ind w:left="0" w:firstLine="2" w:firstLineChars="1"/>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法定代表人（电子签名或电子签章）：</w:t>
      </w:r>
    </w:p>
    <w:p w14:paraId="6AD1D8CF">
      <w:pPr>
        <w:pStyle w:val="22"/>
        <w:pageBreakBefore w:val="0"/>
        <w:kinsoku/>
        <w:overflowPunct/>
        <w:topLinePunct w:val="0"/>
        <w:autoSpaceDE/>
        <w:autoSpaceDN/>
        <w:bidi w:val="0"/>
        <w:adjustRightInd/>
        <w:snapToGrid/>
        <w:spacing w:line="480" w:lineRule="exact"/>
        <w:ind w:left="0"/>
        <w:textAlignment w:val="auto"/>
        <w:outlineLvl w:val="9"/>
        <w:rPr>
          <w:rFonts w:hint="eastAsia" w:ascii="宋体" w:hAnsi="宋体" w:eastAsia="宋体" w:cs="宋体"/>
          <w:color w:val="auto"/>
          <w:spacing w:val="0"/>
          <w:kern w:val="0"/>
          <w:sz w:val="28"/>
          <w:szCs w:val="28"/>
          <w:highlight w:val="none"/>
          <w:lang w:val="en-US" w:eastAsia="zh-CN"/>
        </w:rPr>
      </w:pPr>
      <w:r>
        <w:rPr>
          <w:rFonts w:hint="eastAsia" w:ascii="宋体" w:hAnsi="宋体" w:eastAsia="宋体" w:cs="宋体"/>
          <w:color w:val="auto"/>
          <w:szCs w:val="21"/>
          <w:highlight w:val="none"/>
        </w:rPr>
        <w:t>日期：</w:t>
      </w:r>
      <w:r>
        <w:rPr>
          <w:rFonts w:hint="eastAsia" w:ascii="宋体" w:hAnsi="宋体" w:eastAsia="宋体" w:cs="宋体"/>
          <w:b/>
          <w:color w:val="auto"/>
          <w:sz w:val="28"/>
          <w:szCs w:val="28"/>
          <w:highlight w:val="none"/>
        </w:rPr>
        <w:br w:type="page"/>
      </w:r>
      <w:bookmarkStart w:id="52" w:name="_Toc5573"/>
      <w:bookmarkStart w:id="53" w:name="_Toc28937"/>
      <w:r>
        <w:rPr>
          <w:rFonts w:hint="eastAsia" w:ascii="宋体" w:hAnsi="宋体" w:eastAsia="宋体" w:cs="宋体"/>
          <w:b/>
          <w:bCs/>
          <w:color w:val="auto"/>
          <w:spacing w:val="0"/>
          <w:kern w:val="0"/>
          <w:sz w:val="28"/>
          <w:szCs w:val="28"/>
          <w:highlight w:val="none"/>
          <w:lang w:val="en-US" w:eastAsia="zh-CN"/>
        </w:rPr>
        <w:t>三、商务技术文件</w:t>
      </w:r>
      <w:bookmarkEnd w:id="52"/>
      <w:bookmarkEnd w:id="53"/>
    </w:p>
    <w:p w14:paraId="3C1E10E5">
      <w:pPr>
        <w:pStyle w:val="22"/>
        <w:kinsoku/>
        <w:wordWrap/>
        <w:overflowPunct/>
        <w:topLinePunct w:val="0"/>
        <w:autoSpaceDE/>
        <w:autoSpaceDN/>
        <w:bidi w:val="0"/>
        <w:adjustRightInd/>
        <w:snapToGrid/>
        <w:spacing w:line="480" w:lineRule="exact"/>
        <w:textAlignment w:val="auto"/>
        <w:outlineLvl w:val="9"/>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格式</w:t>
      </w:r>
      <w:r>
        <w:rPr>
          <w:rFonts w:hint="eastAsia" w:hAnsi="宋体" w:cs="宋体"/>
          <w:b/>
          <w:color w:val="auto"/>
          <w:sz w:val="28"/>
          <w:szCs w:val="28"/>
          <w:highlight w:val="none"/>
          <w:lang w:val="en-US" w:eastAsia="zh-CN"/>
        </w:rPr>
        <w:t>8</w:t>
      </w:r>
    </w:p>
    <w:p w14:paraId="1ACFAD95">
      <w:pPr>
        <w:pageBreakBefore w:val="0"/>
        <w:kinsoku/>
        <w:overflowPunct/>
        <w:topLinePunct w:val="0"/>
        <w:autoSpaceDE/>
        <w:autoSpaceDN/>
        <w:bidi w:val="0"/>
        <w:adjustRightInd/>
        <w:snapToGrid/>
        <w:spacing w:line="480" w:lineRule="exact"/>
        <w:ind w:left="0"/>
        <w:jc w:val="center"/>
        <w:textAlignment w:val="auto"/>
        <w:outlineLvl w:val="9"/>
        <w:rPr>
          <w:rFonts w:hint="eastAsia" w:ascii="宋体" w:hAnsi="宋体" w:eastAsia="宋体" w:cs="宋体"/>
          <w:color w:val="auto"/>
          <w:szCs w:val="32"/>
          <w:highlight w:val="none"/>
        </w:rPr>
      </w:pPr>
      <w:r>
        <w:rPr>
          <w:rFonts w:hint="eastAsia" w:ascii="宋体" w:hAnsi="宋体" w:eastAsia="宋体" w:cs="宋体"/>
          <w:b/>
          <w:color w:val="auto"/>
          <w:kern w:val="2"/>
          <w:sz w:val="28"/>
          <w:szCs w:val="28"/>
          <w:highlight w:val="none"/>
          <w:lang w:val="en-US" w:eastAsia="zh-CN" w:bidi="ar-SA"/>
        </w:rPr>
        <w:t>投标函</w:t>
      </w:r>
    </w:p>
    <w:p w14:paraId="7D1DAF3E">
      <w:pPr>
        <w:pStyle w:val="22"/>
        <w:keepNext w:val="0"/>
        <w:keepLines w:val="0"/>
        <w:pageBreakBefore w:val="0"/>
        <w:widowControl w:val="0"/>
        <w:kinsoku/>
        <w:overflowPunct/>
        <w:topLinePunct w:val="0"/>
        <w:autoSpaceDE/>
        <w:autoSpaceDN/>
        <w:bidi w:val="0"/>
        <w:adjustRightInd/>
        <w:snapToGrid/>
        <w:spacing w:line="440" w:lineRule="exact"/>
        <w:ind w:left="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致：</w:t>
      </w:r>
      <w:r>
        <w:rPr>
          <w:rFonts w:hint="eastAsia" w:ascii="宋体" w:hAnsi="宋体" w:eastAsia="宋体" w:cs="宋体"/>
          <w:color w:val="auto"/>
          <w:szCs w:val="21"/>
          <w:highlight w:val="none"/>
          <w:u w:val="single"/>
        </w:rPr>
        <w:t>（采购人名称）</w:t>
      </w:r>
    </w:p>
    <w:p w14:paraId="64B2050B">
      <w:pPr>
        <w:pStyle w:val="22"/>
        <w:keepNext w:val="0"/>
        <w:keepLines w:val="0"/>
        <w:pageBreakBefore w:val="0"/>
        <w:widowControl w:val="0"/>
        <w:kinsoku/>
        <w:overflowPunct/>
        <w:topLinePunct w:val="0"/>
        <w:autoSpaceDE/>
        <w:autoSpaceDN/>
        <w:bidi w:val="0"/>
        <w:adjustRightInd/>
        <w:snapToGrid/>
        <w:spacing w:line="440" w:lineRule="exact"/>
        <w:ind w:left="0" w:firstLine="482"/>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我方仔细研究了</w:t>
      </w:r>
      <w:r>
        <w:rPr>
          <w:rFonts w:hint="eastAsia"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（采购项目名称）</w:t>
      </w:r>
      <w:r>
        <w:rPr>
          <w:rFonts w:hint="eastAsia"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（项目编号：</w:t>
      </w:r>
      <w:r>
        <w:rPr>
          <w:rFonts w:hint="eastAsia"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）项目招标文件的全部内容，正式授权</w:t>
      </w:r>
      <w:r>
        <w:rPr>
          <w:rFonts w:hint="eastAsia"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（姓名和职务）</w:t>
      </w:r>
      <w:r>
        <w:rPr>
          <w:rFonts w:hint="eastAsia"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全权代表投标人</w:t>
      </w:r>
      <w:r>
        <w:rPr>
          <w:rFonts w:hint="eastAsia"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（投标人全称）</w:t>
      </w:r>
      <w:r>
        <w:rPr>
          <w:rFonts w:hint="eastAsia"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参加投标，并提交电子投标文件。</w:t>
      </w:r>
    </w:p>
    <w:p w14:paraId="16DF2D6E">
      <w:pPr>
        <w:pStyle w:val="22"/>
        <w:keepNext w:val="0"/>
        <w:keepLines w:val="0"/>
        <w:pageBreakBefore w:val="0"/>
        <w:widowControl w:val="0"/>
        <w:kinsoku/>
        <w:overflowPunct/>
        <w:topLinePunct w:val="0"/>
        <w:autoSpaceDE/>
        <w:autoSpaceDN/>
        <w:bidi w:val="0"/>
        <w:adjustRightInd/>
        <w:snapToGrid/>
        <w:spacing w:line="440" w:lineRule="exact"/>
        <w:ind w:left="0" w:firstLine="42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据此函，</w:t>
      </w:r>
      <w:r>
        <w:rPr>
          <w:rFonts w:hint="eastAsia" w:ascii="宋体" w:hAnsi="宋体" w:eastAsia="宋体" w:cs="宋体"/>
          <w:color w:val="auto"/>
          <w:szCs w:val="21"/>
          <w:highlight w:val="none"/>
          <w:lang w:eastAsia="zh-CN"/>
        </w:rPr>
        <w:t>我公司</w:t>
      </w:r>
      <w:r>
        <w:rPr>
          <w:rFonts w:hint="eastAsia" w:ascii="宋体" w:hAnsi="宋体" w:eastAsia="宋体" w:cs="宋体"/>
          <w:color w:val="auto"/>
          <w:szCs w:val="21"/>
          <w:highlight w:val="none"/>
        </w:rPr>
        <w:t>兹宣布同意如下：</w:t>
      </w:r>
    </w:p>
    <w:p w14:paraId="2207D7D8">
      <w:pPr>
        <w:pStyle w:val="22"/>
        <w:keepNext w:val="0"/>
        <w:keepLines w:val="0"/>
        <w:pageBreakBefore w:val="0"/>
        <w:widowControl w:val="0"/>
        <w:kinsoku/>
        <w:wordWrap w:val="0"/>
        <w:overflowPunct/>
        <w:topLinePunct w:val="0"/>
        <w:autoSpaceDE/>
        <w:autoSpaceDN/>
        <w:bidi w:val="0"/>
        <w:adjustRightInd/>
        <w:snapToGrid/>
        <w:spacing w:line="440" w:lineRule="exact"/>
        <w:ind w:left="0" w:firstLine="409" w:firstLineChars="195"/>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1．按招标文件采购需求及技术要求，我方投标报价（大写</w:t>
      </w:r>
      <w:r>
        <w:rPr>
          <w:rFonts w:hint="eastAsia"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），人民币</w:t>
      </w:r>
      <w:r>
        <w:rPr>
          <w:rFonts w:hint="eastAsia"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元</w:t>
      </w:r>
      <w:r>
        <w:rPr>
          <w:rFonts w:hint="eastAsia" w:ascii="宋体" w:hAnsi="宋体" w:eastAsia="宋体" w:cs="宋体"/>
          <w:color w:val="auto"/>
          <w:szCs w:val="21"/>
          <w:highlight w:val="none"/>
          <w:lang w:eastAsia="zh-CN"/>
        </w:rPr>
        <w:t>，</w:t>
      </w:r>
      <w:r>
        <w:rPr>
          <w:rFonts w:hint="eastAsia" w:hAnsi="宋体" w:cs="宋体"/>
          <w:color w:val="auto"/>
          <w:szCs w:val="21"/>
          <w:highlight w:val="none"/>
          <w:lang w:val="en-US" w:eastAsia="zh-CN"/>
        </w:rPr>
        <w:t>项目实施期限</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w:t>
      </w:r>
    </w:p>
    <w:p w14:paraId="2C449ED4">
      <w:pPr>
        <w:pStyle w:val="22"/>
        <w:keepNext w:val="0"/>
        <w:keepLines w:val="0"/>
        <w:pageBreakBefore w:val="0"/>
        <w:widowControl w:val="0"/>
        <w:kinsoku/>
        <w:overflowPunct/>
        <w:topLinePunct w:val="0"/>
        <w:autoSpaceDE/>
        <w:autoSpaceDN/>
        <w:bidi w:val="0"/>
        <w:adjustRightInd/>
        <w:snapToGrid/>
        <w:spacing w:line="440" w:lineRule="exact"/>
        <w:ind w:left="0" w:firstLine="420"/>
        <w:textAlignment w:val="auto"/>
        <w:outlineLvl w:val="9"/>
        <w:rPr>
          <w:rFonts w:hint="eastAsia" w:ascii="宋体" w:hAnsi="宋体" w:eastAsia="宋体" w:cs="宋体"/>
          <w:color w:val="auto"/>
          <w:spacing w:val="-10"/>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pacing w:val="-10"/>
          <w:szCs w:val="21"/>
          <w:highlight w:val="none"/>
        </w:rPr>
        <w:t>我方已详细审查招标文件及相关文件全部内容，包括</w:t>
      </w:r>
      <w:r>
        <w:rPr>
          <w:rFonts w:hint="eastAsia" w:ascii="宋体" w:hAnsi="宋体" w:eastAsia="宋体" w:cs="宋体"/>
          <w:color w:val="auto"/>
          <w:spacing w:val="-10"/>
          <w:szCs w:val="21"/>
          <w:highlight w:val="none"/>
          <w:u w:val="single"/>
        </w:rPr>
        <w:t>（澄清文件）(如果有的话)</w:t>
      </w:r>
      <w:r>
        <w:rPr>
          <w:rFonts w:hint="eastAsia" w:ascii="宋体" w:hAnsi="宋体" w:eastAsia="宋体" w:cs="宋体"/>
          <w:color w:val="auto"/>
          <w:spacing w:val="-10"/>
          <w:szCs w:val="21"/>
          <w:highlight w:val="none"/>
        </w:rPr>
        <w:t>。我方完全理解招标文件及相关文件要求，并承担对这方面有不明及误解的后果。</w:t>
      </w:r>
    </w:p>
    <w:p w14:paraId="73C5954D">
      <w:pPr>
        <w:pStyle w:val="22"/>
        <w:keepNext w:val="0"/>
        <w:keepLines w:val="0"/>
        <w:pageBreakBefore w:val="0"/>
        <w:widowControl w:val="0"/>
        <w:kinsoku/>
        <w:overflowPunct/>
        <w:topLinePunct w:val="0"/>
        <w:autoSpaceDE/>
        <w:autoSpaceDN/>
        <w:bidi w:val="0"/>
        <w:adjustRightInd/>
        <w:snapToGrid/>
        <w:spacing w:line="440" w:lineRule="exact"/>
        <w:ind w:left="0" w:firstLine="42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3．在投标人须知规定的开标日期起遵循本投标文件，并在投标人须知第17.1条规定的投标文件有效期满之前均具有约束力。</w:t>
      </w:r>
    </w:p>
    <w:p w14:paraId="34CF30F7">
      <w:pPr>
        <w:pStyle w:val="22"/>
        <w:keepNext w:val="0"/>
        <w:keepLines w:val="0"/>
        <w:pageBreakBefore w:val="0"/>
        <w:widowControl w:val="0"/>
        <w:kinsoku/>
        <w:overflowPunct/>
        <w:topLinePunct w:val="0"/>
        <w:autoSpaceDE/>
        <w:autoSpaceDN/>
        <w:bidi w:val="0"/>
        <w:adjustRightInd/>
        <w:snapToGrid/>
        <w:spacing w:line="440" w:lineRule="exact"/>
        <w:ind w:left="0" w:firstLine="42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4．同意招标文件中关于没收投标保证金的规定。</w:t>
      </w:r>
    </w:p>
    <w:p w14:paraId="5B8D5AF7">
      <w:pPr>
        <w:pStyle w:val="22"/>
        <w:keepNext w:val="0"/>
        <w:keepLines w:val="0"/>
        <w:pageBreakBefore w:val="0"/>
        <w:widowControl w:val="0"/>
        <w:kinsoku/>
        <w:overflowPunct/>
        <w:topLinePunct w:val="0"/>
        <w:autoSpaceDE/>
        <w:autoSpaceDN/>
        <w:bidi w:val="0"/>
        <w:adjustRightInd/>
        <w:snapToGrid/>
        <w:spacing w:line="440" w:lineRule="exact"/>
        <w:ind w:left="0" w:firstLine="42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5．同意应贵方要求提供与本投标有关的任何数据或资料，并保证数据和资料的完整性和真实性。</w:t>
      </w:r>
    </w:p>
    <w:p w14:paraId="46D0406C">
      <w:pPr>
        <w:pStyle w:val="22"/>
        <w:keepNext w:val="0"/>
        <w:keepLines w:val="0"/>
        <w:pageBreakBefore w:val="0"/>
        <w:widowControl w:val="0"/>
        <w:kinsoku/>
        <w:overflowPunct/>
        <w:topLinePunct w:val="0"/>
        <w:autoSpaceDE/>
        <w:autoSpaceDN/>
        <w:bidi w:val="0"/>
        <w:adjustRightInd/>
        <w:snapToGrid/>
        <w:spacing w:line="440" w:lineRule="exact"/>
        <w:ind w:left="0" w:firstLine="42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6．完全理解贵方不一定要接受最低报价的投标人为中标人的行为。</w:t>
      </w:r>
    </w:p>
    <w:p w14:paraId="07025F32">
      <w:pPr>
        <w:pStyle w:val="22"/>
        <w:keepNext w:val="0"/>
        <w:keepLines w:val="0"/>
        <w:pageBreakBefore w:val="0"/>
        <w:widowControl w:val="0"/>
        <w:kinsoku/>
        <w:overflowPunct/>
        <w:topLinePunct w:val="0"/>
        <w:autoSpaceDE/>
        <w:autoSpaceDN/>
        <w:bidi w:val="0"/>
        <w:adjustRightInd/>
        <w:snapToGrid/>
        <w:spacing w:line="440" w:lineRule="exact"/>
        <w:ind w:left="0" w:firstLine="42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7．如我方中标：我方承诺在收到中标通知书后，在中标通知书规定的期限内与你方签订合同，并履行相应的合同责任和义务。</w:t>
      </w:r>
    </w:p>
    <w:p w14:paraId="6A3A81B4">
      <w:pPr>
        <w:pStyle w:val="22"/>
        <w:keepNext w:val="0"/>
        <w:keepLines w:val="0"/>
        <w:pageBreakBefore w:val="0"/>
        <w:widowControl w:val="0"/>
        <w:kinsoku/>
        <w:overflowPunct/>
        <w:topLinePunct w:val="0"/>
        <w:autoSpaceDE/>
        <w:autoSpaceDN/>
        <w:bidi w:val="0"/>
        <w:adjustRightInd/>
        <w:snapToGrid/>
        <w:spacing w:line="440" w:lineRule="exact"/>
        <w:ind w:left="0" w:firstLine="42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8．我方在此声明，所递交的投标文件及有关资料内容完整、真实和准确。</w:t>
      </w:r>
    </w:p>
    <w:p w14:paraId="73A1BC6D">
      <w:pPr>
        <w:pStyle w:val="22"/>
        <w:keepNext w:val="0"/>
        <w:keepLines w:val="0"/>
        <w:pageBreakBefore w:val="0"/>
        <w:widowControl w:val="0"/>
        <w:kinsoku/>
        <w:overflowPunct/>
        <w:topLinePunct w:val="0"/>
        <w:autoSpaceDE/>
        <w:autoSpaceDN/>
        <w:bidi w:val="0"/>
        <w:adjustRightInd/>
        <w:snapToGrid/>
        <w:spacing w:line="440" w:lineRule="exact"/>
        <w:ind w:left="0" w:firstLine="42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9．（其他补充说明）。</w:t>
      </w:r>
    </w:p>
    <w:p w14:paraId="423134DB">
      <w:pPr>
        <w:pStyle w:val="22"/>
        <w:keepNext w:val="0"/>
        <w:keepLines w:val="0"/>
        <w:pageBreakBefore w:val="0"/>
        <w:widowControl w:val="0"/>
        <w:kinsoku/>
        <w:overflowPunct/>
        <w:topLinePunct w:val="0"/>
        <w:autoSpaceDE/>
        <w:autoSpaceDN/>
        <w:bidi w:val="0"/>
        <w:adjustRightInd/>
        <w:snapToGrid/>
        <w:spacing w:line="440" w:lineRule="exact"/>
        <w:ind w:left="0" w:firstLine="42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与本投标有关的正式通讯地址为：</w:t>
      </w:r>
    </w:p>
    <w:p w14:paraId="63505D7B">
      <w:pPr>
        <w:pStyle w:val="22"/>
        <w:keepNext w:val="0"/>
        <w:keepLines w:val="0"/>
        <w:pageBreakBefore w:val="0"/>
        <w:widowControl w:val="0"/>
        <w:kinsoku/>
        <w:overflowPunct/>
        <w:topLinePunct w:val="0"/>
        <w:autoSpaceDE/>
        <w:autoSpaceDN/>
        <w:bidi w:val="0"/>
        <w:adjustRightInd/>
        <w:snapToGrid/>
        <w:spacing w:line="440" w:lineRule="exact"/>
        <w:ind w:left="0" w:firstLine="420"/>
        <w:textAlignment w:val="auto"/>
        <w:outlineLvl w:val="9"/>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投标人地址：</w:t>
      </w:r>
    </w:p>
    <w:p w14:paraId="3E7DEDC8">
      <w:pPr>
        <w:pStyle w:val="22"/>
        <w:keepNext w:val="0"/>
        <w:keepLines w:val="0"/>
        <w:pageBreakBefore w:val="0"/>
        <w:widowControl w:val="0"/>
        <w:kinsoku/>
        <w:overflowPunct/>
        <w:topLinePunct w:val="0"/>
        <w:autoSpaceDE/>
        <w:autoSpaceDN/>
        <w:bidi w:val="0"/>
        <w:adjustRightInd/>
        <w:snapToGrid/>
        <w:spacing w:line="440" w:lineRule="exact"/>
        <w:ind w:left="0" w:firstLine="420"/>
        <w:textAlignment w:val="auto"/>
        <w:outlineLvl w:val="9"/>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邮政编码：电话：传真：</w:t>
      </w:r>
    </w:p>
    <w:p w14:paraId="5FE06AD6">
      <w:pPr>
        <w:pStyle w:val="22"/>
        <w:keepNext w:val="0"/>
        <w:keepLines w:val="0"/>
        <w:pageBreakBefore w:val="0"/>
        <w:widowControl w:val="0"/>
        <w:kinsoku/>
        <w:overflowPunct/>
        <w:topLinePunct w:val="0"/>
        <w:autoSpaceDE/>
        <w:autoSpaceDN/>
        <w:bidi w:val="0"/>
        <w:adjustRightInd/>
        <w:snapToGrid/>
        <w:spacing w:line="440" w:lineRule="exact"/>
        <w:ind w:left="0" w:firstLine="42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开户名称：开户银行：</w:t>
      </w:r>
      <w:r>
        <w:rPr>
          <w:rFonts w:hint="eastAsia" w:ascii="宋体" w:hAnsi="宋体" w:eastAsia="宋体" w:cs="宋体"/>
          <w:color w:val="auto"/>
          <w:szCs w:val="21"/>
          <w:highlight w:val="none"/>
          <w:lang w:eastAsia="zh-CN"/>
        </w:rPr>
        <w:t>账</w:t>
      </w:r>
      <w:r>
        <w:rPr>
          <w:rFonts w:hint="eastAsia" w:ascii="宋体" w:hAnsi="宋体" w:eastAsia="宋体" w:cs="宋体"/>
          <w:color w:val="auto"/>
          <w:szCs w:val="21"/>
          <w:highlight w:val="none"/>
        </w:rPr>
        <w:t>号：</w:t>
      </w:r>
    </w:p>
    <w:p w14:paraId="4DE8BD90">
      <w:pPr>
        <w:pStyle w:val="22"/>
        <w:keepNext w:val="0"/>
        <w:keepLines w:val="0"/>
        <w:pageBreakBefore w:val="0"/>
        <w:widowControl w:val="0"/>
        <w:kinsoku/>
        <w:overflowPunct/>
        <w:topLinePunct w:val="0"/>
        <w:autoSpaceDE/>
        <w:autoSpaceDN/>
        <w:bidi w:val="0"/>
        <w:adjustRightInd/>
        <w:snapToGrid/>
        <w:spacing w:line="440" w:lineRule="exact"/>
        <w:ind w:left="0"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投标人（加盖投标人电子公章）：</w:t>
      </w:r>
    </w:p>
    <w:p w14:paraId="0CC4ED33">
      <w:pPr>
        <w:pStyle w:val="22"/>
        <w:keepNext w:val="0"/>
        <w:keepLines w:val="0"/>
        <w:pageBreakBefore w:val="0"/>
        <w:widowControl w:val="0"/>
        <w:kinsoku/>
        <w:overflowPunct/>
        <w:topLinePunct w:val="0"/>
        <w:autoSpaceDE/>
        <w:autoSpaceDN/>
        <w:bidi w:val="0"/>
        <w:adjustRightInd/>
        <w:snapToGrid/>
        <w:spacing w:line="440" w:lineRule="exact"/>
        <w:ind w:left="0"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r>
        <w:rPr>
          <w:rFonts w:hint="eastAsia" w:ascii="宋体" w:hAnsi="宋体" w:eastAsia="宋体" w:cs="宋体"/>
          <w:color w:val="auto"/>
          <w:szCs w:val="21"/>
          <w:highlight w:val="none"/>
          <w:lang w:eastAsia="zh-CN"/>
        </w:rPr>
        <w:t>（电子签名或电子签章）</w:t>
      </w:r>
      <w:r>
        <w:rPr>
          <w:rFonts w:hint="eastAsia" w:ascii="宋体" w:hAnsi="宋体" w:eastAsia="宋体" w:cs="宋体"/>
          <w:color w:val="auto"/>
          <w:szCs w:val="21"/>
          <w:highlight w:val="none"/>
        </w:rPr>
        <w:t>：</w:t>
      </w:r>
    </w:p>
    <w:p w14:paraId="14727981">
      <w:pPr>
        <w:pStyle w:val="22"/>
        <w:keepNext w:val="0"/>
        <w:keepLines w:val="0"/>
        <w:pageBreakBefore w:val="0"/>
        <w:widowControl w:val="0"/>
        <w:kinsoku/>
        <w:overflowPunct/>
        <w:topLinePunct w:val="0"/>
        <w:autoSpaceDE/>
        <w:autoSpaceDN/>
        <w:bidi w:val="0"/>
        <w:adjustRightInd/>
        <w:snapToGrid/>
        <w:spacing w:line="440" w:lineRule="exact"/>
        <w:ind w:left="0" w:firstLine="420" w:firstLineChars="200"/>
        <w:textAlignment w:val="auto"/>
        <w:outlineLvl w:val="9"/>
        <w:rPr>
          <w:rFonts w:hint="eastAsia" w:ascii="宋体" w:hAnsi="宋体" w:eastAsia="宋体" w:cs="宋体"/>
          <w:color w:val="auto"/>
          <w:szCs w:val="21"/>
          <w:highlight w:val="none"/>
        </w:rPr>
        <w:sectPr>
          <w:footerReference r:id="rId5" w:type="default"/>
          <w:pgSz w:w="11906" w:h="16838"/>
          <w:pgMar w:top="1440" w:right="1800" w:bottom="1440" w:left="1800" w:header="567" w:footer="567" w:gutter="0"/>
          <w:pgNumType w:fmt="decimal" w:start="1"/>
          <w:cols w:space="720" w:num="1"/>
        </w:sectPr>
      </w:pPr>
      <w:r>
        <w:rPr>
          <w:rFonts w:hint="eastAsia" w:ascii="宋体" w:hAnsi="宋体" w:eastAsia="宋体" w:cs="宋体"/>
          <w:color w:val="auto"/>
          <w:szCs w:val="21"/>
          <w:highlight w:val="none"/>
        </w:rPr>
        <w:t>日期：</w:t>
      </w:r>
    </w:p>
    <w:p w14:paraId="6576B772">
      <w:pPr>
        <w:pStyle w:val="22"/>
        <w:keepNext w:val="0"/>
        <w:keepLines w:val="0"/>
        <w:pageBreakBefore w:val="0"/>
        <w:widowControl w:val="0"/>
        <w:kinsoku/>
        <w:overflowPunct/>
        <w:topLinePunct w:val="0"/>
        <w:autoSpaceDE/>
        <w:autoSpaceDN/>
        <w:bidi w:val="0"/>
        <w:adjustRightInd/>
        <w:snapToGrid/>
        <w:spacing w:line="440" w:lineRule="exact"/>
        <w:ind w:left="0" w:firstLine="562" w:firstLineChars="200"/>
        <w:textAlignment w:val="auto"/>
        <w:outlineLvl w:val="9"/>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格式</w:t>
      </w:r>
      <w:r>
        <w:rPr>
          <w:rFonts w:hint="eastAsia" w:hAnsi="宋体" w:cs="宋体"/>
          <w:b/>
          <w:color w:val="auto"/>
          <w:sz w:val="28"/>
          <w:szCs w:val="28"/>
          <w:highlight w:val="none"/>
          <w:lang w:val="en-US" w:eastAsia="zh-CN"/>
        </w:rPr>
        <w:t>9</w:t>
      </w:r>
    </w:p>
    <w:p w14:paraId="59111225">
      <w:pPr>
        <w:spacing w:line="480" w:lineRule="auto"/>
        <w:jc w:val="center"/>
        <w:rPr>
          <w:rFonts w:hint="eastAsia" w:ascii="宋体" w:hAnsi="宋体" w:eastAsia="宋体" w:cs="宋体"/>
          <w:b/>
          <w:color w:val="auto"/>
          <w:kern w:val="2"/>
          <w:sz w:val="28"/>
          <w:szCs w:val="28"/>
          <w:highlight w:val="none"/>
          <w:lang w:val="en-US" w:eastAsia="zh-CN" w:bidi="ar-SA"/>
        </w:rPr>
      </w:pPr>
      <w:r>
        <w:rPr>
          <w:rFonts w:hint="eastAsia" w:ascii="宋体" w:hAnsi="宋体" w:eastAsia="宋体" w:cs="宋体"/>
          <w:b/>
          <w:color w:val="auto"/>
          <w:kern w:val="2"/>
          <w:sz w:val="28"/>
          <w:szCs w:val="28"/>
          <w:highlight w:val="none"/>
          <w:lang w:val="en-US" w:eastAsia="zh-CN" w:bidi="ar-SA"/>
        </w:rPr>
        <w:t>投标报价汇总表</w:t>
      </w:r>
    </w:p>
    <w:p w14:paraId="1B65884C">
      <w:pPr>
        <w:pStyle w:val="22"/>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项目名称：</w:t>
      </w:r>
    </w:p>
    <w:p w14:paraId="2634AB80">
      <w:pPr>
        <w:pStyle w:val="22"/>
        <w:keepNext w:val="0"/>
        <w:keepLines w:val="0"/>
        <w:pageBreakBefore w:val="0"/>
        <w:widowControl w:val="0"/>
        <w:kinsoku/>
        <w:wordWrap/>
        <w:overflowPunct/>
        <w:topLinePunct w:val="0"/>
        <w:autoSpaceDE/>
        <w:autoSpaceDN/>
        <w:bidi w:val="0"/>
        <w:adjustRightInd/>
        <w:snapToGrid/>
        <w:spacing w:line="440" w:lineRule="exact"/>
        <w:ind w:left="0" w:leftChars="0" w:right="0"/>
        <w:textAlignment w:val="auto"/>
        <w:outlineLvl w:val="9"/>
        <w:rPr>
          <w:rFonts w:hint="eastAsia" w:ascii="宋体" w:hAnsi="宋体" w:cs="宋体"/>
          <w:b/>
          <w:color w:val="auto"/>
          <w:szCs w:val="21"/>
          <w:highlight w:val="none"/>
          <w:lang w:val="en-US" w:eastAsia="zh-CN"/>
        </w:rPr>
      </w:pPr>
      <w:r>
        <w:rPr>
          <w:rFonts w:hint="eastAsia" w:ascii="宋体" w:hAnsi="宋体" w:eastAsia="宋体" w:cs="宋体"/>
          <w:b/>
          <w:color w:val="auto"/>
          <w:szCs w:val="21"/>
          <w:highlight w:val="none"/>
        </w:rPr>
        <w:t>项目编号：</w:t>
      </w:r>
    </w:p>
    <w:tbl>
      <w:tblPr>
        <w:tblStyle w:val="47"/>
        <w:tblW w:w="145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73"/>
        <w:gridCol w:w="1869"/>
        <w:gridCol w:w="933"/>
        <w:gridCol w:w="1500"/>
        <w:gridCol w:w="1313"/>
        <w:gridCol w:w="1125"/>
        <w:gridCol w:w="1068"/>
        <w:gridCol w:w="3263"/>
        <w:gridCol w:w="1744"/>
        <w:gridCol w:w="1144"/>
      </w:tblGrid>
      <w:tr w14:paraId="3C1EA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72" w:hRule="atLeast"/>
          <w:jc w:val="center"/>
        </w:trPr>
        <w:tc>
          <w:tcPr>
            <w:tcW w:w="573" w:type="dxa"/>
            <w:tcBorders>
              <w:top w:val="single" w:color="auto" w:sz="4" w:space="0"/>
              <w:left w:val="single" w:color="auto" w:sz="4" w:space="0"/>
              <w:bottom w:val="single" w:color="auto" w:sz="4" w:space="0"/>
              <w:right w:val="single" w:color="auto" w:sz="4" w:space="0"/>
            </w:tcBorders>
            <w:vAlign w:val="center"/>
          </w:tcPr>
          <w:p w14:paraId="76BB5C12">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869" w:type="dxa"/>
            <w:tcBorders>
              <w:top w:val="single" w:color="auto" w:sz="4" w:space="0"/>
              <w:left w:val="single" w:color="auto" w:sz="4" w:space="0"/>
              <w:bottom w:val="single" w:color="auto" w:sz="4" w:space="0"/>
              <w:right w:val="single" w:color="auto" w:sz="4" w:space="0"/>
            </w:tcBorders>
            <w:vAlign w:val="center"/>
          </w:tcPr>
          <w:p w14:paraId="3EA77D10">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产品（项目）名称</w:t>
            </w:r>
          </w:p>
        </w:tc>
        <w:tc>
          <w:tcPr>
            <w:tcW w:w="933" w:type="dxa"/>
            <w:tcBorders>
              <w:top w:val="single" w:color="auto" w:sz="4" w:space="0"/>
              <w:left w:val="single" w:color="auto" w:sz="4" w:space="0"/>
              <w:bottom w:val="single" w:color="auto" w:sz="4" w:space="0"/>
              <w:right w:val="single" w:color="auto" w:sz="4" w:space="0"/>
            </w:tcBorders>
            <w:vAlign w:val="center"/>
          </w:tcPr>
          <w:p w14:paraId="44C024F7">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品牌</w:t>
            </w:r>
          </w:p>
        </w:tc>
        <w:tc>
          <w:tcPr>
            <w:tcW w:w="1500" w:type="dxa"/>
            <w:tcBorders>
              <w:top w:val="single" w:color="auto" w:sz="4" w:space="0"/>
              <w:left w:val="single" w:color="auto" w:sz="4" w:space="0"/>
              <w:right w:val="single" w:color="auto" w:sz="4" w:space="0"/>
            </w:tcBorders>
            <w:vAlign w:val="center"/>
          </w:tcPr>
          <w:p w14:paraId="00515BE9">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型号和规格</w:t>
            </w:r>
          </w:p>
        </w:tc>
        <w:tc>
          <w:tcPr>
            <w:tcW w:w="1313" w:type="dxa"/>
            <w:tcBorders>
              <w:top w:val="single" w:color="auto" w:sz="4" w:space="0"/>
              <w:left w:val="single" w:color="auto" w:sz="4" w:space="0"/>
              <w:bottom w:val="single" w:color="auto" w:sz="4" w:space="0"/>
              <w:right w:val="single" w:color="auto" w:sz="4" w:space="0"/>
            </w:tcBorders>
            <w:vAlign w:val="center"/>
          </w:tcPr>
          <w:p w14:paraId="365BC39D">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生产制造商名称、国别</w:t>
            </w:r>
          </w:p>
        </w:tc>
        <w:tc>
          <w:tcPr>
            <w:tcW w:w="1125" w:type="dxa"/>
            <w:tcBorders>
              <w:top w:val="single" w:color="auto" w:sz="4" w:space="0"/>
              <w:left w:val="single" w:color="auto" w:sz="4" w:space="0"/>
              <w:bottom w:val="single" w:color="auto" w:sz="4" w:space="0"/>
              <w:right w:val="single" w:color="auto" w:sz="4" w:space="0"/>
            </w:tcBorders>
            <w:vAlign w:val="center"/>
          </w:tcPr>
          <w:p w14:paraId="5FDFC910">
            <w:pPr>
              <w:pageBreakBefore w:val="0"/>
              <w:widowControl/>
              <w:kinsoku/>
              <w:overflowPunct/>
              <w:topLinePunct w:val="0"/>
              <w:autoSpaceDE/>
              <w:autoSpaceDN/>
              <w:bidi w:val="0"/>
              <w:spacing w:line="480" w:lineRule="exact"/>
              <w:ind w:left="0" w:leftChars="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1068" w:type="dxa"/>
            <w:tcBorders>
              <w:top w:val="single" w:color="auto" w:sz="4" w:space="0"/>
              <w:left w:val="single" w:color="auto" w:sz="4" w:space="0"/>
              <w:bottom w:val="single" w:color="auto" w:sz="4" w:space="0"/>
              <w:right w:val="single" w:color="auto" w:sz="4" w:space="0"/>
            </w:tcBorders>
            <w:vAlign w:val="center"/>
          </w:tcPr>
          <w:p w14:paraId="16EE55AC">
            <w:pPr>
              <w:pageBreakBefore w:val="0"/>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计量单位</w:t>
            </w:r>
          </w:p>
        </w:tc>
        <w:tc>
          <w:tcPr>
            <w:tcW w:w="3263" w:type="dxa"/>
            <w:tcBorders>
              <w:top w:val="single" w:color="auto" w:sz="4" w:space="0"/>
              <w:left w:val="single" w:color="auto" w:sz="4" w:space="0"/>
              <w:right w:val="single" w:color="auto" w:sz="4" w:space="0"/>
            </w:tcBorders>
            <w:vAlign w:val="center"/>
          </w:tcPr>
          <w:p w14:paraId="70C46DB1">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单价（元）</w:t>
            </w:r>
          </w:p>
        </w:tc>
        <w:tc>
          <w:tcPr>
            <w:tcW w:w="1744" w:type="dxa"/>
            <w:tcBorders>
              <w:top w:val="single" w:color="auto" w:sz="4" w:space="0"/>
              <w:left w:val="single" w:color="auto" w:sz="4" w:space="0"/>
              <w:bottom w:val="single" w:color="auto" w:sz="4" w:space="0"/>
              <w:right w:val="single" w:color="auto" w:sz="4" w:space="0"/>
            </w:tcBorders>
            <w:vAlign w:val="center"/>
          </w:tcPr>
          <w:p w14:paraId="4429FACB">
            <w:pPr>
              <w:pageBreakBefore w:val="0"/>
              <w:widowControl/>
              <w:kinsoku/>
              <w:overflowPunct/>
              <w:topLinePunct w:val="0"/>
              <w:autoSpaceDE/>
              <w:autoSpaceDN/>
              <w:bidi w:val="0"/>
              <w:spacing w:line="480" w:lineRule="exact"/>
              <w:ind w:left="0" w:leftChars="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合价（元）</w:t>
            </w:r>
          </w:p>
        </w:tc>
        <w:tc>
          <w:tcPr>
            <w:tcW w:w="1144" w:type="dxa"/>
            <w:tcBorders>
              <w:top w:val="single" w:color="auto" w:sz="4" w:space="0"/>
              <w:left w:val="single" w:color="auto" w:sz="4" w:space="0"/>
              <w:right w:val="single" w:color="auto" w:sz="4" w:space="0"/>
            </w:tcBorders>
            <w:vAlign w:val="center"/>
          </w:tcPr>
          <w:p w14:paraId="4E79C567">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50175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573" w:type="dxa"/>
            <w:tcBorders>
              <w:top w:val="single" w:color="auto" w:sz="4" w:space="0"/>
              <w:left w:val="single" w:color="auto" w:sz="4" w:space="0"/>
              <w:bottom w:val="single" w:color="auto" w:sz="4" w:space="0"/>
              <w:right w:val="single" w:color="auto" w:sz="4" w:space="0"/>
            </w:tcBorders>
            <w:vAlign w:val="center"/>
          </w:tcPr>
          <w:p w14:paraId="30E3867D">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869" w:type="dxa"/>
            <w:tcBorders>
              <w:top w:val="single" w:color="auto" w:sz="4" w:space="0"/>
              <w:left w:val="single" w:color="auto" w:sz="4" w:space="0"/>
              <w:bottom w:val="single" w:color="auto" w:sz="4" w:space="0"/>
              <w:right w:val="single" w:color="auto" w:sz="4" w:space="0"/>
            </w:tcBorders>
            <w:shd w:val="clear" w:color="auto" w:fill="auto"/>
            <w:vAlign w:val="center"/>
          </w:tcPr>
          <w:p w14:paraId="40B8341C">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lang w:val="en-US" w:eastAsia="zh-CN"/>
              </w:rPr>
            </w:pPr>
          </w:p>
        </w:tc>
        <w:tc>
          <w:tcPr>
            <w:tcW w:w="933" w:type="dxa"/>
            <w:tcBorders>
              <w:top w:val="single" w:color="auto" w:sz="4" w:space="0"/>
              <w:left w:val="single" w:color="auto" w:sz="4" w:space="0"/>
              <w:bottom w:val="single" w:color="auto" w:sz="4" w:space="0"/>
              <w:right w:val="single" w:color="auto" w:sz="4" w:space="0"/>
            </w:tcBorders>
            <w:vAlign w:val="center"/>
          </w:tcPr>
          <w:p w14:paraId="35BC8270">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lang w:val="en-US" w:eastAsia="zh-CN"/>
              </w:rPr>
            </w:pPr>
          </w:p>
        </w:tc>
        <w:tc>
          <w:tcPr>
            <w:tcW w:w="1500" w:type="dxa"/>
            <w:tcBorders>
              <w:top w:val="single" w:color="auto" w:sz="4" w:space="0"/>
              <w:left w:val="single" w:color="auto" w:sz="4" w:space="0"/>
              <w:bottom w:val="single" w:color="auto" w:sz="4" w:space="0"/>
              <w:right w:val="single" w:color="auto" w:sz="4" w:space="0"/>
            </w:tcBorders>
            <w:vAlign w:val="center"/>
          </w:tcPr>
          <w:p w14:paraId="71ADC0EF">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lang w:val="en-US" w:eastAsia="zh-CN"/>
              </w:rPr>
            </w:pPr>
          </w:p>
        </w:tc>
        <w:tc>
          <w:tcPr>
            <w:tcW w:w="1313" w:type="dxa"/>
            <w:tcBorders>
              <w:top w:val="single" w:color="auto" w:sz="4" w:space="0"/>
              <w:left w:val="single" w:color="auto" w:sz="4" w:space="0"/>
              <w:bottom w:val="single" w:color="auto" w:sz="4" w:space="0"/>
              <w:right w:val="single" w:color="auto" w:sz="4" w:space="0"/>
            </w:tcBorders>
            <w:vAlign w:val="center"/>
          </w:tcPr>
          <w:p w14:paraId="43CF60F8">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lang w:val="en-US" w:eastAsia="zh-CN"/>
              </w:rPr>
            </w:pPr>
          </w:p>
        </w:tc>
        <w:tc>
          <w:tcPr>
            <w:tcW w:w="1125" w:type="dxa"/>
            <w:tcBorders>
              <w:top w:val="single" w:color="auto" w:sz="4" w:space="0"/>
              <w:left w:val="single" w:color="auto" w:sz="4" w:space="0"/>
              <w:bottom w:val="single" w:color="auto" w:sz="4" w:space="0"/>
              <w:right w:val="single" w:color="auto" w:sz="4" w:space="0"/>
            </w:tcBorders>
            <w:shd w:val="clear" w:color="auto" w:fill="auto"/>
            <w:vAlign w:val="center"/>
          </w:tcPr>
          <w:p w14:paraId="0F012304">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lang w:val="en-US" w:eastAsia="zh-CN"/>
              </w:rPr>
            </w:pPr>
          </w:p>
        </w:tc>
        <w:tc>
          <w:tcPr>
            <w:tcW w:w="1068" w:type="dxa"/>
            <w:tcBorders>
              <w:top w:val="single" w:color="auto" w:sz="4" w:space="0"/>
              <w:left w:val="single" w:color="auto" w:sz="4" w:space="0"/>
              <w:bottom w:val="single" w:color="auto" w:sz="4" w:space="0"/>
              <w:right w:val="single" w:color="auto" w:sz="4" w:space="0"/>
            </w:tcBorders>
            <w:shd w:val="clear" w:color="auto" w:fill="auto"/>
            <w:vAlign w:val="center"/>
          </w:tcPr>
          <w:p w14:paraId="0717E3A2">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lang w:val="en-US" w:eastAsia="zh-CN"/>
              </w:rPr>
            </w:pPr>
          </w:p>
        </w:tc>
        <w:tc>
          <w:tcPr>
            <w:tcW w:w="3263" w:type="dxa"/>
            <w:tcBorders>
              <w:left w:val="single" w:color="auto" w:sz="4" w:space="0"/>
              <w:right w:val="single" w:color="auto" w:sz="4" w:space="0"/>
            </w:tcBorders>
            <w:shd w:val="clear" w:color="auto" w:fill="auto"/>
            <w:vAlign w:val="center"/>
          </w:tcPr>
          <w:p w14:paraId="722327D5">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rPr>
            </w:pPr>
          </w:p>
        </w:tc>
        <w:tc>
          <w:tcPr>
            <w:tcW w:w="1744" w:type="dxa"/>
            <w:tcBorders>
              <w:top w:val="single" w:color="auto" w:sz="4" w:space="0"/>
              <w:left w:val="single" w:color="auto" w:sz="4" w:space="0"/>
              <w:bottom w:val="single" w:color="auto" w:sz="4" w:space="0"/>
              <w:right w:val="single" w:color="auto" w:sz="4" w:space="0"/>
            </w:tcBorders>
            <w:vAlign w:val="center"/>
          </w:tcPr>
          <w:p w14:paraId="510A08F3">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rPr>
            </w:pPr>
          </w:p>
        </w:tc>
        <w:tc>
          <w:tcPr>
            <w:tcW w:w="1144" w:type="dxa"/>
            <w:tcBorders>
              <w:left w:val="single" w:color="auto" w:sz="4" w:space="0"/>
              <w:right w:val="single" w:color="auto" w:sz="4" w:space="0"/>
            </w:tcBorders>
            <w:vAlign w:val="center"/>
          </w:tcPr>
          <w:p w14:paraId="5626EEA5">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rPr>
            </w:pPr>
          </w:p>
        </w:tc>
      </w:tr>
      <w:tr w14:paraId="5D4F0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573" w:type="dxa"/>
            <w:tcBorders>
              <w:top w:val="single" w:color="auto" w:sz="4" w:space="0"/>
              <w:left w:val="single" w:color="auto" w:sz="4" w:space="0"/>
              <w:bottom w:val="single" w:color="auto" w:sz="4" w:space="0"/>
              <w:right w:val="single" w:color="auto" w:sz="4" w:space="0"/>
            </w:tcBorders>
            <w:vAlign w:val="center"/>
          </w:tcPr>
          <w:p w14:paraId="6082FD7A">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1869" w:type="dxa"/>
            <w:tcBorders>
              <w:top w:val="single" w:color="auto" w:sz="4" w:space="0"/>
              <w:left w:val="single" w:color="auto" w:sz="4" w:space="0"/>
              <w:bottom w:val="single" w:color="auto" w:sz="4" w:space="0"/>
              <w:right w:val="single" w:color="auto" w:sz="4" w:space="0"/>
            </w:tcBorders>
            <w:shd w:val="clear" w:color="auto" w:fill="auto"/>
            <w:vAlign w:val="center"/>
          </w:tcPr>
          <w:p w14:paraId="1925CE48">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lang w:val="en-US" w:eastAsia="zh-CN"/>
              </w:rPr>
            </w:pPr>
          </w:p>
        </w:tc>
        <w:tc>
          <w:tcPr>
            <w:tcW w:w="933" w:type="dxa"/>
            <w:tcBorders>
              <w:top w:val="single" w:color="auto" w:sz="4" w:space="0"/>
              <w:left w:val="single" w:color="auto" w:sz="4" w:space="0"/>
              <w:bottom w:val="single" w:color="auto" w:sz="4" w:space="0"/>
              <w:right w:val="single" w:color="auto" w:sz="4" w:space="0"/>
            </w:tcBorders>
            <w:vAlign w:val="center"/>
          </w:tcPr>
          <w:p w14:paraId="0DAF2AF0">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lang w:val="en-US" w:eastAsia="zh-CN"/>
              </w:rPr>
            </w:pPr>
          </w:p>
        </w:tc>
        <w:tc>
          <w:tcPr>
            <w:tcW w:w="1500" w:type="dxa"/>
            <w:tcBorders>
              <w:top w:val="single" w:color="auto" w:sz="4" w:space="0"/>
              <w:left w:val="single" w:color="auto" w:sz="4" w:space="0"/>
              <w:bottom w:val="single" w:color="auto" w:sz="4" w:space="0"/>
              <w:right w:val="single" w:color="auto" w:sz="4" w:space="0"/>
            </w:tcBorders>
            <w:vAlign w:val="center"/>
          </w:tcPr>
          <w:p w14:paraId="0BEDE237">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lang w:val="en-US" w:eastAsia="zh-CN"/>
              </w:rPr>
            </w:pPr>
          </w:p>
        </w:tc>
        <w:tc>
          <w:tcPr>
            <w:tcW w:w="1313" w:type="dxa"/>
            <w:tcBorders>
              <w:top w:val="single" w:color="auto" w:sz="4" w:space="0"/>
              <w:left w:val="single" w:color="auto" w:sz="4" w:space="0"/>
              <w:bottom w:val="single" w:color="auto" w:sz="4" w:space="0"/>
              <w:right w:val="single" w:color="auto" w:sz="4" w:space="0"/>
            </w:tcBorders>
            <w:vAlign w:val="center"/>
          </w:tcPr>
          <w:p w14:paraId="5DACB526">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lang w:val="en-US" w:eastAsia="zh-CN"/>
              </w:rPr>
            </w:pPr>
          </w:p>
        </w:tc>
        <w:tc>
          <w:tcPr>
            <w:tcW w:w="1125" w:type="dxa"/>
            <w:tcBorders>
              <w:top w:val="single" w:color="auto" w:sz="4" w:space="0"/>
              <w:left w:val="single" w:color="auto" w:sz="4" w:space="0"/>
              <w:bottom w:val="single" w:color="auto" w:sz="4" w:space="0"/>
              <w:right w:val="single" w:color="auto" w:sz="4" w:space="0"/>
            </w:tcBorders>
            <w:shd w:val="clear" w:color="auto" w:fill="auto"/>
            <w:vAlign w:val="center"/>
          </w:tcPr>
          <w:p w14:paraId="0D5C505C">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lang w:val="en-US" w:eastAsia="zh-CN"/>
              </w:rPr>
            </w:pPr>
          </w:p>
        </w:tc>
        <w:tc>
          <w:tcPr>
            <w:tcW w:w="1068" w:type="dxa"/>
            <w:tcBorders>
              <w:top w:val="single" w:color="auto" w:sz="4" w:space="0"/>
              <w:left w:val="single" w:color="auto" w:sz="4" w:space="0"/>
              <w:bottom w:val="single" w:color="auto" w:sz="4" w:space="0"/>
              <w:right w:val="single" w:color="auto" w:sz="4" w:space="0"/>
            </w:tcBorders>
            <w:shd w:val="clear" w:color="auto" w:fill="auto"/>
            <w:vAlign w:val="center"/>
          </w:tcPr>
          <w:p w14:paraId="4775016A">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lang w:val="en-US" w:eastAsia="zh-CN"/>
              </w:rPr>
            </w:pPr>
          </w:p>
        </w:tc>
        <w:tc>
          <w:tcPr>
            <w:tcW w:w="3263" w:type="dxa"/>
            <w:tcBorders>
              <w:left w:val="single" w:color="auto" w:sz="4" w:space="0"/>
              <w:right w:val="single" w:color="auto" w:sz="4" w:space="0"/>
            </w:tcBorders>
            <w:shd w:val="clear" w:color="auto" w:fill="auto"/>
            <w:vAlign w:val="center"/>
          </w:tcPr>
          <w:p w14:paraId="5BA8E109">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rPr>
            </w:pPr>
          </w:p>
        </w:tc>
        <w:tc>
          <w:tcPr>
            <w:tcW w:w="1744" w:type="dxa"/>
            <w:tcBorders>
              <w:top w:val="single" w:color="auto" w:sz="4" w:space="0"/>
              <w:left w:val="single" w:color="auto" w:sz="4" w:space="0"/>
              <w:bottom w:val="single" w:color="auto" w:sz="4" w:space="0"/>
              <w:right w:val="single" w:color="auto" w:sz="4" w:space="0"/>
            </w:tcBorders>
            <w:vAlign w:val="center"/>
          </w:tcPr>
          <w:p w14:paraId="79AF2D30">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rPr>
            </w:pPr>
          </w:p>
        </w:tc>
        <w:tc>
          <w:tcPr>
            <w:tcW w:w="1144" w:type="dxa"/>
            <w:tcBorders>
              <w:left w:val="single" w:color="auto" w:sz="4" w:space="0"/>
              <w:right w:val="single" w:color="auto" w:sz="4" w:space="0"/>
            </w:tcBorders>
            <w:vAlign w:val="center"/>
          </w:tcPr>
          <w:p w14:paraId="16773B21">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rPr>
            </w:pPr>
          </w:p>
        </w:tc>
      </w:tr>
      <w:tr w14:paraId="49913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573" w:type="dxa"/>
            <w:tcBorders>
              <w:top w:val="single" w:color="auto" w:sz="4" w:space="0"/>
              <w:left w:val="single" w:color="auto" w:sz="4" w:space="0"/>
              <w:bottom w:val="single" w:color="auto" w:sz="4" w:space="0"/>
              <w:right w:val="single" w:color="auto" w:sz="4" w:space="0"/>
            </w:tcBorders>
            <w:vAlign w:val="center"/>
          </w:tcPr>
          <w:p w14:paraId="207EFBA4">
            <w:pPr>
              <w:pageBreakBefore w:val="0"/>
              <w:widowControl/>
              <w:kinsoku/>
              <w:overflowPunct/>
              <w:topLinePunct w:val="0"/>
              <w:autoSpaceDE/>
              <w:autoSpaceDN/>
              <w:bidi w:val="0"/>
              <w:snapToGrid w:val="0"/>
              <w:spacing w:line="480" w:lineRule="exact"/>
              <w:ind w:left="0" w:leftChars="0" w:right="0"/>
              <w:jc w:val="center"/>
              <w:outlineLvl w:val="9"/>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c>
          <w:tcPr>
            <w:tcW w:w="1869" w:type="dxa"/>
            <w:tcBorders>
              <w:top w:val="single" w:color="auto" w:sz="4" w:space="0"/>
              <w:left w:val="single" w:color="auto" w:sz="4" w:space="0"/>
              <w:bottom w:val="single" w:color="auto" w:sz="4" w:space="0"/>
              <w:right w:val="single" w:color="auto" w:sz="4" w:space="0"/>
            </w:tcBorders>
            <w:shd w:val="clear" w:color="auto" w:fill="auto"/>
            <w:vAlign w:val="center"/>
          </w:tcPr>
          <w:p w14:paraId="6F8DADB1">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lang w:val="en-US" w:eastAsia="zh-CN"/>
              </w:rPr>
            </w:pPr>
          </w:p>
        </w:tc>
        <w:tc>
          <w:tcPr>
            <w:tcW w:w="933" w:type="dxa"/>
            <w:tcBorders>
              <w:top w:val="single" w:color="auto" w:sz="4" w:space="0"/>
              <w:left w:val="single" w:color="auto" w:sz="4" w:space="0"/>
              <w:bottom w:val="single" w:color="auto" w:sz="4" w:space="0"/>
              <w:right w:val="single" w:color="auto" w:sz="4" w:space="0"/>
            </w:tcBorders>
            <w:vAlign w:val="center"/>
          </w:tcPr>
          <w:p w14:paraId="5D6D691B">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lang w:val="en-US" w:eastAsia="zh-CN"/>
              </w:rPr>
            </w:pPr>
          </w:p>
        </w:tc>
        <w:tc>
          <w:tcPr>
            <w:tcW w:w="1500" w:type="dxa"/>
            <w:tcBorders>
              <w:top w:val="single" w:color="auto" w:sz="4" w:space="0"/>
              <w:left w:val="single" w:color="auto" w:sz="4" w:space="0"/>
              <w:bottom w:val="single" w:color="auto" w:sz="4" w:space="0"/>
              <w:right w:val="single" w:color="auto" w:sz="4" w:space="0"/>
            </w:tcBorders>
            <w:vAlign w:val="center"/>
          </w:tcPr>
          <w:p w14:paraId="4AE59B70">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lang w:val="en-US" w:eastAsia="zh-CN"/>
              </w:rPr>
            </w:pPr>
          </w:p>
        </w:tc>
        <w:tc>
          <w:tcPr>
            <w:tcW w:w="1313" w:type="dxa"/>
            <w:tcBorders>
              <w:top w:val="single" w:color="auto" w:sz="4" w:space="0"/>
              <w:left w:val="single" w:color="auto" w:sz="4" w:space="0"/>
              <w:bottom w:val="single" w:color="auto" w:sz="4" w:space="0"/>
              <w:right w:val="single" w:color="auto" w:sz="4" w:space="0"/>
            </w:tcBorders>
            <w:vAlign w:val="center"/>
          </w:tcPr>
          <w:p w14:paraId="293681A4">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lang w:val="en-US" w:eastAsia="zh-CN"/>
              </w:rPr>
            </w:pPr>
          </w:p>
        </w:tc>
        <w:tc>
          <w:tcPr>
            <w:tcW w:w="1125" w:type="dxa"/>
            <w:tcBorders>
              <w:top w:val="single" w:color="auto" w:sz="4" w:space="0"/>
              <w:left w:val="single" w:color="auto" w:sz="4" w:space="0"/>
              <w:bottom w:val="single" w:color="auto" w:sz="4" w:space="0"/>
              <w:right w:val="single" w:color="auto" w:sz="4" w:space="0"/>
            </w:tcBorders>
            <w:shd w:val="clear" w:color="auto" w:fill="auto"/>
            <w:vAlign w:val="center"/>
          </w:tcPr>
          <w:p w14:paraId="057F57A4">
            <w:pPr>
              <w:pageBreakBefore w:val="0"/>
              <w:widowControl/>
              <w:kinsoku/>
              <w:overflowPunct/>
              <w:topLinePunct w:val="0"/>
              <w:autoSpaceDE/>
              <w:autoSpaceDN/>
              <w:bidi w:val="0"/>
              <w:snapToGrid w:val="0"/>
              <w:spacing w:line="480" w:lineRule="exact"/>
              <w:ind w:left="0" w:leftChars="0" w:right="0"/>
              <w:jc w:val="center"/>
              <w:outlineLvl w:val="9"/>
              <w:rPr>
                <w:rFonts w:hint="default" w:ascii="宋体" w:hAnsi="宋体" w:eastAsia="宋体" w:cs="宋体"/>
                <w:color w:val="auto"/>
                <w:sz w:val="21"/>
                <w:szCs w:val="21"/>
                <w:highlight w:val="none"/>
                <w:lang w:val="en-US" w:eastAsia="zh-CN"/>
              </w:rPr>
            </w:pPr>
          </w:p>
        </w:tc>
        <w:tc>
          <w:tcPr>
            <w:tcW w:w="1068" w:type="dxa"/>
            <w:tcBorders>
              <w:top w:val="single" w:color="auto" w:sz="4" w:space="0"/>
              <w:left w:val="single" w:color="auto" w:sz="4" w:space="0"/>
              <w:bottom w:val="single" w:color="auto" w:sz="4" w:space="0"/>
              <w:right w:val="single" w:color="auto" w:sz="4" w:space="0"/>
            </w:tcBorders>
            <w:shd w:val="clear" w:color="auto" w:fill="auto"/>
            <w:vAlign w:val="center"/>
          </w:tcPr>
          <w:p w14:paraId="641169FC">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lang w:val="en-US" w:eastAsia="zh-CN"/>
              </w:rPr>
            </w:pPr>
          </w:p>
        </w:tc>
        <w:tc>
          <w:tcPr>
            <w:tcW w:w="3263" w:type="dxa"/>
            <w:tcBorders>
              <w:left w:val="single" w:color="auto" w:sz="4" w:space="0"/>
              <w:right w:val="single" w:color="auto" w:sz="4" w:space="0"/>
            </w:tcBorders>
            <w:shd w:val="clear" w:color="auto" w:fill="auto"/>
            <w:vAlign w:val="center"/>
          </w:tcPr>
          <w:p w14:paraId="4033A074">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rPr>
            </w:pPr>
          </w:p>
        </w:tc>
        <w:tc>
          <w:tcPr>
            <w:tcW w:w="1744" w:type="dxa"/>
            <w:tcBorders>
              <w:top w:val="single" w:color="auto" w:sz="4" w:space="0"/>
              <w:left w:val="single" w:color="auto" w:sz="4" w:space="0"/>
              <w:bottom w:val="single" w:color="auto" w:sz="4" w:space="0"/>
              <w:right w:val="single" w:color="auto" w:sz="4" w:space="0"/>
            </w:tcBorders>
            <w:vAlign w:val="center"/>
          </w:tcPr>
          <w:p w14:paraId="7AF46DBF">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rPr>
            </w:pPr>
          </w:p>
        </w:tc>
        <w:tc>
          <w:tcPr>
            <w:tcW w:w="1144" w:type="dxa"/>
            <w:tcBorders>
              <w:left w:val="single" w:color="auto" w:sz="4" w:space="0"/>
              <w:right w:val="single" w:color="auto" w:sz="4" w:space="0"/>
            </w:tcBorders>
            <w:vAlign w:val="center"/>
          </w:tcPr>
          <w:p w14:paraId="00AD9FF3">
            <w:pPr>
              <w:pageBreakBefore w:val="0"/>
              <w:widowControl/>
              <w:kinsoku/>
              <w:overflowPunct/>
              <w:topLinePunct w:val="0"/>
              <w:autoSpaceDE/>
              <w:autoSpaceDN/>
              <w:bidi w:val="0"/>
              <w:snapToGrid w:val="0"/>
              <w:spacing w:line="480" w:lineRule="exact"/>
              <w:ind w:left="0" w:leftChars="0" w:right="0"/>
              <w:jc w:val="center"/>
              <w:outlineLvl w:val="9"/>
              <w:rPr>
                <w:rFonts w:hint="eastAsia" w:ascii="宋体" w:hAnsi="宋体" w:eastAsia="宋体" w:cs="宋体"/>
                <w:color w:val="auto"/>
                <w:sz w:val="21"/>
                <w:szCs w:val="21"/>
                <w:highlight w:val="none"/>
              </w:rPr>
            </w:pPr>
          </w:p>
        </w:tc>
      </w:tr>
      <w:tr w14:paraId="1A4D5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15" w:hRule="atLeast"/>
          <w:jc w:val="center"/>
        </w:trPr>
        <w:tc>
          <w:tcPr>
            <w:tcW w:w="8381" w:type="dxa"/>
            <w:gridSpan w:val="7"/>
            <w:tcBorders>
              <w:top w:val="single" w:color="auto" w:sz="4" w:space="0"/>
              <w:left w:val="single" w:color="auto" w:sz="4" w:space="0"/>
              <w:bottom w:val="single" w:color="auto" w:sz="4" w:space="0"/>
              <w:right w:val="single" w:color="auto" w:sz="4" w:space="0"/>
            </w:tcBorders>
            <w:vAlign w:val="center"/>
          </w:tcPr>
          <w:p w14:paraId="28E49068">
            <w:pPr>
              <w:pStyle w:val="22"/>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i w:val="0"/>
                <w:color w:val="auto"/>
                <w:kern w:val="2"/>
                <w:sz w:val="21"/>
                <w:szCs w:val="21"/>
                <w:highlight w:val="none"/>
                <w:u w:val="none"/>
                <w:lang w:val="en-US" w:eastAsia="zh-CN" w:bidi="ar-SA"/>
              </w:rPr>
            </w:pPr>
            <w:r>
              <w:rPr>
                <w:rFonts w:hint="eastAsia" w:ascii="宋体" w:hAnsi="宋体" w:eastAsia="宋体" w:cs="宋体"/>
                <w:color w:val="auto"/>
                <w:sz w:val="21"/>
                <w:szCs w:val="21"/>
                <w:highlight w:val="none"/>
                <w:lang w:val="en-US" w:eastAsia="zh-CN"/>
              </w:rPr>
              <w:t>投标报价</w:t>
            </w:r>
            <w:r>
              <w:rPr>
                <w:rFonts w:hint="eastAsia" w:ascii="宋体" w:hAnsi="宋体" w:eastAsia="宋体" w:cs="宋体"/>
                <w:color w:val="auto"/>
                <w:sz w:val="21"/>
                <w:szCs w:val="21"/>
                <w:highlight w:val="none"/>
              </w:rPr>
              <w:t>（元）</w:t>
            </w:r>
          </w:p>
        </w:tc>
        <w:tc>
          <w:tcPr>
            <w:tcW w:w="6151" w:type="dxa"/>
            <w:gridSpan w:val="3"/>
            <w:tcBorders>
              <w:left w:val="single" w:color="auto" w:sz="4" w:space="0"/>
              <w:right w:val="single" w:color="auto" w:sz="4" w:space="0"/>
            </w:tcBorders>
            <w:shd w:val="clear" w:color="auto" w:fill="auto"/>
            <w:vAlign w:val="center"/>
          </w:tcPr>
          <w:p w14:paraId="1D1E0F6F">
            <w:pPr>
              <w:pageBreakBefore w:val="0"/>
              <w:kinsoku/>
              <w:overflowPunct/>
              <w:topLinePunct w:val="0"/>
              <w:autoSpaceDE/>
              <w:autoSpaceDN/>
              <w:bidi w:val="0"/>
              <w:spacing w:line="480" w:lineRule="exact"/>
              <w:ind w:left="0" w:leftChars="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小写：</w:t>
            </w:r>
          </w:p>
          <w:p w14:paraId="1F78F8DB">
            <w:pPr>
              <w:pStyle w:val="22"/>
              <w:pageBreakBefore w:val="0"/>
              <w:kinsoku/>
              <w:overflowPunct/>
              <w:topLinePunct w:val="0"/>
              <w:autoSpaceDE/>
              <w:autoSpaceDN/>
              <w:bidi w:val="0"/>
              <w:spacing w:line="480" w:lineRule="exact"/>
              <w:ind w:left="0" w:leftChars="0" w:right="0" w:rightChars="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大写：</w:t>
            </w:r>
          </w:p>
        </w:tc>
      </w:tr>
      <w:tr w14:paraId="56FC6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14532" w:type="dxa"/>
            <w:gridSpan w:val="10"/>
            <w:tcBorders>
              <w:top w:val="single" w:color="auto" w:sz="4" w:space="0"/>
              <w:left w:val="single" w:color="auto" w:sz="4" w:space="0"/>
              <w:bottom w:val="single" w:color="auto" w:sz="4" w:space="0"/>
              <w:right w:val="single" w:color="auto" w:sz="4" w:space="0"/>
            </w:tcBorders>
            <w:vAlign w:val="center"/>
          </w:tcPr>
          <w:p w14:paraId="39E281B4">
            <w:pPr>
              <w:pStyle w:val="22"/>
              <w:pageBreakBefore w:val="0"/>
              <w:kinsoku/>
              <w:overflowPunct/>
              <w:topLinePunct w:val="0"/>
              <w:autoSpaceDE/>
              <w:autoSpaceDN/>
              <w:bidi w:val="0"/>
              <w:spacing w:line="480" w:lineRule="exact"/>
              <w:ind w:left="0" w:leftChars="0" w:right="0" w:rightChars="0"/>
              <w:jc w:val="center"/>
              <w:outlineLvl w:val="9"/>
              <w:rPr>
                <w:rFonts w:hint="eastAsia" w:ascii="宋体" w:hAnsi="宋体" w:eastAsia="宋体" w:cs="宋体"/>
                <w:color w:val="auto"/>
                <w:sz w:val="21"/>
                <w:szCs w:val="21"/>
                <w:highlight w:val="none"/>
              </w:rPr>
            </w:pPr>
            <w:r>
              <w:rPr>
                <w:rFonts w:hint="eastAsia" w:hAnsi="宋体" w:cs="宋体"/>
                <w:color w:val="auto"/>
                <w:szCs w:val="21"/>
                <w:highlight w:val="none"/>
                <w:lang w:val="en-US" w:eastAsia="zh-CN"/>
              </w:rPr>
              <w:t>我公司</w:t>
            </w:r>
            <w:r>
              <w:rPr>
                <w:rFonts w:hint="eastAsia" w:ascii="宋体" w:hAnsi="宋体" w:eastAsia="宋体" w:cs="宋体"/>
                <w:color w:val="auto"/>
                <w:szCs w:val="21"/>
                <w:highlight w:val="none"/>
              </w:rPr>
              <w:t>符合本国产品标准的产品成本之和占</w:t>
            </w:r>
            <w:r>
              <w:rPr>
                <w:rFonts w:hint="eastAsia" w:hAnsi="宋体" w:cs="宋体"/>
                <w:color w:val="auto"/>
                <w:szCs w:val="21"/>
                <w:highlight w:val="none"/>
                <w:lang w:val="en-US" w:eastAsia="zh-CN"/>
              </w:rPr>
              <w:t>我公司</w:t>
            </w:r>
            <w:r>
              <w:rPr>
                <w:rFonts w:hint="eastAsia" w:ascii="宋体" w:hAnsi="宋体" w:eastAsia="宋体" w:cs="宋体"/>
                <w:color w:val="auto"/>
                <w:szCs w:val="21"/>
                <w:highlight w:val="none"/>
              </w:rPr>
              <w:t>提供的全部产品成本之和的比例</w:t>
            </w:r>
            <w:r>
              <w:rPr>
                <w:rFonts w:hint="eastAsia" w:hAnsi="宋体" w:cs="宋体"/>
                <w:color w:val="auto"/>
                <w:szCs w:val="21"/>
                <w:highlight w:val="none"/>
                <w:u w:val="single"/>
                <w:lang w:val="en-US" w:eastAsia="zh-CN"/>
              </w:rPr>
              <w:t xml:space="preserve">     %</w:t>
            </w:r>
          </w:p>
        </w:tc>
      </w:tr>
    </w:tbl>
    <w:p w14:paraId="01A11B1F">
      <w:pPr>
        <w:pageBreakBefore w:val="0"/>
        <w:kinsoku/>
        <w:wordWrap w:val="0"/>
        <w:overflowPunct/>
        <w:topLinePunct w:val="0"/>
        <w:autoSpaceDE/>
        <w:autoSpaceDN/>
        <w:bidi w:val="0"/>
        <w:spacing w:line="480" w:lineRule="exact"/>
        <w:ind w:right="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本表中“</w:t>
      </w:r>
      <w:r>
        <w:rPr>
          <w:rFonts w:hint="eastAsia" w:ascii="宋体" w:hAnsi="宋体" w:cs="宋体"/>
          <w:color w:val="auto"/>
          <w:szCs w:val="21"/>
          <w:highlight w:val="none"/>
          <w:lang w:val="en-US" w:eastAsia="zh-CN"/>
        </w:rPr>
        <w:t>投标</w:t>
      </w:r>
      <w:r>
        <w:rPr>
          <w:rFonts w:hint="eastAsia" w:ascii="宋体" w:hAnsi="宋体" w:eastAsia="宋体" w:cs="宋体"/>
          <w:color w:val="auto"/>
          <w:szCs w:val="21"/>
          <w:highlight w:val="none"/>
        </w:rPr>
        <w:t>报价”应与“</w:t>
      </w:r>
      <w:r>
        <w:rPr>
          <w:rFonts w:hint="eastAsia" w:ascii="宋体" w:hAnsi="宋体" w:eastAsia="宋体" w:cs="宋体"/>
          <w:color w:val="auto"/>
          <w:szCs w:val="21"/>
          <w:highlight w:val="none"/>
          <w:lang w:val="en-US" w:eastAsia="zh-CN"/>
        </w:rPr>
        <w:t>开标一览表</w:t>
      </w:r>
      <w:r>
        <w:rPr>
          <w:rFonts w:hint="eastAsia" w:ascii="宋体" w:hAnsi="宋体" w:eastAsia="宋体" w:cs="宋体"/>
          <w:color w:val="auto"/>
          <w:szCs w:val="21"/>
          <w:highlight w:val="none"/>
        </w:rPr>
        <w:t>”中“</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报价”一致。</w:t>
      </w:r>
    </w:p>
    <w:p w14:paraId="04197202">
      <w:pPr>
        <w:pageBreakBefore w:val="0"/>
        <w:kinsoku/>
        <w:wordWrap w:val="0"/>
        <w:overflowPunct/>
        <w:topLinePunct w:val="0"/>
        <w:autoSpaceDE/>
        <w:autoSpaceDN/>
        <w:bidi w:val="0"/>
        <w:spacing w:line="480" w:lineRule="exact"/>
        <w:ind w:left="0" w:leftChars="0" w:right="0" w:firstLine="420" w:firstLineChars="200"/>
        <w:outlineLvl w:val="9"/>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rPr>
        <w:t>本国产品标准</w:t>
      </w:r>
      <w:r>
        <w:rPr>
          <w:rFonts w:hint="eastAsia" w:ascii="宋体" w:hAnsi="宋体" w:eastAsia="宋体" w:cs="宋体"/>
          <w:color w:val="auto"/>
          <w:szCs w:val="21"/>
          <w:highlight w:val="none"/>
          <w:lang w:val="en-US" w:eastAsia="zh-CN"/>
        </w:rPr>
        <w:t>详见第二章 投标人须知“36.需要补充的其他内容 36.</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lang w:val="en-US" w:eastAsia="zh-CN"/>
        </w:rPr>
        <w:t>关于采购本国产品”。</w:t>
      </w:r>
    </w:p>
    <w:p w14:paraId="02D2F704">
      <w:pPr>
        <w:pageBreakBefore w:val="0"/>
        <w:kinsoku/>
        <w:wordWrap w:val="0"/>
        <w:overflowPunct/>
        <w:topLinePunct w:val="0"/>
        <w:autoSpaceDE/>
        <w:autoSpaceDN/>
        <w:bidi w:val="0"/>
        <w:spacing w:line="480" w:lineRule="exact"/>
        <w:ind w:left="0" w:leftChars="0" w:right="0" w:firstLine="2" w:firstLineChars="1"/>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投标人（加盖投标人电子公章）：</w:t>
      </w:r>
    </w:p>
    <w:p w14:paraId="418BCFB7">
      <w:pPr>
        <w:pageBreakBefore w:val="0"/>
        <w:kinsoku/>
        <w:wordWrap w:val="0"/>
        <w:overflowPunct/>
        <w:topLinePunct w:val="0"/>
        <w:autoSpaceDE/>
        <w:autoSpaceDN/>
        <w:bidi w:val="0"/>
        <w:spacing w:line="480" w:lineRule="exact"/>
        <w:ind w:left="0" w:leftChars="0" w:right="0" w:firstLine="2" w:firstLineChars="1"/>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r>
        <w:rPr>
          <w:rFonts w:hint="eastAsia" w:ascii="宋体" w:hAnsi="宋体" w:eastAsia="宋体" w:cs="宋体"/>
          <w:color w:val="auto"/>
          <w:szCs w:val="21"/>
          <w:highlight w:val="none"/>
          <w:lang w:eastAsia="zh-CN"/>
        </w:rPr>
        <w:t>电子签名或电子签章</w:t>
      </w:r>
      <w:r>
        <w:rPr>
          <w:rFonts w:hint="eastAsia" w:ascii="宋体" w:hAnsi="宋体" w:eastAsia="宋体" w:cs="宋体"/>
          <w:color w:val="auto"/>
          <w:szCs w:val="21"/>
          <w:highlight w:val="none"/>
        </w:rPr>
        <w:t>）：</w:t>
      </w:r>
    </w:p>
    <w:p w14:paraId="69CF2014">
      <w:pPr>
        <w:pageBreakBefore w:val="0"/>
        <w:kinsoku/>
        <w:wordWrap w:val="0"/>
        <w:overflowPunct/>
        <w:topLinePunct w:val="0"/>
        <w:autoSpaceDE/>
        <w:autoSpaceDN/>
        <w:bidi w:val="0"/>
        <w:spacing w:line="480" w:lineRule="exact"/>
        <w:ind w:left="0" w:leftChars="0" w:right="0" w:firstLine="2" w:firstLineChars="1"/>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p>
    <w:p w14:paraId="504FAF99">
      <w:pPr>
        <w:pStyle w:val="22"/>
        <w:kinsoku/>
        <w:wordWrap/>
        <w:overflowPunct/>
        <w:topLinePunct w:val="0"/>
        <w:autoSpaceDE/>
        <w:autoSpaceDN/>
        <w:bidi w:val="0"/>
        <w:adjustRightInd/>
        <w:snapToGrid/>
        <w:spacing w:line="480" w:lineRule="exact"/>
        <w:textAlignment w:val="auto"/>
        <w:outlineLvl w:val="9"/>
        <w:rPr>
          <w:rFonts w:hint="eastAsia" w:ascii="宋体" w:hAnsi="宋体" w:eastAsia="宋体" w:cs="宋体"/>
          <w:b/>
          <w:color w:val="auto"/>
          <w:sz w:val="28"/>
          <w:szCs w:val="28"/>
          <w:highlight w:val="none"/>
        </w:rPr>
        <w:sectPr>
          <w:pgSz w:w="15840" w:h="12240" w:orient="landscape"/>
          <w:pgMar w:top="1803" w:right="1440" w:bottom="1803" w:left="1440" w:header="567" w:footer="567" w:gutter="0"/>
          <w:pgNumType w:fmt="decimal"/>
          <w:cols w:space="0" w:num="1"/>
          <w:rtlGutter w:val="0"/>
          <w:docGrid w:linePitch="0" w:charSpace="0"/>
        </w:sectPr>
      </w:pPr>
    </w:p>
    <w:p w14:paraId="1DCC9351">
      <w:pPr>
        <w:pageBreakBefore w:val="0"/>
        <w:widowControl/>
        <w:kinsoku/>
        <w:overflowPunct/>
        <w:topLinePunct w:val="0"/>
        <w:autoSpaceDE/>
        <w:autoSpaceDN/>
        <w:bidi w:val="0"/>
        <w:spacing w:line="480" w:lineRule="exact"/>
        <w:ind w:left="0" w:leftChars="0" w:right="0"/>
        <w:jc w:val="left"/>
        <w:outlineLvl w:val="9"/>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kern w:val="2"/>
          <w:sz w:val="28"/>
          <w:szCs w:val="28"/>
          <w:highlight w:val="none"/>
          <w:lang w:val="en-US" w:eastAsia="zh-CN" w:bidi="ar-SA"/>
        </w:rPr>
        <w:t>格式</w:t>
      </w:r>
      <w:r>
        <w:rPr>
          <w:rFonts w:hint="eastAsia" w:ascii="宋体" w:hAnsi="宋体" w:cs="宋体"/>
          <w:b/>
          <w:color w:val="auto"/>
          <w:kern w:val="2"/>
          <w:sz w:val="28"/>
          <w:szCs w:val="28"/>
          <w:highlight w:val="none"/>
          <w:lang w:val="en-US" w:eastAsia="zh-CN" w:bidi="ar-SA"/>
        </w:rPr>
        <w:t>10</w:t>
      </w:r>
    </w:p>
    <w:p w14:paraId="2EDE8400">
      <w:pPr>
        <w:keepNext/>
        <w:keepLines/>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技术条款</w:t>
      </w:r>
      <w:r>
        <w:rPr>
          <w:rFonts w:hint="eastAsia" w:ascii="宋体" w:hAnsi="宋体" w:eastAsia="宋体" w:cs="宋体"/>
          <w:b/>
          <w:color w:val="auto"/>
          <w:kern w:val="2"/>
          <w:sz w:val="28"/>
          <w:szCs w:val="28"/>
          <w:highlight w:val="none"/>
          <w:lang w:val="en-US" w:eastAsia="zh-CN" w:bidi="ar-SA"/>
        </w:rPr>
        <w:t>偏离</w:t>
      </w:r>
      <w:r>
        <w:rPr>
          <w:rFonts w:hint="eastAsia" w:ascii="宋体" w:hAnsi="宋体" w:eastAsia="宋体" w:cs="宋体"/>
          <w:b/>
          <w:color w:val="auto"/>
          <w:sz w:val="28"/>
          <w:szCs w:val="28"/>
          <w:highlight w:val="none"/>
        </w:rPr>
        <w:t>表</w:t>
      </w:r>
    </w:p>
    <w:p w14:paraId="768C49C2">
      <w:pPr>
        <w:pStyle w:val="22"/>
        <w:pageBreakBefore w:val="0"/>
        <w:kinsoku/>
        <w:overflowPunct/>
        <w:topLinePunct w:val="0"/>
        <w:autoSpaceDE/>
        <w:autoSpaceDN/>
        <w:bidi w:val="0"/>
        <w:spacing w:line="480" w:lineRule="exact"/>
        <w:ind w:left="0" w:leftChars="0" w:right="0"/>
        <w:outlineLvl w:val="9"/>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项目名称：</w:t>
      </w:r>
    </w:p>
    <w:p w14:paraId="3135F594">
      <w:pPr>
        <w:pStyle w:val="22"/>
        <w:pageBreakBefore w:val="0"/>
        <w:kinsoku/>
        <w:overflowPunct/>
        <w:topLinePunct w:val="0"/>
        <w:autoSpaceDE/>
        <w:autoSpaceDN/>
        <w:bidi w:val="0"/>
        <w:spacing w:line="480" w:lineRule="exact"/>
        <w:ind w:left="0" w:leftChars="0" w:right="0"/>
        <w:outlineLvl w:val="9"/>
        <w:rPr>
          <w:rFonts w:hint="eastAsia" w:eastAsia="宋体"/>
          <w:color w:val="auto"/>
          <w:highlight w:val="none"/>
          <w:lang w:val="en-US" w:eastAsia="zh-CN"/>
        </w:rPr>
      </w:pPr>
      <w:r>
        <w:rPr>
          <w:rFonts w:hint="eastAsia" w:ascii="宋体" w:hAnsi="宋体" w:eastAsia="宋体" w:cs="宋体"/>
          <w:b/>
          <w:color w:val="auto"/>
          <w:szCs w:val="21"/>
          <w:highlight w:val="none"/>
        </w:rPr>
        <w:t>项目编号：</w:t>
      </w:r>
    </w:p>
    <w:tbl>
      <w:tblPr>
        <w:tblStyle w:val="47"/>
        <w:tblW w:w="88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1965"/>
        <w:gridCol w:w="1976"/>
        <w:gridCol w:w="2030"/>
        <w:gridCol w:w="1145"/>
        <w:gridCol w:w="994"/>
      </w:tblGrid>
      <w:tr w14:paraId="0739B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717" w:type="dxa"/>
            <w:vAlign w:val="center"/>
          </w:tcPr>
          <w:p w14:paraId="2B35267E">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1965" w:type="dxa"/>
            <w:vAlign w:val="center"/>
          </w:tcPr>
          <w:p w14:paraId="4D34F379">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产品（项目）名称</w:t>
            </w:r>
          </w:p>
        </w:tc>
        <w:tc>
          <w:tcPr>
            <w:tcW w:w="1976" w:type="dxa"/>
            <w:vAlign w:val="center"/>
          </w:tcPr>
          <w:p w14:paraId="57D4BAAB">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招标文件技术条款</w:t>
            </w:r>
          </w:p>
        </w:tc>
        <w:tc>
          <w:tcPr>
            <w:tcW w:w="2030" w:type="dxa"/>
            <w:vAlign w:val="center"/>
          </w:tcPr>
          <w:p w14:paraId="7F219F4A">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投标文件响应情况</w:t>
            </w:r>
          </w:p>
        </w:tc>
        <w:tc>
          <w:tcPr>
            <w:tcW w:w="1145" w:type="dxa"/>
            <w:vAlign w:val="center"/>
          </w:tcPr>
          <w:p w14:paraId="640107C2">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偏离</w:t>
            </w:r>
          </w:p>
        </w:tc>
        <w:tc>
          <w:tcPr>
            <w:tcW w:w="994" w:type="dxa"/>
            <w:vAlign w:val="center"/>
          </w:tcPr>
          <w:p w14:paraId="5CA879B4">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lang w:val="en-US" w:eastAsia="zh-CN"/>
              </w:rPr>
              <w:t>具体</w:t>
            </w:r>
            <w:r>
              <w:rPr>
                <w:rFonts w:hint="eastAsia" w:ascii="宋体" w:hAnsi="宋体" w:eastAsia="宋体" w:cs="宋体"/>
                <w:b/>
                <w:color w:val="auto"/>
                <w:szCs w:val="21"/>
                <w:highlight w:val="none"/>
              </w:rPr>
              <w:t>偏离</w:t>
            </w:r>
            <w:r>
              <w:rPr>
                <w:rFonts w:hint="eastAsia" w:ascii="宋体" w:hAnsi="宋体" w:eastAsia="宋体" w:cs="宋体"/>
                <w:b/>
                <w:color w:val="auto"/>
                <w:szCs w:val="21"/>
                <w:highlight w:val="none"/>
                <w:lang w:val="en-US" w:eastAsia="zh-CN"/>
              </w:rPr>
              <w:t>情况</w:t>
            </w:r>
          </w:p>
        </w:tc>
      </w:tr>
      <w:tr w14:paraId="31CD2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 w:hRule="atLeast"/>
          <w:jc w:val="center"/>
        </w:trPr>
        <w:tc>
          <w:tcPr>
            <w:tcW w:w="717" w:type="dxa"/>
            <w:vMerge w:val="restart"/>
            <w:vAlign w:val="center"/>
          </w:tcPr>
          <w:p w14:paraId="6F62057A">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color w:val="auto"/>
                <w:szCs w:val="21"/>
                <w:highlight w:val="none"/>
              </w:rPr>
            </w:pPr>
          </w:p>
        </w:tc>
        <w:tc>
          <w:tcPr>
            <w:tcW w:w="1965" w:type="dxa"/>
            <w:vMerge w:val="restart"/>
            <w:vAlign w:val="center"/>
          </w:tcPr>
          <w:p w14:paraId="39FA30BC">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color w:val="auto"/>
                <w:szCs w:val="21"/>
                <w:highlight w:val="none"/>
              </w:rPr>
            </w:pPr>
          </w:p>
        </w:tc>
        <w:tc>
          <w:tcPr>
            <w:tcW w:w="1976" w:type="dxa"/>
            <w:vAlign w:val="center"/>
          </w:tcPr>
          <w:p w14:paraId="49A66D2B">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color w:val="auto"/>
                <w:szCs w:val="21"/>
                <w:highlight w:val="none"/>
              </w:rPr>
            </w:pPr>
          </w:p>
        </w:tc>
        <w:tc>
          <w:tcPr>
            <w:tcW w:w="2030" w:type="dxa"/>
            <w:vAlign w:val="center"/>
          </w:tcPr>
          <w:p w14:paraId="293CB0E6">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color w:val="auto"/>
                <w:szCs w:val="21"/>
                <w:highlight w:val="none"/>
              </w:rPr>
            </w:pPr>
          </w:p>
        </w:tc>
        <w:tc>
          <w:tcPr>
            <w:tcW w:w="1145" w:type="dxa"/>
          </w:tcPr>
          <w:p w14:paraId="441F9D49">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color w:val="auto"/>
                <w:szCs w:val="21"/>
                <w:highlight w:val="none"/>
              </w:rPr>
            </w:pPr>
          </w:p>
        </w:tc>
        <w:tc>
          <w:tcPr>
            <w:tcW w:w="994" w:type="dxa"/>
          </w:tcPr>
          <w:p w14:paraId="506394E5">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color w:val="auto"/>
                <w:szCs w:val="21"/>
                <w:highlight w:val="none"/>
              </w:rPr>
            </w:pPr>
          </w:p>
        </w:tc>
      </w:tr>
      <w:tr w14:paraId="1EFC0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 w:hRule="atLeast"/>
          <w:jc w:val="center"/>
        </w:trPr>
        <w:tc>
          <w:tcPr>
            <w:tcW w:w="717" w:type="dxa"/>
            <w:vMerge w:val="continue"/>
            <w:vAlign w:val="center"/>
          </w:tcPr>
          <w:p w14:paraId="5FF5A3A6">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color w:val="auto"/>
                <w:szCs w:val="21"/>
                <w:highlight w:val="none"/>
              </w:rPr>
            </w:pPr>
          </w:p>
        </w:tc>
        <w:tc>
          <w:tcPr>
            <w:tcW w:w="1965" w:type="dxa"/>
            <w:vMerge w:val="continue"/>
            <w:vAlign w:val="center"/>
          </w:tcPr>
          <w:p w14:paraId="1FE601E4">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color w:val="auto"/>
                <w:szCs w:val="21"/>
                <w:highlight w:val="none"/>
              </w:rPr>
            </w:pPr>
          </w:p>
        </w:tc>
        <w:tc>
          <w:tcPr>
            <w:tcW w:w="1976" w:type="dxa"/>
            <w:vAlign w:val="center"/>
          </w:tcPr>
          <w:p w14:paraId="6210D2B2">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color w:val="auto"/>
                <w:szCs w:val="21"/>
                <w:highlight w:val="none"/>
              </w:rPr>
            </w:pPr>
          </w:p>
        </w:tc>
        <w:tc>
          <w:tcPr>
            <w:tcW w:w="2030" w:type="dxa"/>
            <w:vAlign w:val="center"/>
          </w:tcPr>
          <w:p w14:paraId="1E5FE7F1">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color w:val="auto"/>
                <w:szCs w:val="21"/>
                <w:highlight w:val="none"/>
              </w:rPr>
            </w:pPr>
          </w:p>
        </w:tc>
        <w:tc>
          <w:tcPr>
            <w:tcW w:w="1145" w:type="dxa"/>
          </w:tcPr>
          <w:p w14:paraId="4DCBE495">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color w:val="auto"/>
                <w:szCs w:val="21"/>
                <w:highlight w:val="none"/>
              </w:rPr>
            </w:pPr>
          </w:p>
        </w:tc>
        <w:tc>
          <w:tcPr>
            <w:tcW w:w="994" w:type="dxa"/>
          </w:tcPr>
          <w:p w14:paraId="4EFEF08A">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color w:val="auto"/>
                <w:szCs w:val="21"/>
                <w:highlight w:val="none"/>
              </w:rPr>
            </w:pPr>
          </w:p>
        </w:tc>
      </w:tr>
      <w:tr w14:paraId="24517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 w:hRule="atLeast"/>
          <w:jc w:val="center"/>
        </w:trPr>
        <w:tc>
          <w:tcPr>
            <w:tcW w:w="717" w:type="dxa"/>
            <w:vMerge w:val="continue"/>
            <w:vAlign w:val="center"/>
          </w:tcPr>
          <w:p w14:paraId="0A28299A">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color w:val="auto"/>
                <w:szCs w:val="21"/>
                <w:highlight w:val="none"/>
              </w:rPr>
            </w:pPr>
          </w:p>
        </w:tc>
        <w:tc>
          <w:tcPr>
            <w:tcW w:w="1965" w:type="dxa"/>
            <w:vMerge w:val="continue"/>
            <w:vAlign w:val="center"/>
          </w:tcPr>
          <w:p w14:paraId="3ACD389E">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color w:val="auto"/>
                <w:szCs w:val="21"/>
                <w:highlight w:val="none"/>
              </w:rPr>
            </w:pPr>
          </w:p>
        </w:tc>
        <w:tc>
          <w:tcPr>
            <w:tcW w:w="1976" w:type="dxa"/>
            <w:vAlign w:val="center"/>
          </w:tcPr>
          <w:p w14:paraId="165759C6">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color w:val="auto"/>
                <w:szCs w:val="21"/>
                <w:highlight w:val="none"/>
              </w:rPr>
            </w:pPr>
          </w:p>
        </w:tc>
        <w:tc>
          <w:tcPr>
            <w:tcW w:w="2030" w:type="dxa"/>
            <w:vAlign w:val="center"/>
          </w:tcPr>
          <w:p w14:paraId="710B6E73">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color w:val="auto"/>
                <w:szCs w:val="21"/>
                <w:highlight w:val="none"/>
              </w:rPr>
            </w:pPr>
          </w:p>
        </w:tc>
        <w:tc>
          <w:tcPr>
            <w:tcW w:w="1145" w:type="dxa"/>
          </w:tcPr>
          <w:p w14:paraId="6DBFAEA3">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color w:val="auto"/>
                <w:szCs w:val="21"/>
                <w:highlight w:val="none"/>
              </w:rPr>
            </w:pPr>
          </w:p>
        </w:tc>
        <w:tc>
          <w:tcPr>
            <w:tcW w:w="994" w:type="dxa"/>
          </w:tcPr>
          <w:p w14:paraId="43C05963">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color w:val="auto"/>
                <w:szCs w:val="21"/>
                <w:highlight w:val="none"/>
              </w:rPr>
            </w:pPr>
          </w:p>
        </w:tc>
      </w:tr>
    </w:tbl>
    <w:p w14:paraId="02623210">
      <w:pPr>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highlight w:val="none"/>
        </w:rPr>
      </w:pPr>
      <w:r>
        <w:rPr>
          <w:rFonts w:hint="eastAsia" w:ascii="宋体" w:hAnsi="宋体" w:eastAsia="宋体" w:cs="宋体"/>
          <w:color w:val="auto"/>
          <w:highlight w:val="none"/>
        </w:rPr>
        <w:t>注：</w:t>
      </w:r>
    </w:p>
    <w:p w14:paraId="71E72610">
      <w:pPr>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highlight w:val="none"/>
        </w:rPr>
      </w:pPr>
      <w:r>
        <w:rPr>
          <w:rFonts w:hint="eastAsia" w:ascii="宋体" w:hAnsi="宋体" w:eastAsia="宋体" w:cs="宋体"/>
          <w:color w:val="auto"/>
          <w:highlight w:val="none"/>
        </w:rPr>
        <w:t>1.表格中“序号”一列，投标人须逐条对应第五章《采购需求》二、规格、技术条款和性能要求中的序号。</w:t>
      </w:r>
    </w:p>
    <w:p w14:paraId="2E3394D6">
      <w:pPr>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highlight w:val="none"/>
        </w:rPr>
      </w:pPr>
      <w:r>
        <w:rPr>
          <w:rFonts w:hint="eastAsia" w:ascii="宋体" w:hAnsi="宋体" w:eastAsia="宋体" w:cs="宋体"/>
          <w:color w:val="auto"/>
          <w:highlight w:val="none"/>
        </w:rPr>
        <w:t>2.表格中“招标文件技术条款”一列，投标人须逐条对应第五章《采购需求》二、规格、技术条款和性能要求中的</w:t>
      </w:r>
      <w:r>
        <w:rPr>
          <w:rFonts w:hint="eastAsia" w:ascii="宋体" w:hAnsi="宋体" w:eastAsia="宋体" w:cs="宋体"/>
          <w:color w:val="auto"/>
          <w:highlight w:val="none"/>
          <w:lang w:val="en-US" w:eastAsia="zh-CN"/>
        </w:rPr>
        <w:t>规格（技术参数、性能要求）</w:t>
      </w:r>
      <w:r>
        <w:rPr>
          <w:rFonts w:hint="eastAsia" w:ascii="宋体" w:hAnsi="宋体" w:eastAsia="宋体" w:cs="宋体"/>
          <w:color w:val="auto"/>
          <w:highlight w:val="none"/>
        </w:rPr>
        <w:t>条款。</w:t>
      </w:r>
    </w:p>
    <w:p w14:paraId="1460417E">
      <w:pPr>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highlight w:val="none"/>
        </w:rPr>
      </w:pPr>
      <w:r>
        <w:rPr>
          <w:rFonts w:hint="eastAsia" w:ascii="宋体" w:hAnsi="宋体" w:eastAsia="宋体" w:cs="宋体"/>
          <w:color w:val="auto"/>
          <w:highlight w:val="none"/>
        </w:rPr>
        <w:t>3.表格中“投标文件响应情况”一列，投标人须逐条对第五章《采购需求》二、规格、技术条款和性能要求中的</w:t>
      </w:r>
      <w:r>
        <w:rPr>
          <w:rFonts w:hint="eastAsia" w:ascii="宋体" w:hAnsi="宋体" w:eastAsia="宋体" w:cs="宋体"/>
          <w:color w:val="auto"/>
          <w:highlight w:val="none"/>
          <w:lang w:val="en-US" w:eastAsia="zh-CN"/>
        </w:rPr>
        <w:t>规格（技术参数、性能要求）</w:t>
      </w:r>
      <w:r>
        <w:rPr>
          <w:rFonts w:hint="eastAsia" w:ascii="宋体" w:hAnsi="宋体" w:eastAsia="宋体" w:cs="宋体"/>
          <w:color w:val="auto"/>
          <w:highlight w:val="none"/>
        </w:rPr>
        <w:t>条款作出全面、真实的反映，</w:t>
      </w:r>
      <w:r>
        <w:rPr>
          <w:rFonts w:hint="eastAsia" w:ascii="宋体" w:hAnsi="宋体" w:eastAsia="宋体" w:cs="宋体"/>
          <w:color w:val="auto"/>
          <w:szCs w:val="21"/>
          <w:highlight w:val="none"/>
          <w:lang w:val="en-US" w:eastAsia="zh-CN"/>
        </w:rPr>
        <w:t>并保证填写的相关数据是真实的和正确的，</w:t>
      </w:r>
      <w:r>
        <w:rPr>
          <w:rFonts w:hint="eastAsia" w:ascii="宋体" w:hAnsi="宋体" w:eastAsia="宋体" w:cs="宋体"/>
          <w:color w:val="auto"/>
          <w:highlight w:val="none"/>
        </w:rPr>
        <w:t>投标文件应以中文应答（英文文本或缩略语需提供中文翻译或注释）。</w:t>
      </w:r>
    </w:p>
    <w:p w14:paraId="05C9C96F">
      <w:pPr>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.表格中“偏离”一列，投标人只能如实填写“正偏离”、“负偏离”或“无偏离”。凡响应内容高于第五章《采购需求》二、规格、技术条款和性能要求中的</w:t>
      </w:r>
      <w:r>
        <w:rPr>
          <w:rFonts w:hint="eastAsia" w:ascii="宋体" w:hAnsi="宋体" w:eastAsia="宋体" w:cs="宋体"/>
          <w:color w:val="auto"/>
          <w:highlight w:val="none"/>
          <w:lang w:val="en-US" w:eastAsia="zh-CN"/>
        </w:rPr>
        <w:t>规格（技术参数、性能要求）</w:t>
      </w:r>
      <w:r>
        <w:rPr>
          <w:rFonts w:hint="eastAsia" w:ascii="宋体" w:hAnsi="宋体" w:eastAsia="宋体" w:cs="宋体"/>
          <w:color w:val="auto"/>
          <w:highlight w:val="none"/>
        </w:rPr>
        <w:t>条款要求的，按“正偏离”填写；低于第五章《采购需求》二、规格、技术条款和性能要求中的</w:t>
      </w:r>
      <w:r>
        <w:rPr>
          <w:rFonts w:hint="eastAsia" w:ascii="宋体" w:hAnsi="宋体" w:eastAsia="宋体" w:cs="宋体"/>
          <w:color w:val="auto"/>
          <w:highlight w:val="none"/>
          <w:lang w:val="en-US" w:eastAsia="zh-CN"/>
        </w:rPr>
        <w:t>规格（技术参数、性能要求）</w:t>
      </w:r>
      <w:r>
        <w:rPr>
          <w:rFonts w:hint="eastAsia" w:ascii="宋体" w:hAnsi="宋体" w:eastAsia="宋体" w:cs="宋体"/>
          <w:color w:val="auto"/>
          <w:highlight w:val="none"/>
        </w:rPr>
        <w:t>条款要求的，按“负偏离”填写；满足第五章《采购需求》二、规格、技术条款和性能要求中的</w:t>
      </w:r>
      <w:r>
        <w:rPr>
          <w:rFonts w:hint="eastAsia" w:ascii="宋体" w:hAnsi="宋体" w:eastAsia="宋体" w:cs="宋体"/>
          <w:color w:val="auto"/>
          <w:highlight w:val="none"/>
          <w:lang w:val="en-US" w:eastAsia="zh-CN"/>
        </w:rPr>
        <w:t>规格（技术参数、性能要求）</w:t>
      </w:r>
      <w:r>
        <w:rPr>
          <w:rFonts w:hint="eastAsia" w:ascii="宋体" w:hAnsi="宋体" w:eastAsia="宋体" w:cs="宋体"/>
          <w:color w:val="auto"/>
          <w:highlight w:val="none"/>
        </w:rPr>
        <w:t>条款要求的，按“无偏离”填写。</w:t>
      </w:r>
    </w:p>
    <w:p w14:paraId="1ADB9E00">
      <w:pPr>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表格中“</w:t>
      </w:r>
      <w:r>
        <w:rPr>
          <w:rFonts w:hint="eastAsia" w:ascii="宋体" w:hAnsi="宋体" w:eastAsia="宋体" w:cs="宋体"/>
          <w:color w:val="auto"/>
          <w:highlight w:val="none"/>
          <w:lang w:val="en-US" w:eastAsia="zh-CN"/>
        </w:rPr>
        <w:t>具体偏离情况</w:t>
      </w:r>
      <w:r>
        <w:rPr>
          <w:rFonts w:hint="eastAsia" w:ascii="宋体" w:hAnsi="宋体" w:eastAsia="宋体" w:cs="宋体"/>
          <w:color w:val="auto"/>
          <w:highlight w:val="none"/>
        </w:rPr>
        <w:t>”一列，</w:t>
      </w:r>
      <w:r>
        <w:rPr>
          <w:rFonts w:hint="eastAsia" w:ascii="宋体" w:hAnsi="宋体" w:eastAsia="宋体" w:cs="宋体"/>
          <w:color w:val="auto"/>
          <w:szCs w:val="21"/>
          <w:highlight w:val="none"/>
          <w:lang w:val="en-US" w:eastAsia="zh-CN"/>
        </w:rPr>
        <w:t>如</w:t>
      </w:r>
      <w:r>
        <w:rPr>
          <w:rFonts w:hint="eastAsia" w:ascii="宋体" w:hAnsi="宋体" w:eastAsia="宋体" w:cs="宋体"/>
          <w:color w:val="auto"/>
          <w:highlight w:val="none"/>
          <w:lang w:val="en-US" w:eastAsia="zh-CN"/>
        </w:rPr>
        <w:t>所投产品与</w:t>
      </w:r>
      <w:r>
        <w:rPr>
          <w:rFonts w:hint="eastAsia" w:ascii="宋体" w:hAnsi="宋体" w:eastAsia="宋体" w:cs="宋体"/>
          <w:color w:val="auto"/>
          <w:szCs w:val="21"/>
          <w:highlight w:val="none"/>
        </w:rPr>
        <w:t>招标文件第五章《采购需求》二、规格、技术条款和性能要求</w:t>
      </w:r>
      <w:r>
        <w:rPr>
          <w:rFonts w:hint="eastAsia" w:ascii="宋体" w:hAnsi="宋体" w:eastAsia="宋体" w:cs="宋体"/>
          <w:color w:val="auto"/>
          <w:szCs w:val="21"/>
          <w:highlight w:val="none"/>
          <w:lang w:val="en-US" w:eastAsia="zh-CN"/>
        </w:rPr>
        <w:t>中</w:t>
      </w:r>
      <w:r>
        <w:rPr>
          <w:rFonts w:hint="eastAsia" w:ascii="宋体" w:hAnsi="宋体" w:eastAsia="宋体" w:cs="宋体"/>
          <w:color w:val="auto"/>
          <w:szCs w:val="21"/>
          <w:highlight w:val="none"/>
        </w:rPr>
        <w:t>的</w:t>
      </w:r>
      <w:r>
        <w:rPr>
          <w:rFonts w:hint="eastAsia" w:ascii="宋体" w:hAnsi="宋体" w:eastAsia="宋体" w:cs="宋体"/>
          <w:color w:val="auto"/>
          <w:highlight w:val="none"/>
          <w:lang w:val="en-US" w:eastAsia="zh-CN"/>
        </w:rPr>
        <w:t>规格（技术参数、性能要求）存在</w:t>
      </w:r>
      <w:r>
        <w:rPr>
          <w:rFonts w:hint="eastAsia" w:ascii="宋体" w:hAnsi="宋体" w:eastAsia="宋体" w:cs="宋体"/>
          <w:color w:val="auto"/>
          <w:highlight w:val="none"/>
        </w:rPr>
        <w:t>“正偏离”</w:t>
      </w:r>
      <w:r>
        <w:rPr>
          <w:rFonts w:hint="eastAsia" w:ascii="宋体" w:hAnsi="宋体" w:eastAsia="宋体" w:cs="宋体"/>
          <w:color w:val="auto"/>
          <w:highlight w:val="none"/>
          <w:lang w:val="en-US" w:eastAsia="zh-CN"/>
        </w:rPr>
        <w:t>或</w:t>
      </w:r>
      <w:r>
        <w:rPr>
          <w:rFonts w:hint="eastAsia" w:ascii="宋体" w:hAnsi="宋体" w:eastAsia="宋体" w:cs="宋体"/>
          <w:color w:val="auto"/>
          <w:highlight w:val="none"/>
        </w:rPr>
        <w:t>“负偏离”</w:t>
      </w:r>
      <w:r>
        <w:rPr>
          <w:rFonts w:hint="eastAsia" w:ascii="宋体" w:hAnsi="宋体" w:eastAsia="宋体" w:cs="宋体"/>
          <w:color w:val="auto"/>
          <w:highlight w:val="none"/>
          <w:lang w:val="en-US" w:eastAsia="zh-CN"/>
        </w:rPr>
        <w:t>的，</w:t>
      </w:r>
      <w:r>
        <w:rPr>
          <w:rFonts w:hint="eastAsia" w:ascii="宋体" w:hAnsi="宋体" w:eastAsia="宋体" w:cs="宋体"/>
          <w:color w:val="auto"/>
          <w:szCs w:val="21"/>
          <w:highlight w:val="none"/>
        </w:rPr>
        <w:t>必须</w:t>
      </w:r>
      <w:r>
        <w:rPr>
          <w:rFonts w:hint="eastAsia" w:ascii="宋体" w:hAnsi="宋体" w:eastAsia="宋体" w:cs="宋体"/>
          <w:color w:val="auto"/>
          <w:szCs w:val="21"/>
          <w:highlight w:val="none"/>
          <w:lang w:val="en-US" w:eastAsia="zh-CN"/>
        </w:rPr>
        <w:t>对具体偏离内容</w:t>
      </w:r>
      <w:r>
        <w:rPr>
          <w:rFonts w:hint="eastAsia" w:ascii="宋体" w:hAnsi="宋体" w:eastAsia="宋体" w:cs="宋体"/>
          <w:color w:val="auto"/>
          <w:highlight w:val="none"/>
          <w:lang w:val="en-US" w:eastAsia="zh-CN"/>
        </w:rPr>
        <w:t>进行详细说明。</w:t>
      </w:r>
    </w:p>
    <w:p w14:paraId="58B5AD61">
      <w:pPr>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r>
        <w:rPr>
          <w:rFonts w:hint="eastAsia" w:ascii="宋体" w:hAnsi="宋体" w:cs="宋体"/>
          <w:color w:val="auto"/>
          <w:highlight w:val="none"/>
          <w:lang w:val="en-US" w:eastAsia="zh-CN"/>
        </w:rPr>
        <w:t>6</w:t>
      </w:r>
      <w:r>
        <w:rPr>
          <w:rFonts w:hint="eastAsia" w:ascii="宋体" w:hAnsi="宋体" w:eastAsia="宋体" w:cs="宋体"/>
          <w:color w:val="auto"/>
          <w:highlight w:val="none"/>
        </w:rPr>
        <w:t>.投标人可根据第五章《采购需求》二、规格、技术条款和性能要求中的</w:t>
      </w:r>
      <w:r>
        <w:rPr>
          <w:rFonts w:hint="eastAsia" w:ascii="宋体" w:hAnsi="宋体" w:eastAsia="宋体" w:cs="宋体"/>
          <w:color w:val="auto"/>
          <w:highlight w:val="none"/>
          <w:lang w:val="en-US" w:eastAsia="zh-CN"/>
        </w:rPr>
        <w:t>规格（技术参数、性能要求）</w:t>
      </w:r>
      <w:r>
        <w:rPr>
          <w:rFonts w:hint="eastAsia" w:ascii="宋体" w:hAnsi="宋体" w:eastAsia="宋体" w:cs="宋体"/>
          <w:color w:val="auto"/>
          <w:highlight w:val="none"/>
        </w:rPr>
        <w:t>条款拓展本表，但不得改变格式。</w:t>
      </w:r>
    </w:p>
    <w:p w14:paraId="5DE9548A">
      <w:pPr>
        <w:pStyle w:val="22"/>
        <w:pageBreakBefore w:val="0"/>
        <w:kinsoku/>
        <w:overflowPunct/>
        <w:topLinePunct w:val="0"/>
        <w:autoSpaceDE/>
        <w:autoSpaceDN/>
        <w:bidi w:val="0"/>
        <w:spacing w:line="480" w:lineRule="exact"/>
        <w:ind w:left="0" w:leftChars="0" w:right="0" w:firstLine="2" w:firstLineChars="1"/>
        <w:outlineLvl w:val="9"/>
        <w:rPr>
          <w:rFonts w:hint="eastAsia" w:ascii="宋体" w:hAnsi="宋体" w:eastAsia="宋体" w:cs="宋体"/>
          <w:color w:val="auto"/>
          <w:szCs w:val="21"/>
          <w:highlight w:val="none"/>
          <w:lang w:val="en-US" w:eastAsia="zh-CN"/>
        </w:rPr>
      </w:pPr>
    </w:p>
    <w:p w14:paraId="1BE0A060">
      <w:pPr>
        <w:pStyle w:val="22"/>
        <w:pageBreakBefore w:val="0"/>
        <w:kinsoku/>
        <w:overflowPunct/>
        <w:topLinePunct w:val="0"/>
        <w:autoSpaceDE/>
        <w:autoSpaceDN/>
        <w:bidi w:val="0"/>
        <w:spacing w:line="480" w:lineRule="exact"/>
        <w:ind w:left="0" w:leftChars="0" w:right="0" w:firstLine="2" w:firstLineChars="1"/>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投标人（加盖投标人电子公章）：</w:t>
      </w:r>
    </w:p>
    <w:p w14:paraId="6227761F">
      <w:pPr>
        <w:pStyle w:val="22"/>
        <w:pageBreakBefore w:val="0"/>
        <w:kinsoku/>
        <w:overflowPunct/>
        <w:topLinePunct w:val="0"/>
        <w:autoSpaceDE/>
        <w:autoSpaceDN/>
        <w:bidi w:val="0"/>
        <w:spacing w:line="480" w:lineRule="exact"/>
        <w:ind w:left="0" w:leftChars="0" w:right="0" w:firstLine="2" w:firstLineChars="1"/>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r>
        <w:rPr>
          <w:rFonts w:hint="eastAsia" w:ascii="宋体" w:hAnsi="宋体" w:eastAsia="宋体" w:cs="宋体"/>
          <w:color w:val="auto"/>
          <w:szCs w:val="21"/>
          <w:highlight w:val="none"/>
          <w:lang w:eastAsia="zh-CN"/>
        </w:rPr>
        <w:t>（电子签名或电子签章）</w:t>
      </w:r>
      <w:r>
        <w:rPr>
          <w:rFonts w:hint="eastAsia" w:ascii="宋体" w:hAnsi="宋体" w:eastAsia="宋体" w:cs="宋体"/>
          <w:color w:val="auto"/>
          <w:szCs w:val="21"/>
          <w:highlight w:val="none"/>
        </w:rPr>
        <w:t>：</w:t>
      </w:r>
    </w:p>
    <w:p w14:paraId="1C8610D0">
      <w:pPr>
        <w:pStyle w:val="22"/>
        <w:pageBreakBefore w:val="0"/>
        <w:kinsoku/>
        <w:overflowPunct/>
        <w:topLinePunct w:val="0"/>
        <w:autoSpaceDE/>
        <w:autoSpaceDN/>
        <w:bidi w:val="0"/>
        <w:spacing w:line="480" w:lineRule="exact"/>
        <w:ind w:left="0" w:leftChars="0" w:right="0" w:firstLine="2" w:firstLineChars="1"/>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p>
    <w:p w14:paraId="3DE45FCB">
      <w:pPr>
        <w:pageBreakBefore w:val="0"/>
        <w:kinsoku/>
        <w:wordWrap w:val="0"/>
        <w:overflowPunct/>
        <w:topLinePunct w:val="0"/>
        <w:autoSpaceDE/>
        <w:autoSpaceDN/>
        <w:bidi w:val="0"/>
        <w:spacing w:line="480" w:lineRule="exact"/>
        <w:ind w:left="0" w:leftChars="0" w:right="0" w:firstLine="3" w:firstLineChars="1"/>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r>
        <w:rPr>
          <w:rFonts w:hint="eastAsia" w:ascii="宋体" w:hAnsi="宋体" w:eastAsia="宋体" w:cs="宋体"/>
          <w:b/>
          <w:color w:val="auto"/>
          <w:kern w:val="2"/>
          <w:sz w:val="28"/>
          <w:szCs w:val="28"/>
          <w:highlight w:val="none"/>
          <w:lang w:val="en-US" w:eastAsia="zh-CN" w:bidi="ar-SA"/>
        </w:rPr>
        <w:t>格式1</w:t>
      </w:r>
      <w:r>
        <w:rPr>
          <w:rFonts w:hint="eastAsia" w:ascii="宋体" w:hAnsi="宋体" w:cs="宋体"/>
          <w:b/>
          <w:color w:val="auto"/>
          <w:kern w:val="2"/>
          <w:sz w:val="28"/>
          <w:szCs w:val="28"/>
          <w:highlight w:val="none"/>
          <w:lang w:val="en-US" w:eastAsia="zh-CN" w:bidi="ar-SA"/>
        </w:rPr>
        <w:t>0</w:t>
      </w:r>
      <w:r>
        <w:rPr>
          <w:rFonts w:hint="eastAsia" w:ascii="宋体" w:hAnsi="宋体" w:eastAsia="宋体" w:cs="宋体"/>
          <w:b/>
          <w:color w:val="auto"/>
          <w:kern w:val="2"/>
          <w:sz w:val="28"/>
          <w:szCs w:val="28"/>
          <w:highlight w:val="none"/>
          <w:lang w:val="en-US" w:eastAsia="zh-CN" w:bidi="ar-SA"/>
        </w:rPr>
        <w:t>-1</w:t>
      </w:r>
    </w:p>
    <w:p w14:paraId="41AFAEAF">
      <w:pPr>
        <w:pageBreakBefore w:val="0"/>
        <w:widowControl/>
        <w:kinsoku/>
        <w:overflowPunct/>
        <w:topLinePunct w:val="0"/>
        <w:autoSpaceDE/>
        <w:autoSpaceDN/>
        <w:bidi w:val="0"/>
        <w:spacing w:line="480" w:lineRule="exact"/>
        <w:ind w:left="0" w:leftChars="0" w:right="0"/>
        <w:jc w:val="center"/>
        <w:outlineLvl w:val="9"/>
        <w:rPr>
          <w:rFonts w:hint="eastAsia" w:ascii="宋体" w:hAnsi="宋体" w:eastAsia="宋体" w:cs="宋体"/>
          <w:b/>
          <w:color w:val="auto"/>
          <w:kern w:val="2"/>
          <w:sz w:val="28"/>
          <w:szCs w:val="28"/>
          <w:highlight w:val="none"/>
          <w:lang w:val="en-US" w:eastAsia="zh-CN" w:bidi="ar-SA"/>
        </w:rPr>
      </w:pPr>
      <w:r>
        <w:rPr>
          <w:rFonts w:hint="eastAsia" w:ascii="宋体" w:hAnsi="宋体" w:eastAsia="宋体" w:cs="宋体"/>
          <w:b/>
          <w:color w:val="auto"/>
          <w:kern w:val="2"/>
          <w:sz w:val="28"/>
          <w:szCs w:val="28"/>
          <w:highlight w:val="none"/>
          <w:lang w:val="en-US" w:eastAsia="zh-CN" w:bidi="ar-SA"/>
        </w:rPr>
        <w:t>产品技术支持资料</w:t>
      </w:r>
    </w:p>
    <w:p w14:paraId="076AFF63">
      <w:pPr>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lang w:eastAsia="zh-CN"/>
        </w:rPr>
        <w:t>投标人除如实填写《技术条款偏离表》外，招标文件《采购需求》二、规格、技术条款和性能要求 规格（技术参数、性能要求）中，所有技术参数必须提供最新技术支持资料支持技术条款偏离表应答（技术支持资料是指包括技术白皮书或检测报告或图纸或印刷宣传彩页或性能参数说明等，第五章 采购需求中有明确要求的，以第五章 采购需求要求为准，不接受非生产制造商自行印刷、打印或者手写的技术支持资料，凡不符合上述要求的，视为无效技术支持资料），若投标文件中技术支持资料参数与技术条款偏离表应答不符或无支持资料应答，而投标人又未在投标文件中作出说明和解释的，评标委员会在评审时可以视为不响应该条技术条款的规定。</w:t>
      </w:r>
    </w:p>
    <w:p w14:paraId="72F98084">
      <w:pPr>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lang w:eastAsia="zh-CN"/>
        </w:rPr>
      </w:pPr>
    </w:p>
    <w:p w14:paraId="36401CC6">
      <w:pPr>
        <w:pageBreakBefore w:val="0"/>
        <w:kinsoku/>
        <w:overflowPunct/>
        <w:topLinePunct w:val="0"/>
        <w:autoSpaceDE/>
        <w:autoSpaceDN/>
        <w:bidi w:val="0"/>
        <w:spacing w:line="480" w:lineRule="exact"/>
        <w:ind w:left="0" w:leftChars="0" w:right="0"/>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1C4F464E">
      <w:pPr>
        <w:pageBreakBefore w:val="0"/>
        <w:widowControl/>
        <w:kinsoku/>
        <w:overflowPunct/>
        <w:topLinePunct w:val="0"/>
        <w:autoSpaceDE/>
        <w:autoSpaceDN/>
        <w:bidi w:val="0"/>
        <w:spacing w:line="480" w:lineRule="exact"/>
        <w:ind w:left="0" w:leftChars="0" w:right="0"/>
        <w:jc w:val="left"/>
        <w:outlineLvl w:val="9"/>
        <w:rPr>
          <w:rFonts w:hint="eastAsia" w:ascii="宋体" w:hAnsi="宋体" w:eastAsia="宋体" w:cs="宋体"/>
          <w:b/>
          <w:color w:val="auto"/>
          <w:kern w:val="2"/>
          <w:sz w:val="28"/>
          <w:szCs w:val="28"/>
          <w:highlight w:val="none"/>
          <w:lang w:val="en-US" w:eastAsia="zh-CN" w:bidi="ar-SA"/>
        </w:rPr>
      </w:pPr>
      <w:r>
        <w:rPr>
          <w:rFonts w:hint="eastAsia" w:ascii="宋体" w:hAnsi="宋体" w:eastAsia="宋体" w:cs="宋体"/>
          <w:b/>
          <w:color w:val="auto"/>
          <w:kern w:val="2"/>
          <w:sz w:val="28"/>
          <w:szCs w:val="28"/>
          <w:highlight w:val="none"/>
          <w:lang w:val="en-US" w:eastAsia="zh-CN" w:bidi="ar-SA"/>
        </w:rPr>
        <w:t>格式1</w:t>
      </w:r>
      <w:r>
        <w:rPr>
          <w:rFonts w:hint="eastAsia" w:ascii="宋体" w:hAnsi="宋体" w:cs="宋体"/>
          <w:b/>
          <w:color w:val="auto"/>
          <w:kern w:val="2"/>
          <w:sz w:val="28"/>
          <w:szCs w:val="28"/>
          <w:highlight w:val="none"/>
          <w:lang w:val="en-US" w:eastAsia="zh-CN" w:bidi="ar-SA"/>
        </w:rPr>
        <w:t>1</w:t>
      </w:r>
    </w:p>
    <w:p w14:paraId="2118BCD6">
      <w:pPr>
        <w:pageBreakBefore w:val="0"/>
        <w:widowControl/>
        <w:kinsoku/>
        <w:overflowPunct/>
        <w:topLinePunct w:val="0"/>
        <w:autoSpaceDE/>
        <w:autoSpaceDN/>
        <w:bidi w:val="0"/>
        <w:spacing w:line="480" w:lineRule="exact"/>
        <w:ind w:left="0" w:leftChars="0" w:right="0"/>
        <w:jc w:val="center"/>
        <w:outlineLvl w:val="9"/>
        <w:rPr>
          <w:rFonts w:hint="eastAsia" w:ascii="宋体" w:hAnsi="宋体" w:eastAsia="宋体" w:cs="宋体"/>
          <w:b/>
          <w:color w:val="auto"/>
          <w:kern w:val="2"/>
          <w:sz w:val="28"/>
          <w:szCs w:val="28"/>
          <w:highlight w:val="none"/>
          <w:lang w:val="en-US" w:eastAsia="zh-CN" w:bidi="ar-SA"/>
        </w:rPr>
      </w:pPr>
      <w:r>
        <w:rPr>
          <w:rFonts w:hint="eastAsia" w:ascii="宋体" w:hAnsi="宋体" w:eastAsia="宋体" w:cs="宋体"/>
          <w:b/>
          <w:color w:val="auto"/>
          <w:kern w:val="2"/>
          <w:sz w:val="28"/>
          <w:szCs w:val="28"/>
          <w:highlight w:val="none"/>
          <w:lang w:val="en-US" w:eastAsia="zh-CN" w:bidi="ar-SA"/>
        </w:rPr>
        <w:t>商务条款偏离表</w:t>
      </w:r>
    </w:p>
    <w:p w14:paraId="62605853">
      <w:pPr>
        <w:pStyle w:val="22"/>
        <w:pageBreakBefore w:val="0"/>
        <w:kinsoku/>
        <w:wordWrap w:val="0"/>
        <w:overflowPunct/>
        <w:topLinePunct w:val="0"/>
        <w:autoSpaceDE/>
        <w:autoSpaceDN/>
        <w:bidi w:val="0"/>
        <w:spacing w:line="480" w:lineRule="exact"/>
        <w:ind w:left="0" w:leftChars="0" w:right="0"/>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项目名称：</w:t>
      </w:r>
    </w:p>
    <w:p w14:paraId="63476C35">
      <w:pPr>
        <w:pStyle w:val="22"/>
        <w:pageBreakBefore w:val="0"/>
        <w:kinsoku/>
        <w:wordWrap w:val="0"/>
        <w:overflowPunct/>
        <w:topLinePunct w:val="0"/>
        <w:autoSpaceDE/>
        <w:autoSpaceDN/>
        <w:bidi w:val="0"/>
        <w:spacing w:line="480" w:lineRule="exact"/>
        <w:ind w:left="0" w:leftChars="0" w:right="0"/>
        <w:outlineLvl w:val="9"/>
        <w:rPr>
          <w:rFonts w:hint="eastAsia" w:eastAsia="宋体"/>
          <w:color w:val="auto"/>
          <w:highlight w:val="none"/>
          <w:lang w:val="en-US" w:eastAsia="zh-CN"/>
        </w:rPr>
      </w:pPr>
      <w:r>
        <w:rPr>
          <w:rFonts w:hint="eastAsia" w:ascii="宋体" w:hAnsi="宋体" w:eastAsia="宋体" w:cs="宋体"/>
          <w:b/>
          <w:color w:val="auto"/>
          <w:szCs w:val="21"/>
          <w:highlight w:val="none"/>
        </w:rPr>
        <w:t>项目编号：</w:t>
      </w:r>
    </w:p>
    <w:tbl>
      <w:tblPr>
        <w:tblStyle w:val="47"/>
        <w:tblW w:w="8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3263"/>
        <w:gridCol w:w="3203"/>
        <w:gridCol w:w="1367"/>
      </w:tblGrid>
      <w:tr w14:paraId="7C8A3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noWrap w:val="0"/>
            <w:vAlign w:val="center"/>
          </w:tcPr>
          <w:p w14:paraId="2CBBEB62">
            <w:pPr>
              <w:pageBreakBefore w:val="0"/>
              <w:kinsoku/>
              <w:wordWrap w:val="0"/>
              <w:overflowPunct/>
              <w:topLinePunct w:val="0"/>
              <w:autoSpaceDE/>
              <w:autoSpaceDN/>
              <w:bidi w:val="0"/>
              <w:spacing w:line="480" w:lineRule="exact"/>
              <w:ind w:left="0" w:leftChars="0" w:right="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3263" w:type="dxa"/>
            <w:noWrap w:val="0"/>
            <w:vAlign w:val="center"/>
          </w:tcPr>
          <w:p w14:paraId="2FC3E363">
            <w:pPr>
              <w:pageBreakBefore w:val="0"/>
              <w:kinsoku/>
              <w:wordWrap w:val="0"/>
              <w:overflowPunct/>
              <w:topLinePunct w:val="0"/>
              <w:autoSpaceDE/>
              <w:autoSpaceDN/>
              <w:bidi w:val="0"/>
              <w:spacing w:line="480" w:lineRule="exact"/>
              <w:ind w:left="0" w:leftChars="0" w:right="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招标文件商务条款</w:t>
            </w:r>
          </w:p>
        </w:tc>
        <w:tc>
          <w:tcPr>
            <w:tcW w:w="3203" w:type="dxa"/>
            <w:noWrap w:val="0"/>
            <w:vAlign w:val="center"/>
          </w:tcPr>
          <w:p w14:paraId="797CAAC0">
            <w:pPr>
              <w:pageBreakBefore w:val="0"/>
              <w:kinsoku/>
              <w:wordWrap w:val="0"/>
              <w:overflowPunct/>
              <w:topLinePunct w:val="0"/>
              <w:autoSpaceDE/>
              <w:autoSpaceDN/>
              <w:bidi w:val="0"/>
              <w:spacing w:line="480" w:lineRule="exact"/>
              <w:ind w:left="0" w:leftChars="0" w:right="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投标文件响应情况</w:t>
            </w:r>
          </w:p>
        </w:tc>
        <w:tc>
          <w:tcPr>
            <w:tcW w:w="1367" w:type="dxa"/>
            <w:noWrap w:val="0"/>
            <w:vAlign w:val="center"/>
          </w:tcPr>
          <w:p w14:paraId="192BD3AD">
            <w:pPr>
              <w:pageBreakBefore w:val="0"/>
              <w:kinsoku/>
              <w:wordWrap w:val="0"/>
              <w:overflowPunct/>
              <w:topLinePunct w:val="0"/>
              <w:autoSpaceDE/>
              <w:autoSpaceDN/>
              <w:bidi w:val="0"/>
              <w:spacing w:line="480" w:lineRule="exact"/>
              <w:ind w:left="0" w:leftChars="0" w:right="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偏离</w:t>
            </w:r>
          </w:p>
        </w:tc>
      </w:tr>
      <w:tr w14:paraId="6B9CA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noWrap w:val="0"/>
            <w:vAlign w:val="top"/>
          </w:tcPr>
          <w:p w14:paraId="5731B448">
            <w:pPr>
              <w:pStyle w:val="22"/>
              <w:pageBreakBefore w:val="0"/>
              <w:kinsoku/>
              <w:wordWrap w:val="0"/>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p>
        </w:tc>
        <w:tc>
          <w:tcPr>
            <w:tcW w:w="3263" w:type="dxa"/>
            <w:noWrap w:val="0"/>
            <w:vAlign w:val="top"/>
          </w:tcPr>
          <w:p w14:paraId="002E981A">
            <w:pPr>
              <w:pStyle w:val="22"/>
              <w:pageBreakBefore w:val="0"/>
              <w:kinsoku/>
              <w:wordWrap w:val="0"/>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p>
        </w:tc>
        <w:tc>
          <w:tcPr>
            <w:tcW w:w="3203" w:type="dxa"/>
            <w:noWrap w:val="0"/>
            <w:vAlign w:val="top"/>
          </w:tcPr>
          <w:p w14:paraId="7696C303">
            <w:pPr>
              <w:pStyle w:val="22"/>
              <w:pageBreakBefore w:val="0"/>
              <w:kinsoku/>
              <w:wordWrap w:val="0"/>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p>
        </w:tc>
        <w:tc>
          <w:tcPr>
            <w:tcW w:w="1367" w:type="dxa"/>
            <w:noWrap w:val="0"/>
            <w:vAlign w:val="top"/>
          </w:tcPr>
          <w:p w14:paraId="47D1CAF9">
            <w:pPr>
              <w:pStyle w:val="22"/>
              <w:pageBreakBefore w:val="0"/>
              <w:kinsoku/>
              <w:wordWrap w:val="0"/>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p>
        </w:tc>
      </w:tr>
      <w:tr w14:paraId="19661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noWrap w:val="0"/>
            <w:vAlign w:val="top"/>
          </w:tcPr>
          <w:p w14:paraId="1869F3CF">
            <w:pPr>
              <w:pStyle w:val="22"/>
              <w:pageBreakBefore w:val="0"/>
              <w:kinsoku/>
              <w:wordWrap w:val="0"/>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p>
        </w:tc>
        <w:tc>
          <w:tcPr>
            <w:tcW w:w="3263" w:type="dxa"/>
            <w:noWrap w:val="0"/>
            <w:vAlign w:val="top"/>
          </w:tcPr>
          <w:p w14:paraId="27F9CC7E">
            <w:pPr>
              <w:pStyle w:val="22"/>
              <w:pageBreakBefore w:val="0"/>
              <w:kinsoku/>
              <w:wordWrap w:val="0"/>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p>
        </w:tc>
        <w:tc>
          <w:tcPr>
            <w:tcW w:w="3203" w:type="dxa"/>
            <w:noWrap w:val="0"/>
            <w:vAlign w:val="top"/>
          </w:tcPr>
          <w:p w14:paraId="625F6890">
            <w:pPr>
              <w:pStyle w:val="22"/>
              <w:pageBreakBefore w:val="0"/>
              <w:kinsoku/>
              <w:wordWrap w:val="0"/>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p>
        </w:tc>
        <w:tc>
          <w:tcPr>
            <w:tcW w:w="1367" w:type="dxa"/>
            <w:noWrap w:val="0"/>
            <w:vAlign w:val="top"/>
          </w:tcPr>
          <w:p w14:paraId="42709717">
            <w:pPr>
              <w:pStyle w:val="22"/>
              <w:pageBreakBefore w:val="0"/>
              <w:kinsoku/>
              <w:wordWrap w:val="0"/>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p>
        </w:tc>
      </w:tr>
      <w:tr w14:paraId="06DAC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noWrap w:val="0"/>
            <w:vAlign w:val="top"/>
          </w:tcPr>
          <w:p w14:paraId="03C410FA">
            <w:pPr>
              <w:pStyle w:val="22"/>
              <w:pageBreakBefore w:val="0"/>
              <w:kinsoku/>
              <w:wordWrap w:val="0"/>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p>
        </w:tc>
        <w:tc>
          <w:tcPr>
            <w:tcW w:w="3263" w:type="dxa"/>
            <w:noWrap w:val="0"/>
            <w:vAlign w:val="top"/>
          </w:tcPr>
          <w:p w14:paraId="25D37BA3">
            <w:pPr>
              <w:pStyle w:val="22"/>
              <w:pageBreakBefore w:val="0"/>
              <w:kinsoku/>
              <w:wordWrap w:val="0"/>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p>
        </w:tc>
        <w:tc>
          <w:tcPr>
            <w:tcW w:w="3203" w:type="dxa"/>
            <w:noWrap w:val="0"/>
            <w:vAlign w:val="top"/>
          </w:tcPr>
          <w:p w14:paraId="7581A5D9">
            <w:pPr>
              <w:pStyle w:val="22"/>
              <w:pageBreakBefore w:val="0"/>
              <w:kinsoku/>
              <w:wordWrap w:val="0"/>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p>
        </w:tc>
        <w:tc>
          <w:tcPr>
            <w:tcW w:w="1367" w:type="dxa"/>
            <w:noWrap w:val="0"/>
            <w:vAlign w:val="top"/>
          </w:tcPr>
          <w:p w14:paraId="729C9E24">
            <w:pPr>
              <w:pStyle w:val="22"/>
              <w:pageBreakBefore w:val="0"/>
              <w:kinsoku/>
              <w:wordWrap w:val="0"/>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p>
        </w:tc>
      </w:tr>
    </w:tbl>
    <w:p w14:paraId="5D314923">
      <w:pPr>
        <w:pStyle w:val="148"/>
        <w:pageBreakBefore w:val="0"/>
        <w:kinsoku/>
        <w:wordWrap w:val="0"/>
        <w:overflowPunct/>
        <w:topLinePunct w:val="0"/>
        <w:autoSpaceDE/>
        <w:autoSpaceDN/>
        <w:bidi w:val="0"/>
        <w:adjustRightInd w:val="0"/>
        <w:snapToGrid w:val="0"/>
        <w:spacing w:line="480" w:lineRule="exact"/>
        <w:ind w:left="0" w:leftChars="0" w:right="0" w:firstLine="0" w:firstLineChars="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w:t>
      </w:r>
    </w:p>
    <w:p w14:paraId="53D0912E">
      <w:pPr>
        <w:pageBreakBefore w:val="0"/>
        <w:kinsoku/>
        <w:wordWrap w:val="0"/>
        <w:overflowPunct/>
        <w:topLinePunct w:val="0"/>
        <w:autoSpaceDE/>
        <w:autoSpaceDN/>
        <w:bidi w:val="0"/>
        <w:spacing w:line="480" w:lineRule="exact"/>
        <w:ind w:left="0" w:leftChars="0" w:right="0" w:firstLine="2" w:firstLineChars="1"/>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1.表格中“序号”一列，投标人须逐条对应招标文件</w:t>
      </w:r>
      <w:r>
        <w:rPr>
          <w:rFonts w:hint="eastAsia" w:ascii="宋体" w:hAnsi="宋体" w:cs="宋体"/>
          <w:color w:val="auto"/>
          <w:szCs w:val="21"/>
          <w:highlight w:val="none"/>
          <w:lang w:eastAsia="zh-CN"/>
        </w:rPr>
        <w:t>第三章《政府采购合同专用条款》</w:t>
      </w:r>
      <w:r>
        <w:rPr>
          <w:rFonts w:hint="eastAsia" w:ascii="宋体" w:hAnsi="宋体" w:eastAsia="宋体" w:cs="宋体"/>
          <w:color w:val="auto"/>
          <w:szCs w:val="21"/>
          <w:highlight w:val="none"/>
        </w:rPr>
        <w:t>中的序号。</w:t>
      </w:r>
    </w:p>
    <w:p w14:paraId="0A7BBE19">
      <w:pPr>
        <w:pageBreakBefore w:val="0"/>
        <w:kinsoku/>
        <w:wordWrap w:val="0"/>
        <w:overflowPunct/>
        <w:topLinePunct w:val="0"/>
        <w:autoSpaceDE/>
        <w:autoSpaceDN/>
        <w:bidi w:val="0"/>
        <w:spacing w:line="480" w:lineRule="exact"/>
        <w:ind w:left="0" w:leftChars="0" w:right="0" w:firstLine="2" w:firstLineChars="1"/>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2.表格中“招标文件商务条款”一列，投标人须逐条对应招标文件</w:t>
      </w:r>
      <w:r>
        <w:rPr>
          <w:rFonts w:hint="eastAsia" w:ascii="宋体" w:hAnsi="宋体" w:cs="宋体"/>
          <w:color w:val="auto"/>
          <w:szCs w:val="21"/>
          <w:highlight w:val="none"/>
          <w:lang w:eastAsia="zh-CN"/>
        </w:rPr>
        <w:t>第三章《政府采购合同专用条款》</w:t>
      </w:r>
      <w:r>
        <w:rPr>
          <w:rFonts w:hint="eastAsia" w:ascii="宋体" w:hAnsi="宋体" w:eastAsia="宋体" w:cs="宋体"/>
          <w:color w:val="auto"/>
          <w:szCs w:val="21"/>
          <w:highlight w:val="none"/>
        </w:rPr>
        <w:t>中的商务条款。</w:t>
      </w:r>
    </w:p>
    <w:p w14:paraId="740A9620">
      <w:pPr>
        <w:pageBreakBefore w:val="0"/>
        <w:kinsoku/>
        <w:wordWrap w:val="0"/>
        <w:overflowPunct/>
        <w:topLinePunct w:val="0"/>
        <w:autoSpaceDE/>
        <w:autoSpaceDN/>
        <w:bidi w:val="0"/>
        <w:spacing w:line="480" w:lineRule="exact"/>
        <w:ind w:left="0" w:leftChars="0" w:right="0" w:firstLine="2" w:firstLineChars="1"/>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3.表格中“投标文件响应情况”一列，投标人须逐条对招标文件</w:t>
      </w:r>
      <w:r>
        <w:rPr>
          <w:rFonts w:hint="eastAsia" w:ascii="宋体" w:hAnsi="宋体" w:cs="宋体"/>
          <w:color w:val="auto"/>
          <w:szCs w:val="21"/>
          <w:highlight w:val="none"/>
          <w:lang w:eastAsia="zh-CN"/>
        </w:rPr>
        <w:t>第三章《政府采购合同专用条款》</w:t>
      </w:r>
      <w:r>
        <w:rPr>
          <w:rFonts w:hint="eastAsia" w:ascii="宋体" w:hAnsi="宋体" w:eastAsia="宋体" w:cs="宋体"/>
          <w:color w:val="auto"/>
          <w:szCs w:val="21"/>
          <w:highlight w:val="none"/>
        </w:rPr>
        <w:t>中的商务条款作出全面、真实的反映，若投标文件中响应情况与招标文件商务条款不符或无有效证明，而投标人又未在投标文件中作出说明和解释的，评标委员会在评审时可以视为不响应该条商务条款的规定。</w:t>
      </w:r>
    </w:p>
    <w:p w14:paraId="60E508AF">
      <w:pPr>
        <w:pageBreakBefore w:val="0"/>
        <w:kinsoku/>
        <w:wordWrap w:val="0"/>
        <w:overflowPunct/>
        <w:topLinePunct w:val="0"/>
        <w:autoSpaceDE/>
        <w:autoSpaceDN/>
        <w:bidi w:val="0"/>
        <w:spacing w:line="480" w:lineRule="exact"/>
        <w:ind w:left="0" w:leftChars="0" w:right="0" w:firstLine="2" w:firstLineChars="1"/>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表格中“偏离”一列，投标人只能如实填写“正偏离”、“负偏离”或“无偏离”。凡响应内容高于招标文件要求的，按“正偏离”填写；低于招标文件要求的，按“负偏离”填写；满足招标文件要求的，按“无偏离”填写。</w:t>
      </w:r>
    </w:p>
    <w:p w14:paraId="3237EDBA">
      <w:pPr>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5.投标人可根据招标文件</w:t>
      </w:r>
      <w:r>
        <w:rPr>
          <w:rFonts w:hint="eastAsia" w:ascii="宋体" w:hAnsi="宋体" w:cs="宋体"/>
          <w:color w:val="auto"/>
          <w:szCs w:val="21"/>
          <w:highlight w:val="none"/>
          <w:lang w:eastAsia="zh-CN"/>
        </w:rPr>
        <w:t>第三章《政府采购合同专用条款》</w:t>
      </w:r>
      <w:r>
        <w:rPr>
          <w:rFonts w:hint="eastAsia" w:ascii="宋体" w:hAnsi="宋体" w:eastAsia="宋体" w:cs="宋体"/>
          <w:color w:val="auto"/>
          <w:szCs w:val="21"/>
          <w:highlight w:val="none"/>
        </w:rPr>
        <w:t>中的商务条款拓展本表，但不得改变格式。</w:t>
      </w:r>
    </w:p>
    <w:p w14:paraId="084B650B">
      <w:pPr>
        <w:pStyle w:val="22"/>
        <w:pageBreakBefore w:val="0"/>
        <w:kinsoku/>
        <w:overflowPunct/>
        <w:topLinePunct w:val="0"/>
        <w:autoSpaceDE/>
        <w:autoSpaceDN/>
        <w:bidi w:val="0"/>
        <w:spacing w:line="480" w:lineRule="exact"/>
        <w:ind w:left="0" w:leftChars="0" w:right="0" w:firstLine="2" w:firstLineChars="1"/>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投标人（加盖投标人电子公章）：</w:t>
      </w:r>
    </w:p>
    <w:p w14:paraId="046DBE01">
      <w:pPr>
        <w:pStyle w:val="22"/>
        <w:pageBreakBefore w:val="0"/>
        <w:kinsoku/>
        <w:overflowPunct/>
        <w:topLinePunct w:val="0"/>
        <w:autoSpaceDE/>
        <w:autoSpaceDN/>
        <w:bidi w:val="0"/>
        <w:spacing w:line="480" w:lineRule="exact"/>
        <w:ind w:left="0" w:leftChars="0" w:right="0" w:firstLine="2" w:firstLineChars="1"/>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r>
        <w:rPr>
          <w:rFonts w:hint="eastAsia" w:ascii="宋体" w:hAnsi="宋体" w:eastAsia="宋体" w:cs="宋体"/>
          <w:color w:val="auto"/>
          <w:szCs w:val="21"/>
          <w:highlight w:val="none"/>
          <w:lang w:eastAsia="zh-CN"/>
        </w:rPr>
        <w:t>（电子签名或电子签章）</w:t>
      </w:r>
      <w:r>
        <w:rPr>
          <w:rFonts w:hint="eastAsia" w:ascii="宋体" w:hAnsi="宋体" w:eastAsia="宋体" w:cs="宋体"/>
          <w:color w:val="auto"/>
          <w:szCs w:val="21"/>
          <w:highlight w:val="none"/>
        </w:rPr>
        <w:t>：</w:t>
      </w:r>
    </w:p>
    <w:p w14:paraId="48F1CB5C">
      <w:pPr>
        <w:pStyle w:val="22"/>
        <w:pageBreakBefore w:val="0"/>
        <w:kinsoku/>
        <w:overflowPunct/>
        <w:topLinePunct w:val="0"/>
        <w:autoSpaceDE/>
        <w:autoSpaceDN/>
        <w:bidi w:val="0"/>
        <w:spacing w:line="480" w:lineRule="exact"/>
        <w:ind w:left="0" w:leftChars="0" w:right="0" w:firstLine="2" w:firstLineChars="1"/>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p>
    <w:p w14:paraId="37E14E79">
      <w:pPr>
        <w:pageBreakBefore w:val="0"/>
        <w:kinsoku/>
        <w:overflowPunct/>
        <w:topLinePunct w:val="0"/>
        <w:autoSpaceDE/>
        <w:autoSpaceDN/>
        <w:bidi w:val="0"/>
        <w:spacing w:line="480" w:lineRule="exact"/>
        <w:ind w:left="0" w:leftChars="0" w:right="0"/>
        <w:outlineLvl w:val="9"/>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br w:type="page"/>
      </w:r>
      <w:r>
        <w:rPr>
          <w:rFonts w:hint="eastAsia" w:ascii="宋体" w:hAnsi="宋体" w:eastAsia="宋体" w:cs="宋体"/>
          <w:b/>
          <w:color w:val="auto"/>
          <w:sz w:val="28"/>
          <w:szCs w:val="28"/>
          <w:highlight w:val="none"/>
        </w:rPr>
        <w:t>格式</w:t>
      </w:r>
      <w:r>
        <w:rPr>
          <w:rFonts w:hint="eastAsia" w:ascii="宋体" w:hAnsi="宋体" w:eastAsia="宋体" w:cs="宋体"/>
          <w:b/>
          <w:color w:val="auto"/>
          <w:sz w:val="28"/>
          <w:szCs w:val="28"/>
          <w:highlight w:val="none"/>
          <w:lang w:val="en-US" w:eastAsia="zh-CN"/>
        </w:rPr>
        <w:t>1</w:t>
      </w:r>
      <w:r>
        <w:rPr>
          <w:rFonts w:hint="eastAsia" w:ascii="宋体" w:hAnsi="宋体" w:cs="宋体"/>
          <w:b/>
          <w:color w:val="auto"/>
          <w:sz w:val="28"/>
          <w:szCs w:val="28"/>
          <w:highlight w:val="none"/>
          <w:lang w:val="en-US" w:eastAsia="zh-CN"/>
        </w:rPr>
        <w:t>2</w:t>
      </w:r>
    </w:p>
    <w:p w14:paraId="429538F6">
      <w:pPr>
        <w:pStyle w:val="22"/>
        <w:pageBreakBefore w:val="0"/>
        <w:kinsoku/>
        <w:wordWrap w:val="0"/>
        <w:overflowPunct/>
        <w:topLinePunct w:val="0"/>
        <w:autoSpaceDE/>
        <w:autoSpaceDN/>
        <w:bidi w:val="0"/>
        <w:spacing w:line="480" w:lineRule="exact"/>
        <w:ind w:left="0" w:leftChars="0" w:right="0"/>
        <w:jc w:val="center"/>
        <w:outlineLvl w:val="9"/>
        <w:rPr>
          <w:rFonts w:hint="eastAsia" w:hAnsi="宋体" w:cs="宋体"/>
          <w:b/>
          <w:color w:val="auto"/>
          <w:kern w:val="2"/>
          <w:sz w:val="28"/>
          <w:szCs w:val="28"/>
          <w:highlight w:val="none"/>
          <w:lang w:val="en-US" w:eastAsia="zh-CN" w:bidi="ar-SA"/>
        </w:rPr>
      </w:pPr>
      <w:r>
        <w:rPr>
          <w:rFonts w:hint="eastAsia" w:hAnsi="宋体" w:cs="宋体"/>
          <w:b/>
          <w:color w:val="auto"/>
          <w:kern w:val="2"/>
          <w:sz w:val="28"/>
          <w:szCs w:val="28"/>
          <w:highlight w:val="none"/>
          <w:lang w:val="en-US" w:eastAsia="zh-CN" w:bidi="ar-SA"/>
        </w:rPr>
        <w:t>项目实施方案</w:t>
      </w:r>
    </w:p>
    <w:p w14:paraId="46812B78">
      <w:pPr>
        <w:pStyle w:val="22"/>
        <w:pageBreakBefore w:val="0"/>
        <w:kinsoku/>
        <w:wordWrap w:val="0"/>
        <w:overflowPunct/>
        <w:topLinePunct w:val="0"/>
        <w:autoSpaceDE/>
        <w:autoSpaceDN/>
        <w:bidi w:val="0"/>
        <w:spacing w:line="480" w:lineRule="exact"/>
        <w:ind w:left="0" w:leftChars="0" w:right="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内容自拟</w:t>
      </w:r>
      <w:r>
        <w:rPr>
          <w:rFonts w:hint="eastAsia" w:ascii="宋体" w:hAnsi="宋体" w:eastAsia="宋体" w:cs="宋体"/>
          <w:color w:val="auto"/>
          <w:szCs w:val="21"/>
          <w:highlight w:val="none"/>
        </w:rPr>
        <w:t>)</w:t>
      </w:r>
    </w:p>
    <w:p w14:paraId="02FB9267">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bCs/>
          <w:color w:val="auto"/>
          <w:szCs w:val="21"/>
          <w:highlight w:val="none"/>
          <w:lang w:eastAsia="zh-CN"/>
        </w:rPr>
      </w:pPr>
    </w:p>
    <w:p w14:paraId="38AF9A98">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bCs/>
          <w:color w:val="auto"/>
          <w:szCs w:val="21"/>
          <w:highlight w:val="none"/>
          <w:lang w:eastAsia="zh-CN"/>
        </w:rPr>
      </w:pPr>
    </w:p>
    <w:p w14:paraId="4112F868">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bCs/>
          <w:color w:val="auto"/>
          <w:szCs w:val="21"/>
          <w:highlight w:val="none"/>
          <w:lang w:eastAsia="zh-CN"/>
        </w:rPr>
      </w:pPr>
    </w:p>
    <w:p w14:paraId="1FDD5C93">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bCs/>
          <w:color w:val="auto"/>
          <w:szCs w:val="21"/>
          <w:highlight w:val="none"/>
          <w:lang w:eastAsia="zh-CN"/>
        </w:rPr>
      </w:pPr>
    </w:p>
    <w:p w14:paraId="43D0B1E2">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bCs/>
          <w:color w:val="auto"/>
          <w:szCs w:val="21"/>
          <w:highlight w:val="none"/>
          <w:lang w:eastAsia="zh-CN"/>
        </w:rPr>
      </w:pPr>
    </w:p>
    <w:p w14:paraId="0FFC026C">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bCs/>
          <w:color w:val="auto"/>
          <w:szCs w:val="21"/>
          <w:highlight w:val="none"/>
          <w:lang w:eastAsia="zh-CN"/>
        </w:rPr>
      </w:pPr>
    </w:p>
    <w:p w14:paraId="7F653EEE">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bCs/>
          <w:color w:val="auto"/>
          <w:szCs w:val="21"/>
          <w:highlight w:val="none"/>
          <w:lang w:eastAsia="zh-CN"/>
        </w:rPr>
      </w:pPr>
    </w:p>
    <w:p w14:paraId="3709CD05">
      <w:pPr>
        <w:pStyle w:val="22"/>
        <w:pageBreakBefore w:val="0"/>
        <w:kinsoku/>
        <w:overflowPunct/>
        <w:topLinePunct w:val="0"/>
        <w:autoSpaceDE/>
        <w:autoSpaceDN/>
        <w:bidi w:val="0"/>
        <w:spacing w:line="480" w:lineRule="exact"/>
        <w:ind w:left="0" w:leftChars="0" w:right="0" w:firstLine="2" w:firstLineChars="1"/>
        <w:outlineLvl w:val="9"/>
        <w:rPr>
          <w:rFonts w:hint="eastAsia" w:ascii="宋体" w:hAnsi="宋体" w:eastAsia="宋体" w:cs="宋体"/>
          <w:color w:val="auto"/>
          <w:szCs w:val="21"/>
          <w:highlight w:val="none"/>
        </w:rPr>
      </w:pPr>
    </w:p>
    <w:p w14:paraId="4F0EAE69">
      <w:pPr>
        <w:pStyle w:val="22"/>
        <w:pageBreakBefore w:val="0"/>
        <w:kinsoku/>
        <w:overflowPunct/>
        <w:topLinePunct w:val="0"/>
        <w:autoSpaceDE/>
        <w:autoSpaceDN/>
        <w:bidi w:val="0"/>
        <w:spacing w:line="480" w:lineRule="exact"/>
        <w:ind w:left="0" w:leftChars="0" w:right="0" w:firstLine="2" w:firstLineChars="1"/>
        <w:outlineLvl w:val="9"/>
        <w:rPr>
          <w:rFonts w:hint="eastAsia" w:ascii="宋体" w:hAnsi="宋体" w:eastAsia="宋体" w:cs="宋体"/>
          <w:color w:val="auto"/>
          <w:szCs w:val="21"/>
          <w:highlight w:val="none"/>
        </w:rPr>
      </w:pPr>
    </w:p>
    <w:p w14:paraId="2E90B6FC">
      <w:pPr>
        <w:pStyle w:val="22"/>
        <w:pageBreakBefore w:val="0"/>
        <w:kinsoku/>
        <w:overflowPunct/>
        <w:topLinePunct w:val="0"/>
        <w:autoSpaceDE/>
        <w:autoSpaceDN/>
        <w:bidi w:val="0"/>
        <w:spacing w:line="480" w:lineRule="exact"/>
        <w:ind w:left="0" w:leftChars="0" w:right="0" w:firstLine="2" w:firstLineChars="1"/>
        <w:outlineLvl w:val="9"/>
        <w:rPr>
          <w:rFonts w:hint="eastAsia" w:ascii="宋体" w:hAnsi="宋体" w:eastAsia="宋体" w:cs="宋体"/>
          <w:color w:val="auto"/>
          <w:szCs w:val="21"/>
          <w:highlight w:val="none"/>
        </w:rPr>
      </w:pPr>
    </w:p>
    <w:p w14:paraId="4956E7B0">
      <w:pPr>
        <w:pStyle w:val="22"/>
        <w:pageBreakBefore w:val="0"/>
        <w:kinsoku/>
        <w:overflowPunct/>
        <w:topLinePunct w:val="0"/>
        <w:autoSpaceDE/>
        <w:autoSpaceDN/>
        <w:bidi w:val="0"/>
        <w:spacing w:line="480" w:lineRule="exact"/>
        <w:ind w:left="0" w:leftChars="0" w:right="0" w:firstLine="2" w:firstLineChars="1"/>
        <w:outlineLvl w:val="9"/>
        <w:rPr>
          <w:rFonts w:hint="eastAsia" w:ascii="宋体" w:hAnsi="宋体" w:eastAsia="宋体" w:cs="宋体"/>
          <w:color w:val="auto"/>
          <w:szCs w:val="21"/>
          <w:highlight w:val="none"/>
        </w:rPr>
      </w:pPr>
    </w:p>
    <w:p w14:paraId="2C17A7B8">
      <w:pPr>
        <w:rPr>
          <w:rFonts w:hint="eastAsia" w:ascii="宋体" w:hAnsi="宋体" w:eastAsia="宋体" w:cs="宋体"/>
          <w:color w:val="auto"/>
          <w:szCs w:val="21"/>
          <w:highlight w:val="none"/>
        </w:rPr>
      </w:pPr>
    </w:p>
    <w:p w14:paraId="47051777">
      <w:pPr>
        <w:pStyle w:val="60"/>
        <w:rPr>
          <w:rFonts w:hint="eastAsia" w:ascii="宋体" w:hAnsi="宋体" w:eastAsia="宋体" w:cs="宋体"/>
          <w:color w:val="auto"/>
          <w:szCs w:val="21"/>
          <w:highlight w:val="none"/>
        </w:rPr>
      </w:pPr>
    </w:p>
    <w:p w14:paraId="6FF2309D">
      <w:pPr>
        <w:pStyle w:val="60"/>
        <w:ind w:left="0" w:leftChars="0" w:firstLine="0" w:firstLineChars="0"/>
        <w:rPr>
          <w:rFonts w:hint="eastAsia" w:ascii="宋体" w:hAnsi="宋体" w:eastAsia="宋体" w:cs="宋体"/>
          <w:color w:val="auto"/>
          <w:szCs w:val="21"/>
          <w:highlight w:val="none"/>
        </w:rPr>
      </w:pPr>
    </w:p>
    <w:p w14:paraId="46B66140">
      <w:pPr>
        <w:pStyle w:val="22"/>
        <w:pageBreakBefore w:val="0"/>
        <w:kinsoku/>
        <w:overflowPunct/>
        <w:topLinePunct w:val="0"/>
        <w:autoSpaceDE/>
        <w:autoSpaceDN/>
        <w:bidi w:val="0"/>
        <w:spacing w:line="480" w:lineRule="exact"/>
        <w:ind w:left="0" w:leftChars="0" w:right="0" w:firstLine="2" w:firstLineChars="1"/>
        <w:outlineLvl w:val="9"/>
        <w:rPr>
          <w:rFonts w:hint="eastAsia" w:ascii="宋体" w:hAnsi="宋体" w:eastAsia="宋体" w:cs="宋体"/>
          <w:color w:val="auto"/>
          <w:szCs w:val="21"/>
          <w:highlight w:val="none"/>
        </w:rPr>
      </w:pPr>
    </w:p>
    <w:p w14:paraId="3651D98E">
      <w:pPr>
        <w:pStyle w:val="22"/>
        <w:pageBreakBefore w:val="0"/>
        <w:kinsoku/>
        <w:overflowPunct/>
        <w:topLinePunct w:val="0"/>
        <w:autoSpaceDE/>
        <w:autoSpaceDN/>
        <w:bidi w:val="0"/>
        <w:spacing w:line="480" w:lineRule="exact"/>
        <w:ind w:left="0" w:leftChars="0" w:right="0" w:firstLine="2" w:firstLineChars="1"/>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投标人（加盖投标人电子公章）：</w:t>
      </w:r>
    </w:p>
    <w:p w14:paraId="3770A652">
      <w:pPr>
        <w:pStyle w:val="22"/>
        <w:pageBreakBefore w:val="0"/>
        <w:kinsoku/>
        <w:overflowPunct/>
        <w:topLinePunct w:val="0"/>
        <w:autoSpaceDE/>
        <w:autoSpaceDN/>
        <w:bidi w:val="0"/>
        <w:spacing w:line="480" w:lineRule="exact"/>
        <w:ind w:left="0" w:leftChars="0" w:right="0" w:firstLine="2" w:firstLineChars="1"/>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r>
        <w:rPr>
          <w:rFonts w:hint="eastAsia" w:ascii="宋体" w:hAnsi="宋体" w:eastAsia="宋体" w:cs="宋体"/>
          <w:color w:val="auto"/>
          <w:szCs w:val="21"/>
          <w:highlight w:val="none"/>
          <w:lang w:eastAsia="zh-CN"/>
        </w:rPr>
        <w:t>（电子签名或电子签章）</w:t>
      </w:r>
      <w:r>
        <w:rPr>
          <w:rFonts w:hint="eastAsia" w:ascii="宋体" w:hAnsi="宋体" w:eastAsia="宋体" w:cs="宋体"/>
          <w:color w:val="auto"/>
          <w:szCs w:val="21"/>
          <w:highlight w:val="none"/>
        </w:rPr>
        <w:t>：</w:t>
      </w:r>
    </w:p>
    <w:p w14:paraId="3949E56F">
      <w:pPr>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p>
    <w:p w14:paraId="7F401CB7">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453296A5">
      <w:pPr>
        <w:pageBreakBefore w:val="0"/>
        <w:kinsoku/>
        <w:overflowPunct/>
        <w:topLinePunct w:val="0"/>
        <w:autoSpaceDE/>
        <w:autoSpaceDN/>
        <w:bidi w:val="0"/>
        <w:spacing w:line="480" w:lineRule="exact"/>
        <w:ind w:left="0" w:leftChars="0" w:right="0"/>
        <w:outlineLvl w:val="9"/>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格式</w:t>
      </w:r>
      <w:r>
        <w:rPr>
          <w:rFonts w:hint="eastAsia" w:ascii="宋体" w:hAnsi="宋体" w:cs="宋体"/>
          <w:b/>
          <w:color w:val="auto"/>
          <w:sz w:val="28"/>
          <w:szCs w:val="28"/>
          <w:highlight w:val="none"/>
          <w:lang w:val="en-US" w:eastAsia="zh-CN"/>
        </w:rPr>
        <w:t>13</w:t>
      </w:r>
    </w:p>
    <w:p w14:paraId="7F0A0A6F">
      <w:pPr>
        <w:pageBreakBefore w:val="0"/>
        <w:widowControl/>
        <w:kinsoku/>
        <w:overflowPunct/>
        <w:topLinePunct w:val="0"/>
        <w:autoSpaceDE/>
        <w:autoSpaceDN/>
        <w:bidi w:val="0"/>
        <w:spacing w:line="480" w:lineRule="exact"/>
        <w:ind w:left="0" w:leftChars="0" w:right="0"/>
        <w:jc w:val="center"/>
        <w:outlineLvl w:val="9"/>
        <w:rPr>
          <w:rFonts w:hint="eastAsia" w:ascii="宋体" w:hAnsi="宋体" w:eastAsia="宋体" w:cs="宋体"/>
          <w:b/>
          <w:color w:val="auto"/>
          <w:kern w:val="2"/>
          <w:sz w:val="28"/>
          <w:szCs w:val="28"/>
          <w:highlight w:val="none"/>
          <w:lang w:val="en-US" w:eastAsia="zh-CN" w:bidi="ar-SA"/>
        </w:rPr>
      </w:pPr>
      <w:r>
        <w:rPr>
          <w:rFonts w:hint="eastAsia" w:ascii="宋体" w:hAnsi="宋体" w:eastAsia="宋体" w:cs="宋体"/>
          <w:b/>
          <w:color w:val="auto"/>
          <w:kern w:val="2"/>
          <w:sz w:val="28"/>
          <w:szCs w:val="28"/>
          <w:highlight w:val="none"/>
          <w:lang w:val="en-US" w:eastAsia="zh-CN" w:bidi="ar-SA"/>
        </w:rPr>
        <w:t>售后服务方案</w:t>
      </w:r>
    </w:p>
    <w:p w14:paraId="08FB54D3">
      <w:pPr>
        <w:pStyle w:val="22"/>
        <w:pageBreakBefore w:val="0"/>
        <w:kinsoku/>
        <w:wordWrap w:val="0"/>
        <w:overflowPunct/>
        <w:topLinePunct w:val="0"/>
        <w:autoSpaceDE/>
        <w:autoSpaceDN/>
        <w:bidi w:val="0"/>
        <w:spacing w:line="480" w:lineRule="exact"/>
        <w:ind w:left="0" w:leftChars="0" w:right="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内容自拟</w:t>
      </w:r>
      <w:r>
        <w:rPr>
          <w:rFonts w:hint="eastAsia" w:ascii="宋体" w:hAnsi="宋体" w:eastAsia="宋体" w:cs="宋体"/>
          <w:color w:val="auto"/>
          <w:szCs w:val="21"/>
          <w:highlight w:val="none"/>
        </w:rPr>
        <w:t>)</w:t>
      </w:r>
    </w:p>
    <w:p w14:paraId="7486EB1C">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bCs/>
          <w:color w:val="auto"/>
          <w:szCs w:val="21"/>
          <w:highlight w:val="none"/>
          <w:lang w:eastAsia="zh-CN"/>
        </w:rPr>
      </w:pPr>
    </w:p>
    <w:p w14:paraId="5D7AC593">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bCs/>
          <w:color w:val="auto"/>
          <w:szCs w:val="21"/>
          <w:highlight w:val="none"/>
          <w:lang w:eastAsia="zh-CN"/>
        </w:rPr>
      </w:pPr>
    </w:p>
    <w:p w14:paraId="6E1C5F47">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bCs/>
          <w:color w:val="auto"/>
          <w:szCs w:val="21"/>
          <w:highlight w:val="none"/>
          <w:lang w:eastAsia="zh-CN"/>
        </w:rPr>
      </w:pPr>
    </w:p>
    <w:p w14:paraId="31B37C6E">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bCs/>
          <w:color w:val="auto"/>
          <w:szCs w:val="21"/>
          <w:highlight w:val="none"/>
          <w:lang w:eastAsia="zh-CN"/>
        </w:rPr>
      </w:pPr>
    </w:p>
    <w:p w14:paraId="430478E6">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bCs/>
          <w:color w:val="auto"/>
          <w:szCs w:val="21"/>
          <w:highlight w:val="none"/>
          <w:lang w:eastAsia="zh-CN"/>
        </w:rPr>
      </w:pPr>
    </w:p>
    <w:p w14:paraId="4695833F">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bCs/>
          <w:color w:val="auto"/>
          <w:szCs w:val="21"/>
          <w:highlight w:val="none"/>
          <w:lang w:eastAsia="zh-CN"/>
        </w:rPr>
      </w:pPr>
    </w:p>
    <w:p w14:paraId="3ED2FADF">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bCs/>
          <w:color w:val="auto"/>
          <w:szCs w:val="21"/>
          <w:highlight w:val="none"/>
          <w:lang w:eastAsia="zh-CN"/>
        </w:rPr>
      </w:pPr>
    </w:p>
    <w:p w14:paraId="7E414445">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bCs/>
          <w:color w:val="auto"/>
          <w:szCs w:val="21"/>
          <w:highlight w:val="none"/>
          <w:lang w:eastAsia="zh-CN"/>
        </w:rPr>
      </w:pPr>
    </w:p>
    <w:p w14:paraId="1479B1F4">
      <w:pPr>
        <w:pStyle w:val="22"/>
        <w:pageBreakBefore w:val="0"/>
        <w:kinsoku/>
        <w:overflowPunct/>
        <w:topLinePunct w:val="0"/>
        <w:autoSpaceDE/>
        <w:autoSpaceDN/>
        <w:bidi w:val="0"/>
        <w:spacing w:line="480" w:lineRule="exact"/>
        <w:ind w:left="0" w:leftChars="0" w:right="0" w:firstLine="2" w:firstLineChars="1"/>
        <w:outlineLvl w:val="9"/>
        <w:rPr>
          <w:rFonts w:hint="eastAsia" w:ascii="宋体" w:hAnsi="宋体" w:eastAsia="宋体" w:cs="宋体"/>
          <w:color w:val="auto"/>
          <w:szCs w:val="21"/>
          <w:highlight w:val="none"/>
        </w:rPr>
      </w:pPr>
    </w:p>
    <w:p w14:paraId="3F91BFCB">
      <w:pPr>
        <w:pStyle w:val="22"/>
        <w:pageBreakBefore w:val="0"/>
        <w:kinsoku/>
        <w:overflowPunct/>
        <w:topLinePunct w:val="0"/>
        <w:autoSpaceDE/>
        <w:autoSpaceDN/>
        <w:bidi w:val="0"/>
        <w:spacing w:line="480" w:lineRule="exact"/>
        <w:ind w:left="0" w:leftChars="0" w:right="0" w:firstLine="2" w:firstLineChars="1"/>
        <w:outlineLvl w:val="9"/>
        <w:rPr>
          <w:rFonts w:hint="eastAsia" w:ascii="宋体" w:hAnsi="宋体" w:eastAsia="宋体" w:cs="宋体"/>
          <w:color w:val="auto"/>
          <w:szCs w:val="21"/>
          <w:highlight w:val="none"/>
        </w:rPr>
      </w:pPr>
    </w:p>
    <w:p w14:paraId="1B2D87B2">
      <w:pPr>
        <w:pStyle w:val="22"/>
        <w:pageBreakBefore w:val="0"/>
        <w:kinsoku/>
        <w:overflowPunct/>
        <w:topLinePunct w:val="0"/>
        <w:autoSpaceDE/>
        <w:autoSpaceDN/>
        <w:bidi w:val="0"/>
        <w:spacing w:line="480" w:lineRule="exact"/>
        <w:ind w:left="0" w:leftChars="0" w:right="0" w:firstLine="2" w:firstLineChars="1"/>
        <w:outlineLvl w:val="9"/>
        <w:rPr>
          <w:rFonts w:hint="eastAsia" w:ascii="宋体" w:hAnsi="宋体" w:eastAsia="宋体" w:cs="宋体"/>
          <w:color w:val="auto"/>
          <w:szCs w:val="21"/>
          <w:highlight w:val="none"/>
        </w:rPr>
      </w:pPr>
    </w:p>
    <w:p w14:paraId="0D85ABF6">
      <w:pPr>
        <w:pStyle w:val="22"/>
        <w:pageBreakBefore w:val="0"/>
        <w:kinsoku/>
        <w:overflowPunct/>
        <w:topLinePunct w:val="0"/>
        <w:autoSpaceDE/>
        <w:autoSpaceDN/>
        <w:bidi w:val="0"/>
        <w:spacing w:line="480" w:lineRule="exact"/>
        <w:ind w:left="0" w:leftChars="0" w:right="0" w:firstLine="2" w:firstLineChars="1"/>
        <w:outlineLvl w:val="9"/>
        <w:rPr>
          <w:rFonts w:hint="eastAsia" w:ascii="宋体" w:hAnsi="宋体" w:eastAsia="宋体" w:cs="宋体"/>
          <w:color w:val="auto"/>
          <w:szCs w:val="21"/>
          <w:highlight w:val="none"/>
        </w:rPr>
      </w:pPr>
    </w:p>
    <w:p w14:paraId="6BBB04A9">
      <w:pPr>
        <w:rPr>
          <w:rFonts w:hint="eastAsia" w:ascii="宋体" w:hAnsi="宋体" w:eastAsia="宋体" w:cs="宋体"/>
          <w:color w:val="auto"/>
          <w:szCs w:val="21"/>
          <w:highlight w:val="none"/>
        </w:rPr>
      </w:pPr>
    </w:p>
    <w:p w14:paraId="67C8F544">
      <w:pPr>
        <w:pStyle w:val="60"/>
        <w:rPr>
          <w:rFonts w:hint="eastAsia" w:ascii="宋体" w:hAnsi="宋体" w:eastAsia="宋体" w:cs="宋体"/>
          <w:color w:val="auto"/>
          <w:szCs w:val="21"/>
          <w:highlight w:val="none"/>
        </w:rPr>
      </w:pPr>
    </w:p>
    <w:p w14:paraId="616E045A">
      <w:pPr>
        <w:pStyle w:val="60"/>
        <w:ind w:left="0" w:leftChars="0" w:firstLine="0" w:firstLineChars="0"/>
        <w:rPr>
          <w:rFonts w:hint="eastAsia" w:ascii="宋体" w:hAnsi="宋体" w:eastAsia="宋体" w:cs="宋体"/>
          <w:color w:val="auto"/>
          <w:szCs w:val="21"/>
          <w:highlight w:val="none"/>
        </w:rPr>
      </w:pPr>
    </w:p>
    <w:p w14:paraId="353CA36A">
      <w:pPr>
        <w:pStyle w:val="22"/>
        <w:pageBreakBefore w:val="0"/>
        <w:kinsoku/>
        <w:overflowPunct/>
        <w:topLinePunct w:val="0"/>
        <w:autoSpaceDE/>
        <w:autoSpaceDN/>
        <w:bidi w:val="0"/>
        <w:spacing w:line="480" w:lineRule="exact"/>
        <w:ind w:left="0" w:leftChars="0" w:right="0" w:firstLine="2" w:firstLineChars="1"/>
        <w:outlineLvl w:val="9"/>
        <w:rPr>
          <w:rFonts w:hint="eastAsia" w:ascii="宋体" w:hAnsi="宋体" w:eastAsia="宋体" w:cs="宋体"/>
          <w:color w:val="auto"/>
          <w:szCs w:val="21"/>
          <w:highlight w:val="none"/>
        </w:rPr>
      </w:pPr>
    </w:p>
    <w:p w14:paraId="72B4B6F5">
      <w:pPr>
        <w:pStyle w:val="22"/>
        <w:pageBreakBefore w:val="0"/>
        <w:kinsoku/>
        <w:overflowPunct/>
        <w:topLinePunct w:val="0"/>
        <w:autoSpaceDE/>
        <w:autoSpaceDN/>
        <w:bidi w:val="0"/>
        <w:spacing w:line="480" w:lineRule="exact"/>
        <w:ind w:left="0" w:leftChars="0" w:right="0" w:firstLine="2" w:firstLineChars="1"/>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投标人（加盖投标人电子公章）：</w:t>
      </w:r>
    </w:p>
    <w:p w14:paraId="372CBA1B">
      <w:pPr>
        <w:pStyle w:val="22"/>
        <w:pageBreakBefore w:val="0"/>
        <w:kinsoku/>
        <w:overflowPunct/>
        <w:topLinePunct w:val="0"/>
        <w:autoSpaceDE/>
        <w:autoSpaceDN/>
        <w:bidi w:val="0"/>
        <w:spacing w:line="480" w:lineRule="exact"/>
        <w:ind w:left="0" w:leftChars="0" w:right="0" w:firstLine="2" w:firstLineChars="1"/>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r>
        <w:rPr>
          <w:rFonts w:hint="eastAsia" w:ascii="宋体" w:hAnsi="宋体" w:eastAsia="宋体" w:cs="宋体"/>
          <w:color w:val="auto"/>
          <w:szCs w:val="21"/>
          <w:highlight w:val="none"/>
          <w:lang w:eastAsia="zh-CN"/>
        </w:rPr>
        <w:t>（电子签名或电子签章）</w:t>
      </w:r>
      <w:r>
        <w:rPr>
          <w:rFonts w:hint="eastAsia" w:ascii="宋体" w:hAnsi="宋体" w:eastAsia="宋体" w:cs="宋体"/>
          <w:color w:val="auto"/>
          <w:szCs w:val="21"/>
          <w:highlight w:val="none"/>
        </w:rPr>
        <w:t>：</w:t>
      </w:r>
    </w:p>
    <w:p w14:paraId="48766521">
      <w:pPr>
        <w:pageBreakBefore w:val="0"/>
        <w:kinsoku/>
        <w:overflowPunct/>
        <w:topLinePunct w:val="0"/>
        <w:autoSpaceDE/>
        <w:autoSpaceDN/>
        <w:bidi w:val="0"/>
        <w:spacing w:line="480" w:lineRule="exact"/>
        <w:ind w:left="0" w:leftChars="0" w:right="0"/>
        <w:jc w:val="left"/>
        <w:outlineLvl w:val="9"/>
        <w:rPr>
          <w:rFonts w:hint="eastAsia" w:ascii="宋体" w:hAnsi="宋体" w:eastAsia="宋体" w:cs="宋体"/>
          <w:b/>
          <w:color w:val="auto"/>
          <w:sz w:val="28"/>
          <w:szCs w:val="28"/>
          <w:highlight w:val="none"/>
        </w:rPr>
      </w:pPr>
      <w:r>
        <w:rPr>
          <w:rFonts w:hint="eastAsia" w:ascii="宋体" w:hAnsi="宋体" w:eastAsia="宋体" w:cs="宋体"/>
          <w:color w:val="auto"/>
          <w:szCs w:val="21"/>
          <w:highlight w:val="none"/>
        </w:rPr>
        <w:t>日期：</w:t>
      </w:r>
      <w:r>
        <w:rPr>
          <w:rFonts w:hint="eastAsia" w:ascii="宋体" w:hAnsi="宋体" w:eastAsia="宋体" w:cs="宋体"/>
          <w:b/>
          <w:color w:val="auto"/>
          <w:sz w:val="28"/>
          <w:szCs w:val="28"/>
          <w:highlight w:val="none"/>
        </w:rPr>
        <w:br w:type="page"/>
      </w:r>
    </w:p>
    <w:p w14:paraId="48759D8E">
      <w:pPr>
        <w:pageBreakBefore w:val="0"/>
        <w:kinsoku/>
        <w:overflowPunct/>
        <w:topLinePunct w:val="0"/>
        <w:autoSpaceDE/>
        <w:autoSpaceDN/>
        <w:bidi w:val="0"/>
        <w:spacing w:line="480" w:lineRule="exact"/>
        <w:ind w:left="0" w:leftChars="0" w:right="0"/>
        <w:outlineLvl w:val="9"/>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格式</w:t>
      </w:r>
      <w:r>
        <w:rPr>
          <w:rFonts w:hint="eastAsia" w:ascii="宋体" w:hAnsi="宋体" w:cs="宋体"/>
          <w:b/>
          <w:color w:val="auto"/>
          <w:sz w:val="28"/>
          <w:szCs w:val="28"/>
          <w:highlight w:val="none"/>
          <w:lang w:val="en-US" w:eastAsia="zh-CN"/>
        </w:rPr>
        <w:t>14</w:t>
      </w:r>
    </w:p>
    <w:p w14:paraId="77D74345">
      <w:pPr>
        <w:pageBreakBefore w:val="0"/>
        <w:widowControl/>
        <w:kinsoku/>
        <w:overflowPunct/>
        <w:topLinePunct w:val="0"/>
        <w:autoSpaceDE/>
        <w:autoSpaceDN/>
        <w:bidi w:val="0"/>
        <w:spacing w:line="480" w:lineRule="exact"/>
        <w:ind w:left="0" w:leftChars="0" w:right="0"/>
        <w:jc w:val="center"/>
        <w:outlineLvl w:val="9"/>
        <w:rPr>
          <w:rFonts w:hint="eastAsia" w:ascii="宋体" w:hAnsi="宋体" w:eastAsia="宋体" w:cs="宋体"/>
          <w:b/>
          <w:color w:val="auto"/>
          <w:kern w:val="2"/>
          <w:sz w:val="28"/>
          <w:szCs w:val="28"/>
          <w:highlight w:val="none"/>
          <w:lang w:val="en-US" w:eastAsia="zh-CN" w:bidi="ar-SA"/>
        </w:rPr>
      </w:pPr>
      <w:r>
        <w:rPr>
          <w:rFonts w:hint="eastAsia" w:ascii="宋体" w:hAnsi="宋体" w:eastAsia="宋体" w:cs="宋体"/>
          <w:b/>
          <w:color w:val="auto"/>
          <w:kern w:val="2"/>
          <w:sz w:val="28"/>
          <w:szCs w:val="28"/>
          <w:highlight w:val="none"/>
          <w:lang w:val="en-US" w:eastAsia="zh-CN" w:bidi="ar-SA"/>
        </w:rPr>
        <w:t>质量保证措施及承诺</w:t>
      </w:r>
    </w:p>
    <w:p w14:paraId="35244B86">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bCs/>
          <w:color w:val="auto"/>
          <w:szCs w:val="21"/>
          <w:highlight w:val="none"/>
          <w:lang w:eastAsia="zh-CN"/>
        </w:rPr>
      </w:pPr>
      <w:r>
        <w:rPr>
          <w:rFonts w:hint="eastAsia" w:ascii="宋体" w:hAnsi="宋体" w:eastAsia="宋体" w:cs="宋体"/>
          <w:color w:val="auto"/>
          <w:szCs w:val="21"/>
          <w:highlight w:val="none"/>
          <w:lang w:eastAsia="zh-CN"/>
        </w:rPr>
        <w:t>（内容自拟）</w:t>
      </w:r>
    </w:p>
    <w:p w14:paraId="301F26F7">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bCs/>
          <w:color w:val="auto"/>
          <w:szCs w:val="21"/>
          <w:highlight w:val="none"/>
          <w:lang w:eastAsia="zh-CN"/>
        </w:rPr>
      </w:pPr>
    </w:p>
    <w:p w14:paraId="6B3AAC80">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bCs/>
          <w:color w:val="auto"/>
          <w:szCs w:val="21"/>
          <w:highlight w:val="none"/>
          <w:lang w:eastAsia="zh-CN"/>
        </w:rPr>
      </w:pPr>
    </w:p>
    <w:p w14:paraId="5228A649">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bCs/>
          <w:color w:val="auto"/>
          <w:szCs w:val="21"/>
          <w:highlight w:val="none"/>
          <w:lang w:eastAsia="zh-CN"/>
        </w:rPr>
      </w:pPr>
    </w:p>
    <w:p w14:paraId="3FF972F8">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bCs/>
          <w:color w:val="auto"/>
          <w:szCs w:val="21"/>
          <w:highlight w:val="none"/>
          <w:lang w:eastAsia="zh-CN"/>
        </w:rPr>
      </w:pPr>
    </w:p>
    <w:p w14:paraId="2E6824E4">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bCs/>
          <w:color w:val="auto"/>
          <w:szCs w:val="21"/>
          <w:highlight w:val="none"/>
          <w:lang w:eastAsia="zh-CN"/>
        </w:rPr>
      </w:pPr>
    </w:p>
    <w:p w14:paraId="19D91CA2">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bCs/>
          <w:color w:val="auto"/>
          <w:szCs w:val="21"/>
          <w:highlight w:val="none"/>
          <w:lang w:eastAsia="zh-CN"/>
        </w:rPr>
      </w:pPr>
    </w:p>
    <w:p w14:paraId="7929FDC7">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bCs/>
          <w:color w:val="auto"/>
          <w:szCs w:val="21"/>
          <w:highlight w:val="none"/>
          <w:lang w:eastAsia="zh-CN"/>
        </w:rPr>
      </w:pPr>
    </w:p>
    <w:p w14:paraId="613228A2">
      <w:pPr>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p>
    <w:p w14:paraId="01CDFB4B">
      <w:pPr>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p>
    <w:p w14:paraId="0816EE91">
      <w:pPr>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p>
    <w:p w14:paraId="68BDC47C">
      <w:pPr>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p>
    <w:p w14:paraId="30EA0365">
      <w:pPr>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p>
    <w:p w14:paraId="4362D232">
      <w:pPr>
        <w:pStyle w:val="22"/>
        <w:pageBreakBefore w:val="0"/>
        <w:kinsoku/>
        <w:overflowPunct/>
        <w:topLinePunct w:val="0"/>
        <w:autoSpaceDE/>
        <w:autoSpaceDN/>
        <w:bidi w:val="0"/>
        <w:spacing w:line="480" w:lineRule="exact"/>
        <w:ind w:left="0" w:leftChars="0" w:right="0" w:firstLine="2" w:firstLineChars="1"/>
        <w:outlineLvl w:val="9"/>
        <w:rPr>
          <w:rFonts w:hint="eastAsia" w:ascii="宋体" w:hAnsi="宋体" w:eastAsia="宋体" w:cs="宋体"/>
          <w:color w:val="auto"/>
          <w:szCs w:val="21"/>
          <w:highlight w:val="none"/>
        </w:rPr>
      </w:pPr>
    </w:p>
    <w:p w14:paraId="3915660A">
      <w:pPr>
        <w:pStyle w:val="22"/>
        <w:pageBreakBefore w:val="0"/>
        <w:kinsoku/>
        <w:overflowPunct/>
        <w:topLinePunct w:val="0"/>
        <w:autoSpaceDE/>
        <w:autoSpaceDN/>
        <w:bidi w:val="0"/>
        <w:spacing w:line="480" w:lineRule="exact"/>
        <w:ind w:left="0" w:leftChars="0" w:right="0" w:firstLine="2" w:firstLineChars="1"/>
        <w:outlineLvl w:val="9"/>
        <w:rPr>
          <w:rFonts w:hint="eastAsia" w:ascii="宋体" w:hAnsi="宋体" w:eastAsia="宋体" w:cs="宋体"/>
          <w:color w:val="auto"/>
          <w:szCs w:val="21"/>
          <w:highlight w:val="none"/>
        </w:rPr>
      </w:pPr>
    </w:p>
    <w:p w14:paraId="0CE17574">
      <w:pPr>
        <w:pStyle w:val="22"/>
        <w:pageBreakBefore w:val="0"/>
        <w:kinsoku/>
        <w:overflowPunct/>
        <w:topLinePunct w:val="0"/>
        <w:autoSpaceDE/>
        <w:autoSpaceDN/>
        <w:bidi w:val="0"/>
        <w:spacing w:line="480" w:lineRule="exact"/>
        <w:ind w:left="0" w:leftChars="0" w:right="0" w:firstLine="2" w:firstLineChars="1"/>
        <w:outlineLvl w:val="9"/>
        <w:rPr>
          <w:rFonts w:hint="eastAsia" w:ascii="宋体" w:hAnsi="宋体" w:eastAsia="宋体" w:cs="宋体"/>
          <w:color w:val="auto"/>
          <w:szCs w:val="21"/>
          <w:highlight w:val="none"/>
        </w:rPr>
      </w:pPr>
    </w:p>
    <w:p w14:paraId="71FD0161">
      <w:pPr>
        <w:pStyle w:val="22"/>
        <w:pageBreakBefore w:val="0"/>
        <w:kinsoku/>
        <w:overflowPunct/>
        <w:topLinePunct w:val="0"/>
        <w:autoSpaceDE/>
        <w:autoSpaceDN/>
        <w:bidi w:val="0"/>
        <w:spacing w:line="480" w:lineRule="exact"/>
        <w:ind w:left="0" w:leftChars="0" w:right="0" w:firstLine="2" w:firstLineChars="1"/>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投标人（加盖投标人电子公章）：</w:t>
      </w:r>
    </w:p>
    <w:p w14:paraId="33C63A8F">
      <w:pPr>
        <w:pStyle w:val="22"/>
        <w:pageBreakBefore w:val="0"/>
        <w:kinsoku/>
        <w:overflowPunct/>
        <w:topLinePunct w:val="0"/>
        <w:autoSpaceDE/>
        <w:autoSpaceDN/>
        <w:bidi w:val="0"/>
        <w:spacing w:line="480" w:lineRule="exact"/>
        <w:ind w:left="0" w:leftChars="0" w:right="0" w:firstLine="2" w:firstLineChars="1"/>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r>
        <w:rPr>
          <w:rFonts w:hint="eastAsia" w:ascii="宋体" w:hAnsi="宋体" w:eastAsia="宋体" w:cs="宋体"/>
          <w:color w:val="auto"/>
          <w:szCs w:val="21"/>
          <w:highlight w:val="none"/>
          <w:lang w:eastAsia="zh-CN"/>
        </w:rPr>
        <w:t>（电子签名或电子签章）</w:t>
      </w:r>
      <w:r>
        <w:rPr>
          <w:rFonts w:hint="eastAsia" w:ascii="宋体" w:hAnsi="宋体" w:eastAsia="宋体" w:cs="宋体"/>
          <w:color w:val="auto"/>
          <w:szCs w:val="21"/>
          <w:highlight w:val="none"/>
        </w:rPr>
        <w:t>：</w:t>
      </w:r>
    </w:p>
    <w:p w14:paraId="35BB019C">
      <w:pPr>
        <w:pageBreakBefore w:val="0"/>
        <w:kinsoku/>
        <w:overflowPunct/>
        <w:topLinePunct w:val="0"/>
        <w:autoSpaceDE/>
        <w:autoSpaceDN/>
        <w:bidi w:val="0"/>
        <w:spacing w:line="480" w:lineRule="exact"/>
        <w:ind w:left="0" w:leftChars="0" w:right="0"/>
        <w:outlineLvl w:val="9"/>
        <w:rPr>
          <w:rFonts w:hint="eastAsia" w:ascii="宋体" w:hAnsi="宋体" w:eastAsia="宋体" w:cs="宋体"/>
          <w:b/>
          <w:color w:val="auto"/>
          <w:sz w:val="28"/>
          <w:szCs w:val="28"/>
          <w:highlight w:val="none"/>
        </w:rPr>
      </w:pPr>
      <w:r>
        <w:rPr>
          <w:rFonts w:hint="eastAsia" w:ascii="宋体" w:hAnsi="宋体" w:eastAsia="宋体" w:cs="宋体"/>
          <w:color w:val="auto"/>
          <w:szCs w:val="21"/>
          <w:highlight w:val="none"/>
        </w:rPr>
        <w:t>日期：</w:t>
      </w:r>
      <w:r>
        <w:rPr>
          <w:rFonts w:hint="eastAsia" w:ascii="宋体" w:hAnsi="宋体" w:eastAsia="宋体" w:cs="宋体"/>
          <w:b/>
          <w:color w:val="auto"/>
          <w:sz w:val="28"/>
          <w:szCs w:val="28"/>
          <w:highlight w:val="none"/>
        </w:rPr>
        <w:br w:type="page"/>
      </w:r>
    </w:p>
    <w:p w14:paraId="0C2F75F5">
      <w:pPr>
        <w:pageBreakBefore w:val="0"/>
        <w:widowControl/>
        <w:kinsoku/>
        <w:overflowPunct/>
        <w:topLinePunct w:val="0"/>
        <w:autoSpaceDE/>
        <w:autoSpaceDN/>
        <w:bidi w:val="0"/>
        <w:spacing w:line="480" w:lineRule="exact"/>
        <w:ind w:left="0" w:leftChars="0" w:right="0"/>
        <w:jc w:val="left"/>
        <w:outlineLvl w:val="9"/>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格式</w:t>
      </w:r>
      <w:r>
        <w:rPr>
          <w:rFonts w:hint="eastAsia" w:ascii="宋体" w:hAnsi="宋体" w:cs="宋体"/>
          <w:b/>
          <w:color w:val="auto"/>
          <w:sz w:val="28"/>
          <w:szCs w:val="28"/>
          <w:highlight w:val="none"/>
          <w:lang w:val="en-US" w:eastAsia="zh-CN"/>
        </w:rPr>
        <w:t>15</w:t>
      </w:r>
    </w:p>
    <w:p w14:paraId="462A0827">
      <w:pPr>
        <w:pageBreakBefore w:val="0"/>
        <w:widowControl/>
        <w:kinsoku/>
        <w:overflowPunct/>
        <w:topLinePunct w:val="0"/>
        <w:autoSpaceDE/>
        <w:autoSpaceDN/>
        <w:bidi w:val="0"/>
        <w:spacing w:line="480" w:lineRule="exact"/>
        <w:ind w:left="0" w:leftChars="0" w:right="0"/>
        <w:jc w:val="center"/>
        <w:outlineLvl w:val="9"/>
        <w:rPr>
          <w:rFonts w:hint="eastAsia" w:ascii="宋体" w:hAnsi="宋体" w:eastAsia="宋体" w:cs="宋体"/>
          <w:b/>
          <w:color w:val="auto"/>
          <w:kern w:val="2"/>
          <w:sz w:val="28"/>
          <w:szCs w:val="28"/>
          <w:highlight w:val="none"/>
          <w:lang w:val="en-US" w:eastAsia="zh-CN" w:bidi="ar-SA"/>
        </w:rPr>
      </w:pPr>
      <w:r>
        <w:rPr>
          <w:rFonts w:hint="eastAsia" w:ascii="宋体" w:hAnsi="宋体" w:eastAsia="宋体" w:cs="宋体"/>
          <w:b/>
          <w:color w:val="auto"/>
          <w:kern w:val="2"/>
          <w:sz w:val="28"/>
          <w:szCs w:val="28"/>
          <w:highlight w:val="none"/>
          <w:lang w:val="en-US" w:eastAsia="zh-CN" w:bidi="ar-SA"/>
        </w:rPr>
        <w:t>法定代表人身份证明书</w:t>
      </w:r>
    </w:p>
    <w:p w14:paraId="1A425AA5">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b/>
          <w:color w:val="auto"/>
          <w:sz w:val="30"/>
          <w:szCs w:val="30"/>
          <w:highlight w:val="none"/>
        </w:rPr>
      </w:pPr>
    </w:p>
    <w:p w14:paraId="5047AF73">
      <w:pPr>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rPr>
        <w:t>投标人名称：</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eastAsia="zh-CN"/>
        </w:rPr>
        <w:t>。</w:t>
      </w:r>
    </w:p>
    <w:p w14:paraId="0C2EBCD3">
      <w:pPr>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rPr>
        <w:t>单位性质：</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eastAsia="zh-CN"/>
        </w:rPr>
        <w:t>。</w:t>
      </w:r>
    </w:p>
    <w:p w14:paraId="0F937B8F">
      <w:pPr>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成立时间：</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年</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月</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日</w:t>
      </w:r>
    </w:p>
    <w:p w14:paraId="17230B60">
      <w:pPr>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经营期限：</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eastAsia="zh-CN"/>
        </w:rPr>
        <w:t>。</w:t>
      </w:r>
    </w:p>
    <w:p w14:paraId="2261FB0E">
      <w:pPr>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姓名：</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性别：</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年龄：</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职务：</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w:t>
      </w:r>
    </w:p>
    <w:p w14:paraId="3840D597">
      <w:pPr>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系</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（投标人名称）</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的法定代表人。</w:t>
      </w:r>
    </w:p>
    <w:p w14:paraId="1779B9CD">
      <w:pPr>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p>
    <w:p w14:paraId="66BF2EAB">
      <w:pPr>
        <w:pageBreakBefore w:val="0"/>
        <w:kinsoku/>
        <w:overflowPunct/>
        <w:topLinePunct w:val="0"/>
        <w:autoSpaceDE/>
        <w:autoSpaceDN/>
        <w:bidi w:val="0"/>
        <w:spacing w:line="480" w:lineRule="exact"/>
        <w:ind w:left="0" w:leftChars="0" w:right="0" w:firstLine="420" w:firstLineChars="200"/>
        <w:outlineLvl w:val="9"/>
        <w:rPr>
          <w:rFonts w:hint="eastAsia" w:ascii="宋体" w:hAnsi="宋体" w:eastAsia="宋体" w:cs="宋体"/>
          <w:color w:val="auto"/>
          <w:szCs w:val="21"/>
          <w:highlight w:val="none"/>
        </w:rPr>
      </w:pPr>
    </w:p>
    <w:p w14:paraId="7CA8EB38">
      <w:pPr>
        <w:pageBreakBefore w:val="0"/>
        <w:kinsoku/>
        <w:overflowPunct/>
        <w:topLinePunct w:val="0"/>
        <w:autoSpaceDE/>
        <w:autoSpaceDN/>
        <w:bidi w:val="0"/>
        <w:spacing w:line="480" w:lineRule="exact"/>
        <w:ind w:left="0" w:leftChars="0" w:right="0"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特此证明。</w:t>
      </w:r>
    </w:p>
    <w:p w14:paraId="581891AD">
      <w:pPr>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p>
    <w:p w14:paraId="7A9D0835">
      <w:pPr>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p>
    <w:p w14:paraId="1831A031">
      <w:pPr>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投标人（加盖投标人</w:t>
      </w:r>
      <w:r>
        <w:rPr>
          <w:rFonts w:hint="eastAsia" w:ascii="宋体" w:hAnsi="宋体" w:eastAsia="宋体" w:cs="宋体"/>
          <w:color w:val="auto"/>
          <w:szCs w:val="21"/>
          <w:highlight w:val="none"/>
          <w:lang w:eastAsia="zh-CN"/>
        </w:rPr>
        <w:t>电子</w:t>
      </w:r>
      <w:r>
        <w:rPr>
          <w:rFonts w:hint="eastAsia" w:ascii="宋体" w:hAnsi="宋体" w:eastAsia="宋体" w:cs="宋体"/>
          <w:color w:val="auto"/>
          <w:szCs w:val="21"/>
          <w:highlight w:val="none"/>
        </w:rPr>
        <w:t>公章）：</w:t>
      </w:r>
    </w:p>
    <w:p w14:paraId="5E1BC4FA">
      <w:pPr>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p>
    <w:p w14:paraId="2DBD66DF">
      <w:pPr>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p>
    <w:p w14:paraId="7CB8B07F">
      <w:pPr>
        <w:pStyle w:val="22"/>
        <w:pageBreakBefore w:val="0"/>
        <w:kinsoku/>
        <w:overflowPunct/>
        <w:topLinePunct w:val="0"/>
        <w:autoSpaceDE/>
        <w:autoSpaceDN/>
        <w:bidi w:val="0"/>
        <w:spacing w:line="480" w:lineRule="exact"/>
        <w:ind w:left="0" w:leftChars="0" w:right="0" w:firstLine="420"/>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注:在投标文件中附法定代表人居民身份证（如非中国国籍应提供护照）</w:t>
      </w:r>
      <w:r>
        <w:rPr>
          <w:rFonts w:hint="eastAsia" w:ascii="宋体" w:hAnsi="宋体" w:eastAsia="宋体" w:cs="宋体"/>
          <w:b/>
          <w:bCs/>
          <w:color w:val="auto"/>
          <w:szCs w:val="21"/>
          <w:highlight w:val="none"/>
          <w:lang w:val="en-US" w:eastAsia="zh-CN"/>
        </w:rPr>
        <w:t>扫描</w:t>
      </w:r>
      <w:r>
        <w:rPr>
          <w:rFonts w:hint="eastAsia" w:ascii="宋体" w:hAnsi="宋体" w:eastAsia="宋体" w:cs="宋体"/>
          <w:b/>
          <w:bCs/>
          <w:color w:val="auto"/>
          <w:szCs w:val="21"/>
          <w:highlight w:val="none"/>
        </w:rPr>
        <w:t>件。</w:t>
      </w:r>
    </w:p>
    <w:p w14:paraId="190741D5">
      <w:pPr>
        <w:pageBreakBefore w:val="0"/>
        <w:widowControl/>
        <w:kinsoku/>
        <w:overflowPunct/>
        <w:topLinePunct w:val="0"/>
        <w:autoSpaceDE/>
        <w:autoSpaceDN/>
        <w:bidi w:val="0"/>
        <w:spacing w:line="480" w:lineRule="exact"/>
        <w:ind w:left="0" w:leftChars="0" w:right="0"/>
        <w:jc w:val="left"/>
        <w:outlineLvl w:val="9"/>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br w:type="page"/>
      </w:r>
      <w:r>
        <w:rPr>
          <w:rFonts w:hint="eastAsia" w:ascii="宋体" w:hAnsi="宋体" w:eastAsia="宋体" w:cs="宋体"/>
          <w:b/>
          <w:color w:val="auto"/>
          <w:sz w:val="28"/>
          <w:szCs w:val="28"/>
          <w:highlight w:val="none"/>
        </w:rPr>
        <w:t>格式</w:t>
      </w:r>
      <w:r>
        <w:rPr>
          <w:rFonts w:hint="eastAsia" w:ascii="宋体" w:hAnsi="宋体" w:cs="宋体"/>
          <w:b/>
          <w:color w:val="auto"/>
          <w:sz w:val="28"/>
          <w:szCs w:val="28"/>
          <w:highlight w:val="none"/>
          <w:lang w:val="en-US" w:eastAsia="zh-CN"/>
        </w:rPr>
        <w:t>16</w:t>
      </w:r>
    </w:p>
    <w:p w14:paraId="6371F941">
      <w:pPr>
        <w:pageBreakBefore w:val="0"/>
        <w:widowControl/>
        <w:kinsoku/>
        <w:overflowPunct/>
        <w:topLinePunct w:val="0"/>
        <w:autoSpaceDE/>
        <w:autoSpaceDN/>
        <w:bidi w:val="0"/>
        <w:spacing w:line="480" w:lineRule="exact"/>
        <w:ind w:left="0" w:leftChars="0" w:right="0"/>
        <w:jc w:val="center"/>
        <w:outlineLvl w:val="9"/>
        <w:rPr>
          <w:rFonts w:hint="eastAsia" w:ascii="宋体" w:hAnsi="宋体" w:eastAsia="宋体" w:cs="宋体"/>
          <w:b/>
          <w:color w:val="auto"/>
          <w:kern w:val="2"/>
          <w:sz w:val="28"/>
          <w:szCs w:val="28"/>
          <w:highlight w:val="none"/>
          <w:lang w:val="en-US" w:eastAsia="zh-CN" w:bidi="ar-SA"/>
        </w:rPr>
      </w:pPr>
      <w:r>
        <w:rPr>
          <w:rFonts w:hint="eastAsia" w:ascii="宋体" w:hAnsi="宋体" w:eastAsia="宋体" w:cs="宋体"/>
          <w:b/>
          <w:color w:val="auto"/>
          <w:kern w:val="2"/>
          <w:sz w:val="28"/>
          <w:szCs w:val="28"/>
          <w:highlight w:val="none"/>
          <w:lang w:val="en-US" w:eastAsia="zh-CN" w:bidi="ar-SA"/>
        </w:rPr>
        <w:t>法定代表人授权委托书</w:t>
      </w:r>
    </w:p>
    <w:p w14:paraId="053F5253">
      <w:pPr>
        <w:pStyle w:val="22"/>
        <w:pageBreakBefore w:val="0"/>
        <w:kinsoku/>
        <w:overflowPunct/>
        <w:topLinePunct w:val="0"/>
        <w:autoSpaceDE/>
        <w:autoSpaceDN/>
        <w:bidi w:val="0"/>
        <w:spacing w:line="480" w:lineRule="exact"/>
        <w:ind w:left="0" w:leftChars="0" w:right="0" w:firstLine="480" w:firstLineChars="200"/>
        <w:outlineLvl w:val="9"/>
        <w:rPr>
          <w:rFonts w:hint="eastAsia" w:ascii="宋体" w:hAnsi="宋体" w:eastAsia="宋体" w:cs="宋体"/>
          <w:color w:val="auto"/>
          <w:sz w:val="24"/>
          <w:szCs w:val="24"/>
          <w:highlight w:val="none"/>
        </w:rPr>
      </w:pPr>
    </w:p>
    <w:p w14:paraId="25C6588E">
      <w:pPr>
        <w:pageBreakBefore w:val="0"/>
        <w:kinsoku/>
        <w:overflowPunct/>
        <w:topLinePunct w:val="0"/>
        <w:autoSpaceDE/>
        <w:autoSpaceDN/>
        <w:bidi w:val="0"/>
        <w:spacing w:line="480" w:lineRule="exact"/>
        <w:ind w:left="0" w:leftChars="0" w:right="0"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本授权书声明：</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（投标人全称）</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的法定代表人代表本公司授权</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（委托代理人姓名）</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为本公司合法代理人，就贵方组织的有关</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（项目名称）</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项目（项目编号：</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）的招标，以本单位名义投标。委托代理人在本项目投标过程中所签署的一切文件和处理与之有关的一切事务，我方均予承认。</w:t>
      </w:r>
    </w:p>
    <w:p w14:paraId="28B1A027">
      <w:pPr>
        <w:pStyle w:val="22"/>
        <w:pageBreakBefore w:val="0"/>
        <w:kinsoku/>
        <w:overflowPunct/>
        <w:topLinePunct w:val="0"/>
        <w:autoSpaceDE/>
        <w:autoSpaceDN/>
        <w:bidi w:val="0"/>
        <w:spacing w:line="480" w:lineRule="exact"/>
        <w:ind w:left="0" w:leftChars="0" w:right="0" w:firstLine="42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委托代理人无转委托权。</w:t>
      </w:r>
    </w:p>
    <w:p w14:paraId="599002FF">
      <w:pPr>
        <w:pStyle w:val="22"/>
        <w:pageBreakBefore w:val="0"/>
        <w:kinsoku/>
        <w:overflowPunct/>
        <w:topLinePunct w:val="0"/>
        <w:autoSpaceDE/>
        <w:autoSpaceDN/>
        <w:bidi w:val="0"/>
        <w:spacing w:line="480" w:lineRule="exact"/>
        <w:ind w:left="0" w:leftChars="0" w:right="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投标人（加盖投标人电子公章）：</w:t>
      </w:r>
    </w:p>
    <w:p w14:paraId="3A3D3BBE">
      <w:pPr>
        <w:pStyle w:val="22"/>
        <w:pageBreakBefore w:val="0"/>
        <w:kinsoku/>
        <w:overflowPunct/>
        <w:topLinePunct w:val="0"/>
        <w:autoSpaceDE/>
        <w:autoSpaceDN/>
        <w:bidi w:val="0"/>
        <w:spacing w:line="480" w:lineRule="exact"/>
        <w:ind w:left="0" w:leftChars="0" w:right="0"/>
        <w:jc w:val="left"/>
        <w:outlineLvl w:val="9"/>
        <w:rPr>
          <w:rFonts w:hint="eastAsia" w:ascii="宋体" w:hAnsi="宋体" w:eastAsia="宋体" w:cs="宋体"/>
          <w:color w:val="auto"/>
          <w:szCs w:val="21"/>
          <w:highlight w:val="none"/>
        </w:rPr>
      </w:pPr>
    </w:p>
    <w:p w14:paraId="5CF4CF27">
      <w:pPr>
        <w:pStyle w:val="22"/>
        <w:pageBreakBefore w:val="0"/>
        <w:kinsoku/>
        <w:overflowPunct/>
        <w:topLinePunct w:val="0"/>
        <w:autoSpaceDE/>
        <w:autoSpaceDN/>
        <w:bidi w:val="0"/>
        <w:spacing w:line="480" w:lineRule="exact"/>
        <w:ind w:left="0" w:leftChars="0" w:right="0"/>
        <w:jc w:val="left"/>
        <w:outlineLvl w:val="9"/>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rPr>
        <w:t>法定代表人</w:t>
      </w:r>
      <w:r>
        <w:rPr>
          <w:rFonts w:hint="eastAsia" w:ascii="宋体" w:hAnsi="宋体" w:eastAsia="宋体" w:cs="宋体"/>
          <w:color w:val="auto"/>
          <w:szCs w:val="21"/>
          <w:highlight w:val="none"/>
          <w:lang w:eastAsia="zh-CN"/>
        </w:rPr>
        <w:t>（电子签名或电子签章）</w:t>
      </w:r>
      <w:r>
        <w:rPr>
          <w:rFonts w:hint="eastAsia" w:ascii="宋体" w:hAnsi="宋体" w:eastAsia="宋体" w:cs="宋体"/>
          <w:color w:val="auto"/>
          <w:szCs w:val="21"/>
          <w:highlight w:val="none"/>
        </w:rPr>
        <w:t>：</w:t>
      </w:r>
    </w:p>
    <w:p w14:paraId="4EAC1A86">
      <w:pPr>
        <w:pStyle w:val="22"/>
        <w:pageBreakBefore w:val="0"/>
        <w:kinsoku/>
        <w:overflowPunct/>
        <w:topLinePunct w:val="0"/>
        <w:autoSpaceDE/>
        <w:autoSpaceDN/>
        <w:bidi w:val="0"/>
        <w:spacing w:line="480" w:lineRule="exact"/>
        <w:ind w:left="0" w:leftChars="0" w:right="0"/>
        <w:jc w:val="left"/>
        <w:outlineLvl w:val="9"/>
        <w:rPr>
          <w:rFonts w:hint="eastAsia" w:ascii="宋体" w:hAnsi="宋体" w:eastAsia="宋体" w:cs="宋体"/>
          <w:color w:val="auto"/>
          <w:szCs w:val="21"/>
          <w:highlight w:val="none"/>
          <w:u w:val="single"/>
        </w:rPr>
      </w:pPr>
    </w:p>
    <w:p w14:paraId="762203ED">
      <w:pPr>
        <w:pStyle w:val="22"/>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p>
    <w:p w14:paraId="403A3C07">
      <w:pPr>
        <w:pStyle w:val="22"/>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p>
    <w:tbl>
      <w:tblPr>
        <w:tblStyle w:val="47"/>
        <w:tblW w:w="5868" w:type="dxa"/>
        <w:tblInd w:w="720" w:type="dxa"/>
        <w:tblLayout w:type="fixed"/>
        <w:tblCellMar>
          <w:top w:w="0" w:type="dxa"/>
          <w:left w:w="108" w:type="dxa"/>
          <w:bottom w:w="0" w:type="dxa"/>
          <w:right w:w="108" w:type="dxa"/>
        </w:tblCellMar>
      </w:tblPr>
      <w:tblGrid>
        <w:gridCol w:w="1908"/>
        <w:gridCol w:w="3960"/>
      </w:tblGrid>
      <w:tr w14:paraId="1106B66E">
        <w:tblPrEx>
          <w:tblCellMar>
            <w:top w:w="0" w:type="dxa"/>
            <w:left w:w="108" w:type="dxa"/>
            <w:bottom w:w="0" w:type="dxa"/>
            <w:right w:w="108" w:type="dxa"/>
          </w:tblCellMar>
        </w:tblPrEx>
        <w:tc>
          <w:tcPr>
            <w:tcW w:w="1908" w:type="dxa"/>
            <w:tcBorders>
              <w:top w:val="nil"/>
              <w:left w:val="nil"/>
              <w:bottom w:val="nil"/>
              <w:right w:val="nil"/>
            </w:tcBorders>
          </w:tcPr>
          <w:p w14:paraId="64EBC6B9">
            <w:pPr>
              <w:pStyle w:val="22"/>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附：</w:t>
            </w:r>
          </w:p>
        </w:tc>
        <w:tc>
          <w:tcPr>
            <w:tcW w:w="3960" w:type="dxa"/>
            <w:tcBorders>
              <w:top w:val="nil"/>
              <w:left w:val="nil"/>
              <w:bottom w:val="nil"/>
              <w:right w:val="nil"/>
            </w:tcBorders>
          </w:tcPr>
          <w:p w14:paraId="759B48B2">
            <w:pPr>
              <w:pStyle w:val="22"/>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p>
        </w:tc>
      </w:tr>
      <w:tr w14:paraId="703F2F1A">
        <w:tblPrEx>
          <w:tblCellMar>
            <w:top w:w="0" w:type="dxa"/>
            <w:left w:w="108" w:type="dxa"/>
            <w:bottom w:w="0" w:type="dxa"/>
            <w:right w:w="108" w:type="dxa"/>
          </w:tblCellMar>
        </w:tblPrEx>
        <w:tc>
          <w:tcPr>
            <w:tcW w:w="1908" w:type="dxa"/>
            <w:tcBorders>
              <w:top w:val="nil"/>
              <w:left w:val="nil"/>
              <w:bottom w:val="nil"/>
              <w:right w:val="nil"/>
            </w:tcBorders>
          </w:tcPr>
          <w:p w14:paraId="0B3E947E">
            <w:pPr>
              <w:pStyle w:val="22"/>
              <w:pageBreakBefore w:val="0"/>
              <w:kinsoku/>
              <w:overflowPunct/>
              <w:topLinePunct w:val="0"/>
              <w:autoSpaceDE/>
              <w:autoSpaceDN/>
              <w:bidi w:val="0"/>
              <w:spacing w:line="480" w:lineRule="exact"/>
              <w:ind w:left="0" w:leftChars="0" w:right="0"/>
              <w:jc w:val="distribute"/>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委托代理人姓名：</w:t>
            </w:r>
          </w:p>
        </w:tc>
        <w:tc>
          <w:tcPr>
            <w:tcW w:w="3960" w:type="dxa"/>
            <w:tcBorders>
              <w:top w:val="nil"/>
              <w:left w:val="nil"/>
              <w:bottom w:val="nil"/>
              <w:right w:val="nil"/>
            </w:tcBorders>
          </w:tcPr>
          <w:p w14:paraId="4E30A117">
            <w:pPr>
              <w:pStyle w:val="22"/>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p>
        </w:tc>
      </w:tr>
      <w:tr w14:paraId="29AD57D8">
        <w:tblPrEx>
          <w:tblCellMar>
            <w:top w:w="0" w:type="dxa"/>
            <w:left w:w="108" w:type="dxa"/>
            <w:bottom w:w="0" w:type="dxa"/>
            <w:right w:w="108" w:type="dxa"/>
          </w:tblCellMar>
        </w:tblPrEx>
        <w:tc>
          <w:tcPr>
            <w:tcW w:w="1908" w:type="dxa"/>
            <w:tcBorders>
              <w:top w:val="nil"/>
              <w:left w:val="nil"/>
              <w:bottom w:val="nil"/>
              <w:right w:val="nil"/>
            </w:tcBorders>
          </w:tcPr>
          <w:p w14:paraId="029E24EE">
            <w:pPr>
              <w:pStyle w:val="22"/>
              <w:pageBreakBefore w:val="0"/>
              <w:kinsoku/>
              <w:overflowPunct/>
              <w:topLinePunct w:val="0"/>
              <w:autoSpaceDE/>
              <w:autoSpaceDN/>
              <w:bidi w:val="0"/>
              <w:spacing w:line="480" w:lineRule="exact"/>
              <w:ind w:left="0" w:leftChars="0" w:right="0"/>
              <w:jc w:val="distribute"/>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职务：</w:t>
            </w:r>
          </w:p>
        </w:tc>
        <w:tc>
          <w:tcPr>
            <w:tcW w:w="3960" w:type="dxa"/>
            <w:tcBorders>
              <w:top w:val="nil"/>
              <w:left w:val="nil"/>
              <w:bottom w:val="nil"/>
              <w:right w:val="nil"/>
            </w:tcBorders>
          </w:tcPr>
          <w:p w14:paraId="4BAFD7FF">
            <w:pPr>
              <w:pStyle w:val="22"/>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p>
        </w:tc>
      </w:tr>
      <w:tr w14:paraId="593C1D6A">
        <w:tblPrEx>
          <w:tblCellMar>
            <w:top w:w="0" w:type="dxa"/>
            <w:left w:w="108" w:type="dxa"/>
            <w:bottom w:w="0" w:type="dxa"/>
            <w:right w:w="108" w:type="dxa"/>
          </w:tblCellMar>
        </w:tblPrEx>
        <w:tc>
          <w:tcPr>
            <w:tcW w:w="1908" w:type="dxa"/>
            <w:tcBorders>
              <w:top w:val="nil"/>
              <w:left w:val="nil"/>
              <w:bottom w:val="nil"/>
              <w:right w:val="nil"/>
            </w:tcBorders>
          </w:tcPr>
          <w:p w14:paraId="42982494">
            <w:pPr>
              <w:pStyle w:val="22"/>
              <w:pageBreakBefore w:val="0"/>
              <w:kinsoku/>
              <w:overflowPunct/>
              <w:topLinePunct w:val="0"/>
              <w:autoSpaceDE/>
              <w:autoSpaceDN/>
              <w:bidi w:val="0"/>
              <w:spacing w:line="480" w:lineRule="exact"/>
              <w:ind w:left="0" w:leftChars="0" w:right="0"/>
              <w:jc w:val="distribute"/>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居民身份证号码：</w:t>
            </w:r>
          </w:p>
        </w:tc>
        <w:tc>
          <w:tcPr>
            <w:tcW w:w="3960" w:type="dxa"/>
            <w:tcBorders>
              <w:top w:val="nil"/>
              <w:left w:val="nil"/>
              <w:bottom w:val="nil"/>
              <w:right w:val="nil"/>
            </w:tcBorders>
          </w:tcPr>
          <w:p w14:paraId="1F6A64FF">
            <w:pPr>
              <w:pStyle w:val="22"/>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p>
        </w:tc>
      </w:tr>
      <w:tr w14:paraId="1AE94784">
        <w:tblPrEx>
          <w:tblCellMar>
            <w:top w:w="0" w:type="dxa"/>
            <w:left w:w="108" w:type="dxa"/>
            <w:bottom w:w="0" w:type="dxa"/>
            <w:right w:w="108" w:type="dxa"/>
          </w:tblCellMar>
        </w:tblPrEx>
        <w:tc>
          <w:tcPr>
            <w:tcW w:w="1908" w:type="dxa"/>
            <w:tcBorders>
              <w:top w:val="nil"/>
              <w:left w:val="nil"/>
              <w:bottom w:val="nil"/>
              <w:right w:val="nil"/>
            </w:tcBorders>
          </w:tcPr>
          <w:p w14:paraId="272F64A5">
            <w:pPr>
              <w:pStyle w:val="22"/>
              <w:pageBreakBefore w:val="0"/>
              <w:kinsoku/>
              <w:overflowPunct/>
              <w:topLinePunct w:val="0"/>
              <w:autoSpaceDE/>
              <w:autoSpaceDN/>
              <w:bidi w:val="0"/>
              <w:spacing w:line="480" w:lineRule="exact"/>
              <w:ind w:left="0" w:leftChars="0" w:right="0"/>
              <w:jc w:val="distribute"/>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详细地址：</w:t>
            </w:r>
          </w:p>
        </w:tc>
        <w:tc>
          <w:tcPr>
            <w:tcW w:w="3960" w:type="dxa"/>
            <w:tcBorders>
              <w:top w:val="nil"/>
              <w:left w:val="nil"/>
              <w:bottom w:val="nil"/>
              <w:right w:val="nil"/>
            </w:tcBorders>
          </w:tcPr>
          <w:p w14:paraId="1B50AD83">
            <w:pPr>
              <w:pStyle w:val="22"/>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p>
        </w:tc>
      </w:tr>
      <w:tr w14:paraId="2060E48E">
        <w:tblPrEx>
          <w:tblCellMar>
            <w:top w:w="0" w:type="dxa"/>
            <w:left w:w="108" w:type="dxa"/>
            <w:bottom w:w="0" w:type="dxa"/>
            <w:right w:w="108" w:type="dxa"/>
          </w:tblCellMar>
        </w:tblPrEx>
        <w:tc>
          <w:tcPr>
            <w:tcW w:w="1908" w:type="dxa"/>
            <w:tcBorders>
              <w:top w:val="nil"/>
              <w:left w:val="nil"/>
              <w:bottom w:val="nil"/>
              <w:right w:val="nil"/>
            </w:tcBorders>
          </w:tcPr>
          <w:p w14:paraId="412DAA3B">
            <w:pPr>
              <w:pStyle w:val="22"/>
              <w:pageBreakBefore w:val="0"/>
              <w:kinsoku/>
              <w:overflowPunct/>
              <w:topLinePunct w:val="0"/>
              <w:autoSpaceDE/>
              <w:autoSpaceDN/>
              <w:bidi w:val="0"/>
              <w:spacing w:line="480" w:lineRule="exact"/>
              <w:ind w:left="0" w:leftChars="0" w:right="0"/>
              <w:jc w:val="distribute"/>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电话：</w:t>
            </w:r>
          </w:p>
        </w:tc>
        <w:tc>
          <w:tcPr>
            <w:tcW w:w="3960" w:type="dxa"/>
            <w:tcBorders>
              <w:top w:val="nil"/>
              <w:left w:val="nil"/>
              <w:bottom w:val="nil"/>
              <w:right w:val="nil"/>
            </w:tcBorders>
          </w:tcPr>
          <w:p w14:paraId="62AB144F">
            <w:pPr>
              <w:pStyle w:val="22"/>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p>
        </w:tc>
      </w:tr>
      <w:tr w14:paraId="098BC8B8">
        <w:tblPrEx>
          <w:tblCellMar>
            <w:top w:w="0" w:type="dxa"/>
            <w:left w:w="108" w:type="dxa"/>
            <w:bottom w:w="0" w:type="dxa"/>
            <w:right w:w="108" w:type="dxa"/>
          </w:tblCellMar>
        </w:tblPrEx>
        <w:tc>
          <w:tcPr>
            <w:tcW w:w="1908" w:type="dxa"/>
            <w:tcBorders>
              <w:top w:val="nil"/>
              <w:left w:val="nil"/>
              <w:bottom w:val="nil"/>
              <w:right w:val="nil"/>
            </w:tcBorders>
          </w:tcPr>
          <w:p w14:paraId="291EBB38">
            <w:pPr>
              <w:pStyle w:val="22"/>
              <w:pageBreakBefore w:val="0"/>
              <w:kinsoku/>
              <w:overflowPunct/>
              <w:topLinePunct w:val="0"/>
              <w:autoSpaceDE/>
              <w:autoSpaceDN/>
              <w:bidi w:val="0"/>
              <w:spacing w:line="480" w:lineRule="exact"/>
              <w:ind w:left="0" w:leftChars="0" w:right="0"/>
              <w:jc w:val="distribute"/>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电子邮箱：</w:t>
            </w:r>
          </w:p>
        </w:tc>
        <w:tc>
          <w:tcPr>
            <w:tcW w:w="3960" w:type="dxa"/>
            <w:tcBorders>
              <w:top w:val="nil"/>
              <w:left w:val="nil"/>
              <w:bottom w:val="nil"/>
              <w:right w:val="nil"/>
            </w:tcBorders>
          </w:tcPr>
          <w:p w14:paraId="43323582">
            <w:pPr>
              <w:pStyle w:val="22"/>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p>
        </w:tc>
      </w:tr>
    </w:tbl>
    <w:p w14:paraId="0A99EAE2">
      <w:pPr>
        <w:pStyle w:val="22"/>
        <w:pageBreakBefore w:val="0"/>
        <w:kinsoku/>
        <w:overflowPunct/>
        <w:topLinePunct w:val="0"/>
        <w:autoSpaceDE/>
        <w:autoSpaceDN/>
        <w:bidi w:val="0"/>
        <w:spacing w:line="480" w:lineRule="exact"/>
        <w:ind w:left="0" w:leftChars="0" w:right="0" w:firstLine="420"/>
        <w:outlineLvl w:val="9"/>
        <w:rPr>
          <w:rFonts w:hint="eastAsia" w:ascii="宋体" w:hAnsi="宋体" w:eastAsia="宋体" w:cs="宋体"/>
          <w:color w:val="auto"/>
          <w:sz w:val="24"/>
          <w:szCs w:val="24"/>
          <w:highlight w:val="none"/>
        </w:rPr>
      </w:pPr>
      <w:r>
        <w:rPr>
          <w:rFonts w:hint="eastAsia" w:ascii="宋体" w:hAnsi="宋体" w:eastAsia="宋体" w:cs="宋体"/>
          <w:b/>
          <w:bCs/>
          <w:color w:val="auto"/>
          <w:szCs w:val="21"/>
          <w:highlight w:val="none"/>
        </w:rPr>
        <w:t>注:在投标文件中附委托代理人居民身份证（如非中国国籍应提供护照）</w:t>
      </w:r>
      <w:r>
        <w:rPr>
          <w:rFonts w:hint="eastAsia" w:ascii="宋体" w:hAnsi="宋体" w:eastAsia="宋体" w:cs="宋体"/>
          <w:b/>
          <w:bCs/>
          <w:color w:val="auto"/>
          <w:szCs w:val="21"/>
          <w:highlight w:val="none"/>
          <w:lang w:val="en-US" w:eastAsia="zh-CN"/>
        </w:rPr>
        <w:t>扫描</w:t>
      </w:r>
      <w:r>
        <w:rPr>
          <w:rFonts w:hint="eastAsia" w:ascii="宋体" w:hAnsi="宋体" w:eastAsia="宋体" w:cs="宋体"/>
          <w:b/>
          <w:bCs/>
          <w:color w:val="auto"/>
          <w:szCs w:val="21"/>
          <w:highlight w:val="none"/>
        </w:rPr>
        <w:t>件。</w:t>
      </w:r>
    </w:p>
    <w:p w14:paraId="2E59D03A">
      <w:pPr>
        <w:pageBreakBefore w:val="0"/>
        <w:widowControl/>
        <w:kinsoku/>
        <w:overflowPunct/>
        <w:topLinePunct w:val="0"/>
        <w:autoSpaceDE/>
        <w:autoSpaceDN/>
        <w:bidi w:val="0"/>
        <w:spacing w:line="480" w:lineRule="exact"/>
        <w:ind w:left="0" w:leftChars="0" w:right="0"/>
        <w:jc w:val="left"/>
        <w:outlineLvl w:val="9"/>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br w:type="page"/>
      </w:r>
      <w:r>
        <w:rPr>
          <w:rFonts w:hint="eastAsia" w:ascii="宋体" w:hAnsi="宋体" w:eastAsia="宋体" w:cs="宋体"/>
          <w:b/>
          <w:color w:val="auto"/>
          <w:sz w:val="28"/>
          <w:szCs w:val="28"/>
          <w:highlight w:val="none"/>
        </w:rPr>
        <w:t>格式</w:t>
      </w:r>
      <w:r>
        <w:rPr>
          <w:rFonts w:hint="eastAsia" w:ascii="宋体" w:hAnsi="宋体" w:cs="宋体"/>
          <w:b/>
          <w:color w:val="auto"/>
          <w:sz w:val="28"/>
          <w:szCs w:val="28"/>
          <w:highlight w:val="none"/>
          <w:lang w:val="en-US" w:eastAsia="zh-CN"/>
        </w:rPr>
        <w:t>17</w:t>
      </w:r>
    </w:p>
    <w:p w14:paraId="7D7C75A4">
      <w:pPr>
        <w:pageBreakBefore w:val="0"/>
        <w:widowControl/>
        <w:kinsoku/>
        <w:overflowPunct/>
        <w:topLinePunct w:val="0"/>
        <w:autoSpaceDE/>
        <w:autoSpaceDN/>
        <w:bidi w:val="0"/>
        <w:spacing w:line="480" w:lineRule="exact"/>
        <w:ind w:left="0" w:leftChars="0" w:right="0"/>
        <w:jc w:val="center"/>
        <w:outlineLvl w:val="9"/>
        <w:rPr>
          <w:rFonts w:hint="eastAsia" w:ascii="宋体" w:hAnsi="宋体" w:eastAsia="宋体" w:cs="宋体"/>
          <w:b/>
          <w:color w:val="auto"/>
          <w:kern w:val="2"/>
          <w:sz w:val="28"/>
          <w:szCs w:val="28"/>
          <w:highlight w:val="none"/>
          <w:lang w:val="en-US" w:eastAsia="zh-CN" w:bidi="ar-SA"/>
        </w:rPr>
      </w:pPr>
      <w:r>
        <w:rPr>
          <w:rFonts w:hint="eastAsia" w:ascii="宋体" w:hAnsi="宋体" w:eastAsia="宋体" w:cs="宋体"/>
          <w:b/>
          <w:color w:val="auto"/>
          <w:kern w:val="2"/>
          <w:sz w:val="28"/>
          <w:szCs w:val="28"/>
          <w:highlight w:val="none"/>
          <w:lang w:val="en-US" w:eastAsia="zh-CN" w:bidi="ar-SA"/>
        </w:rPr>
        <w:t>投标人具备参加政府采购活动条件承诺书</w:t>
      </w:r>
    </w:p>
    <w:p w14:paraId="3B798B69">
      <w:pPr>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致：（采购人名称）</w:t>
      </w:r>
    </w:p>
    <w:p w14:paraId="546F7579">
      <w:pPr>
        <w:pageBreakBefore w:val="0"/>
        <w:kinsoku/>
        <w:overflowPunct/>
        <w:topLinePunct w:val="0"/>
        <w:autoSpaceDE/>
        <w:autoSpaceDN/>
        <w:bidi w:val="0"/>
        <w:spacing w:line="480" w:lineRule="exact"/>
        <w:ind w:left="0" w:leftChars="0" w:right="0" w:firstLine="4410" w:firstLineChars="2100"/>
        <w:outlineLvl w:val="9"/>
        <w:rPr>
          <w:rFonts w:hint="eastAsia" w:ascii="宋体" w:hAnsi="宋体" w:eastAsia="宋体" w:cs="宋体"/>
          <w:color w:val="auto"/>
          <w:szCs w:val="21"/>
          <w:highlight w:val="none"/>
        </w:rPr>
      </w:pPr>
    </w:p>
    <w:p w14:paraId="26FA80D6">
      <w:pPr>
        <w:pageBreakBefore w:val="0"/>
        <w:kinsoku/>
        <w:overflowPunct/>
        <w:topLinePunct w:val="0"/>
        <w:autoSpaceDE/>
        <w:autoSpaceDN/>
        <w:bidi w:val="0"/>
        <w:spacing w:line="480" w:lineRule="exact"/>
        <w:ind w:left="0" w:leftChars="0" w:right="0" w:firstLine="735" w:firstLineChars="35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（投标人自行承诺及说明，内容自拟）</w:t>
      </w:r>
    </w:p>
    <w:p w14:paraId="19E5604B">
      <w:pPr>
        <w:pageBreakBefore w:val="0"/>
        <w:kinsoku/>
        <w:overflowPunct/>
        <w:topLinePunct w:val="0"/>
        <w:autoSpaceDE/>
        <w:autoSpaceDN/>
        <w:bidi w:val="0"/>
        <w:spacing w:line="480" w:lineRule="exact"/>
        <w:ind w:left="0" w:leftChars="0" w:right="0"/>
        <w:jc w:val="left"/>
        <w:outlineLvl w:val="9"/>
        <w:rPr>
          <w:rFonts w:hint="eastAsia" w:ascii="宋体" w:hAnsi="宋体" w:eastAsia="宋体" w:cs="宋体"/>
          <w:color w:val="auto"/>
          <w:szCs w:val="21"/>
          <w:highlight w:val="none"/>
        </w:rPr>
      </w:pPr>
    </w:p>
    <w:p w14:paraId="66365E98">
      <w:pPr>
        <w:pageBreakBefore w:val="0"/>
        <w:kinsoku/>
        <w:overflowPunct/>
        <w:topLinePunct w:val="0"/>
        <w:autoSpaceDE/>
        <w:autoSpaceDN/>
        <w:bidi w:val="0"/>
        <w:spacing w:line="480" w:lineRule="exact"/>
        <w:ind w:left="0" w:leftChars="0" w:right="0"/>
        <w:jc w:val="left"/>
        <w:outlineLvl w:val="9"/>
        <w:rPr>
          <w:rFonts w:hint="eastAsia" w:ascii="宋体" w:hAnsi="宋体" w:eastAsia="宋体" w:cs="宋体"/>
          <w:color w:val="auto"/>
          <w:szCs w:val="21"/>
          <w:highlight w:val="none"/>
        </w:rPr>
      </w:pPr>
    </w:p>
    <w:p w14:paraId="7818BD67">
      <w:pPr>
        <w:pageBreakBefore w:val="0"/>
        <w:kinsoku/>
        <w:overflowPunct/>
        <w:topLinePunct w:val="0"/>
        <w:autoSpaceDE/>
        <w:autoSpaceDN/>
        <w:bidi w:val="0"/>
        <w:spacing w:line="480" w:lineRule="exact"/>
        <w:ind w:left="0" w:leftChars="0" w:right="0"/>
        <w:jc w:val="left"/>
        <w:outlineLvl w:val="9"/>
        <w:rPr>
          <w:rFonts w:hint="eastAsia" w:ascii="宋体" w:hAnsi="宋体" w:eastAsia="宋体" w:cs="宋体"/>
          <w:color w:val="auto"/>
          <w:szCs w:val="21"/>
          <w:highlight w:val="none"/>
        </w:rPr>
      </w:pPr>
    </w:p>
    <w:p w14:paraId="5D7A32A7">
      <w:pPr>
        <w:pageBreakBefore w:val="0"/>
        <w:kinsoku/>
        <w:overflowPunct/>
        <w:topLinePunct w:val="0"/>
        <w:autoSpaceDE/>
        <w:autoSpaceDN/>
        <w:bidi w:val="0"/>
        <w:spacing w:line="480" w:lineRule="exact"/>
        <w:ind w:left="0" w:leftChars="0" w:right="0"/>
        <w:jc w:val="left"/>
        <w:outlineLvl w:val="9"/>
        <w:rPr>
          <w:rFonts w:hint="eastAsia" w:ascii="宋体" w:hAnsi="宋体" w:eastAsia="宋体" w:cs="宋体"/>
          <w:color w:val="auto"/>
          <w:szCs w:val="21"/>
          <w:highlight w:val="none"/>
        </w:rPr>
      </w:pPr>
    </w:p>
    <w:p w14:paraId="402BA39D">
      <w:pPr>
        <w:pageBreakBefore w:val="0"/>
        <w:kinsoku/>
        <w:overflowPunct/>
        <w:topLinePunct w:val="0"/>
        <w:autoSpaceDE/>
        <w:autoSpaceDN/>
        <w:bidi w:val="0"/>
        <w:spacing w:line="480" w:lineRule="exact"/>
        <w:ind w:left="0" w:leftChars="0" w:right="0" w:firstLine="2" w:firstLineChars="1"/>
        <w:outlineLvl w:val="9"/>
        <w:rPr>
          <w:rFonts w:hint="eastAsia" w:ascii="宋体" w:hAnsi="宋体" w:eastAsia="宋体" w:cs="宋体"/>
          <w:color w:val="auto"/>
          <w:szCs w:val="21"/>
          <w:highlight w:val="none"/>
        </w:rPr>
      </w:pPr>
    </w:p>
    <w:p w14:paraId="06B934A0">
      <w:pPr>
        <w:pageBreakBefore w:val="0"/>
        <w:kinsoku/>
        <w:overflowPunct/>
        <w:topLinePunct w:val="0"/>
        <w:autoSpaceDE/>
        <w:autoSpaceDN/>
        <w:bidi w:val="0"/>
        <w:spacing w:line="480" w:lineRule="exact"/>
        <w:ind w:left="0" w:leftChars="0" w:right="0" w:firstLine="2" w:firstLineChars="1"/>
        <w:outlineLvl w:val="9"/>
        <w:rPr>
          <w:rFonts w:hint="eastAsia" w:ascii="宋体" w:hAnsi="宋体" w:eastAsia="宋体" w:cs="宋体"/>
          <w:color w:val="auto"/>
          <w:szCs w:val="21"/>
          <w:highlight w:val="none"/>
        </w:rPr>
      </w:pPr>
    </w:p>
    <w:p w14:paraId="0D5D8F7C">
      <w:pPr>
        <w:pageBreakBefore w:val="0"/>
        <w:kinsoku/>
        <w:overflowPunct/>
        <w:topLinePunct w:val="0"/>
        <w:autoSpaceDE/>
        <w:autoSpaceDN/>
        <w:bidi w:val="0"/>
        <w:spacing w:line="480" w:lineRule="exact"/>
        <w:ind w:left="0" w:leftChars="0" w:right="0" w:firstLine="2" w:firstLineChars="1"/>
        <w:outlineLvl w:val="9"/>
        <w:rPr>
          <w:rFonts w:hint="eastAsia" w:ascii="宋体" w:hAnsi="宋体" w:eastAsia="宋体" w:cs="宋体"/>
          <w:color w:val="auto"/>
          <w:szCs w:val="21"/>
          <w:highlight w:val="none"/>
        </w:rPr>
      </w:pPr>
    </w:p>
    <w:p w14:paraId="770A260D">
      <w:pPr>
        <w:pStyle w:val="22"/>
        <w:pageBreakBefore w:val="0"/>
        <w:kinsoku/>
        <w:overflowPunct/>
        <w:topLinePunct w:val="0"/>
        <w:autoSpaceDE/>
        <w:autoSpaceDN/>
        <w:bidi w:val="0"/>
        <w:spacing w:line="480" w:lineRule="exact"/>
        <w:ind w:left="0" w:leftChars="0" w:right="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投标人（加盖投标人电子公章）：</w:t>
      </w:r>
    </w:p>
    <w:p w14:paraId="392AD7CA">
      <w:pPr>
        <w:pStyle w:val="22"/>
        <w:pageBreakBefore w:val="0"/>
        <w:kinsoku/>
        <w:overflowPunct/>
        <w:topLinePunct w:val="0"/>
        <w:autoSpaceDE/>
        <w:autoSpaceDN/>
        <w:bidi w:val="0"/>
        <w:spacing w:line="480" w:lineRule="exact"/>
        <w:ind w:left="0" w:leftChars="0" w:right="0"/>
        <w:jc w:val="left"/>
        <w:outlineLvl w:val="9"/>
        <w:rPr>
          <w:rFonts w:hint="eastAsia" w:ascii="宋体" w:hAnsi="宋体" w:eastAsia="宋体" w:cs="宋体"/>
          <w:color w:val="auto"/>
          <w:szCs w:val="21"/>
          <w:highlight w:val="none"/>
        </w:rPr>
      </w:pPr>
    </w:p>
    <w:p w14:paraId="1B80E7B6">
      <w:pPr>
        <w:pStyle w:val="22"/>
        <w:pageBreakBefore w:val="0"/>
        <w:kinsoku/>
        <w:overflowPunct/>
        <w:topLinePunct w:val="0"/>
        <w:autoSpaceDE/>
        <w:autoSpaceDN/>
        <w:bidi w:val="0"/>
        <w:spacing w:line="480" w:lineRule="exact"/>
        <w:ind w:left="0" w:leftChars="0" w:right="0"/>
        <w:jc w:val="left"/>
        <w:outlineLvl w:val="9"/>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rPr>
        <w:t>法定代表人</w:t>
      </w:r>
      <w:r>
        <w:rPr>
          <w:rFonts w:hint="eastAsia" w:ascii="宋体" w:hAnsi="宋体" w:eastAsia="宋体" w:cs="宋体"/>
          <w:color w:val="auto"/>
          <w:szCs w:val="21"/>
          <w:highlight w:val="none"/>
          <w:lang w:eastAsia="zh-CN"/>
        </w:rPr>
        <w:t>（电子签名或电子签章）</w:t>
      </w:r>
      <w:r>
        <w:rPr>
          <w:rFonts w:hint="eastAsia" w:ascii="宋体" w:hAnsi="宋体" w:eastAsia="宋体" w:cs="宋体"/>
          <w:color w:val="auto"/>
          <w:szCs w:val="21"/>
          <w:highlight w:val="none"/>
        </w:rPr>
        <w:t>：</w:t>
      </w:r>
    </w:p>
    <w:p w14:paraId="22538523">
      <w:pPr>
        <w:pStyle w:val="22"/>
        <w:pageBreakBefore w:val="0"/>
        <w:kinsoku/>
        <w:overflowPunct/>
        <w:topLinePunct w:val="0"/>
        <w:autoSpaceDE/>
        <w:autoSpaceDN/>
        <w:bidi w:val="0"/>
        <w:spacing w:line="480" w:lineRule="exact"/>
        <w:ind w:left="0" w:leftChars="0" w:right="0"/>
        <w:jc w:val="left"/>
        <w:outlineLvl w:val="9"/>
        <w:rPr>
          <w:rFonts w:hint="eastAsia" w:ascii="宋体" w:hAnsi="宋体" w:eastAsia="宋体" w:cs="宋体"/>
          <w:color w:val="auto"/>
          <w:szCs w:val="21"/>
          <w:highlight w:val="none"/>
          <w:u w:val="single"/>
        </w:rPr>
      </w:pPr>
    </w:p>
    <w:p w14:paraId="56C2D0E9">
      <w:pPr>
        <w:pStyle w:val="22"/>
        <w:pageBreakBefore w:val="0"/>
        <w:kinsoku/>
        <w:overflowPunct/>
        <w:topLinePunct w:val="0"/>
        <w:autoSpaceDE/>
        <w:autoSpaceDN/>
        <w:bidi w:val="0"/>
        <w:spacing w:line="480" w:lineRule="exact"/>
        <w:ind w:left="0" w:leftChars="0" w:right="0"/>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日期</w:t>
      </w:r>
      <w:r>
        <w:rPr>
          <w:rFonts w:hint="eastAsia" w:hAnsi="宋体" w:cs="宋体"/>
          <w:color w:val="auto"/>
          <w:szCs w:val="21"/>
          <w:highlight w:val="none"/>
          <w:lang w:eastAsia="zh-CN"/>
        </w:rPr>
        <w:t>：</w:t>
      </w:r>
    </w:p>
    <w:p w14:paraId="110B3FCD">
      <w:pPr>
        <w:pageBreakBefore w:val="0"/>
        <w:kinsoku/>
        <w:overflowPunct/>
        <w:topLinePunct w:val="0"/>
        <w:autoSpaceDE/>
        <w:autoSpaceDN/>
        <w:bidi w:val="0"/>
        <w:spacing w:line="480" w:lineRule="exact"/>
        <w:ind w:left="0" w:leftChars="0" w:right="0" w:firstLine="2" w:firstLineChars="1"/>
        <w:outlineLvl w:val="9"/>
        <w:rPr>
          <w:rFonts w:hint="eastAsia" w:ascii="宋体" w:hAnsi="宋体" w:eastAsia="宋体" w:cs="宋体"/>
          <w:color w:val="auto"/>
          <w:szCs w:val="21"/>
          <w:highlight w:val="none"/>
        </w:rPr>
      </w:pPr>
    </w:p>
    <w:p w14:paraId="7CB9EFF2">
      <w:pPr>
        <w:pageBreakBefore w:val="0"/>
        <w:kinsoku/>
        <w:overflowPunct/>
        <w:topLinePunct w:val="0"/>
        <w:autoSpaceDE/>
        <w:autoSpaceDN/>
        <w:bidi w:val="0"/>
        <w:spacing w:line="480" w:lineRule="exact"/>
        <w:ind w:left="0" w:leftChars="0" w:right="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w:t>
      </w:r>
    </w:p>
    <w:p w14:paraId="1BF834C3">
      <w:pPr>
        <w:pageBreakBefore w:val="0"/>
        <w:kinsoku/>
        <w:overflowPunct/>
        <w:topLinePunct w:val="0"/>
        <w:autoSpaceDE/>
        <w:autoSpaceDN/>
        <w:bidi w:val="0"/>
        <w:spacing w:line="480" w:lineRule="exact"/>
        <w:ind w:left="0" w:leftChars="0" w:right="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1.投标人应对是否满足“具有独立承担民事责任的能力；良好的商业信誉和健全的财务会计制度；</w:t>
      </w:r>
      <w:r>
        <w:rPr>
          <w:rFonts w:hint="eastAsia" w:ascii="宋体" w:hAnsi="宋体" w:cs="宋体"/>
          <w:color w:val="auto"/>
          <w:szCs w:val="21"/>
          <w:highlight w:val="none"/>
          <w:lang w:eastAsia="zh-CN"/>
        </w:rPr>
        <w:t>具有履行合同所必需的设备和专业技术能力</w:t>
      </w:r>
      <w:r>
        <w:rPr>
          <w:rFonts w:hint="eastAsia" w:ascii="宋体" w:hAnsi="宋体" w:eastAsia="宋体" w:cs="宋体"/>
          <w:color w:val="auto"/>
          <w:szCs w:val="21"/>
          <w:highlight w:val="none"/>
        </w:rPr>
        <w:t>；有依法缴纳税收和社会保障资金的良好记录；</w:t>
      </w:r>
      <w:r>
        <w:rPr>
          <w:rFonts w:hint="eastAsia" w:ascii="宋体" w:hAnsi="宋体" w:cs="宋体"/>
          <w:color w:val="auto"/>
          <w:szCs w:val="21"/>
          <w:highlight w:val="none"/>
          <w:lang w:eastAsia="zh-CN"/>
        </w:rPr>
        <w:t>参加政府采购活动前三年内，在经营活动中没有重大违法记录</w:t>
      </w:r>
      <w:r>
        <w:rPr>
          <w:rFonts w:hint="eastAsia" w:ascii="宋体" w:hAnsi="宋体" w:eastAsia="宋体" w:cs="宋体"/>
          <w:color w:val="auto"/>
          <w:szCs w:val="21"/>
          <w:highlight w:val="none"/>
        </w:rPr>
        <w:t>；法律、行政法规规定的其他条件。”（《中华人民共和国政府采购法》第二十二条规定）进行说明和承诺；</w:t>
      </w:r>
    </w:p>
    <w:p w14:paraId="1EAD5EE5">
      <w:pPr>
        <w:pageBreakBefore w:val="0"/>
        <w:kinsoku/>
        <w:overflowPunct/>
        <w:topLinePunct w:val="0"/>
        <w:autoSpaceDE/>
        <w:autoSpaceDN/>
        <w:bidi w:val="0"/>
        <w:spacing w:line="480" w:lineRule="exact"/>
        <w:ind w:left="0" w:leftChars="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2.若招标文件中明确要求提供证明资料的，以证明资料为准。</w:t>
      </w:r>
    </w:p>
    <w:p w14:paraId="6D1E2493">
      <w:pPr>
        <w:pageBreakBefore w:val="0"/>
        <w:widowControl/>
        <w:kinsoku/>
        <w:overflowPunct/>
        <w:topLinePunct w:val="0"/>
        <w:bidi w:val="0"/>
        <w:adjustRightInd w:val="0"/>
        <w:snapToGrid w:val="0"/>
        <w:spacing w:after="0" w:line="360" w:lineRule="auto"/>
        <w:ind w:left="0"/>
        <w:jc w:val="left"/>
        <w:rPr>
          <w:rFonts w:hint="default" w:ascii="宋体" w:hAnsi="宋体" w:cs="宋体"/>
          <w:b/>
          <w:color w:val="auto"/>
          <w:sz w:val="28"/>
          <w:szCs w:val="28"/>
          <w:highlight w:val="none"/>
          <w:lang w:val="en-US" w:eastAsia="zh-CN"/>
        </w:rPr>
      </w:pPr>
      <w:r>
        <w:rPr>
          <w:rFonts w:hint="eastAsia" w:ascii="宋体" w:hAnsi="宋体" w:eastAsia="宋体" w:cs="宋体"/>
          <w:b/>
          <w:color w:val="auto"/>
          <w:sz w:val="28"/>
          <w:szCs w:val="28"/>
          <w:highlight w:val="none"/>
        </w:rPr>
        <w:br w:type="page"/>
      </w:r>
      <w:r>
        <w:rPr>
          <w:rFonts w:hint="eastAsia" w:ascii="宋体" w:hAnsi="宋体" w:eastAsia="宋体" w:cs="宋体"/>
          <w:b/>
          <w:color w:val="auto"/>
          <w:sz w:val="28"/>
          <w:szCs w:val="28"/>
          <w:highlight w:val="none"/>
          <w:lang w:val="en-US" w:eastAsia="zh-CN"/>
        </w:rPr>
        <w:t>格式</w:t>
      </w:r>
      <w:r>
        <w:rPr>
          <w:rFonts w:hint="eastAsia" w:ascii="宋体" w:hAnsi="宋体" w:cs="宋体"/>
          <w:b/>
          <w:color w:val="auto"/>
          <w:sz w:val="28"/>
          <w:szCs w:val="28"/>
          <w:highlight w:val="none"/>
          <w:lang w:val="en-US" w:eastAsia="zh-CN"/>
        </w:rPr>
        <w:t>18</w:t>
      </w:r>
    </w:p>
    <w:p w14:paraId="06A20F4A">
      <w:pPr>
        <w:pageBreakBefore w:val="0"/>
        <w:widowControl/>
        <w:kinsoku/>
        <w:overflowPunct/>
        <w:topLinePunct w:val="0"/>
        <w:bidi w:val="0"/>
        <w:adjustRightInd w:val="0"/>
        <w:snapToGrid w:val="0"/>
        <w:spacing w:after="0" w:line="360" w:lineRule="auto"/>
        <w:ind w:left="0"/>
        <w:jc w:val="left"/>
        <w:rPr>
          <w:rFonts w:hint="default"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格式18-1</w:t>
      </w:r>
    </w:p>
    <w:p w14:paraId="70F9DD36">
      <w:pPr>
        <w:pageBreakBefore w:val="0"/>
        <w:kinsoku/>
        <w:overflowPunct/>
        <w:topLinePunct w:val="0"/>
        <w:bidi w:val="0"/>
        <w:adjustRightInd w:val="0"/>
        <w:snapToGrid w:val="0"/>
        <w:spacing w:after="0" w:line="360" w:lineRule="auto"/>
        <w:ind w:left="0"/>
        <w:jc w:val="center"/>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关于符合本国产品标准的声明函</w:t>
      </w:r>
    </w:p>
    <w:p w14:paraId="281C94DD">
      <w:pPr>
        <w:pStyle w:val="41"/>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0" w:right="0" w:firstLine="420"/>
        <w:rPr>
          <w:color w:val="auto"/>
          <w:sz w:val="21"/>
          <w:szCs w:val="21"/>
          <w:highlight w:val="none"/>
        </w:rPr>
      </w:pPr>
      <w:r>
        <w:rPr>
          <w:color w:val="auto"/>
          <w:sz w:val="21"/>
          <w:szCs w:val="21"/>
          <w:highlight w:val="none"/>
        </w:rPr>
        <w:t>本公司（单位）郑重声明，根据《国务院办公厅关于在政府采购中实施本国产品标准及相关政策的通知》（国办发〔2025〕34号）的规定，本公司（单位）提供的以下产品属于本国产品。具体情况如下：</w:t>
      </w:r>
    </w:p>
    <w:p w14:paraId="5109CF82">
      <w:pPr>
        <w:pStyle w:val="41"/>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0" w:right="0" w:firstLine="420"/>
        <w:rPr>
          <w:i w:val="0"/>
          <w:iCs w:val="0"/>
          <w:color w:val="auto"/>
          <w:sz w:val="21"/>
          <w:szCs w:val="21"/>
          <w:highlight w:val="none"/>
        </w:rPr>
      </w:pPr>
      <w:r>
        <w:rPr>
          <w:i w:val="0"/>
          <w:iCs w:val="0"/>
          <w:color w:val="auto"/>
          <w:sz w:val="21"/>
          <w:szCs w:val="21"/>
          <w:highlight w:val="none"/>
        </w:rPr>
        <w:t>1.</w:t>
      </w:r>
      <w:r>
        <w:rPr>
          <w:rFonts w:hint="eastAsia"/>
          <w:i w:val="0"/>
          <w:iCs w:val="0"/>
          <w:color w:val="auto"/>
          <w:sz w:val="21"/>
          <w:szCs w:val="21"/>
          <w:highlight w:val="none"/>
          <w:u w:val="single"/>
          <w:lang w:val="en-US" w:eastAsia="zh-CN"/>
        </w:rPr>
        <w:t xml:space="preserve">   </w:t>
      </w:r>
      <w:r>
        <w:rPr>
          <w:rStyle w:val="53"/>
          <w:i w:val="0"/>
          <w:iCs w:val="0"/>
          <w:color w:val="auto"/>
          <w:sz w:val="21"/>
          <w:szCs w:val="21"/>
          <w:highlight w:val="none"/>
          <w:u w:val="single"/>
        </w:rPr>
        <w:t>（产品名称1）</w:t>
      </w:r>
      <w:r>
        <w:rPr>
          <w:rStyle w:val="53"/>
          <w:rFonts w:hint="eastAsia"/>
          <w:i w:val="0"/>
          <w:iCs w:val="0"/>
          <w:color w:val="auto"/>
          <w:sz w:val="21"/>
          <w:szCs w:val="21"/>
          <w:highlight w:val="none"/>
          <w:u w:val="single"/>
          <w:lang w:val="en-US" w:eastAsia="zh-CN"/>
        </w:rPr>
        <w:t xml:space="preserve">   </w:t>
      </w:r>
      <w:r>
        <w:rPr>
          <w:rStyle w:val="53"/>
          <w:i w:val="0"/>
          <w:iCs w:val="0"/>
          <w:color w:val="auto"/>
          <w:sz w:val="21"/>
          <w:szCs w:val="21"/>
          <w:highlight w:val="none"/>
          <w:vertAlign w:val="superscript"/>
        </w:rPr>
        <w:t>1</w:t>
      </w:r>
      <w:r>
        <w:rPr>
          <w:i w:val="0"/>
          <w:iCs w:val="0"/>
          <w:color w:val="auto"/>
          <w:sz w:val="21"/>
          <w:szCs w:val="21"/>
          <w:highlight w:val="none"/>
        </w:rPr>
        <w:t>，生产厂为</w:t>
      </w:r>
      <w:r>
        <w:rPr>
          <w:rFonts w:hint="eastAsia"/>
          <w:i w:val="0"/>
          <w:iCs w:val="0"/>
          <w:color w:val="auto"/>
          <w:sz w:val="21"/>
          <w:szCs w:val="21"/>
          <w:highlight w:val="none"/>
          <w:u w:val="single"/>
          <w:lang w:val="en-US" w:eastAsia="zh-CN"/>
        </w:rPr>
        <w:t xml:space="preserve">   </w:t>
      </w:r>
      <w:r>
        <w:rPr>
          <w:rStyle w:val="53"/>
          <w:i w:val="0"/>
          <w:iCs w:val="0"/>
          <w:color w:val="auto"/>
          <w:sz w:val="21"/>
          <w:szCs w:val="21"/>
          <w:highlight w:val="none"/>
          <w:u w:val="single"/>
        </w:rPr>
        <w:t>（厂名）</w:t>
      </w:r>
      <w:r>
        <w:rPr>
          <w:rStyle w:val="53"/>
          <w:rFonts w:hint="eastAsia"/>
          <w:i w:val="0"/>
          <w:iCs w:val="0"/>
          <w:color w:val="auto"/>
          <w:sz w:val="21"/>
          <w:szCs w:val="21"/>
          <w:highlight w:val="none"/>
          <w:u w:val="single"/>
          <w:lang w:val="en-US" w:eastAsia="zh-CN"/>
        </w:rPr>
        <w:t xml:space="preserve">   </w:t>
      </w:r>
      <w:r>
        <w:rPr>
          <w:rStyle w:val="53"/>
          <w:i w:val="0"/>
          <w:iCs w:val="0"/>
          <w:color w:val="auto"/>
          <w:sz w:val="21"/>
          <w:szCs w:val="21"/>
          <w:highlight w:val="none"/>
          <w:vertAlign w:val="superscript"/>
        </w:rPr>
        <w:t>2</w:t>
      </w:r>
      <w:r>
        <w:rPr>
          <w:i w:val="0"/>
          <w:iCs w:val="0"/>
          <w:color w:val="auto"/>
          <w:sz w:val="21"/>
          <w:szCs w:val="21"/>
          <w:highlight w:val="none"/>
        </w:rPr>
        <w:t>，厂址为</w:t>
      </w:r>
      <w:r>
        <w:rPr>
          <w:rFonts w:hint="eastAsia"/>
          <w:i w:val="0"/>
          <w:iCs w:val="0"/>
          <w:color w:val="auto"/>
          <w:sz w:val="21"/>
          <w:szCs w:val="21"/>
          <w:highlight w:val="none"/>
          <w:u w:val="single"/>
          <w:lang w:val="en-US" w:eastAsia="zh-CN"/>
        </w:rPr>
        <w:t xml:space="preserve">   </w:t>
      </w:r>
      <w:r>
        <w:rPr>
          <w:rStyle w:val="53"/>
          <w:i w:val="0"/>
          <w:iCs w:val="0"/>
          <w:color w:val="auto"/>
          <w:sz w:val="21"/>
          <w:szCs w:val="21"/>
          <w:highlight w:val="none"/>
          <w:u w:val="single"/>
        </w:rPr>
        <w:t>（生产厂址）</w:t>
      </w:r>
      <w:r>
        <w:rPr>
          <w:rStyle w:val="53"/>
          <w:rFonts w:hint="eastAsia"/>
          <w:i w:val="0"/>
          <w:iCs w:val="0"/>
          <w:color w:val="auto"/>
          <w:sz w:val="21"/>
          <w:szCs w:val="21"/>
          <w:highlight w:val="none"/>
          <w:u w:val="single"/>
          <w:lang w:val="en-US" w:eastAsia="zh-CN"/>
        </w:rPr>
        <w:t xml:space="preserve">   </w:t>
      </w:r>
      <w:r>
        <w:rPr>
          <w:i w:val="0"/>
          <w:iCs w:val="0"/>
          <w:color w:val="auto"/>
          <w:sz w:val="21"/>
          <w:szCs w:val="21"/>
          <w:highlight w:val="none"/>
        </w:rPr>
        <w:t>。</w:t>
      </w:r>
      <w:r>
        <w:rPr>
          <w:rFonts w:hint="eastAsia"/>
          <w:i w:val="0"/>
          <w:iCs w:val="0"/>
          <w:color w:val="auto"/>
          <w:sz w:val="21"/>
          <w:szCs w:val="21"/>
          <w:highlight w:val="none"/>
          <w:u w:val="single"/>
          <w:lang w:val="en-US" w:eastAsia="zh-CN"/>
        </w:rPr>
        <w:t xml:space="preserve">  </w:t>
      </w:r>
      <w:r>
        <w:rPr>
          <w:rStyle w:val="53"/>
          <w:i w:val="0"/>
          <w:iCs w:val="0"/>
          <w:color w:val="auto"/>
          <w:sz w:val="21"/>
          <w:szCs w:val="21"/>
          <w:highlight w:val="none"/>
          <w:u w:val="single"/>
        </w:rPr>
        <w:t>（产品名称1）</w:t>
      </w:r>
      <w:r>
        <w:rPr>
          <w:rStyle w:val="53"/>
          <w:rFonts w:hint="eastAsia"/>
          <w:i w:val="0"/>
          <w:iCs w:val="0"/>
          <w:color w:val="auto"/>
          <w:sz w:val="21"/>
          <w:szCs w:val="21"/>
          <w:highlight w:val="none"/>
          <w:u w:val="single"/>
          <w:lang w:val="en-US" w:eastAsia="zh-CN"/>
        </w:rPr>
        <w:t xml:space="preserve">  </w:t>
      </w:r>
      <w:r>
        <w:rPr>
          <w:i w:val="0"/>
          <w:iCs w:val="0"/>
          <w:color w:val="auto"/>
          <w:sz w:val="21"/>
          <w:szCs w:val="21"/>
          <w:highlight w:val="none"/>
        </w:rPr>
        <w:t>的中国境内生产的组件成本占比≥</w:t>
      </w:r>
      <w:r>
        <w:rPr>
          <w:rFonts w:hint="eastAsia"/>
          <w:i w:val="0"/>
          <w:iCs w:val="0"/>
          <w:color w:val="auto"/>
          <w:sz w:val="21"/>
          <w:szCs w:val="21"/>
          <w:highlight w:val="none"/>
          <w:u w:val="single"/>
          <w:lang w:val="en-US" w:eastAsia="zh-CN"/>
        </w:rPr>
        <w:t xml:space="preserve">  </w:t>
      </w:r>
      <w:r>
        <w:rPr>
          <w:rStyle w:val="53"/>
          <w:i w:val="0"/>
          <w:iCs w:val="0"/>
          <w:color w:val="auto"/>
          <w:sz w:val="21"/>
          <w:szCs w:val="21"/>
          <w:highlight w:val="none"/>
          <w:u w:val="single"/>
        </w:rPr>
        <w:t>（规定比例）</w:t>
      </w:r>
      <w:r>
        <w:rPr>
          <w:rStyle w:val="53"/>
          <w:rFonts w:hint="eastAsia"/>
          <w:i w:val="0"/>
          <w:iCs w:val="0"/>
          <w:color w:val="auto"/>
          <w:sz w:val="21"/>
          <w:szCs w:val="21"/>
          <w:highlight w:val="none"/>
          <w:u w:val="single"/>
          <w:lang w:val="en-US" w:eastAsia="zh-CN"/>
        </w:rPr>
        <w:t xml:space="preserve">  </w:t>
      </w:r>
      <w:r>
        <w:rPr>
          <w:rStyle w:val="53"/>
          <w:i w:val="0"/>
          <w:iCs w:val="0"/>
          <w:color w:val="auto"/>
          <w:sz w:val="21"/>
          <w:szCs w:val="21"/>
          <w:highlight w:val="none"/>
          <w:vertAlign w:val="superscript"/>
        </w:rPr>
        <w:t>3</w:t>
      </w:r>
      <w:r>
        <w:rPr>
          <w:i w:val="0"/>
          <w:iCs w:val="0"/>
          <w:color w:val="auto"/>
          <w:sz w:val="21"/>
          <w:szCs w:val="21"/>
          <w:highlight w:val="none"/>
        </w:rPr>
        <w:t>。</w:t>
      </w:r>
      <w:r>
        <w:rPr>
          <w:rFonts w:hint="eastAsia"/>
          <w:i w:val="0"/>
          <w:iCs w:val="0"/>
          <w:color w:val="auto"/>
          <w:sz w:val="21"/>
          <w:szCs w:val="21"/>
          <w:highlight w:val="none"/>
          <w:u w:val="single"/>
          <w:lang w:val="en-US" w:eastAsia="zh-CN"/>
        </w:rPr>
        <w:t xml:space="preserve">  </w:t>
      </w:r>
      <w:r>
        <w:rPr>
          <w:rStyle w:val="53"/>
          <w:i w:val="0"/>
          <w:iCs w:val="0"/>
          <w:color w:val="auto"/>
          <w:sz w:val="21"/>
          <w:szCs w:val="21"/>
          <w:highlight w:val="none"/>
          <w:u w:val="single"/>
        </w:rPr>
        <w:t>（产品名称1）</w:t>
      </w:r>
      <w:r>
        <w:rPr>
          <w:rStyle w:val="53"/>
          <w:rFonts w:hint="eastAsia"/>
          <w:i w:val="0"/>
          <w:iCs w:val="0"/>
          <w:color w:val="auto"/>
          <w:sz w:val="21"/>
          <w:szCs w:val="21"/>
          <w:highlight w:val="none"/>
          <w:u w:val="single"/>
          <w:lang w:val="en-US" w:eastAsia="zh-CN"/>
        </w:rPr>
        <w:t xml:space="preserve">  </w:t>
      </w:r>
      <w:r>
        <w:rPr>
          <w:i w:val="0"/>
          <w:iCs w:val="0"/>
          <w:color w:val="auto"/>
          <w:sz w:val="21"/>
          <w:szCs w:val="21"/>
          <w:highlight w:val="none"/>
        </w:rPr>
        <w:t>的</w:t>
      </w:r>
      <w:r>
        <w:rPr>
          <w:rFonts w:hint="eastAsia"/>
          <w:i w:val="0"/>
          <w:iCs w:val="0"/>
          <w:color w:val="auto"/>
          <w:sz w:val="21"/>
          <w:szCs w:val="21"/>
          <w:highlight w:val="none"/>
          <w:u w:val="single"/>
          <w:lang w:val="en-US" w:eastAsia="zh-CN"/>
        </w:rPr>
        <w:t xml:space="preserve">   </w:t>
      </w:r>
      <w:r>
        <w:rPr>
          <w:rStyle w:val="53"/>
          <w:i w:val="0"/>
          <w:iCs w:val="0"/>
          <w:color w:val="auto"/>
          <w:sz w:val="21"/>
          <w:szCs w:val="21"/>
          <w:highlight w:val="none"/>
          <w:u w:val="single"/>
        </w:rPr>
        <w:t>（关键组件）</w:t>
      </w:r>
      <w:r>
        <w:rPr>
          <w:rStyle w:val="53"/>
          <w:rFonts w:hint="eastAsia"/>
          <w:i w:val="0"/>
          <w:iCs w:val="0"/>
          <w:color w:val="auto"/>
          <w:sz w:val="21"/>
          <w:szCs w:val="21"/>
          <w:highlight w:val="none"/>
          <w:u w:val="single"/>
          <w:lang w:val="en-US" w:eastAsia="zh-CN"/>
        </w:rPr>
        <w:t xml:space="preserve">   </w:t>
      </w:r>
      <w:r>
        <w:rPr>
          <w:rStyle w:val="53"/>
          <w:i w:val="0"/>
          <w:iCs w:val="0"/>
          <w:color w:val="auto"/>
          <w:sz w:val="21"/>
          <w:szCs w:val="21"/>
          <w:highlight w:val="none"/>
          <w:vertAlign w:val="superscript"/>
        </w:rPr>
        <w:t>4</w:t>
      </w:r>
      <w:r>
        <w:rPr>
          <w:i w:val="0"/>
          <w:iCs w:val="0"/>
          <w:color w:val="auto"/>
          <w:sz w:val="21"/>
          <w:szCs w:val="21"/>
          <w:highlight w:val="none"/>
        </w:rPr>
        <w:t>在中国境内生产。</w:t>
      </w:r>
      <w:r>
        <w:rPr>
          <w:rFonts w:hint="eastAsia"/>
          <w:i w:val="0"/>
          <w:iCs w:val="0"/>
          <w:color w:val="auto"/>
          <w:sz w:val="21"/>
          <w:szCs w:val="21"/>
          <w:highlight w:val="none"/>
          <w:u w:val="single"/>
          <w:lang w:val="en-US" w:eastAsia="zh-CN"/>
        </w:rPr>
        <w:t xml:space="preserve">   </w:t>
      </w:r>
      <w:r>
        <w:rPr>
          <w:rStyle w:val="53"/>
          <w:i w:val="0"/>
          <w:iCs w:val="0"/>
          <w:color w:val="auto"/>
          <w:sz w:val="21"/>
          <w:szCs w:val="21"/>
          <w:highlight w:val="none"/>
          <w:u w:val="single"/>
        </w:rPr>
        <w:t>（产品名称1）</w:t>
      </w:r>
      <w:r>
        <w:rPr>
          <w:rStyle w:val="53"/>
          <w:rFonts w:hint="eastAsia"/>
          <w:i w:val="0"/>
          <w:iCs w:val="0"/>
          <w:color w:val="auto"/>
          <w:sz w:val="21"/>
          <w:szCs w:val="21"/>
          <w:highlight w:val="none"/>
          <w:u w:val="single"/>
          <w:lang w:val="en-US" w:eastAsia="zh-CN"/>
        </w:rPr>
        <w:t xml:space="preserve">   </w:t>
      </w:r>
      <w:r>
        <w:rPr>
          <w:i w:val="0"/>
          <w:iCs w:val="0"/>
          <w:color w:val="auto"/>
          <w:sz w:val="21"/>
          <w:szCs w:val="21"/>
          <w:highlight w:val="none"/>
        </w:rPr>
        <w:t>的</w:t>
      </w:r>
      <w:r>
        <w:rPr>
          <w:rFonts w:hint="eastAsia"/>
          <w:i w:val="0"/>
          <w:iCs w:val="0"/>
          <w:color w:val="auto"/>
          <w:sz w:val="21"/>
          <w:szCs w:val="21"/>
          <w:highlight w:val="none"/>
          <w:u w:val="single"/>
          <w:lang w:val="en-US" w:eastAsia="zh-CN"/>
        </w:rPr>
        <w:t xml:space="preserve">   </w:t>
      </w:r>
      <w:r>
        <w:rPr>
          <w:rStyle w:val="53"/>
          <w:i w:val="0"/>
          <w:iCs w:val="0"/>
          <w:color w:val="auto"/>
          <w:sz w:val="21"/>
          <w:szCs w:val="21"/>
          <w:highlight w:val="none"/>
          <w:u w:val="single"/>
        </w:rPr>
        <w:t>（关键工序）</w:t>
      </w:r>
      <w:r>
        <w:rPr>
          <w:rStyle w:val="53"/>
          <w:rFonts w:hint="eastAsia"/>
          <w:i w:val="0"/>
          <w:iCs w:val="0"/>
          <w:color w:val="auto"/>
          <w:sz w:val="21"/>
          <w:szCs w:val="21"/>
          <w:highlight w:val="none"/>
          <w:u w:val="single"/>
          <w:lang w:val="en-US" w:eastAsia="zh-CN"/>
        </w:rPr>
        <w:t xml:space="preserve">   </w:t>
      </w:r>
      <w:r>
        <w:rPr>
          <w:rStyle w:val="53"/>
          <w:i w:val="0"/>
          <w:iCs w:val="0"/>
          <w:color w:val="auto"/>
          <w:sz w:val="21"/>
          <w:szCs w:val="21"/>
          <w:highlight w:val="none"/>
          <w:vertAlign w:val="superscript"/>
        </w:rPr>
        <w:t>5</w:t>
      </w:r>
      <w:r>
        <w:rPr>
          <w:i w:val="0"/>
          <w:iCs w:val="0"/>
          <w:color w:val="auto"/>
          <w:sz w:val="21"/>
          <w:szCs w:val="21"/>
          <w:highlight w:val="none"/>
        </w:rPr>
        <w:t>在中国境内完成。</w:t>
      </w:r>
    </w:p>
    <w:p w14:paraId="5B82EC1E">
      <w:pPr>
        <w:pStyle w:val="41"/>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0" w:right="0" w:firstLine="420"/>
        <w:rPr>
          <w:i w:val="0"/>
          <w:iCs w:val="0"/>
          <w:color w:val="auto"/>
          <w:sz w:val="21"/>
          <w:szCs w:val="21"/>
          <w:highlight w:val="none"/>
        </w:rPr>
      </w:pPr>
      <w:r>
        <w:rPr>
          <w:i w:val="0"/>
          <w:iCs w:val="0"/>
          <w:color w:val="auto"/>
          <w:sz w:val="21"/>
          <w:szCs w:val="21"/>
          <w:highlight w:val="none"/>
        </w:rPr>
        <w:t>2.</w:t>
      </w:r>
      <w:r>
        <w:rPr>
          <w:rFonts w:hint="eastAsia"/>
          <w:i w:val="0"/>
          <w:iCs w:val="0"/>
          <w:color w:val="auto"/>
          <w:sz w:val="21"/>
          <w:szCs w:val="21"/>
          <w:highlight w:val="none"/>
          <w:u w:val="single"/>
          <w:lang w:val="en-US" w:eastAsia="zh-CN"/>
        </w:rPr>
        <w:t xml:space="preserve">   </w:t>
      </w:r>
      <w:r>
        <w:rPr>
          <w:rStyle w:val="53"/>
          <w:i w:val="0"/>
          <w:iCs w:val="0"/>
          <w:color w:val="auto"/>
          <w:sz w:val="21"/>
          <w:szCs w:val="21"/>
          <w:highlight w:val="none"/>
          <w:u w:val="single"/>
        </w:rPr>
        <w:t>（产品名称</w:t>
      </w:r>
      <w:r>
        <w:rPr>
          <w:rStyle w:val="53"/>
          <w:rFonts w:hint="eastAsia"/>
          <w:i w:val="0"/>
          <w:iCs w:val="0"/>
          <w:color w:val="auto"/>
          <w:sz w:val="21"/>
          <w:szCs w:val="21"/>
          <w:highlight w:val="none"/>
          <w:u w:val="single"/>
          <w:lang w:val="en-US" w:eastAsia="zh-CN"/>
        </w:rPr>
        <w:t>2</w:t>
      </w:r>
      <w:r>
        <w:rPr>
          <w:rStyle w:val="53"/>
          <w:i w:val="0"/>
          <w:iCs w:val="0"/>
          <w:color w:val="auto"/>
          <w:sz w:val="21"/>
          <w:szCs w:val="21"/>
          <w:highlight w:val="none"/>
          <w:u w:val="single"/>
        </w:rPr>
        <w:t>）</w:t>
      </w:r>
      <w:r>
        <w:rPr>
          <w:rStyle w:val="53"/>
          <w:rFonts w:hint="eastAsia"/>
          <w:i w:val="0"/>
          <w:iCs w:val="0"/>
          <w:color w:val="auto"/>
          <w:sz w:val="21"/>
          <w:szCs w:val="21"/>
          <w:highlight w:val="none"/>
          <w:u w:val="single"/>
          <w:lang w:val="en-US" w:eastAsia="zh-CN"/>
        </w:rPr>
        <w:t xml:space="preserve">   </w:t>
      </w:r>
      <w:r>
        <w:rPr>
          <w:i w:val="0"/>
          <w:iCs w:val="0"/>
          <w:color w:val="auto"/>
          <w:sz w:val="21"/>
          <w:szCs w:val="21"/>
          <w:highlight w:val="none"/>
        </w:rPr>
        <w:t>，生产厂为</w:t>
      </w:r>
      <w:r>
        <w:rPr>
          <w:rFonts w:hint="eastAsia"/>
          <w:i w:val="0"/>
          <w:iCs w:val="0"/>
          <w:color w:val="auto"/>
          <w:sz w:val="21"/>
          <w:szCs w:val="21"/>
          <w:highlight w:val="none"/>
          <w:u w:val="single"/>
          <w:lang w:val="en-US" w:eastAsia="zh-CN"/>
        </w:rPr>
        <w:t xml:space="preserve">   </w:t>
      </w:r>
      <w:r>
        <w:rPr>
          <w:rStyle w:val="53"/>
          <w:i w:val="0"/>
          <w:iCs w:val="0"/>
          <w:color w:val="auto"/>
          <w:sz w:val="21"/>
          <w:szCs w:val="21"/>
          <w:highlight w:val="none"/>
          <w:u w:val="single"/>
        </w:rPr>
        <w:t>（厂名）</w:t>
      </w:r>
      <w:r>
        <w:rPr>
          <w:rStyle w:val="53"/>
          <w:rFonts w:hint="eastAsia"/>
          <w:i w:val="0"/>
          <w:iCs w:val="0"/>
          <w:color w:val="auto"/>
          <w:sz w:val="21"/>
          <w:szCs w:val="21"/>
          <w:highlight w:val="none"/>
          <w:u w:val="single"/>
          <w:lang w:val="en-US" w:eastAsia="zh-CN"/>
        </w:rPr>
        <w:t xml:space="preserve">   </w:t>
      </w:r>
      <w:r>
        <w:rPr>
          <w:i w:val="0"/>
          <w:iCs w:val="0"/>
          <w:color w:val="auto"/>
          <w:sz w:val="21"/>
          <w:szCs w:val="21"/>
          <w:highlight w:val="none"/>
        </w:rPr>
        <w:t>，厂址为</w:t>
      </w:r>
      <w:r>
        <w:rPr>
          <w:rFonts w:hint="eastAsia"/>
          <w:i w:val="0"/>
          <w:iCs w:val="0"/>
          <w:color w:val="auto"/>
          <w:sz w:val="21"/>
          <w:szCs w:val="21"/>
          <w:highlight w:val="none"/>
          <w:u w:val="single"/>
          <w:lang w:val="en-US" w:eastAsia="zh-CN"/>
        </w:rPr>
        <w:t xml:space="preserve">   </w:t>
      </w:r>
      <w:r>
        <w:rPr>
          <w:rStyle w:val="53"/>
          <w:i w:val="0"/>
          <w:iCs w:val="0"/>
          <w:color w:val="auto"/>
          <w:sz w:val="21"/>
          <w:szCs w:val="21"/>
          <w:highlight w:val="none"/>
          <w:u w:val="single"/>
        </w:rPr>
        <w:t>（生产厂址）</w:t>
      </w:r>
      <w:r>
        <w:rPr>
          <w:rStyle w:val="53"/>
          <w:rFonts w:hint="eastAsia"/>
          <w:i w:val="0"/>
          <w:iCs w:val="0"/>
          <w:color w:val="auto"/>
          <w:sz w:val="21"/>
          <w:szCs w:val="21"/>
          <w:highlight w:val="none"/>
          <w:u w:val="single"/>
          <w:lang w:val="en-US" w:eastAsia="zh-CN"/>
        </w:rPr>
        <w:t xml:space="preserve">   </w:t>
      </w:r>
      <w:r>
        <w:rPr>
          <w:i w:val="0"/>
          <w:iCs w:val="0"/>
          <w:color w:val="auto"/>
          <w:sz w:val="21"/>
          <w:szCs w:val="21"/>
          <w:highlight w:val="none"/>
        </w:rPr>
        <w:t>。</w:t>
      </w:r>
      <w:r>
        <w:rPr>
          <w:rFonts w:hint="eastAsia"/>
          <w:i w:val="0"/>
          <w:iCs w:val="0"/>
          <w:color w:val="auto"/>
          <w:sz w:val="21"/>
          <w:szCs w:val="21"/>
          <w:highlight w:val="none"/>
          <w:u w:val="single"/>
          <w:lang w:val="en-US" w:eastAsia="zh-CN"/>
        </w:rPr>
        <w:t xml:space="preserve">  </w:t>
      </w:r>
      <w:r>
        <w:rPr>
          <w:rStyle w:val="53"/>
          <w:i w:val="0"/>
          <w:iCs w:val="0"/>
          <w:color w:val="auto"/>
          <w:sz w:val="21"/>
          <w:szCs w:val="21"/>
          <w:highlight w:val="none"/>
          <w:u w:val="single"/>
        </w:rPr>
        <w:t>（产品名称</w:t>
      </w:r>
      <w:r>
        <w:rPr>
          <w:rStyle w:val="53"/>
          <w:rFonts w:hint="eastAsia"/>
          <w:i w:val="0"/>
          <w:iCs w:val="0"/>
          <w:color w:val="auto"/>
          <w:sz w:val="21"/>
          <w:szCs w:val="21"/>
          <w:highlight w:val="none"/>
          <w:u w:val="single"/>
          <w:lang w:val="en-US" w:eastAsia="zh-CN"/>
        </w:rPr>
        <w:t>2</w:t>
      </w:r>
      <w:r>
        <w:rPr>
          <w:rStyle w:val="53"/>
          <w:i w:val="0"/>
          <w:iCs w:val="0"/>
          <w:color w:val="auto"/>
          <w:sz w:val="21"/>
          <w:szCs w:val="21"/>
          <w:highlight w:val="none"/>
          <w:u w:val="single"/>
        </w:rPr>
        <w:t>）</w:t>
      </w:r>
      <w:r>
        <w:rPr>
          <w:rStyle w:val="53"/>
          <w:rFonts w:hint="eastAsia"/>
          <w:i w:val="0"/>
          <w:iCs w:val="0"/>
          <w:color w:val="auto"/>
          <w:sz w:val="21"/>
          <w:szCs w:val="21"/>
          <w:highlight w:val="none"/>
          <w:u w:val="single"/>
          <w:lang w:val="en-US" w:eastAsia="zh-CN"/>
        </w:rPr>
        <w:t xml:space="preserve">  </w:t>
      </w:r>
      <w:r>
        <w:rPr>
          <w:i w:val="0"/>
          <w:iCs w:val="0"/>
          <w:color w:val="auto"/>
          <w:sz w:val="21"/>
          <w:szCs w:val="21"/>
          <w:highlight w:val="none"/>
        </w:rPr>
        <w:t>的中国境内生产的组件成本占比≥</w:t>
      </w:r>
      <w:r>
        <w:rPr>
          <w:rFonts w:hint="eastAsia"/>
          <w:i w:val="0"/>
          <w:iCs w:val="0"/>
          <w:color w:val="auto"/>
          <w:sz w:val="21"/>
          <w:szCs w:val="21"/>
          <w:highlight w:val="none"/>
          <w:u w:val="single"/>
          <w:lang w:val="en-US" w:eastAsia="zh-CN"/>
        </w:rPr>
        <w:t xml:space="preserve">  </w:t>
      </w:r>
      <w:r>
        <w:rPr>
          <w:rStyle w:val="53"/>
          <w:i w:val="0"/>
          <w:iCs w:val="0"/>
          <w:color w:val="auto"/>
          <w:sz w:val="21"/>
          <w:szCs w:val="21"/>
          <w:highlight w:val="none"/>
          <w:u w:val="single"/>
        </w:rPr>
        <w:t>（规定比例）</w:t>
      </w:r>
      <w:r>
        <w:rPr>
          <w:rStyle w:val="53"/>
          <w:rFonts w:hint="eastAsia"/>
          <w:i w:val="0"/>
          <w:iCs w:val="0"/>
          <w:color w:val="auto"/>
          <w:sz w:val="21"/>
          <w:szCs w:val="21"/>
          <w:highlight w:val="none"/>
          <w:u w:val="single"/>
          <w:lang w:val="en-US" w:eastAsia="zh-CN"/>
        </w:rPr>
        <w:t xml:space="preserve">  </w:t>
      </w:r>
      <w:r>
        <w:rPr>
          <w:i w:val="0"/>
          <w:iCs w:val="0"/>
          <w:color w:val="auto"/>
          <w:sz w:val="21"/>
          <w:szCs w:val="21"/>
          <w:highlight w:val="none"/>
        </w:rPr>
        <w:t>。</w:t>
      </w:r>
      <w:r>
        <w:rPr>
          <w:rFonts w:hint="eastAsia"/>
          <w:i w:val="0"/>
          <w:iCs w:val="0"/>
          <w:color w:val="auto"/>
          <w:sz w:val="21"/>
          <w:szCs w:val="21"/>
          <w:highlight w:val="none"/>
          <w:u w:val="single"/>
          <w:lang w:val="en-US" w:eastAsia="zh-CN"/>
        </w:rPr>
        <w:t xml:space="preserve">  </w:t>
      </w:r>
      <w:r>
        <w:rPr>
          <w:rStyle w:val="53"/>
          <w:i w:val="0"/>
          <w:iCs w:val="0"/>
          <w:color w:val="auto"/>
          <w:sz w:val="21"/>
          <w:szCs w:val="21"/>
          <w:highlight w:val="none"/>
          <w:u w:val="single"/>
        </w:rPr>
        <w:t>（产品名称</w:t>
      </w:r>
      <w:r>
        <w:rPr>
          <w:rStyle w:val="53"/>
          <w:rFonts w:hint="eastAsia"/>
          <w:i w:val="0"/>
          <w:iCs w:val="0"/>
          <w:color w:val="auto"/>
          <w:sz w:val="21"/>
          <w:szCs w:val="21"/>
          <w:highlight w:val="none"/>
          <w:u w:val="single"/>
          <w:lang w:val="en-US" w:eastAsia="zh-CN"/>
        </w:rPr>
        <w:t>2</w:t>
      </w:r>
      <w:r>
        <w:rPr>
          <w:rStyle w:val="53"/>
          <w:i w:val="0"/>
          <w:iCs w:val="0"/>
          <w:color w:val="auto"/>
          <w:sz w:val="21"/>
          <w:szCs w:val="21"/>
          <w:highlight w:val="none"/>
          <w:u w:val="single"/>
        </w:rPr>
        <w:t>）</w:t>
      </w:r>
      <w:r>
        <w:rPr>
          <w:rStyle w:val="53"/>
          <w:rFonts w:hint="eastAsia"/>
          <w:i w:val="0"/>
          <w:iCs w:val="0"/>
          <w:color w:val="auto"/>
          <w:sz w:val="21"/>
          <w:szCs w:val="21"/>
          <w:highlight w:val="none"/>
          <w:u w:val="single"/>
          <w:lang w:val="en-US" w:eastAsia="zh-CN"/>
        </w:rPr>
        <w:t xml:space="preserve">  </w:t>
      </w:r>
      <w:r>
        <w:rPr>
          <w:i w:val="0"/>
          <w:iCs w:val="0"/>
          <w:color w:val="auto"/>
          <w:sz w:val="21"/>
          <w:szCs w:val="21"/>
          <w:highlight w:val="none"/>
        </w:rPr>
        <w:t>的</w:t>
      </w:r>
      <w:r>
        <w:rPr>
          <w:rFonts w:hint="eastAsia"/>
          <w:i w:val="0"/>
          <w:iCs w:val="0"/>
          <w:color w:val="auto"/>
          <w:sz w:val="21"/>
          <w:szCs w:val="21"/>
          <w:highlight w:val="none"/>
          <w:u w:val="single"/>
          <w:lang w:val="en-US" w:eastAsia="zh-CN"/>
        </w:rPr>
        <w:t xml:space="preserve">   </w:t>
      </w:r>
      <w:r>
        <w:rPr>
          <w:rStyle w:val="53"/>
          <w:i w:val="0"/>
          <w:iCs w:val="0"/>
          <w:color w:val="auto"/>
          <w:sz w:val="21"/>
          <w:szCs w:val="21"/>
          <w:highlight w:val="none"/>
          <w:u w:val="single"/>
        </w:rPr>
        <w:t>（关键组件）</w:t>
      </w:r>
      <w:r>
        <w:rPr>
          <w:rStyle w:val="53"/>
          <w:rFonts w:hint="eastAsia"/>
          <w:i w:val="0"/>
          <w:iCs w:val="0"/>
          <w:color w:val="auto"/>
          <w:sz w:val="21"/>
          <w:szCs w:val="21"/>
          <w:highlight w:val="none"/>
          <w:u w:val="single"/>
          <w:lang w:val="en-US" w:eastAsia="zh-CN"/>
        </w:rPr>
        <w:t xml:space="preserve">   </w:t>
      </w:r>
      <w:r>
        <w:rPr>
          <w:i w:val="0"/>
          <w:iCs w:val="0"/>
          <w:color w:val="auto"/>
          <w:sz w:val="21"/>
          <w:szCs w:val="21"/>
          <w:highlight w:val="none"/>
        </w:rPr>
        <w:t>在中国境内生产。</w:t>
      </w:r>
      <w:r>
        <w:rPr>
          <w:rFonts w:hint="eastAsia"/>
          <w:i w:val="0"/>
          <w:iCs w:val="0"/>
          <w:color w:val="auto"/>
          <w:sz w:val="21"/>
          <w:szCs w:val="21"/>
          <w:highlight w:val="none"/>
          <w:u w:val="single"/>
          <w:lang w:val="en-US" w:eastAsia="zh-CN"/>
        </w:rPr>
        <w:t xml:space="preserve">   </w:t>
      </w:r>
      <w:r>
        <w:rPr>
          <w:rStyle w:val="53"/>
          <w:i w:val="0"/>
          <w:iCs w:val="0"/>
          <w:color w:val="auto"/>
          <w:sz w:val="21"/>
          <w:szCs w:val="21"/>
          <w:highlight w:val="none"/>
          <w:u w:val="single"/>
        </w:rPr>
        <w:t>（产品名称</w:t>
      </w:r>
      <w:r>
        <w:rPr>
          <w:rStyle w:val="53"/>
          <w:rFonts w:hint="eastAsia"/>
          <w:i w:val="0"/>
          <w:iCs w:val="0"/>
          <w:color w:val="auto"/>
          <w:sz w:val="21"/>
          <w:szCs w:val="21"/>
          <w:highlight w:val="none"/>
          <w:u w:val="single"/>
          <w:lang w:val="en-US" w:eastAsia="zh-CN"/>
        </w:rPr>
        <w:t>2</w:t>
      </w:r>
      <w:r>
        <w:rPr>
          <w:rStyle w:val="53"/>
          <w:i w:val="0"/>
          <w:iCs w:val="0"/>
          <w:color w:val="auto"/>
          <w:sz w:val="21"/>
          <w:szCs w:val="21"/>
          <w:highlight w:val="none"/>
          <w:u w:val="single"/>
        </w:rPr>
        <w:t>）</w:t>
      </w:r>
      <w:r>
        <w:rPr>
          <w:rStyle w:val="53"/>
          <w:rFonts w:hint="eastAsia"/>
          <w:i w:val="0"/>
          <w:iCs w:val="0"/>
          <w:color w:val="auto"/>
          <w:sz w:val="21"/>
          <w:szCs w:val="21"/>
          <w:highlight w:val="none"/>
          <w:u w:val="single"/>
          <w:lang w:val="en-US" w:eastAsia="zh-CN"/>
        </w:rPr>
        <w:t xml:space="preserve">   </w:t>
      </w:r>
      <w:r>
        <w:rPr>
          <w:i w:val="0"/>
          <w:iCs w:val="0"/>
          <w:color w:val="auto"/>
          <w:sz w:val="21"/>
          <w:szCs w:val="21"/>
          <w:highlight w:val="none"/>
        </w:rPr>
        <w:t>的</w:t>
      </w:r>
      <w:r>
        <w:rPr>
          <w:rFonts w:hint="eastAsia"/>
          <w:i w:val="0"/>
          <w:iCs w:val="0"/>
          <w:color w:val="auto"/>
          <w:sz w:val="21"/>
          <w:szCs w:val="21"/>
          <w:highlight w:val="none"/>
          <w:u w:val="single"/>
          <w:lang w:val="en-US" w:eastAsia="zh-CN"/>
        </w:rPr>
        <w:t xml:space="preserve">   </w:t>
      </w:r>
      <w:r>
        <w:rPr>
          <w:rStyle w:val="53"/>
          <w:i w:val="0"/>
          <w:iCs w:val="0"/>
          <w:color w:val="auto"/>
          <w:sz w:val="21"/>
          <w:szCs w:val="21"/>
          <w:highlight w:val="none"/>
          <w:u w:val="single"/>
        </w:rPr>
        <w:t>（关键工序）</w:t>
      </w:r>
      <w:r>
        <w:rPr>
          <w:rStyle w:val="53"/>
          <w:rFonts w:hint="eastAsia"/>
          <w:i w:val="0"/>
          <w:iCs w:val="0"/>
          <w:color w:val="auto"/>
          <w:sz w:val="21"/>
          <w:szCs w:val="21"/>
          <w:highlight w:val="none"/>
          <w:u w:val="single"/>
          <w:lang w:val="en-US" w:eastAsia="zh-CN"/>
        </w:rPr>
        <w:t xml:space="preserve">   </w:t>
      </w:r>
      <w:r>
        <w:rPr>
          <w:i w:val="0"/>
          <w:iCs w:val="0"/>
          <w:color w:val="auto"/>
          <w:sz w:val="21"/>
          <w:szCs w:val="21"/>
          <w:highlight w:val="none"/>
        </w:rPr>
        <w:t>在中国境内完成。</w:t>
      </w:r>
    </w:p>
    <w:p w14:paraId="75245A87">
      <w:pPr>
        <w:pStyle w:val="41"/>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0" w:right="0" w:firstLine="420"/>
        <w:rPr>
          <w:i w:val="0"/>
          <w:iCs w:val="0"/>
          <w:color w:val="auto"/>
          <w:sz w:val="21"/>
          <w:szCs w:val="21"/>
          <w:highlight w:val="none"/>
        </w:rPr>
      </w:pPr>
      <w:r>
        <w:rPr>
          <w:i w:val="0"/>
          <w:iCs w:val="0"/>
          <w:color w:val="auto"/>
          <w:sz w:val="21"/>
          <w:szCs w:val="21"/>
          <w:highlight w:val="none"/>
        </w:rPr>
        <w:t>……</w:t>
      </w:r>
    </w:p>
    <w:p w14:paraId="51A6B677">
      <w:pPr>
        <w:pageBreakBefore w:val="0"/>
        <w:kinsoku/>
        <w:overflowPunct/>
        <w:topLinePunct w:val="0"/>
        <w:bidi w:val="0"/>
        <w:adjustRightInd w:val="0"/>
        <w:snapToGrid w:val="0"/>
        <w:spacing w:after="0" w:line="360" w:lineRule="auto"/>
        <w:ind w:left="0" w:firstLine="420" w:firstLineChars="200"/>
        <w:rPr>
          <w:rFonts w:hint="eastAsia" w:ascii="宋体" w:hAnsi="宋体" w:eastAsia="宋体" w:cs="宋体"/>
          <w:color w:val="auto"/>
          <w:spacing w:val="6"/>
          <w:szCs w:val="21"/>
          <w:highlight w:val="none"/>
        </w:rPr>
      </w:pPr>
      <w:r>
        <w:rPr>
          <w:color w:val="auto"/>
          <w:highlight w:val="none"/>
        </w:rPr>
        <w:t>本公司（单位）对上述声明内容的真实性负责。如有虚假，愿承担相应法律责任。</w:t>
      </w:r>
    </w:p>
    <w:p w14:paraId="153DF7F5">
      <w:pPr>
        <w:pageBreakBefore w:val="0"/>
        <w:kinsoku/>
        <w:overflowPunct/>
        <w:topLinePunct w:val="0"/>
        <w:bidi w:val="0"/>
        <w:adjustRightInd w:val="0"/>
        <w:snapToGrid w:val="0"/>
        <w:spacing w:after="0" w:line="360" w:lineRule="auto"/>
        <w:ind w:left="0" w:firstLine="444" w:firstLineChars="200"/>
        <w:rPr>
          <w:rFonts w:hint="eastAsia" w:ascii="宋体" w:hAnsi="宋体" w:eastAsia="宋体" w:cs="宋体"/>
          <w:color w:val="auto"/>
          <w:spacing w:val="6"/>
          <w:szCs w:val="21"/>
          <w:highlight w:val="none"/>
        </w:rPr>
      </w:pPr>
    </w:p>
    <w:p w14:paraId="7426D3FD">
      <w:pPr>
        <w:pageBreakBefore w:val="0"/>
        <w:kinsoku/>
        <w:overflowPunct/>
        <w:topLinePunct w:val="0"/>
        <w:bidi w:val="0"/>
        <w:adjustRightInd w:val="0"/>
        <w:snapToGrid w:val="0"/>
        <w:spacing w:after="0" w:line="360" w:lineRule="auto"/>
        <w:ind w:left="0" w:firstLine="444" w:firstLineChars="200"/>
        <w:rPr>
          <w:rFonts w:hint="eastAsia" w:ascii="宋体" w:hAnsi="宋体" w:eastAsia="宋体" w:cs="宋体"/>
          <w:color w:val="auto"/>
          <w:spacing w:val="6"/>
          <w:szCs w:val="21"/>
          <w:highlight w:val="none"/>
        </w:rPr>
      </w:pPr>
    </w:p>
    <w:p w14:paraId="58284F3F">
      <w:pPr>
        <w:pageBreakBefore w:val="0"/>
        <w:tabs>
          <w:tab w:val="left" w:pos="4860"/>
        </w:tabs>
        <w:kinsoku/>
        <w:overflowPunct/>
        <w:topLinePunct w:val="0"/>
        <w:bidi w:val="0"/>
        <w:adjustRightInd w:val="0"/>
        <w:snapToGrid w:val="0"/>
        <w:spacing w:after="0" w:line="360" w:lineRule="auto"/>
        <w:jc w:val="both"/>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公司（单位）名称（盖公章）：　        </w:t>
      </w:r>
    </w:p>
    <w:p w14:paraId="182BA0CD">
      <w:pPr>
        <w:pageBreakBefore w:val="0"/>
        <w:tabs>
          <w:tab w:val="left" w:pos="4860"/>
        </w:tabs>
        <w:kinsoku/>
        <w:overflowPunct/>
        <w:topLinePunct w:val="0"/>
        <w:bidi w:val="0"/>
        <w:adjustRightInd w:val="0"/>
        <w:snapToGrid w:val="0"/>
        <w:spacing w:after="0" w:line="360" w:lineRule="auto"/>
        <w:jc w:val="both"/>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日期：　    </w:t>
      </w:r>
    </w:p>
    <w:p w14:paraId="2B8C9324">
      <w:pPr>
        <w:pStyle w:val="41"/>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0" w:right="0" w:firstLine="420"/>
        <w:rPr>
          <w:rStyle w:val="53"/>
          <w:rFonts w:hint="eastAsia" w:ascii="宋体" w:hAnsi="宋体" w:eastAsia="宋体" w:cs="宋体"/>
          <w:i w:val="0"/>
          <w:iCs w:val="0"/>
          <w:color w:val="auto"/>
          <w:sz w:val="21"/>
          <w:szCs w:val="21"/>
          <w:highlight w:val="none"/>
        </w:rPr>
      </w:pPr>
      <w:r>
        <w:rPr>
          <w:rStyle w:val="53"/>
          <w:rFonts w:hint="eastAsia" w:ascii="宋体" w:hAnsi="宋体" w:eastAsia="宋体" w:cs="宋体"/>
          <w:i w:val="0"/>
          <w:iCs w:val="0"/>
          <w:color w:val="auto"/>
          <w:sz w:val="21"/>
          <w:szCs w:val="21"/>
          <w:highlight w:val="none"/>
        </w:rPr>
        <w:t>1.产品如有型号，请在“产品名称”栏一并填写。</w:t>
      </w:r>
    </w:p>
    <w:p w14:paraId="09971F62">
      <w:pPr>
        <w:pStyle w:val="41"/>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0" w:right="0" w:firstLine="420"/>
        <w:rPr>
          <w:rStyle w:val="53"/>
          <w:rFonts w:hint="eastAsia" w:ascii="宋体" w:hAnsi="宋体" w:eastAsia="宋体" w:cs="宋体"/>
          <w:i w:val="0"/>
          <w:iCs w:val="0"/>
          <w:color w:val="auto"/>
          <w:sz w:val="21"/>
          <w:szCs w:val="21"/>
          <w:highlight w:val="none"/>
        </w:rPr>
      </w:pPr>
      <w:r>
        <w:rPr>
          <w:rStyle w:val="53"/>
          <w:rFonts w:hint="eastAsia" w:ascii="宋体" w:hAnsi="宋体" w:eastAsia="宋体" w:cs="宋体"/>
          <w:i w:val="0"/>
          <w:iCs w:val="0"/>
          <w:color w:val="auto"/>
          <w:sz w:val="21"/>
          <w:szCs w:val="21"/>
          <w:highlight w:val="none"/>
        </w:rPr>
        <w:t>2.生产厂名与厂址应与生产厂营业执照载明的相关信息保持一致。</w:t>
      </w:r>
    </w:p>
    <w:p w14:paraId="63B7F57D">
      <w:pPr>
        <w:pStyle w:val="41"/>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0" w:right="0" w:firstLine="420"/>
        <w:rPr>
          <w:rStyle w:val="53"/>
          <w:rFonts w:hint="eastAsia" w:ascii="宋体" w:hAnsi="宋体" w:eastAsia="宋体" w:cs="宋体"/>
          <w:i w:val="0"/>
          <w:iCs w:val="0"/>
          <w:color w:val="auto"/>
          <w:sz w:val="21"/>
          <w:szCs w:val="21"/>
          <w:highlight w:val="none"/>
        </w:rPr>
      </w:pPr>
      <w:r>
        <w:rPr>
          <w:rStyle w:val="53"/>
          <w:rFonts w:hint="eastAsia" w:ascii="宋体" w:hAnsi="宋体" w:eastAsia="宋体" w:cs="宋体"/>
          <w:i w:val="0"/>
          <w:iCs w:val="0"/>
          <w:color w:val="auto"/>
          <w:sz w:val="21"/>
          <w:szCs w:val="21"/>
          <w:highlight w:val="none"/>
        </w:rPr>
        <w:t>3.该产品的中国境内生产的组件成本占比相关要求实施前，“规定比例”栏可不填，下同。</w:t>
      </w:r>
    </w:p>
    <w:p w14:paraId="2A37BBDB">
      <w:pPr>
        <w:pStyle w:val="41"/>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0" w:right="0" w:firstLine="420"/>
        <w:rPr>
          <w:rStyle w:val="53"/>
          <w:rFonts w:hint="eastAsia" w:ascii="宋体" w:hAnsi="宋体" w:eastAsia="宋体" w:cs="宋体"/>
          <w:i w:val="0"/>
          <w:iCs w:val="0"/>
          <w:color w:val="auto"/>
          <w:sz w:val="21"/>
          <w:szCs w:val="21"/>
          <w:highlight w:val="none"/>
        </w:rPr>
      </w:pPr>
      <w:r>
        <w:rPr>
          <w:rStyle w:val="53"/>
          <w:rFonts w:hint="eastAsia" w:ascii="宋体" w:hAnsi="宋体" w:eastAsia="宋体" w:cs="宋体"/>
          <w:i w:val="0"/>
          <w:iCs w:val="0"/>
          <w:color w:val="auto"/>
          <w:sz w:val="21"/>
          <w:szCs w:val="21"/>
          <w:highlight w:val="none"/>
        </w:rPr>
        <w:t>4.该产品的关键组件要求实施前，“关键组件”栏可不填，下同。</w:t>
      </w:r>
    </w:p>
    <w:p w14:paraId="5EF84667">
      <w:pPr>
        <w:pStyle w:val="41"/>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0" w:right="0" w:firstLine="420"/>
        <w:rPr>
          <w:rStyle w:val="53"/>
          <w:rFonts w:hint="eastAsia" w:ascii="宋体" w:hAnsi="宋体" w:eastAsia="宋体" w:cs="宋体"/>
          <w:i w:val="0"/>
          <w:iCs w:val="0"/>
          <w:color w:val="auto"/>
          <w:sz w:val="21"/>
          <w:szCs w:val="21"/>
          <w:highlight w:val="none"/>
        </w:rPr>
      </w:pPr>
      <w:r>
        <w:rPr>
          <w:rStyle w:val="53"/>
          <w:rFonts w:hint="eastAsia" w:ascii="宋体" w:hAnsi="宋体" w:eastAsia="宋体" w:cs="宋体"/>
          <w:i w:val="0"/>
          <w:iCs w:val="0"/>
          <w:color w:val="auto"/>
          <w:sz w:val="21"/>
          <w:szCs w:val="21"/>
          <w:highlight w:val="none"/>
        </w:rPr>
        <w:t>5.该产品的关键工序要求实施前，“关键工序”栏可不填，下同。</w:t>
      </w:r>
    </w:p>
    <w:p w14:paraId="69386982">
      <w:pPr>
        <w:pageBreakBefore w:val="0"/>
        <w:kinsoku/>
        <w:overflowPunct/>
        <w:topLinePunct w:val="0"/>
        <w:bidi w:val="0"/>
        <w:adjustRightInd w:val="0"/>
        <w:snapToGrid w:val="0"/>
        <w:spacing w:after="0" w:line="360" w:lineRule="auto"/>
        <w:ind w:left="0"/>
        <w:rPr>
          <w:rFonts w:hint="eastAsia"/>
          <w:sz w:val="21"/>
          <w:szCs w:val="21"/>
          <w:highlight w:val="none"/>
        </w:rPr>
      </w:pPr>
    </w:p>
    <w:p w14:paraId="4CD95CE8">
      <w:pPr>
        <w:pageBreakBefore w:val="0"/>
        <w:widowControl/>
        <w:kinsoku/>
        <w:overflowPunct/>
        <w:topLinePunct w:val="0"/>
        <w:bidi w:val="0"/>
        <w:adjustRightInd w:val="0"/>
        <w:snapToGrid w:val="0"/>
        <w:spacing w:after="0" w:line="360" w:lineRule="auto"/>
        <w:ind w:left="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投标人对其提供的产品出具《关于符合本国产品标准的声明函》（以下简称《声明函》）或财政部会同有关部门规定的有关证明文件。出具符合要求的《声明函》或有关证明文件的，该产品视为本国产品。投标人提供虚假《声明函》、虚假证明文件谋取中标的，依照《中华人民共和国政府采购法》等法律法规规定追究相应责任。</w:t>
      </w:r>
    </w:p>
    <w:p w14:paraId="1D68E235">
      <w:pPr>
        <w:pageBreakBefore w:val="0"/>
        <w:widowControl/>
        <w:kinsoku/>
        <w:overflowPunct/>
        <w:topLinePunct w:val="0"/>
        <w:autoSpaceDE/>
        <w:autoSpaceDN/>
        <w:bidi w:val="0"/>
        <w:spacing w:line="480" w:lineRule="exact"/>
        <w:ind w:left="0" w:leftChars="0" w:right="0"/>
        <w:jc w:val="left"/>
        <w:outlineLvl w:val="9"/>
        <w:rPr>
          <w:rFonts w:hint="eastAsia" w:ascii="宋体" w:hAnsi="宋体" w:cs="宋体"/>
          <w:b/>
          <w:color w:val="auto"/>
          <w:kern w:val="2"/>
          <w:sz w:val="28"/>
          <w:szCs w:val="28"/>
          <w:highlight w:val="none"/>
          <w:lang w:val="en-US" w:eastAsia="zh-CN" w:bidi="ar-SA"/>
        </w:rPr>
      </w:pPr>
      <w:r>
        <w:rPr>
          <w:rFonts w:hint="eastAsia" w:ascii="宋体" w:hAnsi="宋体" w:cs="宋体"/>
          <w:b/>
          <w:color w:val="auto"/>
          <w:kern w:val="2"/>
          <w:sz w:val="28"/>
          <w:szCs w:val="28"/>
          <w:highlight w:val="none"/>
          <w:lang w:val="en-US" w:eastAsia="zh-CN" w:bidi="ar-SA"/>
        </w:rPr>
        <w:t>格式18-2</w:t>
      </w:r>
    </w:p>
    <w:p w14:paraId="5979D351">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outlineLvl w:val="2"/>
        <w:rPr>
          <w:rFonts w:hint="eastAsia" w:ascii="Times New Roman" w:hAnsi="Times New Roman" w:eastAsia="黑体" w:cs="Times New Roman"/>
          <w:color w:val="auto"/>
          <w:sz w:val="28"/>
          <w:szCs w:val="28"/>
          <w:highlight w:val="none"/>
          <w:lang w:eastAsia="zh-CN"/>
        </w:rPr>
      </w:pPr>
      <w:r>
        <w:rPr>
          <w:rFonts w:ascii="Times New Roman" w:hAnsi="Times New Roman" w:eastAsia="黑体" w:cs="Times New Roman"/>
          <w:color w:val="auto"/>
          <w:sz w:val="28"/>
          <w:szCs w:val="28"/>
          <w:highlight w:val="none"/>
        </w:rPr>
        <w:t>中</w:t>
      </w:r>
      <w:bookmarkStart w:id="54" w:name="OLE_LINK384"/>
      <w:r>
        <w:rPr>
          <w:rFonts w:ascii="Times New Roman" w:hAnsi="Times New Roman" w:eastAsia="黑体" w:cs="Times New Roman"/>
          <w:color w:val="auto"/>
          <w:sz w:val="28"/>
          <w:szCs w:val="28"/>
          <w:highlight w:val="none"/>
        </w:rPr>
        <w:t>小企业</w:t>
      </w:r>
      <w:bookmarkStart w:id="55" w:name="OLE_LINK28"/>
      <w:r>
        <w:rPr>
          <w:rFonts w:ascii="Times New Roman" w:hAnsi="Times New Roman" w:eastAsia="黑体" w:cs="Times New Roman"/>
          <w:color w:val="auto"/>
          <w:sz w:val="28"/>
          <w:szCs w:val="28"/>
          <w:highlight w:val="none"/>
        </w:rPr>
        <w:t>声明函</w:t>
      </w:r>
      <w:bookmarkEnd w:id="55"/>
    </w:p>
    <w:bookmarkEnd w:id="54"/>
    <w:p w14:paraId="5FE1906E">
      <w:pPr>
        <w:keepNext w:val="0"/>
        <w:keepLines w:val="0"/>
        <w:pageBreakBefore w:val="0"/>
        <w:kinsoku/>
        <w:wordWrap/>
        <w:overflowPunct/>
        <w:topLinePunct w:val="0"/>
        <w:autoSpaceDE/>
        <w:autoSpaceDN/>
        <w:bidi w:val="0"/>
        <w:adjustRightInd/>
        <w:snapToGrid/>
        <w:spacing w:line="360" w:lineRule="auto"/>
        <w:ind w:right="415" w:firstLine="412"/>
        <w:textAlignment w:val="auto"/>
        <w:rPr>
          <w:rFonts w:ascii="Times New Roman" w:hAnsi="Times New Roman" w:cs="Times New Roman"/>
          <w:color w:val="auto"/>
          <w:szCs w:val="21"/>
          <w:highlight w:val="none"/>
        </w:rPr>
      </w:pPr>
      <w:r>
        <w:rPr>
          <w:rFonts w:ascii="Times New Roman" w:hAnsi="Times New Roman" w:cs="Times New Roman"/>
          <w:color w:val="auto"/>
          <w:spacing w:val="-2"/>
          <w:szCs w:val="21"/>
          <w:highlight w:val="none"/>
        </w:rPr>
        <w:t>本公司</w:t>
      </w:r>
      <w:r>
        <w:rPr>
          <w:rFonts w:hint="eastAsia" w:ascii="Times New Roman" w:hAnsi="Times New Roman" w:cs="Times New Roman"/>
          <w:color w:val="auto"/>
          <w:spacing w:val="-2"/>
          <w:szCs w:val="21"/>
          <w:highlight w:val="none"/>
          <w:lang w:eastAsia="zh-CN"/>
        </w:rPr>
        <w:t>（</w:t>
      </w:r>
      <w:r>
        <w:rPr>
          <w:rFonts w:hint="eastAsia" w:ascii="Times New Roman" w:hAnsi="Times New Roman" w:cs="Times New Roman"/>
          <w:color w:val="auto"/>
          <w:spacing w:val="-2"/>
          <w:szCs w:val="21"/>
          <w:highlight w:val="none"/>
          <w:lang w:val="en-US" w:eastAsia="zh-CN"/>
        </w:rPr>
        <w:t>联合体</w:t>
      </w:r>
      <w:r>
        <w:rPr>
          <w:rFonts w:hint="eastAsia" w:ascii="Times New Roman" w:hAnsi="Times New Roman" w:cs="Times New Roman"/>
          <w:color w:val="auto"/>
          <w:spacing w:val="-2"/>
          <w:szCs w:val="21"/>
          <w:highlight w:val="none"/>
          <w:lang w:eastAsia="zh-CN"/>
        </w:rPr>
        <w:t>）</w:t>
      </w:r>
      <w:r>
        <w:rPr>
          <w:rFonts w:ascii="Times New Roman" w:hAnsi="Times New Roman" w:cs="Times New Roman"/>
          <w:color w:val="auto"/>
          <w:spacing w:val="-2"/>
          <w:szCs w:val="21"/>
          <w:highlight w:val="none"/>
        </w:rPr>
        <w:t>郑重声明，根据《政府采购促进中小企业发展管理办法</w:t>
      </w:r>
      <w:r>
        <w:rPr>
          <w:rFonts w:ascii="Times New Roman" w:hAnsi="Times New Roman" w:cs="Times New Roman"/>
          <w:color w:val="auto"/>
          <w:spacing w:val="-18"/>
          <w:szCs w:val="21"/>
          <w:highlight w:val="none"/>
        </w:rPr>
        <w:t>》</w:t>
      </w:r>
      <w:r>
        <w:rPr>
          <w:rFonts w:ascii="Times New Roman" w:hAnsi="Times New Roman" w:cs="Times New Roman"/>
          <w:color w:val="auto"/>
          <w:szCs w:val="21"/>
          <w:highlight w:val="none"/>
        </w:rPr>
        <w:t>（</w:t>
      </w:r>
      <w:r>
        <w:rPr>
          <w:rFonts w:ascii="Times New Roman" w:hAnsi="Times New Roman" w:cs="Times New Roman"/>
          <w:color w:val="auto"/>
          <w:spacing w:val="5"/>
          <w:szCs w:val="21"/>
          <w:highlight w:val="none"/>
        </w:rPr>
        <w:t>财库</w:t>
      </w:r>
      <w:r>
        <w:rPr>
          <w:rFonts w:ascii="Times New Roman" w:hAnsi="Times New Roman" w:cs="Times New Roman"/>
          <w:color w:val="auto"/>
          <w:szCs w:val="21"/>
          <w:highlight w:val="none"/>
        </w:rPr>
        <w:t>﹝2020﹞46</w:t>
      </w:r>
      <w:r>
        <w:rPr>
          <w:rFonts w:ascii="Times New Roman" w:hAnsi="Times New Roman" w:cs="Times New Roman"/>
          <w:color w:val="auto"/>
          <w:spacing w:val="-38"/>
          <w:szCs w:val="21"/>
          <w:highlight w:val="none"/>
        </w:rPr>
        <w:t xml:space="preserve"> 号</w:t>
      </w:r>
      <w:r>
        <w:rPr>
          <w:rFonts w:ascii="Times New Roman" w:hAnsi="Times New Roman" w:cs="Times New Roman"/>
          <w:color w:val="auto"/>
          <w:spacing w:val="5"/>
          <w:szCs w:val="21"/>
          <w:highlight w:val="none"/>
        </w:rPr>
        <w:t>）</w:t>
      </w:r>
      <w:r>
        <w:rPr>
          <w:rFonts w:ascii="Times New Roman" w:hAnsi="Times New Roman" w:cs="Times New Roman"/>
          <w:color w:val="auto"/>
          <w:szCs w:val="21"/>
          <w:highlight w:val="none"/>
        </w:rPr>
        <w:t>的规定，本公司</w:t>
      </w:r>
      <w:r>
        <w:rPr>
          <w:rFonts w:hint="eastAsia" w:ascii="Times New Roman" w:hAnsi="Times New Roman" w:cs="Times New Roman"/>
          <w:color w:val="auto"/>
          <w:szCs w:val="21"/>
          <w:highlight w:val="none"/>
          <w:lang w:val="en-US" w:eastAsia="zh-CN"/>
        </w:rPr>
        <w:t>（联合体）</w:t>
      </w:r>
      <w:r>
        <w:rPr>
          <w:rFonts w:ascii="Times New Roman" w:hAnsi="Times New Roman" w:cs="Times New Roman"/>
          <w:color w:val="auto"/>
          <w:spacing w:val="-2"/>
          <w:szCs w:val="21"/>
          <w:highlight w:val="none"/>
        </w:rPr>
        <w:t>参加</w:t>
      </w:r>
      <w:r>
        <w:rPr>
          <w:rFonts w:ascii="Times New Roman" w:hAnsi="Times New Roman" w:cs="Times New Roman"/>
          <w:b/>
          <w:color w:val="auto"/>
          <w:spacing w:val="-2"/>
          <w:szCs w:val="21"/>
          <w:highlight w:val="none"/>
          <w:u w:val="single"/>
        </w:rPr>
        <w:t>（单位名称）</w:t>
      </w:r>
      <w:r>
        <w:rPr>
          <w:rFonts w:ascii="Times New Roman" w:hAnsi="Times New Roman" w:cs="Times New Roman"/>
          <w:color w:val="auto"/>
          <w:spacing w:val="-2"/>
          <w:szCs w:val="21"/>
          <w:highlight w:val="none"/>
        </w:rPr>
        <w:t>的</w:t>
      </w:r>
      <w:r>
        <w:rPr>
          <w:rFonts w:ascii="Times New Roman" w:hAnsi="Times New Roman" w:cs="Times New Roman"/>
          <w:b/>
          <w:color w:val="auto"/>
          <w:spacing w:val="-2"/>
          <w:szCs w:val="21"/>
          <w:highlight w:val="none"/>
          <w:u w:val="single"/>
        </w:rPr>
        <w:t>（项目名称）</w:t>
      </w:r>
      <w:r>
        <w:rPr>
          <w:rFonts w:ascii="Times New Roman" w:hAnsi="Times New Roman" w:cs="Times New Roman"/>
          <w:color w:val="auto"/>
          <w:spacing w:val="-2"/>
          <w:szCs w:val="21"/>
          <w:highlight w:val="none"/>
        </w:rPr>
        <w:t>采购活动，提供的货物全部由符合政策要求的中小企业</w:t>
      </w:r>
      <w:r>
        <w:rPr>
          <w:rFonts w:hint="eastAsia" w:ascii="Times New Roman" w:hAnsi="Times New Roman" w:cs="Times New Roman"/>
          <w:color w:val="auto"/>
          <w:spacing w:val="-2"/>
          <w:szCs w:val="21"/>
          <w:highlight w:val="none"/>
        </w:rPr>
        <w:t>制造</w:t>
      </w:r>
      <w:r>
        <w:rPr>
          <w:rFonts w:ascii="Times New Roman" w:hAnsi="Times New Roman" w:cs="Times New Roman"/>
          <w:color w:val="auto"/>
          <w:spacing w:val="-2"/>
          <w:szCs w:val="21"/>
          <w:highlight w:val="none"/>
        </w:rPr>
        <w:t>。相关企业</w:t>
      </w:r>
      <w:r>
        <w:rPr>
          <w:rFonts w:hint="eastAsia" w:ascii="Times New Roman" w:hAnsi="Times New Roman" w:cs="Times New Roman"/>
          <w:color w:val="auto"/>
          <w:spacing w:val="-2"/>
          <w:szCs w:val="21"/>
          <w:highlight w:val="none"/>
          <w:lang w:eastAsia="zh-CN"/>
        </w:rPr>
        <w:t>（</w:t>
      </w:r>
      <w:r>
        <w:rPr>
          <w:rFonts w:hint="eastAsia" w:ascii="Times New Roman" w:hAnsi="Times New Roman" w:cs="Times New Roman"/>
          <w:color w:val="auto"/>
          <w:spacing w:val="-2"/>
          <w:szCs w:val="21"/>
          <w:highlight w:val="none"/>
          <w:lang w:val="en-US" w:eastAsia="zh-CN"/>
        </w:rPr>
        <w:t>含联合体中的中小企业、签订分包意向协议的中小企业</w:t>
      </w:r>
      <w:r>
        <w:rPr>
          <w:rFonts w:hint="eastAsia" w:ascii="Times New Roman" w:hAnsi="Times New Roman" w:cs="Times New Roman"/>
          <w:color w:val="auto"/>
          <w:spacing w:val="-2"/>
          <w:szCs w:val="21"/>
          <w:highlight w:val="none"/>
          <w:lang w:eastAsia="zh-CN"/>
        </w:rPr>
        <w:t>）</w:t>
      </w:r>
      <w:r>
        <w:rPr>
          <w:rFonts w:ascii="Times New Roman" w:hAnsi="Times New Roman" w:cs="Times New Roman"/>
          <w:color w:val="auto"/>
          <w:spacing w:val="-2"/>
          <w:szCs w:val="21"/>
          <w:highlight w:val="none"/>
        </w:rPr>
        <w:t>的具体情况如下：</w:t>
      </w:r>
    </w:p>
    <w:p w14:paraId="763D1526">
      <w:pPr>
        <w:keepNext w:val="0"/>
        <w:keepLines w:val="0"/>
        <w:pageBreakBefore w:val="0"/>
        <w:kinsoku/>
        <w:wordWrap/>
        <w:overflowPunct/>
        <w:topLinePunct w:val="0"/>
        <w:autoSpaceDE/>
        <w:autoSpaceDN/>
        <w:bidi w:val="0"/>
        <w:adjustRightInd/>
        <w:snapToGrid/>
        <w:spacing w:line="360" w:lineRule="auto"/>
        <w:ind w:right="415" w:firstLine="412"/>
        <w:textAlignment w:val="auto"/>
        <w:rPr>
          <w:rFonts w:ascii="Times New Roman" w:hAnsi="Times New Roman" w:cs="Times New Roman"/>
          <w:color w:val="auto"/>
          <w:spacing w:val="5"/>
          <w:szCs w:val="21"/>
          <w:highlight w:val="none"/>
        </w:rPr>
      </w:pPr>
      <w:r>
        <w:rPr>
          <w:rFonts w:ascii="Times New Roman" w:hAnsi="Times New Roman" w:cs="Times New Roman"/>
          <w:color w:val="auto"/>
          <w:spacing w:val="-2"/>
          <w:szCs w:val="21"/>
          <w:highlight w:val="none"/>
        </w:rPr>
        <w:t>1.</w:t>
      </w:r>
      <w:r>
        <w:rPr>
          <w:rFonts w:ascii="Times New Roman" w:hAnsi="Times New Roman" w:cs="Times New Roman"/>
          <w:b/>
          <w:color w:val="auto"/>
          <w:spacing w:val="-2"/>
          <w:szCs w:val="21"/>
          <w:highlight w:val="none"/>
          <w:u w:val="single"/>
        </w:rPr>
        <w:t>（标的名称）</w:t>
      </w:r>
      <w:r>
        <w:rPr>
          <w:rFonts w:hint="eastAsia" w:ascii="Times New Roman" w:hAnsi="Times New Roman" w:cs="Times New Roman"/>
          <w:b/>
          <w:color w:val="auto"/>
          <w:spacing w:val="-2"/>
          <w:szCs w:val="21"/>
          <w:highlight w:val="none"/>
          <w:u w:val="single"/>
          <w:lang w:val="en-US" w:eastAsia="zh-CN"/>
        </w:rPr>
        <w:t xml:space="preserve">          </w:t>
      </w:r>
      <w:r>
        <w:rPr>
          <w:rFonts w:ascii="Times New Roman" w:hAnsi="Times New Roman" w:cs="Times New Roman"/>
          <w:color w:val="auto"/>
          <w:spacing w:val="-2"/>
          <w:szCs w:val="21"/>
          <w:highlight w:val="none"/>
        </w:rPr>
        <w:t>，属于</w:t>
      </w:r>
      <w:r>
        <w:rPr>
          <w:rFonts w:ascii="Times New Roman" w:hAnsi="Times New Roman" w:cs="Times New Roman"/>
          <w:b/>
          <w:color w:val="auto"/>
          <w:spacing w:val="-2"/>
          <w:szCs w:val="21"/>
          <w:highlight w:val="none"/>
          <w:u w:val="single"/>
        </w:rPr>
        <w:t>（采购文件中明确的所属行业）</w:t>
      </w:r>
      <w:r>
        <w:rPr>
          <w:rFonts w:hint="eastAsia" w:ascii="Times New Roman" w:hAnsi="Times New Roman" w:cs="Times New Roman"/>
          <w:b/>
          <w:color w:val="auto"/>
          <w:spacing w:val="-2"/>
          <w:szCs w:val="21"/>
          <w:highlight w:val="none"/>
          <w:u w:val="single"/>
          <w:lang w:val="en-US" w:eastAsia="zh-CN"/>
        </w:rPr>
        <w:t xml:space="preserve">                  </w:t>
      </w:r>
      <w:r>
        <w:rPr>
          <w:rFonts w:ascii="Times New Roman" w:hAnsi="Times New Roman" w:cs="Times New Roman"/>
          <w:color w:val="auto"/>
          <w:spacing w:val="-2"/>
          <w:szCs w:val="21"/>
          <w:highlight w:val="none"/>
        </w:rPr>
        <w:t>；</w:t>
      </w:r>
      <w:r>
        <w:rPr>
          <w:rFonts w:ascii="Times New Roman" w:hAnsi="Times New Roman" w:cs="Times New Roman"/>
          <w:color w:val="auto"/>
          <w:spacing w:val="5"/>
          <w:szCs w:val="21"/>
          <w:highlight w:val="none"/>
        </w:rPr>
        <w:t>制造商为</w:t>
      </w:r>
      <w:r>
        <w:rPr>
          <w:rFonts w:ascii="Times New Roman" w:hAnsi="Times New Roman" w:cs="Times New Roman"/>
          <w:b/>
          <w:color w:val="auto"/>
          <w:spacing w:val="5"/>
          <w:szCs w:val="21"/>
          <w:highlight w:val="none"/>
          <w:u w:val="single"/>
        </w:rPr>
        <w:t>（企业名称）</w:t>
      </w:r>
      <w:r>
        <w:rPr>
          <w:rFonts w:hint="eastAsia" w:ascii="Times New Roman" w:hAnsi="Times New Roman" w:cs="Times New Roman"/>
          <w:b/>
          <w:color w:val="auto"/>
          <w:spacing w:val="5"/>
          <w:szCs w:val="21"/>
          <w:highlight w:val="none"/>
          <w:u w:val="single"/>
          <w:lang w:val="en-US" w:eastAsia="zh-CN"/>
        </w:rPr>
        <w:t xml:space="preserve">             </w:t>
      </w:r>
      <w:r>
        <w:rPr>
          <w:rFonts w:ascii="Times New Roman" w:hAnsi="Times New Roman" w:cs="Times New Roman"/>
          <w:color w:val="auto"/>
          <w:spacing w:val="5"/>
          <w:szCs w:val="21"/>
          <w:highlight w:val="none"/>
        </w:rPr>
        <w:t>，从业人员</w:t>
      </w:r>
      <w:r>
        <w:rPr>
          <w:rFonts w:ascii="Times New Roman" w:hAnsi="Times New Roman" w:cs="Times New Roman"/>
          <w:color w:val="auto"/>
          <w:spacing w:val="5"/>
          <w:szCs w:val="21"/>
          <w:highlight w:val="none"/>
          <w:u w:val="single"/>
        </w:rPr>
        <w:t xml:space="preserve">      </w:t>
      </w:r>
      <w:r>
        <w:rPr>
          <w:rFonts w:ascii="Times New Roman" w:hAnsi="Times New Roman" w:cs="Times New Roman"/>
          <w:color w:val="auto"/>
          <w:spacing w:val="5"/>
          <w:szCs w:val="21"/>
          <w:highlight w:val="none"/>
        </w:rPr>
        <w:t>人，营业收入为</w:t>
      </w:r>
      <w:r>
        <w:rPr>
          <w:rFonts w:ascii="Times New Roman" w:hAnsi="Times New Roman" w:cs="Times New Roman"/>
          <w:color w:val="auto"/>
          <w:spacing w:val="5"/>
          <w:szCs w:val="21"/>
          <w:highlight w:val="none"/>
          <w:u w:val="single"/>
        </w:rPr>
        <w:t xml:space="preserve">     </w:t>
      </w:r>
      <w:r>
        <w:rPr>
          <w:rFonts w:ascii="Times New Roman" w:hAnsi="Times New Roman" w:cs="Times New Roman"/>
          <w:color w:val="auto"/>
          <w:spacing w:val="5"/>
          <w:szCs w:val="21"/>
          <w:highlight w:val="none"/>
        </w:rPr>
        <w:t>万元，资产总额为</w:t>
      </w:r>
      <w:r>
        <w:rPr>
          <w:rFonts w:ascii="Times New Roman" w:hAnsi="Times New Roman" w:cs="Times New Roman"/>
          <w:color w:val="auto"/>
          <w:spacing w:val="5"/>
          <w:szCs w:val="21"/>
          <w:highlight w:val="none"/>
          <w:u w:val="single"/>
        </w:rPr>
        <w:t xml:space="preserve">    </w:t>
      </w:r>
      <w:r>
        <w:rPr>
          <w:rFonts w:ascii="Times New Roman" w:hAnsi="Times New Roman" w:cs="Times New Roman"/>
          <w:color w:val="auto"/>
          <w:spacing w:val="5"/>
          <w:szCs w:val="21"/>
          <w:highlight w:val="none"/>
        </w:rPr>
        <w:t>万元，属于</w:t>
      </w:r>
      <w:r>
        <w:rPr>
          <w:rFonts w:ascii="Times New Roman" w:hAnsi="Times New Roman" w:cs="Times New Roman"/>
          <w:b/>
          <w:color w:val="auto"/>
          <w:spacing w:val="5"/>
          <w:szCs w:val="21"/>
          <w:highlight w:val="none"/>
          <w:u w:val="single"/>
        </w:rPr>
        <w:t>（中型企业、小型企业、微型企业）</w:t>
      </w:r>
      <w:r>
        <w:rPr>
          <w:rFonts w:hint="eastAsia" w:ascii="Times New Roman" w:hAnsi="Times New Roman" w:cs="Times New Roman"/>
          <w:b/>
          <w:color w:val="auto"/>
          <w:spacing w:val="5"/>
          <w:szCs w:val="21"/>
          <w:highlight w:val="none"/>
          <w:u w:val="single"/>
          <w:lang w:val="en-US" w:eastAsia="zh-CN"/>
        </w:rPr>
        <w:t xml:space="preserve">                       </w:t>
      </w:r>
      <w:r>
        <w:rPr>
          <w:rFonts w:ascii="Times New Roman" w:hAnsi="Times New Roman" w:cs="Times New Roman"/>
          <w:color w:val="auto"/>
          <w:spacing w:val="5"/>
          <w:szCs w:val="21"/>
          <w:highlight w:val="none"/>
        </w:rPr>
        <w:t>；</w:t>
      </w:r>
    </w:p>
    <w:p w14:paraId="34F11C7C">
      <w:pPr>
        <w:keepNext w:val="0"/>
        <w:keepLines w:val="0"/>
        <w:pageBreakBefore w:val="0"/>
        <w:kinsoku/>
        <w:wordWrap/>
        <w:overflowPunct/>
        <w:topLinePunct w:val="0"/>
        <w:autoSpaceDE/>
        <w:autoSpaceDN/>
        <w:bidi w:val="0"/>
        <w:adjustRightInd/>
        <w:snapToGrid/>
        <w:spacing w:line="360" w:lineRule="auto"/>
        <w:ind w:right="415" w:firstLine="440"/>
        <w:textAlignment w:val="auto"/>
        <w:rPr>
          <w:rFonts w:ascii="Times New Roman" w:hAnsi="Times New Roman" w:cs="Times New Roman"/>
          <w:color w:val="auto"/>
          <w:spacing w:val="5"/>
          <w:szCs w:val="21"/>
          <w:highlight w:val="none"/>
        </w:rPr>
      </w:pPr>
      <w:r>
        <w:rPr>
          <w:rFonts w:ascii="Times New Roman" w:hAnsi="Times New Roman" w:cs="Times New Roman"/>
          <w:color w:val="auto"/>
          <w:spacing w:val="5"/>
          <w:szCs w:val="21"/>
          <w:highlight w:val="none"/>
        </w:rPr>
        <w:t>2.</w:t>
      </w:r>
      <w:r>
        <w:rPr>
          <w:rFonts w:ascii="Times New Roman" w:hAnsi="Times New Roman" w:cs="Times New Roman"/>
          <w:b/>
          <w:color w:val="auto"/>
          <w:spacing w:val="-2"/>
          <w:szCs w:val="21"/>
          <w:highlight w:val="none"/>
          <w:u w:val="single"/>
        </w:rPr>
        <w:t xml:space="preserve"> （标的名称）</w:t>
      </w:r>
      <w:r>
        <w:rPr>
          <w:rFonts w:hint="eastAsia" w:ascii="Times New Roman" w:hAnsi="Times New Roman" w:cs="Times New Roman"/>
          <w:b/>
          <w:color w:val="auto"/>
          <w:spacing w:val="-2"/>
          <w:szCs w:val="21"/>
          <w:highlight w:val="none"/>
          <w:u w:val="single"/>
          <w:lang w:val="en-US" w:eastAsia="zh-CN"/>
        </w:rPr>
        <w:t xml:space="preserve">          </w:t>
      </w:r>
      <w:r>
        <w:rPr>
          <w:rFonts w:ascii="Times New Roman" w:hAnsi="Times New Roman" w:cs="Times New Roman"/>
          <w:color w:val="auto"/>
          <w:spacing w:val="-2"/>
          <w:szCs w:val="21"/>
          <w:highlight w:val="none"/>
        </w:rPr>
        <w:t>，属于</w:t>
      </w:r>
      <w:r>
        <w:rPr>
          <w:rFonts w:ascii="Times New Roman" w:hAnsi="Times New Roman" w:cs="Times New Roman"/>
          <w:b/>
          <w:color w:val="auto"/>
          <w:spacing w:val="-2"/>
          <w:szCs w:val="21"/>
          <w:highlight w:val="none"/>
          <w:u w:val="single"/>
        </w:rPr>
        <w:t>（采购文件中明确的所属行业）</w:t>
      </w:r>
      <w:r>
        <w:rPr>
          <w:rFonts w:hint="eastAsia" w:ascii="Times New Roman" w:hAnsi="Times New Roman" w:cs="Times New Roman"/>
          <w:b/>
          <w:color w:val="auto"/>
          <w:spacing w:val="-2"/>
          <w:szCs w:val="21"/>
          <w:highlight w:val="none"/>
          <w:u w:val="single"/>
          <w:lang w:val="en-US" w:eastAsia="zh-CN"/>
        </w:rPr>
        <w:t xml:space="preserve">                </w:t>
      </w:r>
      <w:r>
        <w:rPr>
          <w:rFonts w:ascii="Times New Roman" w:hAnsi="Times New Roman" w:cs="Times New Roman"/>
          <w:color w:val="auto"/>
          <w:spacing w:val="-2"/>
          <w:szCs w:val="21"/>
          <w:highlight w:val="none"/>
        </w:rPr>
        <w:t>；</w:t>
      </w:r>
      <w:r>
        <w:rPr>
          <w:rFonts w:ascii="Times New Roman" w:hAnsi="Times New Roman" w:cs="Times New Roman"/>
          <w:color w:val="auto"/>
          <w:spacing w:val="5"/>
          <w:szCs w:val="21"/>
          <w:highlight w:val="none"/>
        </w:rPr>
        <w:t>制造商为</w:t>
      </w:r>
      <w:r>
        <w:rPr>
          <w:rFonts w:ascii="Times New Roman" w:hAnsi="Times New Roman" w:cs="Times New Roman"/>
          <w:b/>
          <w:color w:val="auto"/>
          <w:spacing w:val="5"/>
          <w:szCs w:val="21"/>
          <w:highlight w:val="none"/>
          <w:u w:val="single"/>
        </w:rPr>
        <w:t>（企业名称）</w:t>
      </w:r>
      <w:r>
        <w:rPr>
          <w:rFonts w:hint="eastAsia" w:ascii="Times New Roman" w:hAnsi="Times New Roman" w:cs="Times New Roman"/>
          <w:b/>
          <w:color w:val="auto"/>
          <w:spacing w:val="5"/>
          <w:szCs w:val="21"/>
          <w:highlight w:val="none"/>
          <w:u w:val="single"/>
          <w:lang w:val="en-US" w:eastAsia="zh-CN"/>
        </w:rPr>
        <w:t xml:space="preserve">              </w:t>
      </w:r>
      <w:r>
        <w:rPr>
          <w:rFonts w:ascii="Times New Roman" w:hAnsi="Times New Roman" w:cs="Times New Roman"/>
          <w:color w:val="auto"/>
          <w:spacing w:val="5"/>
          <w:szCs w:val="21"/>
          <w:highlight w:val="none"/>
        </w:rPr>
        <w:t>，从业人员</w:t>
      </w:r>
      <w:r>
        <w:rPr>
          <w:rFonts w:ascii="Times New Roman" w:hAnsi="Times New Roman" w:cs="Times New Roman"/>
          <w:color w:val="auto"/>
          <w:spacing w:val="5"/>
          <w:szCs w:val="21"/>
          <w:highlight w:val="none"/>
          <w:u w:val="single"/>
        </w:rPr>
        <w:t xml:space="preserve">      </w:t>
      </w:r>
      <w:r>
        <w:rPr>
          <w:rFonts w:ascii="Times New Roman" w:hAnsi="Times New Roman" w:cs="Times New Roman"/>
          <w:color w:val="auto"/>
          <w:spacing w:val="5"/>
          <w:szCs w:val="21"/>
          <w:highlight w:val="none"/>
        </w:rPr>
        <w:t>人，营业收入为</w:t>
      </w:r>
      <w:r>
        <w:rPr>
          <w:rFonts w:ascii="Times New Roman" w:hAnsi="Times New Roman" w:cs="Times New Roman"/>
          <w:color w:val="auto"/>
          <w:spacing w:val="5"/>
          <w:szCs w:val="21"/>
          <w:highlight w:val="none"/>
          <w:u w:val="single"/>
        </w:rPr>
        <w:t xml:space="preserve">     </w:t>
      </w:r>
      <w:r>
        <w:rPr>
          <w:rFonts w:ascii="Times New Roman" w:hAnsi="Times New Roman" w:cs="Times New Roman"/>
          <w:color w:val="auto"/>
          <w:spacing w:val="5"/>
          <w:szCs w:val="21"/>
          <w:highlight w:val="none"/>
          <w:u w:val="single"/>
        </w:rPr>
        <w:tab/>
      </w:r>
      <w:r>
        <w:rPr>
          <w:rFonts w:ascii="Times New Roman" w:hAnsi="Times New Roman" w:cs="Times New Roman"/>
          <w:color w:val="auto"/>
          <w:spacing w:val="5"/>
          <w:szCs w:val="21"/>
          <w:highlight w:val="none"/>
        </w:rPr>
        <w:t>万元，资产总额为</w:t>
      </w:r>
      <w:r>
        <w:rPr>
          <w:rFonts w:ascii="Times New Roman" w:hAnsi="Times New Roman" w:cs="Times New Roman"/>
          <w:color w:val="auto"/>
          <w:spacing w:val="5"/>
          <w:szCs w:val="21"/>
          <w:highlight w:val="none"/>
          <w:u w:val="single"/>
        </w:rPr>
        <w:t xml:space="preserve">     </w:t>
      </w:r>
      <w:r>
        <w:rPr>
          <w:rFonts w:ascii="Times New Roman" w:hAnsi="Times New Roman" w:cs="Times New Roman"/>
          <w:color w:val="auto"/>
          <w:spacing w:val="5"/>
          <w:szCs w:val="21"/>
          <w:highlight w:val="none"/>
        </w:rPr>
        <w:t>万元，属于</w:t>
      </w:r>
      <w:r>
        <w:rPr>
          <w:rFonts w:ascii="Times New Roman" w:hAnsi="Times New Roman" w:cs="Times New Roman"/>
          <w:b/>
          <w:color w:val="auto"/>
          <w:spacing w:val="5"/>
          <w:szCs w:val="21"/>
          <w:highlight w:val="none"/>
          <w:u w:val="single"/>
        </w:rPr>
        <w:t>（中型企业、小型企业、微型企业）</w:t>
      </w:r>
      <w:r>
        <w:rPr>
          <w:rFonts w:hint="eastAsia" w:ascii="Times New Roman" w:hAnsi="Times New Roman" w:cs="Times New Roman"/>
          <w:b/>
          <w:color w:val="auto"/>
          <w:spacing w:val="5"/>
          <w:szCs w:val="21"/>
          <w:highlight w:val="none"/>
          <w:u w:val="single"/>
          <w:lang w:val="en-US" w:eastAsia="zh-CN"/>
        </w:rPr>
        <w:t xml:space="preserve">                     </w:t>
      </w:r>
      <w:r>
        <w:rPr>
          <w:rFonts w:ascii="Times New Roman" w:hAnsi="Times New Roman" w:cs="Times New Roman"/>
          <w:color w:val="auto"/>
          <w:spacing w:val="5"/>
          <w:szCs w:val="21"/>
          <w:highlight w:val="none"/>
        </w:rPr>
        <w:t>；</w:t>
      </w:r>
    </w:p>
    <w:p w14:paraId="6851EE69">
      <w:pPr>
        <w:keepNext w:val="0"/>
        <w:keepLines w:val="0"/>
        <w:pageBreakBefore w:val="0"/>
        <w:tabs>
          <w:tab w:val="left" w:pos="1806"/>
          <w:tab w:val="left" w:pos="5005"/>
          <w:tab w:val="left" w:pos="7227"/>
        </w:tabs>
        <w:kinsoku/>
        <w:wordWrap/>
        <w:overflowPunct/>
        <w:topLinePunct w:val="0"/>
        <w:autoSpaceDE/>
        <w:autoSpaceDN/>
        <w:bidi w:val="0"/>
        <w:adjustRightInd/>
        <w:snapToGrid/>
        <w:spacing w:line="360" w:lineRule="auto"/>
        <w:ind w:left="205" w:right="236" w:firstLine="440"/>
        <w:textAlignment w:val="auto"/>
        <w:rPr>
          <w:rFonts w:ascii="Times New Roman" w:hAnsi="Times New Roman" w:cs="Times New Roman"/>
          <w:color w:val="auto"/>
          <w:spacing w:val="5"/>
          <w:szCs w:val="21"/>
          <w:highlight w:val="none"/>
        </w:rPr>
      </w:pPr>
      <w:r>
        <w:rPr>
          <w:rFonts w:ascii="Times New Roman" w:hAnsi="Times New Roman" w:cs="Times New Roman"/>
          <w:color w:val="auto"/>
          <w:spacing w:val="5"/>
          <w:szCs w:val="21"/>
          <w:highlight w:val="none"/>
        </w:rPr>
        <w:t>……</w:t>
      </w:r>
    </w:p>
    <w:p w14:paraId="70F78A72">
      <w:pPr>
        <w:keepNext w:val="0"/>
        <w:keepLines w:val="0"/>
        <w:pageBreakBefore w:val="0"/>
        <w:kinsoku/>
        <w:wordWrap/>
        <w:overflowPunct/>
        <w:topLinePunct w:val="0"/>
        <w:autoSpaceDE/>
        <w:autoSpaceDN/>
        <w:bidi w:val="0"/>
        <w:adjustRightInd/>
        <w:snapToGrid/>
        <w:spacing w:line="360" w:lineRule="auto"/>
        <w:ind w:right="417" w:firstLine="408"/>
        <w:textAlignment w:val="auto"/>
        <w:rPr>
          <w:rFonts w:ascii="Times New Roman" w:hAnsi="Times New Roman" w:cs="Times New Roman"/>
          <w:color w:val="auto"/>
          <w:szCs w:val="21"/>
          <w:highlight w:val="none"/>
        </w:rPr>
      </w:pPr>
      <w:r>
        <w:rPr>
          <w:rFonts w:ascii="Times New Roman" w:hAnsi="Times New Roman" w:cs="Times New Roman"/>
          <w:color w:val="auto"/>
          <w:spacing w:val="-3"/>
          <w:szCs w:val="21"/>
          <w:highlight w:val="none"/>
        </w:rPr>
        <w:t>以上企业，不属于大企业的分支机构，不存在控股股东</w:t>
      </w:r>
      <w:r>
        <w:rPr>
          <w:rFonts w:ascii="Times New Roman" w:hAnsi="Times New Roman" w:cs="Times New Roman"/>
          <w:color w:val="auto"/>
          <w:spacing w:val="-5"/>
          <w:szCs w:val="21"/>
          <w:highlight w:val="none"/>
        </w:rPr>
        <w:t>为大企业的情形，也不存在与大企业的负责人为同一人的情形。</w:t>
      </w:r>
    </w:p>
    <w:p w14:paraId="07752E8A">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ascii="Times New Roman" w:hAnsi="Times New Roman" w:cs="Times New Roman"/>
          <w:color w:val="auto"/>
          <w:kern w:val="0"/>
          <w:szCs w:val="21"/>
          <w:highlight w:val="none"/>
        </w:rPr>
      </w:pPr>
      <w:r>
        <w:rPr>
          <w:rFonts w:ascii="Times New Roman" w:hAnsi="Times New Roman" w:cs="Times New Roman"/>
          <w:color w:val="auto"/>
          <w:kern w:val="0"/>
          <w:szCs w:val="21"/>
          <w:highlight w:val="none"/>
        </w:rPr>
        <w:t>本企业对上述声明内容的真实性负责。如有虚假，将依法承担相应责任。</w:t>
      </w:r>
    </w:p>
    <w:p w14:paraId="1F5D20F8">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Times New Roman" w:hAnsi="Times New Roman" w:cs="Times New Roman"/>
          <w:b w:val="0"/>
          <w:bCs/>
          <w:color w:val="auto"/>
          <w:szCs w:val="21"/>
          <w:highlight w:val="none"/>
        </w:rPr>
      </w:pPr>
      <w:bookmarkStart w:id="56" w:name="OLE_LINK345"/>
      <w:bookmarkStart w:id="57" w:name="OLE_LINK115"/>
    </w:p>
    <w:bookmarkEnd w:id="56"/>
    <w:bookmarkEnd w:id="57"/>
    <w:p w14:paraId="7CEC4960">
      <w:pPr>
        <w:pageBreakBefore w:val="0"/>
        <w:tabs>
          <w:tab w:val="left" w:pos="4860"/>
        </w:tabs>
        <w:kinsoku/>
        <w:overflowPunct/>
        <w:topLinePunct w:val="0"/>
        <w:bidi w:val="0"/>
        <w:adjustRightInd w:val="0"/>
        <w:snapToGrid w:val="0"/>
        <w:spacing w:after="0" w:line="360" w:lineRule="auto"/>
        <w:jc w:val="both"/>
        <w:rPr>
          <w:rFonts w:hint="eastAsia" w:ascii="宋体" w:hAnsi="宋体" w:eastAsia="宋体" w:cs="宋体"/>
          <w:color w:val="auto"/>
          <w:spacing w:val="6"/>
          <w:szCs w:val="21"/>
          <w:highlight w:val="none"/>
        </w:rPr>
      </w:pPr>
      <w:bookmarkStart w:id="58" w:name="OLE_LINK34"/>
      <w:bookmarkStart w:id="59" w:name="_Hlk478972813"/>
      <w:r>
        <w:rPr>
          <w:rFonts w:hint="eastAsia" w:ascii="宋体" w:hAnsi="宋体" w:eastAsia="宋体" w:cs="宋体"/>
          <w:color w:val="auto"/>
          <w:spacing w:val="6"/>
          <w:szCs w:val="21"/>
          <w:highlight w:val="none"/>
        </w:rPr>
        <w:t>公司（单位）名称（盖公章）：　        </w:t>
      </w:r>
    </w:p>
    <w:p w14:paraId="3F82A652">
      <w:pPr>
        <w:keepNext w:val="0"/>
        <w:keepLines w:val="0"/>
        <w:pageBreakBefore w:val="0"/>
        <w:kinsoku/>
        <w:wordWrap/>
        <w:overflowPunct/>
        <w:topLinePunct w:val="0"/>
        <w:autoSpaceDE/>
        <w:autoSpaceDN/>
        <w:bidi w:val="0"/>
        <w:adjustRightInd/>
        <w:snapToGrid/>
        <w:spacing w:line="360" w:lineRule="auto"/>
        <w:textAlignment w:val="auto"/>
        <w:rPr>
          <w:rFonts w:ascii="Times New Roman" w:hAnsi="Times New Roman" w:cs="Times New Roman"/>
          <w:b/>
          <w:color w:val="auto"/>
          <w:sz w:val="20"/>
          <w:szCs w:val="20"/>
          <w:highlight w:val="none"/>
        </w:rPr>
      </w:pPr>
      <w:r>
        <w:rPr>
          <w:rFonts w:hint="eastAsia" w:ascii="宋体" w:hAnsi="宋体" w:eastAsia="宋体" w:cs="宋体"/>
          <w:color w:val="auto"/>
          <w:spacing w:val="6"/>
          <w:szCs w:val="21"/>
          <w:highlight w:val="none"/>
        </w:rPr>
        <w:t>日期：</w:t>
      </w:r>
    </w:p>
    <w:p w14:paraId="51E1A809">
      <w:pPr>
        <w:keepNext w:val="0"/>
        <w:keepLines w:val="0"/>
        <w:pageBreakBefore w:val="0"/>
        <w:kinsoku/>
        <w:wordWrap/>
        <w:overflowPunct/>
        <w:topLinePunct w:val="0"/>
        <w:autoSpaceDE/>
        <w:autoSpaceDN/>
        <w:bidi w:val="0"/>
        <w:adjustRightInd/>
        <w:snapToGrid/>
        <w:spacing w:line="360" w:lineRule="auto"/>
        <w:ind w:firstLine="420"/>
        <w:textAlignment w:val="auto"/>
        <w:rPr>
          <w:rFonts w:ascii="Times New Roman" w:hAnsi="Times New Roman" w:cs="Times New Roman"/>
          <w:b/>
          <w:color w:val="auto"/>
          <w:sz w:val="21"/>
          <w:szCs w:val="21"/>
          <w:highlight w:val="none"/>
        </w:rPr>
      </w:pPr>
      <w:r>
        <w:rPr>
          <w:rFonts w:ascii="Times New Roman" w:hAnsi="Times New Roman" w:cs="Times New Roman"/>
          <w:b/>
          <w:color w:val="auto"/>
          <w:sz w:val="21"/>
          <w:szCs w:val="21"/>
          <w:highlight w:val="none"/>
        </w:rPr>
        <w:t>注</w:t>
      </w:r>
      <w:r>
        <w:rPr>
          <w:rFonts w:hint="eastAsia" w:ascii="Times New Roman" w:hAnsi="Times New Roman" w:cs="Times New Roman"/>
          <w:b/>
          <w:color w:val="auto"/>
          <w:sz w:val="21"/>
          <w:szCs w:val="21"/>
          <w:highlight w:val="none"/>
          <w:lang w:eastAsia="zh-CN"/>
        </w:rPr>
        <w:t>：</w:t>
      </w:r>
    </w:p>
    <w:bookmarkEnd w:id="58"/>
    <w:p w14:paraId="1CD1E8B3">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b/>
          <w:color w:val="auto"/>
          <w:sz w:val="21"/>
          <w:szCs w:val="21"/>
          <w:highlight w:val="none"/>
        </w:rPr>
      </w:pPr>
      <w:bookmarkStart w:id="60" w:name="OLE_LINK41"/>
      <w:bookmarkStart w:id="61" w:name="OLE_LINK55"/>
      <w:bookmarkStart w:id="62" w:name="OLE_LINK56"/>
      <w:r>
        <w:rPr>
          <w:rFonts w:hint="eastAsia" w:ascii="宋体" w:hAnsi="宋体" w:cs="宋体"/>
          <w:b/>
          <w:color w:val="auto"/>
          <w:sz w:val="21"/>
          <w:szCs w:val="21"/>
          <w:highlight w:val="none"/>
        </w:rPr>
        <w:t>①</w:t>
      </w:r>
      <w:bookmarkStart w:id="63" w:name="OLE_LINK60"/>
      <w:r>
        <w:rPr>
          <w:rFonts w:hint="eastAsia" w:ascii="Times New Roman" w:hAnsi="Times New Roman" w:cs="Times New Roman"/>
          <w:b/>
          <w:color w:val="auto"/>
          <w:sz w:val="21"/>
          <w:szCs w:val="21"/>
          <w:highlight w:val="none"/>
        </w:rPr>
        <w:t>从业人员、营业收入、资产总</w:t>
      </w:r>
      <w:bookmarkStart w:id="64" w:name="OLE_LINK383"/>
      <w:r>
        <w:rPr>
          <w:rFonts w:hint="eastAsia" w:ascii="Times New Roman" w:hAnsi="Times New Roman" w:cs="Times New Roman"/>
          <w:b/>
          <w:color w:val="auto"/>
          <w:sz w:val="21"/>
          <w:szCs w:val="21"/>
          <w:highlight w:val="none"/>
        </w:rPr>
        <w:t>额填报上一年度数据</w:t>
      </w:r>
      <w:bookmarkEnd w:id="64"/>
      <w:r>
        <w:rPr>
          <w:rFonts w:hint="eastAsia" w:ascii="Times New Roman" w:hAnsi="Times New Roman" w:cs="Times New Roman"/>
          <w:b/>
          <w:color w:val="auto"/>
          <w:sz w:val="21"/>
          <w:szCs w:val="21"/>
          <w:highlight w:val="none"/>
        </w:rPr>
        <w:t>，无上一年度数据的新成立企业可不填报</w:t>
      </w:r>
      <w:bookmarkEnd w:id="63"/>
      <w:r>
        <w:rPr>
          <w:rFonts w:hint="eastAsia" w:ascii="Times New Roman" w:hAnsi="Times New Roman" w:cs="Times New Roman"/>
          <w:b/>
          <w:color w:val="auto"/>
          <w:sz w:val="21"/>
          <w:szCs w:val="21"/>
          <w:highlight w:val="none"/>
        </w:rPr>
        <w:t>；</w:t>
      </w:r>
      <w:bookmarkEnd w:id="60"/>
    </w:p>
    <w:p w14:paraId="469CAABE">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Times New Roman" w:hAnsi="Times New Roman" w:cs="Times New Roman"/>
          <w:b/>
          <w:color w:val="auto"/>
          <w:sz w:val="21"/>
          <w:szCs w:val="21"/>
          <w:highlight w:val="none"/>
        </w:rPr>
      </w:pPr>
      <w:bookmarkStart w:id="65" w:name="OLE_LINK380"/>
      <w:r>
        <w:rPr>
          <w:rFonts w:hint="eastAsia" w:ascii="Times New Roman" w:hAnsi="Times New Roman" w:cs="Times New Roman"/>
          <w:b/>
          <w:color w:val="auto"/>
          <w:sz w:val="21"/>
          <w:szCs w:val="21"/>
          <w:highlight w:val="none"/>
        </w:rPr>
        <w:t>②</w:t>
      </w:r>
      <w:r>
        <w:rPr>
          <w:rFonts w:ascii="Times New Roman" w:hAnsi="Times New Roman" w:cs="Times New Roman"/>
          <w:b/>
          <w:color w:val="auto"/>
          <w:sz w:val="21"/>
          <w:szCs w:val="21"/>
          <w:highlight w:val="none"/>
        </w:rPr>
        <w:t>“</w:t>
      </w:r>
      <w:bookmarkEnd w:id="65"/>
      <w:r>
        <w:rPr>
          <w:rFonts w:ascii="Times New Roman" w:hAnsi="Times New Roman" w:cs="Times New Roman"/>
          <w:b/>
          <w:color w:val="auto"/>
          <w:sz w:val="21"/>
          <w:szCs w:val="21"/>
          <w:highlight w:val="none"/>
        </w:rPr>
        <w:t>标的名称”、“采购文件中明确的所属行业”依据招标文件第</w:t>
      </w:r>
      <w:r>
        <w:rPr>
          <w:rFonts w:hint="eastAsia" w:ascii="Times New Roman" w:hAnsi="Times New Roman" w:cs="Times New Roman"/>
          <w:b/>
          <w:color w:val="auto"/>
          <w:sz w:val="21"/>
          <w:szCs w:val="21"/>
          <w:highlight w:val="none"/>
        </w:rPr>
        <w:t>五章采购需求中</w:t>
      </w:r>
      <w:r>
        <w:rPr>
          <w:rFonts w:hint="eastAsia" w:ascii="Times New Roman" w:hAnsi="Times New Roman" w:cs="Times New Roman"/>
          <w:b/>
          <w:color w:val="auto"/>
          <w:sz w:val="21"/>
          <w:szCs w:val="21"/>
          <w:highlight w:val="none"/>
          <w:lang w:val="en-US" w:eastAsia="zh-CN"/>
        </w:rPr>
        <w:t>明确的</w:t>
      </w:r>
      <w:r>
        <w:rPr>
          <w:rFonts w:hint="eastAsia" w:ascii="Times New Roman" w:hAnsi="Times New Roman" w:cs="Times New Roman"/>
          <w:b/>
          <w:color w:val="auto"/>
          <w:sz w:val="21"/>
          <w:szCs w:val="21"/>
          <w:highlight w:val="none"/>
        </w:rPr>
        <w:t>“标的名称及所属行业”逐一填写，不得缺漏；</w:t>
      </w:r>
      <w:bookmarkEnd w:id="59"/>
      <w:bookmarkEnd w:id="61"/>
      <w:bookmarkStart w:id="66" w:name="_Toc66970810"/>
      <w:bookmarkStart w:id="67" w:name="_Toc34335344"/>
      <w:bookmarkStart w:id="68" w:name="_Toc502909064"/>
      <w:r>
        <w:rPr>
          <w:rFonts w:hint="eastAsia" w:ascii="Times New Roman" w:hAnsi="Times New Roman" w:cs="Times New Roman"/>
          <w:b/>
          <w:color w:val="auto"/>
          <w:sz w:val="21"/>
          <w:szCs w:val="21"/>
          <w:highlight w:val="none"/>
        </w:rPr>
        <w:t xml:space="preserve"> </w:t>
      </w:r>
      <w:bookmarkEnd w:id="62"/>
    </w:p>
    <w:p w14:paraId="57CFE9BC">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Times New Roman" w:hAnsi="Times New Roman" w:eastAsia="宋体" w:cs="Times New Roman"/>
          <w:b/>
          <w:color w:val="auto"/>
          <w:sz w:val="21"/>
          <w:szCs w:val="21"/>
          <w:highlight w:val="none"/>
          <w:lang w:eastAsia="zh-CN"/>
        </w:rPr>
      </w:pPr>
      <w:r>
        <w:rPr>
          <w:rFonts w:hint="eastAsia" w:ascii="Times New Roman" w:hAnsi="Times New Roman" w:eastAsia="宋体" w:cs="Times New Roman"/>
          <w:b/>
          <w:color w:val="auto"/>
          <w:sz w:val="21"/>
          <w:szCs w:val="21"/>
          <w:highlight w:val="none"/>
        </w:rPr>
        <w:t>③</w:t>
      </w:r>
      <w:r>
        <w:rPr>
          <w:rFonts w:hint="eastAsia" w:ascii="Times New Roman" w:hAnsi="Times New Roman" w:eastAsia="宋体" w:cs="Times New Roman"/>
          <w:b/>
          <w:color w:val="auto"/>
          <w:sz w:val="21"/>
          <w:szCs w:val="21"/>
          <w:highlight w:val="none"/>
          <w:lang w:eastAsia="zh-CN"/>
        </w:rPr>
        <w:t>联合体投标的，《中小企业声明函》可由牵头人出具。</w:t>
      </w:r>
    </w:p>
    <w:p w14:paraId="6EA52B3D">
      <w:pPr>
        <w:keepNext w:val="0"/>
        <w:keepLines w:val="0"/>
        <w:pageBreakBefore w:val="0"/>
        <w:widowControl/>
        <w:suppressLineNumbers w:val="0"/>
        <w:kinsoku/>
        <w:wordWrap/>
        <w:overflowPunct/>
        <w:topLinePunct w:val="0"/>
        <w:autoSpaceDE/>
        <w:autoSpaceDN/>
        <w:bidi w:val="0"/>
        <w:adjustRightInd/>
        <w:snapToGrid/>
        <w:spacing w:line="360" w:lineRule="auto"/>
        <w:ind w:firstLine="420"/>
        <w:jc w:val="left"/>
        <w:textAlignment w:val="auto"/>
        <w:rPr>
          <w:rFonts w:hint="eastAsia" w:ascii="Times New Roman" w:hAnsi="Times New Roman" w:eastAsia="宋体" w:cs="Times New Roman"/>
          <w:b/>
          <w:color w:val="auto"/>
          <w:kern w:val="2"/>
          <w:sz w:val="21"/>
          <w:szCs w:val="21"/>
          <w:highlight w:val="none"/>
          <w:lang w:val="en-US" w:eastAsia="zh-CN" w:bidi="ar"/>
        </w:rPr>
      </w:pPr>
      <w:r>
        <w:rPr>
          <w:rFonts w:hint="eastAsia" w:ascii="Times New Roman" w:hAnsi="Times New Roman" w:eastAsia="宋体" w:cs="Times New Roman"/>
          <w:b/>
          <w:color w:val="auto"/>
          <w:sz w:val="21"/>
          <w:szCs w:val="21"/>
          <w:highlight w:val="none"/>
        </w:rPr>
        <w:t>④</w:t>
      </w:r>
      <w:r>
        <w:rPr>
          <w:rFonts w:hint="eastAsia" w:ascii="Times New Roman" w:hAnsi="Times New Roman" w:eastAsia="宋体" w:cs="Times New Roman"/>
          <w:b/>
          <w:color w:val="auto"/>
          <w:sz w:val="21"/>
          <w:szCs w:val="21"/>
          <w:highlight w:val="none"/>
          <w:lang w:eastAsia="zh-CN"/>
        </w:rPr>
        <w:t>温馨提示：</w:t>
      </w:r>
      <w:r>
        <w:rPr>
          <w:rFonts w:hint="eastAsia" w:ascii="Times New Roman" w:hAnsi="Times New Roman" w:eastAsia="宋体" w:cs="Times New Roman"/>
          <w:b/>
          <w:color w:val="auto"/>
          <w:kern w:val="2"/>
          <w:sz w:val="21"/>
          <w:szCs w:val="21"/>
          <w:highlight w:val="none"/>
          <w:lang w:val="en-US" w:eastAsia="zh-CN" w:bidi="ar"/>
        </w:rPr>
        <w:t>投标人应充分、准确地了解所提供货物的制造企业信息。对相关情况了解不清楚的，不建议填报本声明函。</w:t>
      </w:r>
    </w:p>
    <w:p w14:paraId="520E13AC">
      <w:pPr>
        <w:keepNext w:val="0"/>
        <w:keepLines w:val="0"/>
        <w:widowControl/>
        <w:suppressLineNumbers w:val="0"/>
        <w:ind w:firstLine="422" w:firstLineChars="200"/>
        <w:jc w:val="left"/>
        <w:rPr>
          <w:rFonts w:hint="eastAsia" w:ascii="Times New Roman" w:hAnsi="Times New Roman" w:eastAsia="宋体" w:cs="Times New Roman"/>
          <w:b/>
          <w:color w:val="auto"/>
          <w:kern w:val="2"/>
          <w:sz w:val="21"/>
          <w:szCs w:val="21"/>
          <w:highlight w:val="none"/>
          <w:lang w:val="en-US" w:eastAsia="zh-CN" w:bidi="ar"/>
        </w:rPr>
      </w:pPr>
      <w:r>
        <w:rPr>
          <w:rFonts w:hint="eastAsia" w:ascii="Times New Roman" w:hAnsi="Times New Roman" w:eastAsia="宋体" w:cs="Times New Roman"/>
          <w:b/>
          <w:color w:val="auto"/>
          <w:kern w:val="2"/>
          <w:sz w:val="21"/>
          <w:szCs w:val="21"/>
          <w:highlight w:val="none"/>
          <w:lang w:val="en-US" w:eastAsia="zh-CN" w:bidi="ar"/>
        </w:rPr>
        <w:br w:type="page"/>
      </w:r>
    </w:p>
    <w:bookmarkEnd w:id="66"/>
    <w:bookmarkEnd w:id="67"/>
    <w:bookmarkEnd w:id="68"/>
    <w:p w14:paraId="21769782">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outlineLvl w:val="2"/>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格式</w:t>
      </w:r>
      <w:r>
        <w:rPr>
          <w:rFonts w:hint="eastAsia" w:ascii="宋体" w:hAnsi="宋体" w:cs="宋体"/>
          <w:b/>
          <w:bCs/>
          <w:color w:val="auto"/>
          <w:sz w:val="28"/>
          <w:szCs w:val="28"/>
          <w:highlight w:val="none"/>
          <w:lang w:val="en-US" w:eastAsia="zh-CN"/>
        </w:rPr>
        <w:t>18</w:t>
      </w:r>
      <w:r>
        <w:rPr>
          <w:rFonts w:hint="eastAsia" w:ascii="宋体" w:hAnsi="宋体" w:eastAsia="宋体" w:cs="宋体"/>
          <w:b/>
          <w:bCs/>
          <w:color w:val="auto"/>
          <w:sz w:val="28"/>
          <w:szCs w:val="28"/>
          <w:highlight w:val="none"/>
          <w:lang w:val="en-US" w:eastAsia="zh-CN"/>
        </w:rPr>
        <w:t>-3</w:t>
      </w:r>
    </w:p>
    <w:p w14:paraId="0B98AC8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监狱</w:t>
      </w:r>
      <w:bookmarkStart w:id="69" w:name="OLE_LINK116"/>
      <w:r>
        <w:rPr>
          <w:rFonts w:hint="eastAsia" w:ascii="宋体" w:hAnsi="宋体" w:eastAsia="宋体" w:cs="宋体"/>
          <w:color w:val="auto"/>
          <w:sz w:val="21"/>
          <w:szCs w:val="21"/>
          <w:highlight w:val="none"/>
        </w:rPr>
        <w:t>企业证明文</w:t>
      </w:r>
      <w:bookmarkEnd w:id="69"/>
      <w:r>
        <w:rPr>
          <w:rFonts w:hint="eastAsia" w:ascii="宋体" w:hAnsi="宋体" w:eastAsia="宋体" w:cs="宋体"/>
          <w:color w:val="auto"/>
          <w:sz w:val="21"/>
          <w:szCs w:val="21"/>
          <w:highlight w:val="none"/>
        </w:rPr>
        <w:t>件</w:t>
      </w:r>
    </w:p>
    <w:p w14:paraId="237A2D9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（不属于监狱企业的无需提供）</w:t>
      </w:r>
    </w:p>
    <w:p w14:paraId="2A7909E8">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C1AC46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监狱企业参加政府采购活动时，应当提供由省级以上监狱管理局、戒毒管理局（含新疆生产建设兵团）出具的属于监狱企业的证明文件。</w:t>
      </w:r>
    </w:p>
    <w:p w14:paraId="166AC3CE">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20"/>
        <w:jc w:val="left"/>
        <w:textAlignment w:val="auto"/>
        <w:rPr>
          <w:rFonts w:hint="eastAsia" w:ascii="宋体" w:hAnsi="宋体" w:eastAsia="宋体" w:cs="宋体"/>
          <w:color w:val="auto"/>
          <w:sz w:val="21"/>
          <w:szCs w:val="21"/>
          <w:highlight w:val="none"/>
        </w:rPr>
      </w:pPr>
    </w:p>
    <w:p w14:paraId="5851E7C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p>
    <w:p w14:paraId="7E97AED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u w:val="single"/>
        </w:rPr>
      </w:pPr>
    </w:p>
    <w:p w14:paraId="384D3711">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eastAsia="宋体" w:cs="宋体"/>
          <w:color w:val="auto"/>
          <w:sz w:val="21"/>
          <w:szCs w:val="21"/>
          <w:highlight w:val="none"/>
        </w:rPr>
      </w:pPr>
      <w:bookmarkStart w:id="70" w:name="OLE_LINK117"/>
      <w:r>
        <w:rPr>
          <w:rFonts w:hint="eastAsia" w:ascii="宋体" w:hAnsi="宋体" w:eastAsia="宋体" w:cs="宋体"/>
          <w:b/>
          <w:color w:val="auto"/>
          <w:sz w:val="21"/>
          <w:szCs w:val="21"/>
          <w:highlight w:val="none"/>
        </w:rPr>
        <w:t>注：符合条件的监狱企业在参加政府采购活动时，应当按《财政部 司法部关于政府采购支持监狱企业发展有关问题的通知》（财库</w:t>
      </w:r>
      <w:r>
        <w:rPr>
          <w:rFonts w:hint="eastAsia" w:ascii="宋体" w:hAnsi="宋体" w:eastAsia="宋体" w:cs="宋体"/>
          <w:b/>
          <w:color w:val="auto"/>
          <w:sz w:val="21"/>
          <w:szCs w:val="21"/>
          <w:highlight w:val="none"/>
          <w:lang w:eastAsia="zh-CN"/>
        </w:rPr>
        <w:t>〔2014〕68号</w:t>
      </w:r>
      <w:r>
        <w:rPr>
          <w:rFonts w:hint="eastAsia" w:ascii="宋体" w:hAnsi="宋体" w:eastAsia="宋体" w:cs="宋体"/>
          <w:b/>
          <w:color w:val="auto"/>
          <w:sz w:val="21"/>
          <w:szCs w:val="21"/>
          <w:highlight w:val="none"/>
        </w:rPr>
        <w:t>）提供规定的《监狱企业证明文件》，并对提供的证明文件真实性负责。</w:t>
      </w:r>
    </w:p>
    <w:bookmarkEnd w:id="70"/>
    <w:p w14:paraId="3DACFB4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3F5E971A">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outlineLvl w:val="2"/>
        <w:rPr>
          <w:rFonts w:hint="default" w:ascii="宋体" w:hAnsi="宋体" w:eastAsia="宋体" w:cs="宋体"/>
          <w:b/>
          <w:bCs/>
          <w:color w:val="auto"/>
          <w:sz w:val="28"/>
          <w:szCs w:val="28"/>
          <w:highlight w:val="none"/>
          <w:lang w:val="en-US" w:eastAsia="zh-CN"/>
        </w:rPr>
      </w:pPr>
      <w:bookmarkStart w:id="71" w:name="_Toc17807"/>
      <w:bookmarkStart w:id="72" w:name="_Toc49935370"/>
      <w:bookmarkStart w:id="73" w:name="_Toc68090091"/>
      <w:bookmarkStart w:id="74" w:name="_Toc26783969"/>
      <w:bookmarkStart w:id="75" w:name="OLE_LINK13"/>
      <w:bookmarkStart w:id="76" w:name="OLE_LINK14"/>
      <w:r>
        <w:rPr>
          <w:rFonts w:hint="eastAsia" w:ascii="宋体" w:hAnsi="宋体" w:eastAsia="宋体" w:cs="宋体"/>
          <w:b/>
          <w:bCs/>
          <w:color w:val="auto"/>
          <w:sz w:val="28"/>
          <w:szCs w:val="28"/>
          <w:highlight w:val="none"/>
          <w:lang w:val="en-US" w:eastAsia="zh-CN"/>
        </w:rPr>
        <w:t>格式</w:t>
      </w:r>
      <w:r>
        <w:rPr>
          <w:rFonts w:hint="eastAsia" w:ascii="宋体" w:hAnsi="宋体" w:cs="宋体"/>
          <w:b/>
          <w:bCs/>
          <w:color w:val="auto"/>
          <w:sz w:val="28"/>
          <w:szCs w:val="28"/>
          <w:highlight w:val="none"/>
          <w:lang w:val="en-US" w:eastAsia="zh-CN"/>
        </w:rPr>
        <w:t>18</w:t>
      </w:r>
      <w:r>
        <w:rPr>
          <w:rFonts w:hint="eastAsia" w:ascii="宋体" w:hAnsi="宋体" w:eastAsia="宋体" w:cs="宋体"/>
          <w:b/>
          <w:bCs/>
          <w:color w:val="auto"/>
          <w:sz w:val="28"/>
          <w:szCs w:val="28"/>
          <w:highlight w:val="none"/>
          <w:lang w:val="en-US" w:eastAsia="zh-CN"/>
        </w:rPr>
        <w:t>-4</w:t>
      </w:r>
    </w:p>
    <w:p w14:paraId="6DF93B7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残疾人福利性单位声明函</w:t>
      </w:r>
      <w:bookmarkEnd w:id="71"/>
      <w:bookmarkEnd w:id="72"/>
      <w:bookmarkEnd w:id="73"/>
      <w:bookmarkEnd w:id="74"/>
    </w:p>
    <w:bookmarkEnd w:id="75"/>
    <w:bookmarkEnd w:id="76"/>
    <w:p w14:paraId="1FD2C31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color w:val="auto"/>
          <w:spacing w:val="6"/>
          <w:sz w:val="21"/>
          <w:szCs w:val="21"/>
          <w:highlight w:val="none"/>
        </w:rPr>
      </w:pPr>
      <w:r>
        <w:rPr>
          <w:rFonts w:hint="eastAsia" w:ascii="宋体" w:hAnsi="宋体" w:eastAsia="宋体" w:cs="宋体"/>
          <w:color w:val="auto"/>
          <w:sz w:val="21"/>
          <w:szCs w:val="21"/>
          <w:highlight w:val="none"/>
        </w:rPr>
        <w:t>（</w:t>
      </w:r>
      <w:bookmarkStart w:id="77" w:name="OLE_LINK118"/>
      <w:r>
        <w:rPr>
          <w:rFonts w:hint="eastAsia" w:ascii="宋体" w:hAnsi="宋体" w:eastAsia="宋体" w:cs="宋体"/>
          <w:color w:val="auto"/>
          <w:sz w:val="21"/>
          <w:szCs w:val="21"/>
          <w:highlight w:val="none"/>
        </w:rPr>
        <w:t>不属于残疾人福利性单位的无需</w:t>
      </w:r>
      <w:r>
        <w:rPr>
          <w:rFonts w:hint="eastAsia" w:ascii="宋体" w:hAnsi="宋体" w:eastAsia="宋体" w:cs="宋体"/>
          <w:color w:val="auto"/>
          <w:sz w:val="21"/>
          <w:szCs w:val="21"/>
          <w:highlight w:val="none"/>
          <w:lang w:val="en-US" w:eastAsia="zh-CN"/>
        </w:rPr>
        <w:t>填写及提供</w:t>
      </w:r>
      <w:bookmarkEnd w:id="77"/>
      <w:r>
        <w:rPr>
          <w:rFonts w:hint="eastAsia" w:ascii="宋体" w:hAnsi="宋体" w:eastAsia="宋体" w:cs="宋体"/>
          <w:color w:val="auto"/>
          <w:sz w:val="21"/>
          <w:szCs w:val="21"/>
          <w:highlight w:val="none"/>
        </w:rPr>
        <w:t>）</w:t>
      </w:r>
    </w:p>
    <w:p w14:paraId="14CA15A0">
      <w:pPr>
        <w:keepNext w:val="0"/>
        <w:keepLines w:val="0"/>
        <w:pageBreakBefore w:val="0"/>
        <w:widowControl w:val="0"/>
        <w:kinsoku/>
        <w:wordWrap/>
        <w:overflowPunct/>
        <w:topLinePunct w:val="0"/>
        <w:autoSpaceDE/>
        <w:autoSpaceDN/>
        <w:bidi w:val="0"/>
        <w:adjustRightInd/>
        <w:snapToGrid/>
        <w:spacing w:line="360" w:lineRule="auto"/>
        <w:ind w:firstLine="444"/>
        <w:textAlignment w:val="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本单位郑重声明，根据《财政部 民政部 中国残疾人联合会关于促进残疾人就业政府采购政策的通知》（财库</w:t>
      </w:r>
      <w:r>
        <w:rPr>
          <w:rFonts w:hint="eastAsia" w:ascii="宋体" w:hAnsi="宋体" w:eastAsia="宋体" w:cs="宋体"/>
          <w:color w:val="auto"/>
          <w:spacing w:val="6"/>
          <w:sz w:val="21"/>
          <w:szCs w:val="21"/>
          <w:highlight w:val="none"/>
          <w:lang w:eastAsia="zh-CN"/>
        </w:rPr>
        <w:t>〔2017〕141号</w:t>
      </w:r>
      <w:r>
        <w:rPr>
          <w:rFonts w:hint="eastAsia" w:ascii="宋体" w:hAnsi="宋体" w:eastAsia="宋体" w:cs="宋体"/>
          <w:color w:val="auto"/>
          <w:spacing w:val="6"/>
          <w:sz w:val="21"/>
          <w:szCs w:val="21"/>
          <w:highlight w:val="none"/>
        </w:rPr>
        <w:t>）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2BED18A6">
      <w:pPr>
        <w:keepNext w:val="0"/>
        <w:keepLines w:val="0"/>
        <w:pageBreakBefore w:val="0"/>
        <w:widowControl w:val="0"/>
        <w:kinsoku/>
        <w:wordWrap/>
        <w:overflowPunct/>
        <w:topLinePunct w:val="0"/>
        <w:autoSpaceDE/>
        <w:autoSpaceDN/>
        <w:bidi w:val="0"/>
        <w:adjustRightInd/>
        <w:snapToGrid/>
        <w:spacing w:line="360" w:lineRule="auto"/>
        <w:ind w:firstLine="444"/>
        <w:textAlignment w:val="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本单位对上述声明的真实性负责。如有虚假，将依法承担相应责任。</w:t>
      </w:r>
    </w:p>
    <w:p w14:paraId="1CF85F42">
      <w:pPr>
        <w:keepNext w:val="0"/>
        <w:keepLines w:val="0"/>
        <w:pageBreakBefore w:val="0"/>
        <w:widowControl w:val="0"/>
        <w:kinsoku/>
        <w:wordWrap/>
        <w:overflowPunct/>
        <w:topLinePunct w:val="0"/>
        <w:autoSpaceDE/>
        <w:autoSpaceDN/>
        <w:bidi w:val="0"/>
        <w:adjustRightInd/>
        <w:snapToGrid/>
        <w:spacing w:line="360" w:lineRule="auto"/>
        <w:ind w:firstLine="444"/>
        <w:textAlignment w:val="auto"/>
        <w:rPr>
          <w:rFonts w:hint="eastAsia" w:ascii="宋体" w:hAnsi="宋体" w:eastAsia="宋体" w:cs="宋体"/>
          <w:color w:val="auto"/>
          <w:spacing w:val="6"/>
          <w:sz w:val="21"/>
          <w:szCs w:val="21"/>
          <w:highlight w:val="none"/>
        </w:rPr>
      </w:pPr>
    </w:p>
    <w:p w14:paraId="11BAD18E">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20"/>
        <w:jc w:val="left"/>
        <w:textAlignment w:val="auto"/>
        <w:rPr>
          <w:rFonts w:hint="eastAsia" w:ascii="宋体" w:hAnsi="宋体" w:eastAsia="宋体" w:cs="宋体"/>
          <w:b/>
          <w:bCs/>
          <w:color w:val="auto"/>
          <w:sz w:val="21"/>
          <w:szCs w:val="21"/>
          <w:highlight w:val="none"/>
        </w:rPr>
      </w:pPr>
      <w:bookmarkStart w:id="78" w:name="OLE_LINK346"/>
      <w:bookmarkStart w:id="79" w:name="OLE_LINK119"/>
      <w:r>
        <w:rPr>
          <w:rFonts w:hint="eastAsia" w:ascii="宋体" w:hAnsi="宋体" w:eastAsia="宋体" w:cs="宋体"/>
          <w:b/>
          <w:bCs/>
          <w:color w:val="auto"/>
          <w:sz w:val="21"/>
          <w:szCs w:val="21"/>
          <w:highlight w:val="none"/>
          <w:lang w:val="en-US" w:eastAsia="zh-CN"/>
        </w:rPr>
        <w:t>单位名称</w:t>
      </w:r>
      <w:bookmarkEnd w:id="78"/>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盖章</w:t>
      </w:r>
      <w:r>
        <w:rPr>
          <w:rFonts w:hint="eastAsia" w:ascii="宋体" w:hAnsi="宋体" w:eastAsia="宋体" w:cs="宋体"/>
          <w:b/>
          <w:bCs/>
          <w:color w:val="auto"/>
          <w:sz w:val="21"/>
          <w:szCs w:val="21"/>
          <w:highlight w:val="none"/>
        </w:rPr>
        <w:t>）：</w:t>
      </w:r>
    </w:p>
    <w:p w14:paraId="710233C2">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20"/>
        <w:jc w:val="left"/>
        <w:textAlignment w:val="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rPr>
        <w:t>日期：</w:t>
      </w:r>
    </w:p>
    <w:bookmarkEnd w:id="79"/>
    <w:p w14:paraId="03F397B6">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44"/>
        <w:jc w:val="left"/>
        <w:textAlignment w:val="auto"/>
        <w:rPr>
          <w:rFonts w:hint="eastAsia" w:ascii="宋体" w:hAnsi="宋体" w:eastAsia="宋体" w:cs="宋体"/>
          <w:color w:val="auto"/>
          <w:spacing w:val="6"/>
          <w:sz w:val="21"/>
          <w:szCs w:val="21"/>
          <w:highlight w:val="none"/>
        </w:rPr>
      </w:pPr>
    </w:p>
    <w:p w14:paraId="1A66BB80">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2" w:firstLine="446" w:firstLineChars="200"/>
        <w:jc w:val="left"/>
        <w:textAlignment w:val="auto"/>
        <w:rPr>
          <w:rFonts w:ascii="Times New Roman" w:hAnsi="Times New Roman" w:cs="Times New Roman"/>
          <w:color w:val="auto"/>
          <w:szCs w:val="21"/>
          <w:highlight w:val="none"/>
        </w:rPr>
      </w:pPr>
      <w:r>
        <w:rPr>
          <w:rFonts w:hint="eastAsia" w:ascii="宋体" w:hAnsi="宋体" w:eastAsia="宋体" w:cs="宋体"/>
          <w:b/>
          <w:color w:val="auto"/>
          <w:spacing w:val="6"/>
          <w:sz w:val="21"/>
          <w:szCs w:val="21"/>
          <w:highlight w:val="none"/>
        </w:rPr>
        <w:t>注：符合条件的残疾人福利性单位在参加政府采购活动时，应当</w:t>
      </w:r>
      <w:r>
        <w:rPr>
          <w:rFonts w:hint="eastAsia" w:ascii="宋体" w:hAnsi="宋体" w:eastAsia="宋体" w:cs="宋体"/>
          <w:b/>
          <w:color w:val="auto"/>
          <w:sz w:val="21"/>
          <w:szCs w:val="21"/>
          <w:highlight w:val="none"/>
        </w:rPr>
        <w:t>按《三部门联合发布关于促进残疾人就业政府采购政策的通知》（财库〔2017〕141号）</w:t>
      </w:r>
      <w:r>
        <w:rPr>
          <w:rFonts w:hint="eastAsia" w:ascii="宋体" w:hAnsi="宋体" w:eastAsia="宋体" w:cs="宋体"/>
          <w:b/>
          <w:color w:val="auto"/>
          <w:spacing w:val="6"/>
          <w:sz w:val="21"/>
          <w:szCs w:val="21"/>
          <w:highlight w:val="none"/>
        </w:rPr>
        <w:t>提供规定的《残疾人福利性单位声明函》，并对声明的真实性负责。采购代理机构在随中标结果同时公告其《残疾人福利性单位声明函》，接受社会监督。投标人提供的《残疾人福利性单位声明函》与事实不符的，依照《</w:t>
      </w:r>
      <w:r>
        <w:rPr>
          <w:rFonts w:hint="eastAsia" w:ascii="宋体" w:hAnsi="宋体" w:eastAsia="宋体" w:cs="宋体"/>
          <w:b/>
          <w:color w:val="auto"/>
          <w:spacing w:val="6"/>
          <w:sz w:val="21"/>
          <w:szCs w:val="21"/>
          <w:highlight w:val="none"/>
          <w:lang w:eastAsia="zh-CN"/>
        </w:rPr>
        <w:t>中华人民共和国政府采购法</w:t>
      </w:r>
      <w:r>
        <w:rPr>
          <w:rFonts w:hint="eastAsia" w:ascii="宋体" w:hAnsi="宋体" w:eastAsia="宋体" w:cs="宋体"/>
          <w:b/>
          <w:color w:val="auto"/>
          <w:spacing w:val="6"/>
          <w:sz w:val="21"/>
          <w:szCs w:val="21"/>
          <w:highlight w:val="none"/>
        </w:rPr>
        <w:t>》第七十七条第一款的规定追究法律责任。</w:t>
      </w:r>
      <w:r>
        <w:rPr>
          <w:rFonts w:ascii="Times New Roman" w:hAnsi="Times New Roman" w:cs="Times New Roman"/>
          <w:color w:val="auto"/>
          <w:spacing w:val="6"/>
          <w:szCs w:val="21"/>
          <w:highlight w:val="none"/>
        </w:rPr>
        <w:br w:type="page"/>
      </w:r>
    </w:p>
    <w:p w14:paraId="54D3F1B4">
      <w:pPr>
        <w:pageBreakBefore w:val="0"/>
        <w:widowControl/>
        <w:kinsoku/>
        <w:overflowPunct/>
        <w:topLinePunct w:val="0"/>
        <w:autoSpaceDE/>
        <w:autoSpaceDN/>
        <w:bidi w:val="0"/>
        <w:spacing w:line="480" w:lineRule="exact"/>
        <w:ind w:left="0" w:leftChars="0" w:right="0"/>
        <w:jc w:val="left"/>
        <w:outlineLvl w:val="9"/>
        <w:rPr>
          <w:rFonts w:hint="default" w:ascii="宋体" w:hAnsi="宋体" w:cs="宋体"/>
          <w:b/>
          <w:color w:val="auto"/>
          <w:kern w:val="2"/>
          <w:sz w:val="28"/>
          <w:szCs w:val="28"/>
          <w:highlight w:val="none"/>
          <w:lang w:val="en-US" w:eastAsia="zh-CN" w:bidi="ar-SA"/>
        </w:rPr>
      </w:pPr>
    </w:p>
    <w:p w14:paraId="64678F4E">
      <w:pPr>
        <w:pageBreakBefore w:val="0"/>
        <w:widowControl/>
        <w:kinsoku/>
        <w:overflowPunct/>
        <w:topLinePunct w:val="0"/>
        <w:autoSpaceDE/>
        <w:autoSpaceDN/>
        <w:bidi w:val="0"/>
        <w:spacing w:line="480" w:lineRule="exact"/>
        <w:ind w:left="0" w:leftChars="0" w:right="0"/>
        <w:jc w:val="left"/>
        <w:outlineLvl w:val="9"/>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kern w:val="2"/>
          <w:sz w:val="28"/>
          <w:szCs w:val="28"/>
          <w:highlight w:val="none"/>
          <w:lang w:val="en-US" w:eastAsia="zh-CN" w:bidi="ar-SA"/>
        </w:rPr>
        <w:t>格式</w:t>
      </w:r>
      <w:r>
        <w:rPr>
          <w:rFonts w:hint="eastAsia" w:ascii="宋体" w:hAnsi="宋体" w:cs="宋体"/>
          <w:b/>
          <w:color w:val="auto"/>
          <w:kern w:val="2"/>
          <w:sz w:val="28"/>
          <w:szCs w:val="28"/>
          <w:highlight w:val="none"/>
          <w:lang w:val="en-US" w:eastAsia="zh-CN" w:bidi="ar-SA"/>
        </w:rPr>
        <w:t>19</w:t>
      </w:r>
    </w:p>
    <w:p w14:paraId="718E9C2F">
      <w:pPr>
        <w:pageBreakBefore w:val="0"/>
        <w:widowControl/>
        <w:kinsoku/>
        <w:overflowPunct/>
        <w:topLinePunct w:val="0"/>
        <w:autoSpaceDE/>
        <w:autoSpaceDN/>
        <w:bidi w:val="0"/>
        <w:spacing w:line="480" w:lineRule="exact"/>
        <w:ind w:left="0" w:leftChars="0" w:right="0"/>
        <w:jc w:val="center"/>
        <w:outlineLvl w:val="9"/>
        <w:rPr>
          <w:rFonts w:hint="eastAsia" w:ascii="宋体" w:hAnsi="宋体" w:eastAsia="宋体" w:cs="宋体"/>
          <w:b/>
          <w:color w:val="auto"/>
          <w:kern w:val="2"/>
          <w:sz w:val="28"/>
          <w:szCs w:val="28"/>
          <w:highlight w:val="none"/>
          <w:lang w:val="en-US" w:eastAsia="zh-CN" w:bidi="ar-SA"/>
        </w:rPr>
      </w:pPr>
      <w:r>
        <w:rPr>
          <w:rFonts w:hint="eastAsia" w:ascii="宋体" w:hAnsi="宋体" w:eastAsia="宋体" w:cs="宋体"/>
          <w:b/>
          <w:color w:val="auto"/>
          <w:kern w:val="2"/>
          <w:sz w:val="28"/>
          <w:szCs w:val="28"/>
          <w:highlight w:val="none"/>
          <w:lang w:val="en-US" w:eastAsia="zh-CN" w:bidi="ar-SA"/>
        </w:rPr>
        <w:t>构成投标文件的其它资料</w:t>
      </w:r>
    </w:p>
    <w:p w14:paraId="54FD2DE0">
      <w:pPr>
        <w:pageBreakBefore w:val="0"/>
        <w:kinsoku/>
        <w:overflowPunct/>
        <w:topLinePunct w:val="0"/>
        <w:autoSpaceDE/>
        <w:autoSpaceDN/>
        <w:bidi w:val="0"/>
        <w:spacing w:line="480" w:lineRule="exact"/>
        <w:ind w:left="0" w:leftChars="0" w:right="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详见第二章《投标人须知前附表》第1</w:t>
      </w:r>
      <w:r>
        <w:rPr>
          <w:rFonts w:hint="eastAsia" w:ascii="宋体" w:hAnsi="宋体" w:eastAsia="宋体" w:cs="宋体"/>
          <w:color w:val="auto"/>
          <w:szCs w:val="21"/>
          <w:highlight w:val="none"/>
          <w:lang w:val="en-US" w:eastAsia="zh-CN"/>
        </w:rPr>
        <w:t>5.2</w:t>
      </w:r>
      <w:r>
        <w:rPr>
          <w:rFonts w:hint="eastAsia" w:ascii="宋体" w:hAnsi="宋体" w:eastAsia="宋体" w:cs="宋体"/>
          <w:color w:val="auto"/>
          <w:szCs w:val="21"/>
          <w:highlight w:val="none"/>
        </w:rPr>
        <w:t>条，请自拟格式。</w:t>
      </w:r>
    </w:p>
    <w:p w14:paraId="133195F6">
      <w:pPr>
        <w:pageBreakBefore w:val="0"/>
        <w:kinsoku/>
        <w:overflowPunct/>
        <w:topLinePunct w:val="0"/>
        <w:autoSpaceDE/>
        <w:autoSpaceDN/>
        <w:bidi w:val="0"/>
        <w:spacing w:line="480" w:lineRule="exact"/>
        <w:ind w:left="0" w:leftChars="0" w:right="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.投标保证金交纳凭证或保函或投标（竞标）保证保险保单（扫描件加盖投标人电子公章）</w:t>
      </w:r>
      <w:r>
        <w:rPr>
          <w:rFonts w:hint="eastAsia" w:ascii="宋体" w:hAnsi="宋体" w:eastAsia="宋体" w:cs="宋体"/>
          <w:color w:val="auto"/>
          <w:szCs w:val="21"/>
          <w:highlight w:val="none"/>
        </w:rPr>
        <w:t>；</w:t>
      </w:r>
    </w:p>
    <w:p w14:paraId="2CB40538">
      <w:pPr>
        <w:pageBreakBefore w:val="0"/>
        <w:kinsoku/>
        <w:overflowPunct/>
        <w:topLinePunct w:val="0"/>
        <w:autoSpaceDE/>
        <w:autoSpaceDN/>
        <w:bidi w:val="0"/>
        <w:spacing w:line="480" w:lineRule="exact"/>
        <w:ind w:left="0" w:leftChars="0" w:right="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第五章《采购需求》中要求提供的其他资料；</w:t>
      </w:r>
    </w:p>
    <w:p w14:paraId="3CFE7ECD">
      <w:pPr>
        <w:pageBreakBefore w:val="0"/>
        <w:kinsoku/>
        <w:overflowPunct/>
        <w:topLinePunct w:val="0"/>
        <w:autoSpaceDE/>
        <w:autoSpaceDN/>
        <w:bidi w:val="0"/>
        <w:spacing w:line="480" w:lineRule="exact"/>
        <w:ind w:left="0" w:leftChars="0" w:right="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招标文件中所涉及到的相关资料及证明文件或投标人认为必须提供的其他相关资料。</w:t>
      </w:r>
    </w:p>
    <w:p w14:paraId="0A890ADE">
      <w:pPr>
        <w:widowControl/>
        <w:spacing w:line="440" w:lineRule="exact"/>
        <w:jc w:val="left"/>
        <w:outlineLvl w:val="9"/>
        <w:rPr>
          <w:rFonts w:hint="eastAsia" w:ascii="宋体" w:hAnsi="宋体" w:eastAsia="宋体" w:cs="宋体"/>
          <w:color w:val="auto"/>
          <w:szCs w:val="21"/>
          <w:highlight w:val="none"/>
        </w:rPr>
      </w:pPr>
    </w:p>
    <w:p w14:paraId="1E6CF029">
      <w:pPr>
        <w:outlineLvl w:val="9"/>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br w:type="page"/>
      </w:r>
    </w:p>
    <w:p w14:paraId="26C90DF5">
      <w:pPr>
        <w:pStyle w:val="2"/>
        <w:pageBreakBefore w:val="0"/>
        <w:kinsoku/>
        <w:wordWrap/>
        <w:overflowPunct/>
        <w:topLinePunct w:val="0"/>
        <w:autoSpaceDE/>
        <w:autoSpaceDN/>
        <w:bidi w:val="0"/>
        <w:spacing w:before="0" w:after="0" w:line="480" w:lineRule="exact"/>
        <w:rPr>
          <w:rFonts w:hint="eastAsia" w:ascii="宋体" w:hAnsi="宋体" w:eastAsia="宋体" w:cs="宋体"/>
          <w:color w:val="auto"/>
          <w:sz w:val="32"/>
          <w:szCs w:val="32"/>
          <w:highlight w:val="none"/>
        </w:rPr>
      </w:pPr>
      <w:bookmarkStart w:id="80" w:name="_Toc7169"/>
      <w:r>
        <w:rPr>
          <w:rFonts w:hint="eastAsia" w:ascii="宋体" w:hAnsi="宋体" w:eastAsia="宋体" w:cs="宋体"/>
          <w:color w:val="auto"/>
          <w:sz w:val="32"/>
          <w:szCs w:val="32"/>
          <w:highlight w:val="none"/>
        </w:rPr>
        <w:t>第五章采购需求</w:t>
      </w:r>
      <w:bookmarkEnd w:id="80"/>
    </w:p>
    <w:p w14:paraId="46106302">
      <w:pPr>
        <w:pageBreakBefore w:val="0"/>
        <w:kinsoku/>
        <w:wordWrap/>
        <w:overflowPunct/>
        <w:topLinePunct w:val="0"/>
        <w:autoSpaceDE/>
        <w:autoSpaceDN/>
        <w:bidi w:val="0"/>
        <w:adjustRightInd w:val="0"/>
        <w:spacing w:line="480" w:lineRule="exact"/>
        <w:ind w:firstLine="211" w:firstLineChars="1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说明：</w:t>
      </w:r>
    </w:p>
    <w:p w14:paraId="63796B00">
      <w:pPr>
        <w:pageBreakBefore w:val="0"/>
        <w:kinsoku/>
        <w:wordWrap/>
        <w:overflowPunct/>
        <w:topLinePunct w:val="0"/>
        <w:autoSpaceDE/>
        <w:autoSpaceDN/>
        <w:bidi w:val="0"/>
        <w:spacing w:line="480" w:lineRule="exact"/>
        <w:ind w:firstLine="422" w:firstLineChars="20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各投标人必须对招标文件第五章《采购需求》中的技术、服务要求作出全面、真实的反映，</w:t>
      </w:r>
      <w:r>
        <w:rPr>
          <w:rFonts w:hint="eastAsia" w:ascii="宋体" w:hAnsi="宋体" w:eastAsia="宋体" w:cs="宋体"/>
          <w:b/>
          <w:bCs/>
          <w:color w:val="auto"/>
          <w:szCs w:val="21"/>
          <w:highlight w:val="none"/>
          <w:lang w:val="en-US" w:eastAsia="zh-CN"/>
        </w:rPr>
        <w:t>并保证填写的相关数据是真实的和正确的，同时填写技术条款偏离表。</w:t>
      </w:r>
    </w:p>
    <w:p w14:paraId="53BED038">
      <w:pPr>
        <w:pageBreakBefore w:val="0"/>
        <w:kinsoku/>
        <w:wordWrap/>
        <w:overflowPunct/>
        <w:topLinePunct w:val="0"/>
        <w:autoSpaceDE/>
        <w:autoSpaceDN/>
        <w:bidi w:val="0"/>
        <w:spacing w:line="480" w:lineRule="exact"/>
        <w:ind w:firstLine="422" w:firstLineChars="20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eastAsia="zh-CN"/>
        </w:rPr>
        <w:t>投标人除如实填写《技术条款偏离表》外，招标文件《采购需求》二、规格、技术条款和性能要求 规格（技术参数、性能要求）中，所有技术参数必须提供最新技术支持资料支持技术条款偏离表应答（技术支持资料是指包括技术白皮书或检测报告或图纸或印刷宣传彩页或性能参数说明等，第五章 采购需求中有明确要求的，以第五章 采购需求要求为准，不接受非生产制造商自行印刷、打印或者手写的技术支持资料，凡不符合上述要求的，视为无效技术支持资料），若投标文件中技术支持资料参数与技术条款偏离表应答不符或无支持资料应答，而投标人又未在投标文件中作出说明和解释的，评标委员会在评审时可以视为不响应该条技术条款的规定</w:t>
      </w:r>
      <w:r>
        <w:rPr>
          <w:rFonts w:hint="eastAsia" w:ascii="宋体" w:hAnsi="宋体" w:eastAsia="宋体" w:cs="宋体"/>
          <w:b/>
          <w:bCs/>
          <w:color w:val="auto"/>
          <w:szCs w:val="21"/>
          <w:highlight w:val="none"/>
          <w:lang w:val="en-US" w:eastAsia="zh-CN"/>
        </w:rPr>
        <w:t>。</w:t>
      </w:r>
    </w:p>
    <w:p w14:paraId="6D8D1A96">
      <w:pPr>
        <w:pageBreakBefore w:val="0"/>
        <w:kinsoku/>
        <w:wordWrap/>
        <w:overflowPunct/>
        <w:topLinePunct w:val="0"/>
        <w:autoSpaceDE/>
        <w:autoSpaceDN/>
        <w:bidi w:val="0"/>
        <w:spacing w:line="480" w:lineRule="exact"/>
        <w:ind w:firstLine="422" w:firstLineChars="20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本章各项技术参数、规格和性能要求如出现引用某一特定的专利技术、商标、名称、设计、原产地或供应者等情况，则仅起参考作用。投标人可选用实质上“相当于”或“优于”该参考技术规格要求的产品投标。</w:t>
      </w:r>
    </w:p>
    <w:p w14:paraId="5DF6CCDA">
      <w:pPr>
        <w:pageBreakBefore w:val="0"/>
        <w:kinsoku/>
        <w:wordWrap/>
        <w:overflowPunct/>
        <w:topLinePunct w:val="0"/>
        <w:autoSpaceDE/>
        <w:autoSpaceDN/>
        <w:bidi w:val="0"/>
        <w:spacing w:line="480" w:lineRule="exact"/>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工程或者服务进行验收，一旦发现虚假应标行为，取消该中标人的中标资格，并保留追究其法律责任的权利。</w:t>
      </w:r>
    </w:p>
    <w:p w14:paraId="110EB268">
      <w:pPr>
        <w:pageBreakBefore w:val="0"/>
        <w:kinsoku/>
        <w:wordWrap/>
        <w:overflowPunct/>
        <w:topLinePunct w:val="0"/>
        <w:autoSpaceDE/>
        <w:autoSpaceDN/>
        <w:bidi w:val="0"/>
        <w:spacing w:line="480" w:lineRule="exact"/>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本文件的解释权属于采购人、采购代理机构。</w:t>
      </w:r>
    </w:p>
    <w:p w14:paraId="0CC8D955">
      <w:pPr>
        <w:pStyle w:val="3"/>
        <w:pageBreakBefore w:val="0"/>
        <w:kinsoku/>
        <w:wordWrap/>
        <w:overflowPunct/>
        <w:topLinePunct w:val="0"/>
        <w:autoSpaceDE/>
        <w:autoSpaceDN/>
        <w:bidi w:val="0"/>
        <w:spacing w:before="0" w:line="480" w:lineRule="exact"/>
        <w:jc w:val="left"/>
        <w:rPr>
          <w:rFonts w:hint="eastAsia" w:ascii="宋体" w:hAnsi="宋体" w:eastAsia="宋体" w:cs="宋体"/>
          <w:b/>
          <w:bCs/>
          <w:color w:val="auto"/>
          <w:szCs w:val="21"/>
          <w:highlight w:val="none"/>
        </w:rPr>
        <w:sectPr>
          <w:footerReference r:id="rId6" w:type="default"/>
          <w:pgSz w:w="12240" w:h="15840"/>
          <w:pgMar w:top="1440" w:right="1803" w:bottom="1440" w:left="1803" w:header="567" w:footer="567" w:gutter="0"/>
          <w:pgNumType w:fmt="decimal"/>
          <w:cols w:space="0" w:num="1"/>
          <w:rtlGutter w:val="0"/>
          <w:docGrid w:linePitch="0" w:charSpace="0"/>
        </w:sectPr>
      </w:pPr>
    </w:p>
    <w:p w14:paraId="6A85D5AA">
      <w:pPr>
        <w:pStyle w:val="3"/>
        <w:pageBreakBefore w:val="0"/>
        <w:kinsoku/>
        <w:wordWrap/>
        <w:overflowPunct/>
        <w:topLinePunct w:val="0"/>
        <w:autoSpaceDE/>
        <w:autoSpaceDN/>
        <w:bidi w:val="0"/>
        <w:spacing w:before="0" w:line="480" w:lineRule="exact"/>
        <w:jc w:val="left"/>
        <w:rPr>
          <w:rFonts w:hint="eastAsia" w:ascii="宋体" w:hAnsi="宋体" w:eastAsia="宋体" w:cs="宋体"/>
          <w:color w:val="auto"/>
          <w:spacing w:val="0"/>
          <w:kern w:val="0"/>
          <w:sz w:val="28"/>
          <w:szCs w:val="28"/>
          <w:highlight w:val="none"/>
          <w:lang w:val="en-US" w:eastAsia="zh-CN"/>
        </w:rPr>
      </w:pPr>
      <w:bookmarkStart w:id="81" w:name="_Toc7277"/>
      <w:bookmarkStart w:id="82" w:name="_Toc8955"/>
      <w:r>
        <w:rPr>
          <w:rFonts w:hint="eastAsia" w:ascii="宋体" w:hAnsi="宋体" w:cs="宋体"/>
          <w:color w:val="auto"/>
          <w:spacing w:val="0"/>
          <w:kern w:val="0"/>
          <w:sz w:val="28"/>
          <w:szCs w:val="28"/>
          <w:highlight w:val="none"/>
          <w:lang w:val="en-US" w:eastAsia="zh-CN"/>
        </w:rPr>
        <w:t>一、</w:t>
      </w:r>
      <w:r>
        <w:rPr>
          <w:rFonts w:hint="eastAsia" w:ascii="宋体" w:hAnsi="宋体" w:eastAsia="宋体" w:cs="宋体"/>
          <w:color w:val="auto"/>
          <w:spacing w:val="0"/>
          <w:kern w:val="0"/>
          <w:sz w:val="28"/>
          <w:szCs w:val="28"/>
          <w:highlight w:val="none"/>
          <w:lang w:val="en-US" w:eastAsia="zh-CN"/>
        </w:rPr>
        <w:t>采购需求一览表</w:t>
      </w:r>
      <w:bookmarkEnd w:id="81"/>
      <w:bookmarkEnd w:id="82"/>
    </w:p>
    <w:tbl>
      <w:tblPr>
        <w:tblStyle w:val="47"/>
        <w:tblW w:w="138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4"/>
        <w:gridCol w:w="1245"/>
        <w:gridCol w:w="9285"/>
        <w:gridCol w:w="452"/>
        <w:gridCol w:w="960"/>
        <w:gridCol w:w="1335"/>
      </w:tblGrid>
      <w:tr w14:paraId="38089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7" w:hRule="atLeast"/>
          <w:jc w:val="center"/>
        </w:trPr>
        <w:tc>
          <w:tcPr>
            <w:tcW w:w="604" w:type="dxa"/>
            <w:tcMar>
              <w:top w:w="15" w:type="dxa"/>
              <w:left w:w="15" w:type="dxa"/>
              <w:right w:w="15" w:type="dxa"/>
            </w:tcMar>
            <w:vAlign w:val="center"/>
          </w:tcPr>
          <w:p w14:paraId="1C2CCBEF">
            <w:pPr>
              <w:widowControl/>
              <w:spacing w:line="24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245" w:type="dxa"/>
            <w:tcMar>
              <w:top w:w="15" w:type="dxa"/>
              <w:left w:w="15" w:type="dxa"/>
              <w:right w:w="15" w:type="dxa"/>
            </w:tcMar>
            <w:vAlign w:val="center"/>
          </w:tcPr>
          <w:p w14:paraId="04388123">
            <w:pPr>
              <w:widowControl/>
              <w:spacing w:line="24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产品（项目）名称</w:t>
            </w:r>
          </w:p>
        </w:tc>
        <w:tc>
          <w:tcPr>
            <w:tcW w:w="9285" w:type="dxa"/>
            <w:tcMar>
              <w:top w:w="15" w:type="dxa"/>
              <w:left w:w="15" w:type="dxa"/>
              <w:right w:w="15" w:type="dxa"/>
            </w:tcMar>
            <w:vAlign w:val="center"/>
          </w:tcPr>
          <w:p w14:paraId="2CE027E9">
            <w:pPr>
              <w:widowControl/>
              <w:spacing w:line="24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规格（技术参数、性能要求）</w:t>
            </w:r>
          </w:p>
        </w:tc>
        <w:tc>
          <w:tcPr>
            <w:tcW w:w="452" w:type="dxa"/>
            <w:tcMar>
              <w:top w:w="15" w:type="dxa"/>
              <w:left w:w="15" w:type="dxa"/>
              <w:right w:w="15" w:type="dxa"/>
            </w:tcMar>
            <w:vAlign w:val="center"/>
          </w:tcPr>
          <w:p w14:paraId="7BA6580F">
            <w:pPr>
              <w:widowControl/>
              <w:spacing w:line="24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数量</w:t>
            </w:r>
          </w:p>
        </w:tc>
        <w:tc>
          <w:tcPr>
            <w:tcW w:w="960" w:type="dxa"/>
            <w:tcMar>
              <w:top w:w="15" w:type="dxa"/>
              <w:left w:w="15" w:type="dxa"/>
              <w:right w:w="15" w:type="dxa"/>
            </w:tcMar>
            <w:vAlign w:val="center"/>
          </w:tcPr>
          <w:p w14:paraId="410F725B">
            <w:pPr>
              <w:widowControl/>
              <w:spacing w:line="24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计量单位</w:t>
            </w:r>
          </w:p>
        </w:tc>
        <w:tc>
          <w:tcPr>
            <w:tcW w:w="1335" w:type="dxa"/>
            <w:tcMar>
              <w:top w:w="15" w:type="dxa"/>
              <w:left w:w="15" w:type="dxa"/>
              <w:right w:w="15" w:type="dxa"/>
            </w:tcMar>
            <w:vAlign w:val="center"/>
          </w:tcPr>
          <w:p w14:paraId="4CADCA04">
            <w:pPr>
              <w:widowControl/>
              <w:spacing w:line="240" w:lineRule="auto"/>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备注</w:t>
            </w:r>
          </w:p>
        </w:tc>
      </w:tr>
      <w:tr w14:paraId="5D34F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4" w:hRule="atLeast"/>
          <w:jc w:val="center"/>
        </w:trPr>
        <w:tc>
          <w:tcPr>
            <w:tcW w:w="604" w:type="dxa"/>
            <w:shd w:val="clear" w:color="auto" w:fill="auto"/>
            <w:tcMar>
              <w:top w:w="15" w:type="dxa"/>
              <w:left w:w="15" w:type="dxa"/>
              <w:right w:w="15" w:type="dxa"/>
            </w:tcMar>
            <w:vAlign w:val="center"/>
          </w:tcPr>
          <w:p w14:paraId="41D65448">
            <w:pPr>
              <w:keepNext w:val="0"/>
              <w:keepLines w:val="0"/>
              <w:widowControl/>
              <w:suppressLineNumbers w:val="0"/>
              <w:spacing w:line="240" w:lineRule="auto"/>
              <w:jc w:val="center"/>
              <w:textAlignment w:val="center"/>
              <w:rPr>
                <w:rFonts w:hint="eastAsia" w:ascii="宋体" w:hAnsi="宋体" w:eastAsia="宋体" w:cs="宋体"/>
                <w:i w:val="0"/>
                <w:color w:val="auto"/>
                <w:kern w:val="2"/>
                <w:sz w:val="21"/>
                <w:szCs w:val="21"/>
                <w:highlight w:val="none"/>
                <w:u w:val="none"/>
                <w:lang w:val="en-US" w:eastAsia="zh-CN" w:bidi="ar-SA"/>
              </w:rPr>
            </w:pPr>
            <w:r>
              <w:rPr>
                <w:rFonts w:hint="eastAsia" w:ascii="宋体" w:hAnsi="宋体" w:eastAsia="宋体" w:cs="宋体"/>
                <w:i w:val="0"/>
                <w:color w:val="auto"/>
                <w:kern w:val="2"/>
                <w:sz w:val="21"/>
                <w:szCs w:val="21"/>
                <w:highlight w:val="none"/>
                <w:u w:val="none"/>
                <w:lang w:val="en-US" w:eastAsia="zh-CN" w:bidi="ar-SA"/>
              </w:rPr>
              <w:t>1</w:t>
            </w:r>
          </w:p>
        </w:tc>
        <w:tc>
          <w:tcPr>
            <w:tcW w:w="1245" w:type="dxa"/>
            <w:shd w:val="clear" w:color="auto" w:fill="auto"/>
            <w:tcMar>
              <w:top w:w="15" w:type="dxa"/>
              <w:left w:w="15" w:type="dxa"/>
              <w:right w:w="15" w:type="dxa"/>
            </w:tcMar>
            <w:vAlign w:val="center"/>
          </w:tcPr>
          <w:p w14:paraId="09AF51CE">
            <w:pPr>
              <w:spacing w:line="300" w:lineRule="exact"/>
              <w:jc w:val="center"/>
              <w:rPr>
                <w:rFonts w:hint="eastAsia" w:ascii="宋体" w:hAnsi="宋体" w:eastAsia="宋体" w:cs="宋体"/>
                <w:i w:val="0"/>
                <w:color w:val="auto"/>
                <w:kern w:val="2"/>
                <w:sz w:val="21"/>
                <w:szCs w:val="21"/>
                <w:highlight w:val="none"/>
                <w:u w:val="none"/>
                <w:lang w:val="en-US" w:eastAsia="zh-CN" w:bidi="ar-SA"/>
              </w:rPr>
            </w:pPr>
            <w:r>
              <w:rPr>
                <w:rFonts w:hint="eastAsia" w:ascii="宋体" w:hAnsi="宋体" w:eastAsia="宋体" w:cs="宋体"/>
                <w:b w:val="0"/>
                <w:bCs/>
                <w:sz w:val="21"/>
                <w:szCs w:val="21"/>
              </w:rPr>
              <w:t>数显式万能材料试验机</w:t>
            </w:r>
          </w:p>
        </w:tc>
        <w:tc>
          <w:tcPr>
            <w:tcW w:w="9285" w:type="dxa"/>
            <w:shd w:val="clear" w:color="auto" w:fill="auto"/>
            <w:tcMar>
              <w:top w:w="15" w:type="dxa"/>
              <w:left w:w="15" w:type="dxa"/>
              <w:right w:w="15" w:type="dxa"/>
            </w:tcMar>
            <w:vAlign w:val="center"/>
          </w:tcPr>
          <w:p w14:paraId="6C6CDED5">
            <w:pPr>
              <w:rPr>
                <w:rFonts w:hint="eastAsia" w:ascii="宋体" w:hAnsi="宋体" w:eastAsia="宋体" w:cs="宋体"/>
                <w:lang w:eastAsia="zh-CN"/>
              </w:rPr>
            </w:pPr>
            <w:r>
              <w:rPr>
                <w:rFonts w:hint="eastAsia" w:ascii="宋体" w:hAnsi="宋体" w:eastAsia="宋体" w:cs="宋体"/>
                <w:lang w:val="en-US" w:eastAsia="zh-CN"/>
              </w:rPr>
              <w:t>1.</w:t>
            </w:r>
            <w:r>
              <w:rPr>
                <w:rFonts w:hint="eastAsia" w:ascii="宋体" w:hAnsi="宋体" w:eastAsia="宋体" w:cs="宋体"/>
              </w:rPr>
              <w:t>最大实验力(KN)</w:t>
            </w:r>
            <w:r>
              <w:rPr>
                <w:rFonts w:hint="eastAsia" w:ascii="宋体" w:hAnsi="宋体" w:eastAsia="宋体" w:cs="宋体"/>
                <w:lang w:eastAsia="zh-CN"/>
              </w:rPr>
              <w:t>：</w:t>
            </w:r>
            <w:r>
              <w:rPr>
                <w:rFonts w:hint="eastAsia" w:ascii="宋体" w:hAnsi="宋体" w:eastAsia="宋体" w:cs="宋体"/>
              </w:rPr>
              <w:t>300</w:t>
            </w:r>
          </w:p>
          <w:p w14:paraId="24FF94E1">
            <w:pPr>
              <w:rPr>
                <w:rFonts w:hint="eastAsia" w:ascii="宋体" w:hAnsi="宋体" w:eastAsia="宋体" w:cs="宋体"/>
                <w:lang w:eastAsia="zh-CN"/>
              </w:rPr>
            </w:pPr>
            <w:r>
              <w:rPr>
                <w:rFonts w:hint="eastAsia" w:ascii="宋体" w:hAnsi="宋体" w:eastAsia="宋体" w:cs="宋体"/>
                <w:lang w:val="en-US" w:eastAsia="zh-CN"/>
              </w:rPr>
              <w:t>2.</w:t>
            </w:r>
            <w:r>
              <w:rPr>
                <w:rFonts w:hint="eastAsia" w:ascii="宋体" w:hAnsi="宋体" w:eastAsia="宋体" w:cs="宋体"/>
              </w:rPr>
              <w:t>试验机的示值精度</w:t>
            </w:r>
            <w:r>
              <w:rPr>
                <w:rFonts w:hint="eastAsia" w:ascii="宋体" w:hAnsi="宋体" w:eastAsia="宋体" w:cs="宋体"/>
                <w:lang w:eastAsia="zh-CN"/>
              </w:rPr>
              <w:t>：</w:t>
            </w:r>
            <w:r>
              <w:rPr>
                <w:rFonts w:hint="eastAsia" w:ascii="宋体" w:hAnsi="宋体" w:eastAsia="宋体" w:cs="宋体"/>
              </w:rPr>
              <w:t>1级</w:t>
            </w:r>
          </w:p>
          <w:p w14:paraId="7CBF3078">
            <w:pPr>
              <w:rPr>
                <w:rFonts w:hint="eastAsia" w:ascii="宋体" w:hAnsi="宋体" w:eastAsia="宋体" w:cs="宋体"/>
                <w:lang w:eastAsia="zh-CN"/>
              </w:rPr>
            </w:pPr>
            <w:r>
              <w:rPr>
                <w:rFonts w:hint="eastAsia" w:ascii="宋体" w:hAnsi="宋体" w:eastAsia="宋体" w:cs="宋体"/>
                <w:lang w:val="en-US" w:eastAsia="zh-CN"/>
              </w:rPr>
              <w:t>3.</w:t>
            </w:r>
            <w:r>
              <w:rPr>
                <w:rFonts w:hint="eastAsia" w:ascii="宋体" w:hAnsi="宋体" w:eastAsia="宋体" w:cs="宋体"/>
              </w:rPr>
              <w:t>拉伸夹头间最大距离(计活塞行程)</w:t>
            </w:r>
            <w:r>
              <w:rPr>
                <w:rFonts w:hint="eastAsia" w:ascii="宋体" w:hAnsi="宋体" w:eastAsia="宋体" w:cs="宋体"/>
                <w:lang w:eastAsia="zh-CN"/>
              </w:rPr>
              <w:t>：</w:t>
            </w:r>
            <w:r>
              <w:rPr>
                <w:rFonts w:hint="eastAsia" w:ascii="宋体" w:hAnsi="宋体" w:eastAsia="宋体" w:cs="宋体"/>
              </w:rPr>
              <w:t>550</w:t>
            </w:r>
          </w:p>
          <w:p w14:paraId="3EDC8B71">
            <w:pPr>
              <w:rPr>
                <w:rFonts w:hint="default" w:ascii="宋体" w:hAnsi="宋体" w:eastAsia="宋体" w:cs="宋体"/>
                <w:lang w:val="en-US" w:eastAsia="zh-CN"/>
              </w:rPr>
            </w:pPr>
            <w:r>
              <w:rPr>
                <w:rFonts w:hint="eastAsia" w:ascii="宋体" w:hAnsi="宋体" w:eastAsia="宋体" w:cs="宋体"/>
                <w:lang w:val="en-US" w:eastAsia="zh-CN"/>
              </w:rPr>
              <w:t>4.</w:t>
            </w:r>
            <w:r>
              <w:rPr>
                <w:rFonts w:hint="eastAsia" w:ascii="宋体" w:hAnsi="宋体" w:eastAsia="宋体" w:cs="宋体"/>
              </w:rPr>
              <w:t>两丝杠间有效距离(mm)</w:t>
            </w:r>
            <w:r>
              <w:rPr>
                <w:rFonts w:hint="eastAsia" w:ascii="宋体" w:hAnsi="宋体" w:eastAsia="宋体" w:cs="宋体"/>
                <w:lang w:eastAsia="zh-CN"/>
              </w:rPr>
              <w:t>：</w:t>
            </w:r>
            <w:r>
              <w:rPr>
                <w:rFonts w:hint="eastAsia" w:ascii="宋体" w:hAnsi="宋体" w:eastAsia="宋体" w:cs="宋体"/>
                <w:lang w:val="en-US" w:eastAsia="zh-CN"/>
              </w:rPr>
              <w:t>370</w:t>
            </w:r>
          </w:p>
          <w:p w14:paraId="2D8AD8C8">
            <w:pPr>
              <w:rPr>
                <w:rFonts w:hint="eastAsia" w:ascii="宋体" w:hAnsi="宋体" w:eastAsia="宋体" w:cs="宋体"/>
                <w:lang w:eastAsia="zh-CN"/>
              </w:rPr>
            </w:pPr>
            <w:r>
              <w:rPr>
                <w:rFonts w:hint="eastAsia" w:ascii="宋体" w:hAnsi="宋体" w:eastAsia="宋体" w:cs="宋体"/>
                <w:lang w:val="en-US" w:eastAsia="zh-CN"/>
              </w:rPr>
              <w:t>5.</w:t>
            </w:r>
            <w:r>
              <w:rPr>
                <w:rFonts w:hint="eastAsia" w:ascii="宋体" w:hAnsi="宋体" w:eastAsia="宋体" w:cs="宋体"/>
              </w:rPr>
              <w:t>扁试样夹持厚度(mm)</w:t>
            </w:r>
            <w:r>
              <w:rPr>
                <w:rFonts w:hint="eastAsia" w:ascii="宋体" w:hAnsi="宋体" w:eastAsia="宋体" w:cs="宋体"/>
                <w:lang w:eastAsia="zh-CN"/>
              </w:rPr>
              <w:t>：</w:t>
            </w:r>
            <w:r>
              <w:rPr>
                <w:rFonts w:hint="eastAsia" w:ascii="宋体" w:hAnsi="宋体" w:eastAsia="宋体" w:cs="宋体"/>
              </w:rPr>
              <w:t>0-15</w:t>
            </w:r>
          </w:p>
          <w:p w14:paraId="373E3A96">
            <w:pPr>
              <w:rPr>
                <w:rFonts w:hint="default" w:ascii="宋体" w:hAnsi="宋体" w:eastAsia="宋体" w:cs="宋体"/>
                <w:lang w:val="en-US" w:eastAsia="zh-CN"/>
              </w:rPr>
            </w:pPr>
            <w:r>
              <w:rPr>
                <w:rFonts w:hint="eastAsia" w:ascii="宋体" w:hAnsi="宋体" w:eastAsia="宋体" w:cs="宋体"/>
                <w:lang w:val="en-US" w:eastAsia="zh-CN"/>
              </w:rPr>
              <w:t>6.</w:t>
            </w:r>
            <w:r>
              <w:rPr>
                <w:rFonts w:hint="eastAsia" w:ascii="宋体" w:hAnsi="宋体" w:eastAsia="宋体" w:cs="宋体"/>
              </w:rPr>
              <w:t>扁试样夹持的最大宽度(mm)</w:t>
            </w:r>
            <w:r>
              <w:rPr>
                <w:rFonts w:hint="eastAsia" w:ascii="宋体" w:hAnsi="宋体" w:eastAsia="宋体" w:cs="宋体"/>
                <w:lang w:eastAsia="zh-CN"/>
              </w:rPr>
              <w:t>：</w:t>
            </w:r>
            <w:r>
              <w:rPr>
                <w:rFonts w:hint="eastAsia" w:ascii="宋体" w:hAnsi="宋体" w:eastAsia="宋体" w:cs="宋体"/>
                <w:lang w:val="en-US" w:eastAsia="zh-CN"/>
              </w:rPr>
              <w:t>58</w:t>
            </w:r>
          </w:p>
          <w:p w14:paraId="7D378833">
            <w:pPr>
              <w:rPr>
                <w:rFonts w:hint="eastAsia" w:ascii="宋体" w:hAnsi="宋体" w:eastAsia="宋体" w:cs="宋体"/>
                <w:lang w:eastAsia="zh-CN"/>
              </w:rPr>
            </w:pPr>
            <w:r>
              <w:rPr>
                <w:rFonts w:hint="eastAsia" w:ascii="宋体" w:hAnsi="宋体" w:eastAsia="宋体" w:cs="宋体"/>
                <w:lang w:val="en-US" w:eastAsia="zh-CN"/>
              </w:rPr>
              <w:t>7.</w:t>
            </w:r>
            <w:r>
              <w:rPr>
                <w:rFonts w:hint="eastAsia" w:ascii="宋体" w:hAnsi="宋体" w:eastAsia="宋体" w:cs="宋体"/>
              </w:rPr>
              <w:t>上下压板间最大距离(mm)</w:t>
            </w:r>
            <w:r>
              <w:rPr>
                <w:rFonts w:hint="eastAsia" w:ascii="宋体" w:hAnsi="宋体" w:eastAsia="宋体" w:cs="宋体"/>
                <w:lang w:eastAsia="zh-CN"/>
              </w:rPr>
              <w:t>：</w:t>
            </w:r>
            <w:r>
              <w:rPr>
                <w:rFonts w:hint="eastAsia" w:ascii="宋体" w:hAnsi="宋体" w:eastAsia="宋体" w:cs="宋体"/>
              </w:rPr>
              <w:t>550</w:t>
            </w:r>
          </w:p>
          <w:p w14:paraId="508C4FC4">
            <w:pPr>
              <w:rPr>
                <w:rFonts w:hint="eastAsia" w:ascii="宋体" w:hAnsi="宋体" w:eastAsia="宋体" w:cs="宋体"/>
                <w:lang w:eastAsia="zh-CN"/>
              </w:rPr>
            </w:pPr>
            <w:r>
              <w:rPr>
                <w:rFonts w:hint="eastAsia" w:ascii="宋体" w:hAnsi="宋体" w:eastAsia="宋体" w:cs="宋体"/>
                <w:lang w:val="en-US" w:eastAsia="zh-CN"/>
              </w:rPr>
              <w:t>8.</w:t>
            </w:r>
            <w:r>
              <w:rPr>
                <w:rFonts w:hint="eastAsia" w:ascii="宋体" w:hAnsi="宋体" w:eastAsia="宋体" w:cs="宋体"/>
              </w:rPr>
              <w:t>上下压板尺寸(mm)</w:t>
            </w:r>
            <w:r>
              <w:rPr>
                <w:rFonts w:hint="eastAsia" w:ascii="宋体" w:hAnsi="宋体" w:eastAsia="宋体" w:cs="宋体"/>
                <w:lang w:eastAsia="zh-CN"/>
              </w:rPr>
              <w:t>：</w:t>
            </w:r>
            <w:r>
              <w:rPr>
                <w:rFonts w:hint="eastAsia" w:ascii="宋体" w:hAnsi="宋体" w:eastAsia="宋体" w:cs="宋体"/>
                <w:i w:val="0"/>
                <w:iCs w:val="0"/>
                <w:caps w:val="0"/>
                <w:color w:val="333333"/>
                <w:spacing w:val="0"/>
                <w:sz w:val="21"/>
                <w:szCs w:val="21"/>
                <w:shd w:val="clear" w:fill="FFFFFF"/>
              </w:rPr>
              <w:t>Ф</w:t>
            </w:r>
            <w:r>
              <w:rPr>
                <w:rFonts w:hint="eastAsia" w:ascii="宋体" w:hAnsi="宋体" w:eastAsia="宋体" w:cs="宋体"/>
                <w:sz w:val="21"/>
                <w:szCs w:val="21"/>
              </w:rPr>
              <w:t>200</w:t>
            </w:r>
          </w:p>
          <w:p w14:paraId="62F53A29">
            <w:pPr>
              <w:rPr>
                <w:rFonts w:hint="eastAsia" w:ascii="宋体" w:hAnsi="宋体" w:eastAsia="宋体" w:cs="宋体"/>
                <w:lang w:eastAsia="zh-CN"/>
              </w:rPr>
            </w:pPr>
            <w:r>
              <w:rPr>
                <w:rFonts w:hint="eastAsia" w:ascii="宋体" w:hAnsi="宋体" w:eastAsia="宋体" w:cs="宋体"/>
                <w:lang w:val="en-US" w:eastAsia="zh-CN"/>
              </w:rPr>
              <w:t>9.</w:t>
            </w:r>
            <w:r>
              <w:rPr>
                <w:rFonts w:hint="eastAsia" w:ascii="宋体" w:hAnsi="宋体" w:eastAsia="宋体" w:cs="宋体"/>
              </w:rPr>
              <w:t>弯曲试验时两支点间距离(mm)</w:t>
            </w:r>
            <w:r>
              <w:rPr>
                <w:rFonts w:hint="eastAsia" w:ascii="宋体" w:hAnsi="宋体" w:eastAsia="宋体" w:cs="宋体"/>
                <w:lang w:eastAsia="zh-CN"/>
              </w:rPr>
              <w:t>：</w:t>
            </w:r>
            <w:r>
              <w:rPr>
                <w:rFonts w:hint="eastAsia" w:ascii="宋体" w:hAnsi="宋体" w:eastAsia="宋体" w:cs="宋体"/>
              </w:rPr>
              <w:t>30-300</w:t>
            </w:r>
          </w:p>
          <w:p w14:paraId="1E691961">
            <w:pPr>
              <w:rPr>
                <w:rFonts w:hint="eastAsia" w:ascii="宋体" w:hAnsi="宋体" w:eastAsia="宋体" w:cs="宋体"/>
                <w:lang w:eastAsia="zh-CN"/>
              </w:rPr>
            </w:pPr>
            <w:r>
              <w:rPr>
                <w:rFonts w:hint="eastAsia" w:ascii="宋体" w:hAnsi="宋体" w:eastAsia="宋体" w:cs="宋体"/>
                <w:lang w:val="en-US" w:eastAsia="zh-CN"/>
              </w:rPr>
              <w:t>10.</w:t>
            </w:r>
            <w:r>
              <w:rPr>
                <w:rFonts w:hint="eastAsia" w:ascii="宋体" w:hAnsi="宋体" w:eastAsia="宋体" w:cs="宋体"/>
              </w:rPr>
              <w:t>变曲试验时支滚最大宽度(mm)</w:t>
            </w:r>
            <w:r>
              <w:rPr>
                <w:rFonts w:hint="eastAsia" w:ascii="宋体" w:hAnsi="宋体" w:eastAsia="宋体" w:cs="宋体"/>
                <w:lang w:eastAsia="zh-CN"/>
              </w:rPr>
              <w:t>：</w:t>
            </w:r>
            <w:r>
              <w:rPr>
                <w:rFonts w:hint="eastAsia" w:ascii="宋体" w:hAnsi="宋体" w:eastAsia="宋体" w:cs="宋体"/>
              </w:rPr>
              <w:t>140</w:t>
            </w:r>
          </w:p>
          <w:p w14:paraId="4C2C5A34">
            <w:pPr>
              <w:rPr>
                <w:rFonts w:hint="eastAsia" w:ascii="宋体" w:hAnsi="宋体" w:eastAsia="宋体" w:cs="宋体"/>
                <w:lang w:eastAsia="zh-CN"/>
              </w:rPr>
            </w:pPr>
            <w:r>
              <w:rPr>
                <w:rFonts w:hint="eastAsia" w:ascii="宋体" w:hAnsi="宋体" w:eastAsia="宋体" w:cs="宋体"/>
                <w:lang w:val="en-US" w:eastAsia="zh-CN"/>
              </w:rPr>
              <w:t>11.</w:t>
            </w:r>
            <w:r>
              <w:rPr>
                <w:rFonts w:hint="eastAsia" w:ascii="宋体" w:hAnsi="宋体" w:eastAsia="宋体" w:cs="宋体"/>
              </w:rPr>
              <w:t>弯曲试验最大高度(mm)</w:t>
            </w:r>
            <w:r>
              <w:rPr>
                <w:rFonts w:hint="eastAsia" w:ascii="宋体" w:hAnsi="宋体" w:eastAsia="宋体" w:cs="宋体"/>
                <w:lang w:eastAsia="zh-CN"/>
              </w:rPr>
              <w:t>：</w:t>
            </w:r>
            <w:r>
              <w:rPr>
                <w:rFonts w:hint="eastAsia" w:ascii="宋体" w:hAnsi="宋体" w:eastAsia="宋体" w:cs="宋体"/>
              </w:rPr>
              <w:t>100</w:t>
            </w:r>
          </w:p>
          <w:p w14:paraId="34FFF7E6">
            <w:pPr>
              <w:rPr>
                <w:rFonts w:hint="eastAsia" w:ascii="宋体" w:hAnsi="宋体" w:eastAsia="宋体" w:cs="宋体"/>
                <w:lang w:eastAsia="zh-CN"/>
              </w:rPr>
            </w:pPr>
            <w:r>
              <w:rPr>
                <w:rFonts w:hint="eastAsia" w:ascii="宋体" w:hAnsi="宋体" w:eastAsia="宋体" w:cs="宋体"/>
                <w:lang w:val="en-US" w:eastAsia="zh-CN"/>
              </w:rPr>
              <w:t>12.</w:t>
            </w:r>
            <w:r>
              <w:rPr>
                <w:rFonts w:hint="eastAsia" w:ascii="宋体" w:hAnsi="宋体" w:eastAsia="宋体" w:cs="宋体"/>
              </w:rPr>
              <w:t>工作活塞直径x行程(mm)</w:t>
            </w:r>
            <w:r>
              <w:rPr>
                <w:rFonts w:hint="eastAsia" w:ascii="宋体" w:hAnsi="宋体" w:eastAsia="宋体" w:cs="宋体"/>
                <w:lang w:eastAsia="zh-CN"/>
              </w:rPr>
              <w:t>：</w:t>
            </w:r>
            <w:r>
              <w:rPr>
                <w:rFonts w:hint="eastAsia" w:ascii="宋体" w:hAnsi="宋体" w:eastAsia="宋体" w:cs="宋体"/>
              </w:rPr>
              <w:t>140x150</w:t>
            </w:r>
          </w:p>
          <w:p w14:paraId="53BAFEE2">
            <w:pPr>
              <w:rPr>
                <w:rFonts w:hint="eastAsia" w:ascii="宋体" w:hAnsi="宋体" w:eastAsia="宋体" w:cs="宋体"/>
                <w:lang w:val="en-US" w:eastAsia="zh-CN"/>
              </w:rPr>
            </w:pPr>
            <w:r>
              <w:rPr>
                <w:rFonts w:hint="eastAsia" w:ascii="宋体" w:hAnsi="宋体" w:eastAsia="宋体" w:cs="宋体"/>
                <w:lang w:val="en-US" w:eastAsia="zh-CN"/>
              </w:rPr>
              <w:t>13.</w:t>
            </w:r>
            <w:r>
              <w:rPr>
                <w:rFonts w:hint="eastAsia" w:ascii="宋体" w:hAnsi="宋体" w:eastAsia="宋体" w:cs="宋体"/>
              </w:rPr>
              <w:t>工作台上升速度(mm/min)</w:t>
            </w:r>
            <w:r>
              <w:rPr>
                <w:rFonts w:hint="eastAsia" w:ascii="宋体" w:hAnsi="宋体" w:eastAsia="宋体" w:cs="宋体"/>
                <w:lang w:eastAsia="zh-CN"/>
              </w:rPr>
              <w:t>：</w:t>
            </w:r>
            <w:r>
              <w:rPr>
                <w:rFonts w:hint="eastAsia" w:ascii="宋体" w:hAnsi="宋体" w:eastAsia="宋体" w:cs="宋体"/>
                <w:lang w:val="en-US" w:eastAsia="zh-CN"/>
              </w:rPr>
              <w:t>0-140</w:t>
            </w:r>
          </w:p>
          <w:p w14:paraId="27A7857D">
            <w:pPr>
              <w:rPr>
                <w:rFonts w:hint="default" w:ascii="宋体" w:hAnsi="宋体" w:eastAsia="宋体" w:cs="宋体"/>
                <w:lang w:val="en-US" w:eastAsia="zh-CN"/>
              </w:rPr>
            </w:pPr>
            <w:r>
              <w:rPr>
                <w:rFonts w:hint="eastAsia" w:ascii="宋体" w:hAnsi="宋体" w:eastAsia="宋体" w:cs="宋体"/>
                <w:lang w:val="en-US" w:eastAsia="zh-CN"/>
              </w:rPr>
              <w:t>14.</w:t>
            </w:r>
            <w:r>
              <w:rPr>
                <w:rFonts w:hint="eastAsia" w:ascii="宋体" w:hAnsi="宋体" w:eastAsia="宋体" w:cs="宋体"/>
              </w:rPr>
              <w:t>移动横梁升降速度(mm/min)</w:t>
            </w:r>
            <w:r>
              <w:rPr>
                <w:rFonts w:hint="eastAsia" w:ascii="宋体" w:hAnsi="宋体" w:eastAsia="宋体" w:cs="宋体"/>
                <w:lang w:eastAsia="zh-CN"/>
              </w:rPr>
              <w:t>：</w:t>
            </w:r>
            <w:r>
              <w:rPr>
                <w:rFonts w:hint="eastAsia" w:ascii="宋体" w:hAnsi="宋体" w:eastAsia="宋体" w:cs="宋体"/>
                <w:lang w:val="en-US" w:eastAsia="zh-CN"/>
              </w:rPr>
              <w:t>240</w:t>
            </w:r>
          </w:p>
          <w:p w14:paraId="7C38FBC7">
            <w:pPr>
              <w:rPr>
                <w:rFonts w:hint="eastAsia" w:ascii="宋体" w:hAnsi="宋体" w:eastAsia="宋体" w:cs="宋体"/>
                <w:lang w:val="en-US" w:eastAsia="zh-CN"/>
              </w:rPr>
            </w:pPr>
            <w:r>
              <w:rPr>
                <w:rFonts w:hint="eastAsia" w:ascii="宋体" w:hAnsi="宋体" w:eastAsia="宋体" w:cs="宋体"/>
                <w:lang w:val="en-US" w:eastAsia="zh-CN"/>
              </w:rPr>
              <w:t>15.</w:t>
            </w:r>
            <w:r>
              <w:rPr>
                <w:rFonts w:hint="eastAsia" w:ascii="宋体" w:hAnsi="宋体" w:eastAsia="宋体" w:cs="宋体"/>
              </w:rPr>
              <w:t>油泵电动机功率(KW)</w:t>
            </w:r>
            <w:r>
              <w:rPr>
                <w:rFonts w:hint="eastAsia" w:ascii="宋体" w:hAnsi="宋体" w:eastAsia="宋体" w:cs="宋体"/>
                <w:lang w:eastAsia="zh-CN"/>
              </w:rPr>
              <w:t>：</w:t>
            </w:r>
            <w:r>
              <w:rPr>
                <w:rFonts w:hint="eastAsia" w:ascii="宋体" w:hAnsi="宋体" w:eastAsia="宋体" w:cs="宋体"/>
                <w:lang w:val="en-US" w:eastAsia="zh-CN"/>
              </w:rPr>
              <w:t>0.75</w:t>
            </w:r>
          </w:p>
          <w:p w14:paraId="7EDF9FA8">
            <w:pPr>
              <w:rPr>
                <w:rFonts w:hint="default" w:ascii="宋体" w:hAnsi="宋体" w:eastAsia="宋体" w:cs="宋体"/>
                <w:lang w:val="en-US" w:eastAsia="zh-CN"/>
              </w:rPr>
            </w:pPr>
            <w:r>
              <w:rPr>
                <w:rFonts w:hint="eastAsia" w:ascii="宋体" w:hAnsi="宋体" w:eastAsia="宋体" w:cs="宋体"/>
                <w:lang w:val="en-US" w:eastAsia="zh-CN"/>
              </w:rPr>
              <w:t>16.</w:t>
            </w:r>
            <w:r>
              <w:rPr>
                <w:rFonts w:hint="eastAsia" w:ascii="宋体" w:hAnsi="宋体" w:eastAsia="宋体" w:cs="宋体"/>
              </w:rPr>
              <w:t>移动横梁升降电动机功率(KW)</w:t>
            </w:r>
            <w:r>
              <w:rPr>
                <w:rFonts w:hint="eastAsia" w:ascii="宋体" w:hAnsi="宋体" w:eastAsia="宋体" w:cs="宋体"/>
                <w:lang w:eastAsia="zh-CN"/>
              </w:rPr>
              <w:t>：</w:t>
            </w:r>
            <w:r>
              <w:rPr>
                <w:rFonts w:hint="eastAsia" w:ascii="宋体" w:hAnsi="宋体" w:eastAsia="宋体" w:cs="宋体"/>
              </w:rPr>
              <w:t>0.</w:t>
            </w:r>
            <w:r>
              <w:rPr>
                <w:rFonts w:hint="eastAsia" w:ascii="宋体" w:hAnsi="宋体" w:eastAsia="宋体" w:cs="宋体"/>
                <w:lang w:val="en-US" w:eastAsia="zh-CN"/>
              </w:rPr>
              <w:t>55</w:t>
            </w:r>
          </w:p>
          <w:p w14:paraId="6AD797B6">
            <w:pPr>
              <w:rPr>
                <w:rFonts w:hint="eastAsia" w:ascii="宋体" w:hAnsi="宋体" w:eastAsia="宋体" w:cs="宋体"/>
                <w:lang w:val="en-US" w:eastAsia="zh-CN"/>
              </w:rPr>
            </w:pPr>
            <w:r>
              <w:rPr>
                <w:rFonts w:hint="eastAsia" w:ascii="宋体" w:hAnsi="宋体" w:eastAsia="宋体" w:cs="宋体"/>
                <w:lang w:val="en-US" w:eastAsia="zh-CN"/>
              </w:rPr>
              <w:t>17.</w:t>
            </w:r>
            <w:r>
              <w:rPr>
                <w:rFonts w:hint="eastAsia" w:ascii="宋体" w:hAnsi="宋体" w:eastAsia="宋体" w:cs="宋体"/>
              </w:rPr>
              <w:t>拉伸钳口形式</w:t>
            </w:r>
            <w:r>
              <w:rPr>
                <w:rFonts w:hint="eastAsia" w:ascii="宋体" w:hAnsi="宋体" w:eastAsia="宋体" w:cs="宋体"/>
                <w:lang w:eastAsia="zh-CN"/>
              </w:rPr>
              <w:t>：</w:t>
            </w:r>
            <w:r>
              <w:rPr>
                <w:rFonts w:hint="eastAsia" w:ascii="宋体" w:hAnsi="宋体" w:eastAsia="宋体" w:cs="宋体"/>
                <w:lang w:val="en-US" w:eastAsia="zh-CN"/>
              </w:rPr>
              <w:t>开口</w:t>
            </w:r>
          </w:p>
          <w:p w14:paraId="10746490">
            <w:pPr>
              <w:rPr>
                <w:rFonts w:hint="eastAsia" w:ascii="宋体" w:hAnsi="宋体" w:eastAsia="宋体" w:cs="宋体"/>
                <w:lang w:val="en-US" w:eastAsia="zh-CN"/>
              </w:rPr>
            </w:pPr>
            <w:r>
              <w:rPr>
                <w:rFonts w:hint="eastAsia" w:ascii="宋体" w:hAnsi="宋体" w:eastAsia="宋体" w:cs="宋体"/>
                <w:lang w:val="en-US" w:eastAsia="zh-CN"/>
              </w:rPr>
              <w:t>18.</w:t>
            </w:r>
            <w:r>
              <w:rPr>
                <w:rFonts w:hint="eastAsia" w:ascii="宋体" w:hAnsi="宋体" w:eastAsia="宋体" w:cs="宋体"/>
              </w:rPr>
              <w:t>主机(不计行程)(mm)</w:t>
            </w:r>
            <w:r>
              <w:rPr>
                <w:rFonts w:hint="eastAsia" w:ascii="宋体" w:hAnsi="宋体" w:eastAsia="宋体" w:cs="宋体"/>
                <w:lang w:eastAsia="zh-CN"/>
              </w:rPr>
              <w:t>：</w:t>
            </w:r>
            <w:r>
              <w:rPr>
                <w:rFonts w:hint="eastAsia" w:ascii="宋体" w:hAnsi="宋体" w:eastAsia="宋体" w:cs="宋体"/>
                <w:lang w:val="en-US" w:eastAsia="zh-CN"/>
              </w:rPr>
              <w:t>≥</w:t>
            </w:r>
            <w:r>
              <w:rPr>
                <w:rFonts w:hint="eastAsia" w:ascii="宋体" w:hAnsi="宋体" w:eastAsia="宋体" w:cs="宋体"/>
              </w:rPr>
              <w:t>730x510x185</w:t>
            </w:r>
            <w:r>
              <w:rPr>
                <w:rFonts w:hint="eastAsia" w:ascii="宋体" w:hAnsi="宋体" w:eastAsia="宋体" w:cs="宋体"/>
                <w:lang w:val="en-US" w:eastAsia="zh-CN"/>
              </w:rPr>
              <w:t>0</w:t>
            </w:r>
          </w:p>
          <w:p w14:paraId="441BE9B6">
            <w:pP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lang w:val="en-US" w:eastAsia="zh-CN"/>
              </w:rPr>
              <w:t>19.</w:t>
            </w:r>
            <w:r>
              <w:rPr>
                <w:rFonts w:hint="eastAsia" w:ascii="宋体" w:hAnsi="宋体" w:eastAsia="宋体" w:cs="宋体"/>
              </w:rPr>
              <w:t>立式控制柜(mm)</w:t>
            </w:r>
            <w:r>
              <w:rPr>
                <w:rFonts w:hint="eastAsia" w:ascii="宋体" w:hAnsi="宋体" w:eastAsia="宋体" w:cs="宋体"/>
                <w:lang w:eastAsia="zh-CN"/>
              </w:rPr>
              <w:t>：</w:t>
            </w:r>
            <w:r>
              <w:rPr>
                <w:rFonts w:hint="eastAsia" w:ascii="宋体" w:hAnsi="宋体" w:eastAsia="宋体" w:cs="宋体"/>
                <w:lang w:val="en-US" w:eastAsia="zh-CN"/>
              </w:rPr>
              <w:t>≥</w:t>
            </w:r>
            <w:r>
              <w:rPr>
                <w:rFonts w:hint="eastAsia" w:ascii="宋体" w:hAnsi="宋体" w:eastAsia="宋体" w:cs="宋体"/>
              </w:rPr>
              <w:t>550x510X1300</w:t>
            </w:r>
          </w:p>
        </w:tc>
        <w:tc>
          <w:tcPr>
            <w:tcW w:w="452" w:type="dxa"/>
            <w:shd w:val="clear" w:color="auto" w:fill="auto"/>
            <w:tcMar>
              <w:top w:w="15" w:type="dxa"/>
              <w:left w:w="15" w:type="dxa"/>
              <w:right w:w="15" w:type="dxa"/>
            </w:tcMar>
            <w:vAlign w:val="center"/>
          </w:tcPr>
          <w:p w14:paraId="3652A928">
            <w:pPr>
              <w:spacing w:line="300" w:lineRule="exact"/>
              <w:jc w:val="center"/>
              <w:rPr>
                <w:rFonts w:hint="eastAsia" w:ascii="宋体" w:hAnsi="宋体" w:eastAsia="宋体" w:cs="宋体"/>
                <w:i w:val="0"/>
                <w:color w:val="auto"/>
                <w:kern w:val="2"/>
                <w:sz w:val="21"/>
                <w:szCs w:val="21"/>
                <w:highlight w:val="none"/>
                <w:u w:val="none"/>
                <w:lang w:val="en-US" w:eastAsia="zh-CN" w:bidi="ar-SA"/>
              </w:rPr>
            </w:pPr>
            <w:r>
              <w:rPr>
                <w:rFonts w:hint="eastAsia" w:ascii="宋体" w:hAnsi="宋体" w:eastAsia="宋体" w:cs="宋体"/>
                <w:b w:val="0"/>
                <w:bCs/>
                <w:sz w:val="21"/>
                <w:szCs w:val="21"/>
                <w:lang w:val="en-US" w:eastAsia="zh-CN"/>
              </w:rPr>
              <w:t>1</w:t>
            </w:r>
          </w:p>
        </w:tc>
        <w:tc>
          <w:tcPr>
            <w:tcW w:w="960" w:type="dxa"/>
            <w:shd w:val="clear" w:color="auto" w:fill="auto"/>
            <w:tcMar>
              <w:top w:w="15" w:type="dxa"/>
              <w:left w:w="15" w:type="dxa"/>
              <w:right w:w="15" w:type="dxa"/>
            </w:tcMar>
            <w:vAlign w:val="center"/>
          </w:tcPr>
          <w:p w14:paraId="37FCD6DB">
            <w:pPr>
              <w:spacing w:line="300" w:lineRule="exact"/>
              <w:jc w:val="center"/>
              <w:rPr>
                <w:rFonts w:hint="eastAsia" w:ascii="宋体" w:hAnsi="宋体" w:eastAsia="宋体" w:cs="宋体"/>
                <w:i w:val="0"/>
                <w:color w:val="auto"/>
                <w:kern w:val="2"/>
                <w:sz w:val="21"/>
                <w:szCs w:val="21"/>
                <w:highlight w:val="none"/>
                <w:u w:val="none"/>
                <w:lang w:val="en-US" w:eastAsia="zh-CN" w:bidi="ar-SA"/>
              </w:rPr>
            </w:pPr>
            <w:r>
              <w:rPr>
                <w:rFonts w:hint="eastAsia" w:ascii="宋体" w:hAnsi="宋体" w:eastAsia="宋体" w:cs="宋体"/>
                <w:b w:val="0"/>
                <w:bCs/>
                <w:sz w:val="21"/>
                <w:szCs w:val="21"/>
                <w:lang w:val="en-US" w:eastAsia="zh-CN"/>
              </w:rPr>
              <w:t>台</w:t>
            </w:r>
          </w:p>
        </w:tc>
        <w:tc>
          <w:tcPr>
            <w:tcW w:w="1335" w:type="dxa"/>
            <w:shd w:val="clear" w:color="auto" w:fill="auto"/>
            <w:tcMar>
              <w:top w:w="15" w:type="dxa"/>
              <w:left w:w="15" w:type="dxa"/>
              <w:right w:w="15" w:type="dxa"/>
            </w:tcMar>
            <w:vAlign w:val="center"/>
          </w:tcPr>
          <w:p w14:paraId="04F55C18">
            <w:pPr>
              <w:keepNext w:val="0"/>
              <w:keepLines w:val="0"/>
              <w:widowControl/>
              <w:suppressLineNumbers w:val="0"/>
              <w:spacing w:line="240" w:lineRule="auto"/>
              <w:jc w:val="center"/>
              <w:textAlignment w:val="center"/>
              <w:rPr>
                <w:rFonts w:hint="eastAsia" w:ascii="宋体" w:hAnsi="宋体" w:eastAsia="宋体" w:cs="宋体"/>
                <w:i w:val="0"/>
                <w:color w:val="auto"/>
                <w:kern w:val="2"/>
                <w:sz w:val="21"/>
                <w:szCs w:val="21"/>
                <w:highlight w:val="none"/>
                <w:u w:val="none"/>
                <w:lang w:val="en-US" w:eastAsia="zh-CN" w:bidi="ar-SA"/>
              </w:rPr>
            </w:pPr>
          </w:p>
        </w:tc>
      </w:tr>
      <w:tr w14:paraId="6F567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4" w:hRule="atLeast"/>
          <w:jc w:val="center"/>
        </w:trPr>
        <w:tc>
          <w:tcPr>
            <w:tcW w:w="604" w:type="dxa"/>
            <w:shd w:val="clear" w:color="auto" w:fill="auto"/>
            <w:tcMar>
              <w:top w:w="15" w:type="dxa"/>
              <w:left w:w="15" w:type="dxa"/>
              <w:right w:w="15" w:type="dxa"/>
            </w:tcMar>
            <w:vAlign w:val="center"/>
          </w:tcPr>
          <w:p w14:paraId="0B7AF49D">
            <w:pPr>
              <w:keepNext w:val="0"/>
              <w:keepLines w:val="0"/>
              <w:widowControl/>
              <w:suppressLineNumbers w:val="0"/>
              <w:spacing w:line="240" w:lineRule="auto"/>
              <w:jc w:val="center"/>
              <w:textAlignment w:val="center"/>
              <w:rPr>
                <w:rFonts w:hint="eastAsia" w:ascii="宋体" w:hAnsi="宋体" w:eastAsia="宋体" w:cs="宋体"/>
                <w:i w:val="0"/>
                <w:color w:val="auto"/>
                <w:kern w:val="2"/>
                <w:sz w:val="21"/>
                <w:szCs w:val="21"/>
                <w:highlight w:val="none"/>
                <w:u w:val="none"/>
                <w:lang w:val="en-US" w:eastAsia="zh-CN" w:bidi="ar-SA"/>
              </w:rPr>
            </w:pPr>
            <w:r>
              <w:rPr>
                <w:rFonts w:hint="eastAsia" w:ascii="宋体" w:hAnsi="宋体" w:eastAsia="宋体" w:cs="宋体"/>
                <w:i w:val="0"/>
                <w:color w:val="auto"/>
                <w:kern w:val="2"/>
                <w:sz w:val="21"/>
                <w:szCs w:val="21"/>
                <w:highlight w:val="none"/>
                <w:u w:val="none"/>
                <w:lang w:val="en-US" w:eastAsia="zh-CN" w:bidi="ar-SA"/>
              </w:rPr>
              <w:t>2</w:t>
            </w:r>
          </w:p>
        </w:tc>
        <w:tc>
          <w:tcPr>
            <w:tcW w:w="1245" w:type="dxa"/>
            <w:shd w:val="clear" w:color="auto" w:fill="auto"/>
            <w:tcMar>
              <w:top w:w="15" w:type="dxa"/>
              <w:left w:w="15" w:type="dxa"/>
              <w:right w:w="15" w:type="dxa"/>
            </w:tcMar>
            <w:vAlign w:val="center"/>
          </w:tcPr>
          <w:p w14:paraId="3DAA8AB8">
            <w:pPr>
              <w:jc w:val="center"/>
              <w:rPr>
                <w:rFonts w:hint="eastAsia" w:ascii="宋体" w:hAnsi="宋体" w:eastAsia="宋体" w:cs="宋体"/>
                <w:i w:val="0"/>
                <w:color w:val="auto"/>
                <w:kern w:val="2"/>
                <w:sz w:val="21"/>
                <w:szCs w:val="21"/>
                <w:highlight w:val="none"/>
                <w:u w:val="none"/>
                <w:lang w:val="en-US" w:eastAsia="zh-CN" w:bidi="ar-SA"/>
              </w:rPr>
            </w:pPr>
            <w:r>
              <w:rPr>
                <w:rFonts w:hint="eastAsia" w:ascii="宋体" w:hAnsi="宋体" w:eastAsia="宋体" w:cs="宋体"/>
              </w:rPr>
              <w:t>冲击弹性波无损检测仪</w:t>
            </w:r>
          </w:p>
        </w:tc>
        <w:tc>
          <w:tcPr>
            <w:tcW w:w="9285" w:type="dxa"/>
            <w:shd w:val="clear" w:color="auto" w:fill="auto"/>
            <w:tcMar>
              <w:top w:w="15" w:type="dxa"/>
              <w:left w:w="15" w:type="dxa"/>
              <w:right w:w="15" w:type="dxa"/>
            </w:tcMar>
            <w:vAlign w:val="center"/>
          </w:tcPr>
          <w:p w14:paraId="2BD7A7B9">
            <w:pPr>
              <w:rPr>
                <w:rFonts w:hint="eastAsia" w:ascii="宋体" w:hAnsi="宋体" w:eastAsia="宋体" w:cs="宋体"/>
              </w:rPr>
            </w:pPr>
            <w:r>
              <w:rPr>
                <w:rFonts w:hint="eastAsia" w:ascii="宋体" w:hAnsi="宋体" w:eastAsia="宋体" w:cs="宋体"/>
              </w:rPr>
              <w:t>1.功能：仪器可对混凝土结构材质（弹性模量、强度）、厚度、裂缝深度、内部缺陷（空洞、不密实、脱空）、浅层剥离进行无损检测</w:t>
            </w:r>
          </w:p>
          <w:p w14:paraId="16AB53CD">
            <w:pPr>
              <w:rPr>
                <w:rFonts w:hint="eastAsia" w:ascii="宋体" w:hAnsi="宋体" w:eastAsia="宋体" w:cs="宋体"/>
              </w:rPr>
            </w:pPr>
            <w:r>
              <w:rPr>
                <w:rFonts w:hint="eastAsia" w:ascii="宋体" w:hAnsi="宋体" w:eastAsia="宋体" w:cs="宋体"/>
              </w:rPr>
              <w:t>2.最适工作温度：0～40℃</w:t>
            </w:r>
          </w:p>
          <w:p w14:paraId="257A15D7">
            <w:pPr>
              <w:rPr>
                <w:rFonts w:hint="eastAsia" w:ascii="宋体" w:hAnsi="宋体" w:eastAsia="宋体" w:cs="宋体"/>
              </w:rPr>
            </w:pPr>
            <w:r>
              <w:rPr>
                <w:rFonts w:hint="eastAsia" w:ascii="宋体" w:hAnsi="宋体" w:eastAsia="宋体" w:cs="宋体"/>
              </w:rPr>
              <w:t>3.测试通道数：≥2通道</w:t>
            </w:r>
          </w:p>
          <w:p w14:paraId="47B07DB3">
            <w:pPr>
              <w:rPr>
                <w:rFonts w:hint="eastAsia" w:ascii="宋体" w:hAnsi="宋体" w:eastAsia="宋体" w:cs="宋体"/>
              </w:rPr>
            </w:pPr>
            <w:r>
              <w:rPr>
                <w:rFonts w:hint="eastAsia" w:ascii="宋体" w:hAnsi="宋体" w:eastAsia="宋体" w:cs="宋体"/>
              </w:rPr>
              <w:t>4.供电方式：内置充电电池，满电量可供工作时间＞15h</w:t>
            </w:r>
          </w:p>
          <w:p w14:paraId="34962E10">
            <w:pPr>
              <w:rPr>
                <w:rFonts w:hint="eastAsia" w:ascii="宋体" w:hAnsi="宋体" w:eastAsia="宋体" w:cs="宋体"/>
              </w:rPr>
            </w:pPr>
            <w:r>
              <w:rPr>
                <w:rFonts w:hint="eastAsia" w:ascii="宋体" w:hAnsi="宋体" w:eastAsia="宋体" w:cs="宋体"/>
              </w:rPr>
              <w:t>5.通讯方式：无线</w:t>
            </w:r>
          </w:p>
          <w:p w14:paraId="79ABFF7A">
            <w:pPr>
              <w:rPr>
                <w:rFonts w:hint="eastAsia" w:ascii="宋体" w:hAnsi="宋体" w:eastAsia="宋体" w:cs="宋体"/>
              </w:rPr>
            </w:pPr>
            <w:r>
              <w:rPr>
                <w:rFonts w:hint="eastAsia" w:ascii="宋体" w:hAnsi="宋体" w:eastAsia="宋体" w:cs="宋体"/>
              </w:rPr>
              <w:t>6.通讯距离：显示端与采集端远距离交互，可达20米</w:t>
            </w:r>
          </w:p>
          <w:p w14:paraId="595CC655">
            <w:pPr>
              <w:rPr>
                <w:rFonts w:hint="eastAsia" w:ascii="宋体" w:hAnsi="宋体" w:eastAsia="宋体" w:cs="宋体"/>
                <w:b/>
                <w:bCs/>
                <w:highlight w:val="none"/>
              </w:rPr>
            </w:pPr>
            <w:r>
              <w:rPr>
                <w:rFonts w:hint="eastAsia" w:ascii="宋体" w:hAnsi="宋体" w:eastAsia="宋体" w:cs="宋体"/>
                <w:b/>
                <w:bCs/>
                <w:lang w:val="en-US" w:eastAsia="zh-CN"/>
              </w:rPr>
              <w:t>▲</w:t>
            </w:r>
            <w:r>
              <w:rPr>
                <w:rFonts w:hint="eastAsia" w:ascii="宋体" w:hAnsi="宋体" w:eastAsia="宋体" w:cs="宋体"/>
                <w:b/>
                <w:bCs/>
                <w:highlight w:val="none"/>
              </w:rPr>
              <w:t>7.采样点数：＞20000个</w:t>
            </w:r>
            <w:r>
              <w:rPr>
                <w:rFonts w:hint="eastAsia" w:ascii="宋体" w:hAnsi="宋体" w:eastAsia="宋体" w:cs="宋体"/>
                <w:b/>
                <w:bCs/>
                <w:highlight w:val="none"/>
                <w:lang w:eastAsia="zh-CN"/>
              </w:rPr>
              <w:t>，</w:t>
            </w:r>
            <w:r>
              <w:rPr>
                <w:rFonts w:hint="eastAsia" w:ascii="宋体" w:hAnsi="宋体" w:eastAsia="宋体" w:cs="宋体"/>
                <w:b/>
                <w:bCs/>
                <w:highlight w:val="none"/>
              </w:rPr>
              <w:t>可调</w:t>
            </w:r>
          </w:p>
          <w:p w14:paraId="184B67D1">
            <w:pPr>
              <w:rPr>
                <w:rFonts w:hint="eastAsia" w:ascii="宋体" w:hAnsi="宋体" w:eastAsia="宋体" w:cs="宋体"/>
              </w:rPr>
            </w:pPr>
            <w:r>
              <w:rPr>
                <w:rFonts w:hint="eastAsia" w:ascii="宋体" w:hAnsi="宋体" w:eastAsia="宋体" w:cs="宋体"/>
              </w:rPr>
              <w:t>8.采样频率：≥500kHz，可调</w:t>
            </w:r>
          </w:p>
          <w:p w14:paraId="353E3DFE">
            <w:pPr>
              <w:rPr>
                <w:rFonts w:hint="eastAsia" w:ascii="宋体" w:hAnsi="宋体" w:eastAsia="宋体" w:cs="宋体"/>
              </w:rPr>
            </w:pPr>
            <w:r>
              <w:rPr>
                <w:rFonts w:hint="eastAsia" w:ascii="宋体" w:hAnsi="宋体" w:eastAsia="宋体" w:cs="宋体"/>
              </w:rPr>
              <w:t>9.采样精度：≥24位</w:t>
            </w:r>
          </w:p>
          <w:p w14:paraId="42CC2E3A">
            <w:pPr>
              <w:rPr>
                <w:rFonts w:hint="eastAsia" w:ascii="宋体" w:hAnsi="宋体" w:eastAsia="宋体" w:cs="宋体"/>
              </w:rPr>
            </w:pPr>
            <w:r>
              <w:rPr>
                <w:rFonts w:hint="eastAsia" w:ascii="宋体" w:hAnsi="宋体" w:eastAsia="宋体" w:cs="宋体"/>
              </w:rPr>
              <w:t>10.采样模式：单次、阈值连续、特征波形连续（AI辅助判定，有效过滤非激振波形）</w:t>
            </w:r>
          </w:p>
          <w:p w14:paraId="2996EFC1">
            <w:pPr>
              <w:rPr>
                <w:rFonts w:hint="eastAsia" w:ascii="宋体" w:hAnsi="宋体" w:eastAsia="宋体" w:cs="宋体"/>
              </w:rPr>
            </w:pPr>
            <w:r>
              <w:rPr>
                <w:rFonts w:hint="eastAsia" w:ascii="宋体" w:hAnsi="宋体" w:eastAsia="宋体" w:cs="宋体"/>
              </w:rPr>
              <w:t>11.传感器类型：加速度传感器</w:t>
            </w:r>
          </w:p>
          <w:p w14:paraId="5FC40FFC">
            <w:pPr>
              <w:rPr>
                <w:rFonts w:hint="eastAsia" w:ascii="宋体" w:hAnsi="宋体" w:eastAsia="宋体" w:cs="宋体"/>
              </w:rPr>
            </w:pPr>
            <w:r>
              <w:rPr>
                <w:rFonts w:hint="eastAsia" w:ascii="宋体" w:hAnsi="宋体" w:eastAsia="宋体" w:cs="宋体"/>
              </w:rPr>
              <w:t>12.耦合方式：传感器侧壁高阻尼支座，可避免按压力度不均匀造成的误差</w:t>
            </w:r>
          </w:p>
          <w:p w14:paraId="247DFBFF">
            <w:pPr>
              <w:rPr>
                <w:rFonts w:hint="eastAsia" w:ascii="宋体" w:hAnsi="宋体" w:eastAsia="宋体" w:cs="宋体"/>
              </w:rPr>
            </w:pPr>
            <w:r>
              <w:rPr>
                <w:rFonts w:hint="eastAsia" w:ascii="宋体" w:hAnsi="宋体" w:eastAsia="宋体" w:cs="宋体"/>
              </w:rPr>
              <w:t>13.传感器耐冲击性：28000m/s2以上,坚实耐用</w:t>
            </w:r>
          </w:p>
          <w:p w14:paraId="10E00198">
            <w:pPr>
              <w:rPr>
                <w:rFonts w:hint="eastAsia" w:ascii="宋体" w:hAnsi="宋体" w:eastAsia="宋体" w:cs="宋体"/>
              </w:rPr>
            </w:pPr>
            <w:r>
              <w:rPr>
                <w:rFonts w:hint="eastAsia" w:ascii="宋体" w:hAnsi="宋体" w:eastAsia="宋体" w:cs="宋体"/>
              </w:rPr>
              <w:t>14.操作环境：WINDOWS</w:t>
            </w:r>
          </w:p>
          <w:p w14:paraId="1C7776FB">
            <w:pPr>
              <w:rPr>
                <w:rFonts w:hint="eastAsia" w:ascii="宋体" w:hAnsi="宋体" w:eastAsia="宋体" w:cs="宋体"/>
                <w:highlight w:val="none"/>
              </w:rPr>
            </w:pPr>
            <w:r>
              <w:rPr>
                <w:rFonts w:hint="eastAsia" w:ascii="宋体" w:hAnsi="宋体" w:eastAsia="宋体" w:cs="宋体"/>
                <w:b/>
                <w:bCs/>
                <w:lang w:val="en-US" w:eastAsia="zh-CN"/>
              </w:rPr>
              <w:t>▲</w:t>
            </w:r>
            <w:r>
              <w:rPr>
                <w:rFonts w:hint="eastAsia" w:ascii="宋体" w:hAnsi="宋体" w:eastAsia="宋体" w:cs="宋体"/>
                <w:b/>
                <w:bCs/>
              </w:rPr>
              <w:t>15.噪音处理及频谱分析：移动平滑、BPF、EMD、FFT、MEM</w:t>
            </w:r>
          </w:p>
          <w:p w14:paraId="576B275A">
            <w:pPr>
              <w:rPr>
                <w:rFonts w:hint="eastAsia" w:ascii="宋体" w:hAnsi="宋体" w:eastAsia="宋体" w:cs="宋体"/>
              </w:rPr>
            </w:pPr>
            <w:r>
              <w:rPr>
                <w:rFonts w:hint="eastAsia" w:ascii="宋体" w:hAnsi="宋体" w:eastAsia="宋体" w:cs="宋体"/>
              </w:rPr>
              <w:t>16.图像模式：等值线图</w:t>
            </w:r>
          </w:p>
          <w:p w14:paraId="6C32EB4E">
            <w:pPr>
              <w:rPr>
                <w:rFonts w:hint="eastAsia" w:ascii="宋体" w:hAnsi="宋体" w:eastAsia="宋体" w:cs="宋体"/>
              </w:rPr>
            </w:pPr>
            <w:r>
              <w:rPr>
                <w:rFonts w:hint="eastAsia" w:ascii="宋体" w:hAnsi="宋体" w:eastAsia="宋体" w:cs="宋体"/>
              </w:rPr>
              <w:t>17.支持检监测数据、设备管理综合平台，数据能无缝直接上传至综合平台</w:t>
            </w:r>
          </w:p>
          <w:p w14:paraId="49604CB8">
            <w:pPr>
              <w:rPr>
                <w:rFonts w:hint="eastAsia" w:ascii="宋体" w:hAnsi="宋体" w:eastAsia="宋体" w:cs="宋体"/>
              </w:rPr>
            </w:pPr>
            <w:r>
              <w:rPr>
                <w:rFonts w:hint="eastAsia" w:ascii="宋体" w:hAnsi="宋体" w:eastAsia="宋体" w:cs="宋体"/>
              </w:rPr>
              <w:t>18.设备管理支持产教关联，包括设备使用情况，教室情况、教学资源二维码等</w:t>
            </w:r>
          </w:p>
          <w:p w14:paraId="386AE660">
            <w:pPr>
              <w:rPr>
                <w:rFonts w:hint="eastAsia" w:ascii="宋体" w:hAnsi="宋体" w:eastAsia="宋体" w:cs="宋体"/>
                <w:b/>
                <w:bCs/>
                <w:highlight w:val="yellow"/>
              </w:rPr>
            </w:pPr>
            <w:r>
              <w:rPr>
                <w:rFonts w:hint="eastAsia" w:ascii="宋体" w:hAnsi="宋体" w:eastAsia="宋体" w:cs="宋体"/>
                <w:b/>
                <w:bCs/>
                <w:lang w:val="en-US" w:eastAsia="zh-CN"/>
              </w:rPr>
              <w:t>▲</w:t>
            </w:r>
            <w:r>
              <w:rPr>
                <w:rFonts w:hint="eastAsia" w:ascii="宋体" w:hAnsi="宋体" w:eastAsia="宋体" w:cs="宋体"/>
                <w:b/>
                <w:bCs/>
              </w:rPr>
              <w:t>19.与本地BIM系统直接连接，实现检测结果模型可视化；支持云端AI（人工智能）分析</w:t>
            </w:r>
          </w:p>
          <w:p w14:paraId="5A65FDC9">
            <w:pPr>
              <w:rPr>
                <w:rFonts w:hint="eastAsia" w:ascii="宋体" w:hAnsi="宋体" w:eastAsia="宋体" w:cs="宋体"/>
                <w:lang w:val="en-US" w:eastAsia="zh-CN"/>
              </w:rPr>
            </w:pPr>
            <w:r>
              <w:rPr>
                <w:rFonts w:hint="eastAsia" w:ascii="宋体" w:hAnsi="宋体" w:eastAsia="宋体" w:cs="宋体"/>
              </w:rPr>
              <w:t>20.支持设备运维管理服务</w:t>
            </w:r>
            <w:r>
              <w:rPr>
                <w:rFonts w:hint="eastAsia" w:ascii="宋体" w:hAnsi="宋体" w:eastAsia="宋体" w:cs="宋体"/>
                <w:lang w:val="en-US" w:eastAsia="zh-CN"/>
              </w:rPr>
              <w:t xml:space="preserve"> </w:t>
            </w:r>
          </w:p>
          <w:p w14:paraId="3FE65CCC">
            <w:pPr>
              <w:rPr>
                <w:rFonts w:hint="eastAsia" w:ascii="宋体" w:hAnsi="宋体" w:eastAsia="宋体" w:cs="宋体"/>
                <w:lang w:val="en-US" w:eastAsia="zh-CN"/>
              </w:rPr>
            </w:pPr>
            <w:r>
              <w:rPr>
                <w:rFonts w:hint="eastAsia" w:ascii="宋体" w:hAnsi="宋体" w:eastAsia="宋体" w:cs="宋体"/>
              </w:rPr>
              <w:t>21.支持虚拟仿真检测系统数字化</w:t>
            </w:r>
            <w:r>
              <w:rPr>
                <w:rFonts w:hint="eastAsia" w:ascii="宋体" w:hAnsi="宋体" w:eastAsia="宋体" w:cs="宋体"/>
                <w:lang w:val="en-US" w:eastAsia="zh-CN"/>
              </w:rPr>
              <w:t>体验</w:t>
            </w:r>
          </w:p>
          <w:p w14:paraId="1628E6BD">
            <w:pPr>
              <w:rPr>
                <w:rFonts w:hint="eastAsia" w:ascii="宋体" w:hAnsi="宋体" w:eastAsia="宋体" w:cs="宋体"/>
              </w:rPr>
            </w:pPr>
            <w:r>
              <w:rPr>
                <w:rFonts w:hint="eastAsia" w:ascii="宋体" w:hAnsi="宋体" w:eastAsia="宋体" w:cs="宋体"/>
              </w:rPr>
              <w:t>22.虚拟仿真模式有学习、实训、考核，实现辅助教学</w:t>
            </w:r>
          </w:p>
          <w:p w14:paraId="6BC1BC00">
            <w:pPr>
              <w:rPr>
                <w:rFonts w:hint="eastAsia" w:ascii="宋体" w:hAnsi="宋体" w:eastAsia="宋体" w:cs="宋体"/>
              </w:rPr>
            </w:pPr>
            <w:r>
              <w:rPr>
                <w:rFonts w:hint="eastAsia" w:ascii="宋体" w:hAnsi="宋体" w:eastAsia="宋体" w:cs="宋体"/>
              </w:rPr>
              <w:t>23.设备提供原理、操作相关教学资源（教学资源为微课视频、实训指导书或专业教材任一项）</w:t>
            </w:r>
          </w:p>
          <w:p w14:paraId="496D1B56">
            <w:pPr>
              <w:rPr>
                <w:rFonts w:hint="eastAsia" w:ascii="宋体" w:hAnsi="宋体" w:eastAsia="宋体" w:cs="宋体"/>
              </w:rPr>
            </w:pPr>
            <w:r>
              <w:rPr>
                <w:rFonts w:hint="eastAsia" w:ascii="宋体" w:hAnsi="宋体" w:eastAsia="宋体" w:cs="宋体"/>
              </w:rPr>
              <w:t>24.混凝土材质、尺寸最适测试范围：0.1～1m</w:t>
            </w:r>
          </w:p>
          <w:p w14:paraId="43BAEDF3">
            <w:pPr>
              <w:rPr>
                <w:rFonts w:hint="eastAsia" w:ascii="宋体" w:hAnsi="宋体" w:eastAsia="宋体" w:cs="宋体"/>
              </w:rPr>
            </w:pPr>
            <w:r>
              <w:rPr>
                <w:rFonts w:hint="eastAsia" w:ascii="宋体" w:hAnsi="宋体" w:eastAsia="宋体" w:cs="宋体"/>
              </w:rPr>
              <w:t>25.混凝土裂缝深度最适测试范围：0.05～0.15m</w:t>
            </w:r>
          </w:p>
          <w:p w14:paraId="19E28F7D">
            <w:pP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rPr>
              <w:t>26.设备满足技能大赛和1+X考核需求</w:t>
            </w:r>
          </w:p>
        </w:tc>
        <w:tc>
          <w:tcPr>
            <w:tcW w:w="452" w:type="dxa"/>
            <w:shd w:val="clear" w:color="auto" w:fill="auto"/>
            <w:tcMar>
              <w:top w:w="15" w:type="dxa"/>
              <w:left w:w="15" w:type="dxa"/>
              <w:right w:w="15" w:type="dxa"/>
            </w:tcMar>
            <w:vAlign w:val="center"/>
          </w:tcPr>
          <w:p w14:paraId="536B412D">
            <w:pPr>
              <w:jc w:val="center"/>
              <w:rPr>
                <w:rFonts w:hint="eastAsia" w:ascii="宋体" w:hAnsi="宋体" w:eastAsia="宋体" w:cs="宋体"/>
                <w:i w:val="0"/>
                <w:color w:val="auto"/>
                <w:kern w:val="2"/>
                <w:sz w:val="21"/>
                <w:szCs w:val="21"/>
                <w:highlight w:val="none"/>
                <w:u w:val="none"/>
                <w:lang w:val="en-US" w:eastAsia="zh-CN" w:bidi="ar-SA"/>
              </w:rPr>
            </w:pPr>
            <w:r>
              <w:rPr>
                <w:rFonts w:hint="eastAsia" w:ascii="宋体" w:hAnsi="宋体" w:eastAsia="宋体" w:cs="宋体"/>
                <w:lang w:val="en-US" w:eastAsia="zh-CN"/>
              </w:rPr>
              <w:t>5</w:t>
            </w:r>
          </w:p>
        </w:tc>
        <w:tc>
          <w:tcPr>
            <w:tcW w:w="960" w:type="dxa"/>
            <w:shd w:val="clear" w:color="auto" w:fill="auto"/>
            <w:tcMar>
              <w:top w:w="15" w:type="dxa"/>
              <w:left w:w="15" w:type="dxa"/>
              <w:right w:w="15" w:type="dxa"/>
            </w:tcMar>
            <w:vAlign w:val="center"/>
          </w:tcPr>
          <w:p w14:paraId="3AAF1408">
            <w:pPr>
              <w:jc w:val="center"/>
              <w:rPr>
                <w:rFonts w:hint="eastAsia" w:ascii="宋体" w:hAnsi="宋体" w:eastAsia="宋体" w:cs="宋体"/>
                <w:i w:val="0"/>
                <w:color w:val="auto"/>
                <w:kern w:val="2"/>
                <w:sz w:val="21"/>
                <w:szCs w:val="21"/>
                <w:highlight w:val="none"/>
                <w:u w:val="none"/>
                <w:lang w:val="en-US" w:eastAsia="zh-CN" w:bidi="ar-SA"/>
              </w:rPr>
            </w:pPr>
            <w:r>
              <w:rPr>
                <w:rFonts w:hint="eastAsia" w:ascii="宋体" w:hAnsi="宋体" w:eastAsia="宋体" w:cs="宋体"/>
                <w:lang w:val="en-US" w:eastAsia="zh-CN"/>
              </w:rPr>
              <w:t>台</w:t>
            </w:r>
          </w:p>
        </w:tc>
        <w:tc>
          <w:tcPr>
            <w:tcW w:w="1335" w:type="dxa"/>
            <w:shd w:val="clear" w:color="auto" w:fill="auto"/>
            <w:tcMar>
              <w:top w:w="15" w:type="dxa"/>
              <w:left w:w="15" w:type="dxa"/>
              <w:right w:w="15" w:type="dxa"/>
            </w:tcMar>
            <w:vAlign w:val="center"/>
          </w:tcPr>
          <w:p w14:paraId="60C34248">
            <w:pPr>
              <w:keepNext w:val="0"/>
              <w:keepLines w:val="0"/>
              <w:widowControl/>
              <w:suppressLineNumbers w:val="0"/>
              <w:spacing w:line="240" w:lineRule="auto"/>
              <w:jc w:val="center"/>
              <w:textAlignment w:val="center"/>
              <w:rPr>
                <w:rFonts w:hint="eastAsia" w:ascii="宋体" w:hAnsi="宋体" w:eastAsia="宋体" w:cs="宋体"/>
                <w:b/>
                <w:bCs/>
                <w:lang w:val="en-US" w:eastAsia="zh-CN"/>
              </w:rPr>
            </w:pPr>
          </w:p>
          <w:p w14:paraId="1E402BFE">
            <w:pPr>
              <w:keepNext w:val="0"/>
              <w:keepLines w:val="0"/>
              <w:widowControl/>
              <w:suppressLineNumbers w:val="0"/>
              <w:spacing w:line="240" w:lineRule="auto"/>
              <w:jc w:val="center"/>
              <w:textAlignment w:val="center"/>
              <w:rPr>
                <w:rFonts w:hint="eastAsia" w:ascii="宋体" w:hAnsi="宋体" w:eastAsia="宋体" w:cs="宋体"/>
                <w:b/>
                <w:bCs/>
                <w:lang w:val="en-US" w:eastAsia="zh-CN"/>
              </w:rPr>
            </w:pPr>
          </w:p>
          <w:p w14:paraId="3D8651DD">
            <w:pPr>
              <w:keepNext w:val="0"/>
              <w:keepLines w:val="0"/>
              <w:widowControl/>
              <w:suppressLineNumbers w:val="0"/>
              <w:spacing w:line="240" w:lineRule="auto"/>
              <w:jc w:val="center"/>
              <w:textAlignment w:val="center"/>
              <w:rPr>
                <w:rFonts w:hint="eastAsia" w:ascii="宋体" w:hAnsi="宋体" w:eastAsia="宋体" w:cs="宋体"/>
                <w:b/>
                <w:bCs/>
                <w:lang w:val="en-US" w:eastAsia="zh-CN"/>
              </w:rPr>
            </w:pPr>
          </w:p>
          <w:p w14:paraId="6A9F8516">
            <w:pPr>
              <w:keepNext w:val="0"/>
              <w:keepLines w:val="0"/>
              <w:widowControl/>
              <w:suppressLineNumbers w:val="0"/>
              <w:spacing w:line="240" w:lineRule="auto"/>
              <w:jc w:val="center"/>
              <w:textAlignment w:val="center"/>
              <w:rPr>
                <w:rFonts w:hint="eastAsia" w:ascii="宋体" w:hAnsi="宋体" w:eastAsia="宋体" w:cs="宋体"/>
                <w:b/>
                <w:bCs/>
                <w:lang w:val="en-US" w:eastAsia="zh-CN"/>
              </w:rPr>
            </w:pPr>
          </w:p>
          <w:p w14:paraId="4CC3B9C5">
            <w:pPr>
              <w:keepNext w:val="0"/>
              <w:keepLines w:val="0"/>
              <w:widowControl/>
              <w:suppressLineNumbers w:val="0"/>
              <w:spacing w:line="240" w:lineRule="auto"/>
              <w:jc w:val="center"/>
              <w:textAlignment w:val="center"/>
              <w:rPr>
                <w:rFonts w:hint="eastAsia" w:ascii="宋体" w:hAnsi="宋体" w:eastAsia="宋体" w:cs="宋体"/>
                <w:b/>
                <w:bCs/>
                <w:lang w:val="en-US" w:eastAsia="zh-CN"/>
              </w:rPr>
            </w:pPr>
          </w:p>
          <w:p w14:paraId="753A4335">
            <w:pPr>
              <w:keepNext w:val="0"/>
              <w:keepLines w:val="0"/>
              <w:widowControl/>
              <w:suppressLineNumbers w:val="0"/>
              <w:spacing w:line="240" w:lineRule="auto"/>
              <w:jc w:val="center"/>
              <w:textAlignment w:val="center"/>
              <w:rPr>
                <w:rFonts w:hint="eastAsia" w:ascii="宋体" w:hAnsi="宋体" w:eastAsia="宋体" w:cs="宋体"/>
                <w:b/>
                <w:bCs/>
                <w:lang w:val="en-US" w:eastAsia="zh-CN"/>
              </w:rPr>
            </w:pPr>
          </w:p>
          <w:p w14:paraId="75970475">
            <w:pPr>
              <w:keepNext w:val="0"/>
              <w:keepLines w:val="0"/>
              <w:widowControl/>
              <w:suppressLineNumbers w:val="0"/>
              <w:spacing w:line="240" w:lineRule="auto"/>
              <w:jc w:val="center"/>
              <w:textAlignment w:val="center"/>
              <w:rPr>
                <w:rFonts w:hint="eastAsia" w:ascii="宋体" w:hAnsi="宋体" w:eastAsia="宋体" w:cs="宋体"/>
                <w:b/>
                <w:bCs/>
                <w:lang w:val="en-US" w:eastAsia="zh-CN"/>
              </w:rPr>
            </w:pPr>
          </w:p>
          <w:p w14:paraId="6B1EF7E4">
            <w:pPr>
              <w:keepNext w:val="0"/>
              <w:keepLines w:val="0"/>
              <w:widowControl/>
              <w:suppressLineNumbers w:val="0"/>
              <w:spacing w:line="240" w:lineRule="auto"/>
              <w:jc w:val="center"/>
              <w:textAlignment w:val="center"/>
              <w:rPr>
                <w:rFonts w:hint="eastAsia" w:ascii="宋体" w:hAnsi="宋体" w:eastAsia="宋体" w:cs="宋体"/>
                <w:b/>
                <w:bCs/>
                <w:lang w:val="en-US" w:eastAsia="zh-CN"/>
              </w:rPr>
            </w:pPr>
          </w:p>
          <w:p w14:paraId="3820156D">
            <w:pPr>
              <w:keepNext w:val="0"/>
              <w:keepLines w:val="0"/>
              <w:widowControl/>
              <w:suppressLineNumbers w:val="0"/>
              <w:spacing w:line="240" w:lineRule="auto"/>
              <w:jc w:val="center"/>
              <w:textAlignment w:val="center"/>
              <w:rPr>
                <w:rFonts w:hint="default" w:ascii="宋体" w:hAnsi="宋体" w:eastAsia="宋体" w:cs="宋体"/>
                <w:i w:val="0"/>
                <w:color w:val="auto"/>
                <w:kern w:val="2"/>
                <w:sz w:val="21"/>
                <w:szCs w:val="21"/>
                <w:highlight w:val="none"/>
                <w:u w:val="none"/>
                <w:lang w:val="en-US" w:eastAsia="zh-CN" w:bidi="ar-SA"/>
              </w:rPr>
            </w:pPr>
            <w:r>
              <w:rPr>
                <w:rFonts w:hint="eastAsia" w:ascii="宋体" w:hAnsi="宋体" w:eastAsia="宋体" w:cs="宋体"/>
                <w:b/>
                <w:bCs/>
                <w:lang w:val="en-US" w:eastAsia="zh-CN"/>
              </w:rPr>
              <w:t>▲项</w:t>
            </w:r>
            <w:r>
              <w:rPr>
                <w:rFonts w:hint="eastAsia" w:ascii="宋体" w:hAnsi="宋体" w:cs="宋体"/>
                <w:highlight w:val="none"/>
                <w:lang w:val="en-US" w:eastAsia="zh-CN"/>
              </w:rPr>
              <w:t>投标</w:t>
            </w:r>
            <w:r>
              <w:rPr>
                <w:rFonts w:hint="eastAsia" w:ascii="宋体" w:hAnsi="宋体" w:eastAsia="宋体" w:cs="宋体"/>
                <w:highlight w:val="none"/>
                <w:lang w:eastAsia="zh-CN"/>
              </w:rPr>
              <w:t>单位须承诺所提供</w:t>
            </w:r>
            <w:r>
              <w:rPr>
                <w:rFonts w:hint="eastAsia" w:ascii="宋体" w:hAnsi="宋体" w:cs="宋体"/>
                <w:highlight w:val="none"/>
                <w:lang w:val="en-US" w:eastAsia="zh-CN"/>
              </w:rPr>
              <w:t>产品参数功能</w:t>
            </w:r>
            <w:r>
              <w:rPr>
                <w:rFonts w:hint="eastAsia" w:ascii="宋体" w:hAnsi="宋体" w:eastAsia="宋体" w:cs="宋体"/>
                <w:highlight w:val="none"/>
                <w:lang w:eastAsia="zh-CN"/>
              </w:rPr>
              <w:t>真实有效</w:t>
            </w:r>
            <w:r>
              <w:rPr>
                <w:rFonts w:hint="eastAsia" w:ascii="宋体" w:hAnsi="宋体" w:cs="宋体"/>
                <w:highlight w:val="none"/>
                <w:lang w:eastAsia="zh-CN"/>
              </w:rPr>
              <w:t>；</w:t>
            </w:r>
            <w:r>
              <w:rPr>
                <w:rFonts w:hint="eastAsia" w:ascii="宋体" w:hAnsi="宋体" w:eastAsia="宋体" w:cs="宋体"/>
                <w:highlight w:val="none"/>
                <w:lang w:eastAsia="zh-CN"/>
              </w:rPr>
              <w:t>中标后签订合同之前</w:t>
            </w:r>
            <w:r>
              <w:rPr>
                <w:rFonts w:hint="eastAsia" w:ascii="宋体" w:hAnsi="宋体" w:eastAsia="宋体" w:cs="宋体"/>
                <w:highlight w:val="none"/>
                <w:lang w:val="en-US" w:eastAsia="zh-CN"/>
              </w:rPr>
              <w:t>需对该功能现场演示</w:t>
            </w:r>
            <w:r>
              <w:rPr>
                <w:rFonts w:hint="eastAsia" w:ascii="宋体" w:hAnsi="宋体" w:cs="宋体"/>
                <w:highlight w:val="none"/>
                <w:lang w:val="en-US" w:eastAsia="zh-CN"/>
              </w:rPr>
              <w:t>核对</w:t>
            </w:r>
          </w:p>
        </w:tc>
      </w:tr>
      <w:tr w14:paraId="4AE82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4" w:hRule="atLeast"/>
          <w:jc w:val="center"/>
        </w:trPr>
        <w:tc>
          <w:tcPr>
            <w:tcW w:w="604" w:type="dxa"/>
            <w:shd w:val="clear" w:color="auto" w:fill="auto"/>
            <w:tcMar>
              <w:top w:w="15" w:type="dxa"/>
              <w:left w:w="15" w:type="dxa"/>
              <w:right w:w="15" w:type="dxa"/>
            </w:tcMar>
            <w:vAlign w:val="center"/>
          </w:tcPr>
          <w:p w14:paraId="76F0A536">
            <w:pPr>
              <w:keepNext w:val="0"/>
              <w:keepLines w:val="0"/>
              <w:widowControl/>
              <w:suppressLineNumbers w:val="0"/>
              <w:spacing w:line="240" w:lineRule="auto"/>
              <w:jc w:val="center"/>
              <w:textAlignment w:val="center"/>
              <w:rPr>
                <w:rFonts w:hint="eastAsia" w:ascii="宋体" w:hAnsi="宋体" w:eastAsia="宋体" w:cs="宋体"/>
                <w:i w:val="0"/>
                <w:color w:val="auto"/>
                <w:kern w:val="2"/>
                <w:sz w:val="21"/>
                <w:szCs w:val="21"/>
                <w:highlight w:val="none"/>
                <w:u w:val="none"/>
                <w:lang w:val="en-US" w:eastAsia="zh-CN" w:bidi="ar-SA"/>
              </w:rPr>
            </w:pPr>
            <w:r>
              <w:rPr>
                <w:rFonts w:hint="eastAsia" w:ascii="宋体" w:hAnsi="宋体" w:eastAsia="宋体" w:cs="宋体"/>
                <w:i w:val="0"/>
                <w:color w:val="auto"/>
                <w:kern w:val="2"/>
                <w:sz w:val="21"/>
                <w:szCs w:val="21"/>
                <w:highlight w:val="none"/>
                <w:u w:val="none"/>
                <w:lang w:val="en-US" w:eastAsia="zh-CN" w:bidi="ar-SA"/>
              </w:rPr>
              <w:t>3</w:t>
            </w:r>
          </w:p>
        </w:tc>
        <w:tc>
          <w:tcPr>
            <w:tcW w:w="1245" w:type="dxa"/>
            <w:shd w:val="clear" w:color="auto" w:fill="auto"/>
            <w:tcMar>
              <w:top w:w="15" w:type="dxa"/>
              <w:left w:w="15" w:type="dxa"/>
              <w:right w:w="15" w:type="dxa"/>
            </w:tcMar>
            <w:vAlign w:val="center"/>
          </w:tcPr>
          <w:p w14:paraId="77656723">
            <w:pPr>
              <w:jc w:val="center"/>
              <w:rPr>
                <w:rFonts w:hint="eastAsia" w:ascii="宋体" w:hAnsi="宋体" w:eastAsia="宋体" w:cs="宋体"/>
                <w:i w:val="0"/>
                <w:color w:val="auto"/>
                <w:kern w:val="2"/>
                <w:sz w:val="21"/>
                <w:szCs w:val="21"/>
                <w:highlight w:val="none"/>
                <w:u w:val="none"/>
                <w:lang w:val="en-US" w:eastAsia="zh-CN" w:bidi="ar-SA"/>
              </w:rPr>
            </w:pPr>
            <w:r>
              <w:rPr>
                <w:rFonts w:hint="eastAsia" w:ascii="宋体" w:hAnsi="宋体" w:eastAsia="宋体" w:cs="宋体"/>
              </w:rPr>
              <w:t>裂缝监测动态模型系统</w:t>
            </w:r>
          </w:p>
        </w:tc>
        <w:tc>
          <w:tcPr>
            <w:tcW w:w="9285" w:type="dxa"/>
            <w:shd w:val="clear" w:color="auto" w:fill="auto"/>
            <w:tcMar>
              <w:top w:w="15" w:type="dxa"/>
              <w:left w:w="15" w:type="dxa"/>
              <w:right w:w="15" w:type="dxa"/>
            </w:tcMar>
            <w:vAlign w:val="center"/>
          </w:tcPr>
          <w:p w14:paraId="34119BE2">
            <w:pPr>
              <w:rPr>
                <w:rFonts w:hint="eastAsia" w:ascii="宋体" w:hAnsi="宋体" w:eastAsia="宋体" w:cs="宋体"/>
              </w:rPr>
            </w:pPr>
            <w:r>
              <w:rPr>
                <w:rFonts w:hint="eastAsia" w:ascii="宋体" w:hAnsi="宋体" w:eastAsia="宋体" w:cs="宋体"/>
              </w:rPr>
              <w:t>1.动态模拟混凝土裂缝开裂形式：加速、减速、张开收缩循环开裂变化过程，配置监测实训操作功能；</w:t>
            </w:r>
          </w:p>
          <w:p w14:paraId="74B00D41">
            <w:pPr>
              <w:rPr>
                <w:rFonts w:hint="eastAsia" w:ascii="宋体" w:hAnsi="宋体" w:eastAsia="宋体" w:cs="宋体"/>
              </w:rPr>
            </w:pPr>
            <w:r>
              <w:rPr>
                <w:rFonts w:hint="eastAsia" w:ascii="宋体" w:hAnsi="宋体" w:eastAsia="宋体" w:cs="宋体"/>
              </w:rPr>
              <w:t>2.软件控制模型运动并提供九种裂缝变化模式。</w:t>
            </w:r>
          </w:p>
          <w:p w14:paraId="77422319">
            <w:pPr>
              <w:rPr>
                <w:rFonts w:hint="eastAsia" w:ascii="宋体" w:hAnsi="宋体" w:eastAsia="宋体" w:cs="宋体"/>
              </w:rPr>
            </w:pPr>
            <w:r>
              <w:rPr>
                <w:rFonts w:hint="eastAsia" w:ascii="宋体" w:hAnsi="宋体" w:eastAsia="宋体" w:cs="宋体"/>
              </w:rPr>
              <w:t>3.供电电压：12V DC；</w:t>
            </w:r>
          </w:p>
          <w:p w14:paraId="48EB0610">
            <w:pPr>
              <w:rPr>
                <w:rFonts w:hint="eastAsia" w:ascii="宋体" w:hAnsi="宋体" w:eastAsia="宋体" w:cs="宋体"/>
              </w:rPr>
            </w:pPr>
            <w:r>
              <w:rPr>
                <w:rFonts w:hint="eastAsia" w:ascii="宋体" w:hAnsi="宋体" w:eastAsia="宋体" w:cs="宋体"/>
              </w:rPr>
              <w:t>4.裂缝变化范围：0~20mm；</w:t>
            </w:r>
          </w:p>
          <w:p w14:paraId="21A097A5">
            <w:pPr>
              <w:rPr>
                <w:rFonts w:hint="eastAsia" w:ascii="宋体" w:hAnsi="宋体" w:eastAsia="宋体" w:cs="宋体"/>
              </w:rPr>
            </w:pPr>
            <w:r>
              <w:rPr>
                <w:rFonts w:hint="eastAsia" w:ascii="宋体" w:hAnsi="宋体" w:eastAsia="宋体" w:cs="宋体"/>
              </w:rPr>
              <w:t>5.精度：≤1mm</w:t>
            </w:r>
          </w:p>
          <w:p w14:paraId="786C16CF">
            <w:pPr>
              <w:rPr>
                <w:rFonts w:hint="eastAsia" w:ascii="宋体" w:hAnsi="宋体" w:eastAsia="宋体" w:cs="宋体"/>
              </w:rPr>
            </w:pPr>
            <w:r>
              <w:rPr>
                <w:rFonts w:hint="eastAsia" w:ascii="宋体" w:hAnsi="宋体" w:eastAsia="宋体" w:cs="宋体"/>
              </w:rPr>
              <w:t>6.控制：蓝牙直连控制器；</w:t>
            </w:r>
          </w:p>
          <w:p w14:paraId="22CE8355">
            <w:pPr>
              <w:rPr>
                <w:rFonts w:hint="eastAsia" w:ascii="宋体" w:hAnsi="宋体" w:eastAsia="宋体" w:cs="宋体"/>
              </w:rPr>
            </w:pPr>
            <w:r>
              <w:rPr>
                <w:rFonts w:hint="eastAsia" w:ascii="宋体" w:hAnsi="宋体" w:eastAsia="宋体" w:cs="宋体"/>
              </w:rPr>
              <w:t>7.操作终端系统：Windows；</w:t>
            </w:r>
          </w:p>
          <w:p w14:paraId="1BD1027A">
            <w:pPr>
              <w:rPr>
                <w:rFonts w:hint="eastAsia" w:ascii="宋体" w:hAnsi="宋体" w:eastAsia="宋体" w:cs="宋体"/>
              </w:rPr>
            </w:pPr>
            <w:r>
              <w:rPr>
                <w:rFonts w:hint="eastAsia" w:ascii="宋体" w:hAnsi="宋体" w:eastAsia="宋体" w:cs="宋体"/>
              </w:rPr>
              <w:t>8.终端显示：液晶显示；</w:t>
            </w:r>
          </w:p>
          <w:p w14:paraId="1A385744">
            <w:pPr>
              <w:rPr>
                <w:rFonts w:hint="eastAsia" w:ascii="宋体" w:hAnsi="宋体" w:eastAsia="宋体" w:cs="宋体"/>
              </w:rPr>
            </w:pPr>
            <w:r>
              <w:rPr>
                <w:rFonts w:hint="eastAsia" w:ascii="宋体" w:hAnsi="宋体" w:eastAsia="宋体" w:cs="宋体"/>
              </w:rPr>
              <w:t>9.通信：可自动化在线监测；</w:t>
            </w:r>
          </w:p>
          <w:p w14:paraId="4EF8FBAD">
            <w:pPr>
              <w:rPr>
                <w:rFonts w:hint="eastAsia" w:ascii="宋体" w:hAnsi="宋体" w:eastAsia="宋体" w:cs="宋体"/>
              </w:rPr>
            </w:pPr>
            <w:r>
              <w:rPr>
                <w:rFonts w:hint="eastAsia" w:ascii="宋体" w:hAnsi="宋体" w:eastAsia="宋体" w:cs="宋体"/>
              </w:rPr>
              <w:t>10.处理器：≥四核Cortex-A72 (ARM v8)，≥1.5GHz；</w:t>
            </w:r>
          </w:p>
          <w:p w14:paraId="647B3882">
            <w:pPr>
              <w:rPr>
                <w:rFonts w:hint="eastAsia" w:ascii="宋体" w:hAnsi="宋体" w:eastAsia="宋体" w:cs="宋体"/>
              </w:rPr>
            </w:pPr>
            <w:r>
              <w:rPr>
                <w:rFonts w:hint="eastAsia" w:ascii="宋体" w:hAnsi="宋体" w:eastAsia="宋体" w:cs="宋体"/>
              </w:rPr>
              <w:t>11.硬件接口：485x2、USBx1、LANx1、SIM卡插口x1、天线口x1，预报警口x1，电源口x1；</w:t>
            </w:r>
          </w:p>
          <w:p w14:paraId="37D9512C">
            <w:pPr>
              <w:rPr>
                <w:rFonts w:hint="eastAsia" w:ascii="宋体" w:hAnsi="宋体" w:eastAsia="宋体" w:cs="宋体"/>
              </w:rPr>
            </w:pPr>
            <w:r>
              <w:rPr>
                <w:rFonts w:hint="eastAsia" w:ascii="宋体" w:hAnsi="宋体" w:eastAsia="宋体" w:cs="宋体"/>
              </w:rPr>
              <w:t>12.通道数量：≥2通道，每通道最大负载32个传感器；</w:t>
            </w:r>
          </w:p>
          <w:p w14:paraId="66B4530C">
            <w:pPr>
              <w:rPr>
                <w:rFonts w:hint="eastAsia" w:ascii="宋体" w:hAnsi="宋体" w:eastAsia="宋体" w:cs="宋体"/>
              </w:rPr>
            </w:pPr>
            <w:r>
              <w:rPr>
                <w:rFonts w:hint="eastAsia" w:ascii="宋体" w:hAnsi="宋体" w:eastAsia="宋体" w:cs="宋体"/>
              </w:rPr>
              <w:t>13.算法：内置算法库，集成国内大多数数字传感器，可直接输出传感器的物理量；</w:t>
            </w:r>
          </w:p>
          <w:p w14:paraId="4ACA64B6">
            <w:pPr>
              <w:rPr>
                <w:rFonts w:hint="eastAsia" w:ascii="宋体" w:hAnsi="宋体" w:eastAsia="宋体" w:cs="宋体"/>
              </w:rPr>
            </w:pPr>
            <w:r>
              <w:rPr>
                <w:rFonts w:hint="eastAsia" w:ascii="宋体" w:hAnsi="宋体" w:eastAsia="宋体" w:cs="宋体"/>
              </w:rPr>
              <w:t>14.通讯协议：标准Modbus RTU/自定义；</w:t>
            </w:r>
          </w:p>
          <w:p w14:paraId="18D1E09F">
            <w:pPr>
              <w:rPr>
                <w:rFonts w:hint="eastAsia" w:ascii="宋体" w:hAnsi="宋体" w:eastAsia="宋体" w:cs="宋体"/>
              </w:rPr>
            </w:pPr>
            <w:r>
              <w:rPr>
                <w:rFonts w:hint="eastAsia" w:ascii="宋体" w:hAnsi="宋体" w:eastAsia="宋体" w:cs="宋体"/>
              </w:rPr>
              <w:t>15.采集方式：自动轮询采集；</w:t>
            </w:r>
          </w:p>
          <w:p w14:paraId="28971011">
            <w:pPr>
              <w:rPr>
                <w:rFonts w:hint="eastAsia" w:ascii="宋体" w:hAnsi="宋体" w:eastAsia="宋体" w:cs="宋体"/>
              </w:rPr>
            </w:pPr>
            <w:r>
              <w:rPr>
                <w:rFonts w:hint="eastAsia" w:ascii="宋体" w:hAnsi="宋体" w:eastAsia="宋体" w:cs="宋体"/>
              </w:rPr>
              <w:t>16.位移量程：25 mm；</w:t>
            </w:r>
          </w:p>
          <w:p w14:paraId="469CB2F2">
            <w:pPr>
              <w:rPr>
                <w:rFonts w:hint="eastAsia" w:ascii="宋体" w:hAnsi="宋体" w:eastAsia="宋体" w:cs="宋体"/>
              </w:rPr>
            </w:pPr>
            <w:r>
              <w:rPr>
                <w:rFonts w:hint="eastAsia" w:ascii="宋体" w:hAnsi="宋体" w:eastAsia="宋体" w:cs="宋体"/>
              </w:rPr>
              <w:t>17.输出信号：RS485数字式输出；</w:t>
            </w:r>
          </w:p>
          <w:p w14:paraId="508F2F3A">
            <w:pPr>
              <w:rPr>
                <w:rFonts w:hint="eastAsia" w:ascii="宋体" w:hAnsi="宋体" w:eastAsia="宋体" w:cs="宋体"/>
              </w:rPr>
            </w:pPr>
            <w:r>
              <w:rPr>
                <w:rFonts w:hint="eastAsia" w:ascii="宋体" w:hAnsi="宋体" w:eastAsia="宋体" w:cs="宋体"/>
              </w:rPr>
              <w:t>18.线性误差：±0.25%；</w:t>
            </w:r>
          </w:p>
          <w:p w14:paraId="73292933">
            <w:pPr>
              <w:rPr>
                <w:rFonts w:hint="eastAsia" w:ascii="宋体" w:hAnsi="宋体" w:eastAsia="宋体" w:cs="宋体"/>
              </w:rPr>
            </w:pPr>
            <w:r>
              <w:rPr>
                <w:rFonts w:hint="eastAsia" w:ascii="宋体" w:hAnsi="宋体" w:eastAsia="宋体" w:cs="宋体"/>
              </w:rPr>
              <w:t>19.分辨率：16 bit；</w:t>
            </w:r>
          </w:p>
          <w:p w14:paraId="6D41B997">
            <w:pPr>
              <w:rPr>
                <w:rFonts w:hint="eastAsia" w:ascii="宋体" w:hAnsi="宋体" w:eastAsia="宋体" w:cs="宋体"/>
              </w:rPr>
            </w:pPr>
            <w:r>
              <w:rPr>
                <w:rFonts w:hint="eastAsia" w:ascii="宋体" w:hAnsi="宋体" w:eastAsia="宋体" w:cs="宋体"/>
              </w:rPr>
              <w:t>20.工作温度：-25℃～+85℃；</w:t>
            </w:r>
          </w:p>
          <w:p w14:paraId="47A57E27">
            <w:pPr>
              <w:rPr>
                <w:rFonts w:hint="eastAsia" w:ascii="宋体" w:hAnsi="宋体" w:eastAsia="宋体" w:cs="宋体"/>
              </w:rPr>
            </w:pPr>
            <w:r>
              <w:rPr>
                <w:rFonts w:hint="eastAsia" w:ascii="宋体" w:hAnsi="宋体" w:eastAsia="宋体" w:cs="宋体"/>
              </w:rPr>
              <w:t>21.供电电源：9～12V DC；</w:t>
            </w:r>
          </w:p>
          <w:p w14:paraId="409226EF">
            <w:pPr>
              <w:rPr>
                <w:rFonts w:hint="eastAsia" w:ascii="宋体" w:hAnsi="宋体" w:eastAsia="宋体" w:cs="宋体"/>
              </w:rPr>
            </w:pPr>
            <w:r>
              <w:rPr>
                <w:rFonts w:hint="eastAsia" w:ascii="宋体" w:hAnsi="宋体" w:eastAsia="宋体" w:cs="宋体"/>
              </w:rPr>
              <w:t>22.温度系数：零点 ≤0.01%/℃；</w:t>
            </w:r>
          </w:p>
          <w:p w14:paraId="328F84CA">
            <w:pP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rPr>
              <w:t>23.灵敏度：≤0.025%/℃</w:t>
            </w:r>
          </w:p>
        </w:tc>
        <w:tc>
          <w:tcPr>
            <w:tcW w:w="452" w:type="dxa"/>
            <w:shd w:val="clear" w:color="auto" w:fill="auto"/>
            <w:tcMar>
              <w:top w:w="15" w:type="dxa"/>
              <w:left w:w="15" w:type="dxa"/>
              <w:right w:w="15" w:type="dxa"/>
            </w:tcMar>
            <w:vAlign w:val="center"/>
          </w:tcPr>
          <w:p w14:paraId="07ABC6B5">
            <w:pPr>
              <w:jc w:val="center"/>
              <w:rPr>
                <w:rFonts w:hint="eastAsia" w:ascii="宋体" w:hAnsi="宋体" w:eastAsia="宋体" w:cs="宋体"/>
                <w:i w:val="0"/>
                <w:color w:val="auto"/>
                <w:kern w:val="2"/>
                <w:sz w:val="21"/>
                <w:szCs w:val="21"/>
                <w:highlight w:val="none"/>
                <w:u w:val="none"/>
                <w:lang w:val="en-US" w:eastAsia="zh-CN" w:bidi="ar-SA"/>
              </w:rPr>
            </w:pPr>
            <w:r>
              <w:rPr>
                <w:rFonts w:hint="eastAsia" w:ascii="宋体" w:hAnsi="宋体" w:eastAsia="宋体" w:cs="宋体"/>
                <w:lang w:val="en-US" w:eastAsia="zh-CN"/>
              </w:rPr>
              <w:t>1</w:t>
            </w:r>
          </w:p>
        </w:tc>
        <w:tc>
          <w:tcPr>
            <w:tcW w:w="960" w:type="dxa"/>
            <w:shd w:val="clear" w:color="auto" w:fill="auto"/>
            <w:tcMar>
              <w:top w:w="15" w:type="dxa"/>
              <w:left w:w="15" w:type="dxa"/>
              <w:right w:w="15" w:type="dxa"/>
            </w:tcMar>
            <w:vAlign w:val="center"/>
          </w:tcPr>
          <w:p w14:paraId="1FB90D3B">
            <w:pPr>
              <w:jc w:val="center"/>
              <w:rPr>
                <w:rFonts w:hint="eastAsia" w:ascii="宋体" w:hAnsi="宋体" w:eastAsia="宋体" w:cs="宋体"/>
                <w:i w:val="0"/>
                <w:color w:val="auto"/>
                <w:kern w:val="2"/>
                <w:sz w:val="21"/>
                <w:szCs w:val="21"/>
                <w:highlight w:val="none"/>
                <w:u w:val="none"/>
                <w:lang w:val="en-US" w:eastAsia="zh-CN" w:bidi="ar-SA"/>
              </w:rPr>
            </w:pPr>
            <w:r>
              <w:rPr>
                <w:rFonts w:hint="eastAsia" w:ascii="宋体" w:hAnsi="宋体" w:eastAsia="宋体" w:cs="宋体"/>
                <w:lang w:val="en-US" w:eastAsia="zh-CN"/>
              </w:rPr>
              <w:t>套</w:t>
            </w:r>
          </w:p>
        </w:tc>
        <w:tc>
          <w:tcPr>
            <w:tcW w:w="1335" w:type="dxa"/>
            <w:shd w:val="clear" w:color="auto" w:fill="auto"/>
            <w:tcMar>
              <w:top w:w="15" w:type="dxa"/>
              <w:left w:w="15" w:type="dxa"/>
              <w:right w:w="15" w:type="dxa"/>
            </w:tcMar>
            <w:vAlign w:val="center"/>
          </w:tcPr>
          <w:p w14:paraId="12A7C50F">
            <w:pPr>
              <w:keepNext w:val="0"/>
              <w:keepLines w:val="0"/>
              <w:widowControl/>
              <w:suppressLineNumbers w:val="0"/>
              <w:spacing w:line="240" w:lineRule="auto"/>
              <w:jc w:val="center"/>
              <w:textAlignment w:val="center"/>
              <w:rPr>
                <w:rFonts w:hint="eastAsia" w:ascii="宋体" w:hAnsi="宋体" w:eastAsia="宋体" w:cs="宋体"/>
                <w:i w:val="0"/>
                <w:color w:val="auto"/>
                <w:kern w:val="2"/>
                <w:sz w:val="21"/>
                <w:szCs w:val="21"/>
                <w:highlight w:val="none"/>
                <w:u w:val="none"/>
                <w:lang w:val="en-US" w:eastAsia="zh-CN" w:bidi="ar-SA"/>
              </w:rPr>
            </w:pPr>
          </w:p>
        </w:tc>
      </w:tr>
      <w:tr w14:paraId="2D584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4" w:hRule="atLeast"/>
          <w:jc w:val="center"/>
        </w:trPr>
        <w:tc>
          <w:tcPr>
            <w:tcW w:w="604" w:type="dxa"/>
            <w:shd w:val="clear" w:color="auto" w:fill="auto"/>
            <w:tcMar>
              <w:top w:w="15" w:type="dxa"/>
              <w:left w:w="15" w:type="dxa"/>
              <w:right w:w="15" w:type="dxa"/>
            </w:tcMar>
            <w:vAlign w:val="center"/>
          </w:tcPr>
          <w:p w14:paraId="4678B968">
            <w:pPr>
              <w:keepNext w:val="0"/>
              <w:keepLines w:val="0"/>
              <w:widowControl/>
              <w:suppressLineNumbers w:val="0"/>
              <w:spacing w:line="240" w:lineRule="auto"/>
              <w:jc w:val="center"/>
              <w:textAlignment w:val="center"/>
              <w:rPr>
                <w:rFonts w:hint="eastAsia" w:ascii="宋体" w:hAnsi="宋体" w:eastAsia="宋体" w:cs="宋体"/>
                <w:i w:val="0"/>
                <w:color w:val="auto"/>
                <w:kern w:val="2"/>
                <w:sz w:val="21"/>
                <w:szCs w:val="21"/>
                <w:highlight w:val="none"/>
                <w:u w:val="none"/>
                <w:lang w:val="en-US" w:eastAsia="zh-CN" w:bidi="ar-SA"/>
              </w:rPr>
            </w:pPr>
            <w:r>
              <w:rPr>
                <w:rFonts w:hint="eastAsia" w:ascii="宋体" w:hAnsi="宋体" w:eastAsia="宋体" w:cs="宋体"/>
                <w:i w:val="0"/>
                <w:color w:val="auto"/>
                <w:kern w:val="2"/>
                <w:sz w:val="21"/>
                <w:szCs w:val="21"/>
                <w:highlight w:val="none"/>
                <w:u w:val="none"/>
                <w:lang w:val="en-US" w:eastAsia="zh-CN" w:bidi="ar-SA"/>
              </w:rPr>
              <w:t>4</w:t>
            </w:r>
          </w:p>
        </w:tc>
        <w:tc>
          <w:tcPr>
            <w:tcW w:w="1245" w:type="dxa"/>
            <w:shd w:val="clear" w:color="auto" w:fill="auto"/>
            <w:tcMar>
              <w:top w:w="15" w:type="dxa"/>
              <w:left w:w="15" w:type="dxa"/>
              <w:right w:w="15" w:type="dxa"/>
            </w:tcMar>
            <w:vAlign w:val="center"/>
          </w:tcPr>
          <w:p w14:paraId="14C56BA5">
            <w:pPr>
              <w:jc w:val="center"/>
              <w:rPr>
                <w:rFonts w:hint="eastAsia" w:ascii="宋体" w:hAnsi="宋体" w:eastAsia="宋体" w:cs="宋体"/>
                <w:i w:val="0"/>
                <w:color w:val="auto"/>
                <w:kern w:val="2"/>
                <w:sz w:val="21"/>
                <w:szCs w:val="21"/>
                <w:highlight w:val="none"/>
                <w:u w:val="none"/>
                <w:lang w:val="en-US" w:eastAsia="zh-CN" w:bidi="ar-SA"/>
              </w:rPr>
            </w:pPr>
            <w:r>
              <w:rPr>
                <w:rFonts w:hint="eastAsia" w:ascii="宋体" w:hAnsi="宋体" w:eastAsia="宋体" w:cs="宋体"/>
              </w:rPr>
              <w:t>一体式钢筋扫描仪</w:t>
            </w:r>
          </w:p>
        </w:tc>
        <w:tc>
          <w:tcPr>
            <w:tcW w:w="9285" w:type="dxa"/>
            <w:shd w:val="clear" w:color="auto" w:fill="auto"/>
            <w:tcMar>
              <w:top w:w="15" w:type="dxa"/>
              <w:left w:w="15" w:type="dxa"/>
              <w:right w:w="15" w:type="dxa"/>
            </w:tcMar>
            <w:vAlign w:val="center"/>
          </w:tcPr>
          <w:p w14:paraId="4C88C48D">
            <w:pPr>
              <w:rPr>
                <w:rFonts w:hint="eastAsia" w:ascii="宋体" w:hAnsi="宋体" w:eastAsia="宋体" w:cs="宋体"/>
              </w:rPr>
            </w:pPr>
            <w:r>
              <w:rPr>
                <w:rFonts w:hint="eastAsia" w:ascii="宋体" w:hAnsi="宋体" w:eastAsia="宋体" w:cs="宋体"/>
              </w:rPr>
              <w:t>1.检测对象：混凝土结构中钢筋的保护层厚度、间距、钢筋直径（非规程要求项，可估测）</w:t>
            </w:r>
          </w:p>
          <w:p w14:paraId="582F25F4">
            <w:pPr>
              <w:rPr>
                <w:rFonts w:hint="eastAsia" w:ascii="宋体" w:hAnsi="宋体" w:eastAsia="宋体" w:cs="宋体"/>
              </w:rPr>
            </w:pPr>
            <w:r>
              <w:rPr>
                <w:rFonts w:hint="eastAsia" w:ascii="宋体" w:hAnsi="宋体" w:eastAsia="宋体" w:cs="宋体"/>
              </w:rPr>
              <w:t>2.存储空间：≥1000个构件（10万个测点）</w:t>
            </w:r>
          </w:p>
          <w:p w14:paraId="77D3DC90">
            <w:pPr>
              <w:rPr>
                <w:rFonts w:hint="eastAsia" w:ascii="宋体" w:hAnsi="宋体" w:eastAsia="宋体" w:cs="宋体"/>
              </w:rPr>
            </w:pPr>
            <w:r>
              <w:rPr>
                <w:rFonts w:hint="eastAsia" w:ascii="宋体" w:hAnsi="宋体" w:eastAsia="宋体" w:cs="宋体"/>
              </w:rPr>
              <w:t>3.大容量电池：可连续工作16h以上</w:t>
            </w:r>
          </w:p>
          <w:p w14:paraId="43120E2E">
            <w:pPr>
              <w:rPr>
                <w:rFonts w:hint="eastAsia" w:ascii="宋体" w:hAnsi="宋体" w:eastAsia="宋体" w:cs="宋体"/>
              </w:rPr>
            </w:pPr>
            <w:r>
              <w:rPr>
                <w:rFonts w:hint="eastAsia" w:ascii="宋体" w:hAnsi="宋体" w:eastAsia="宋体" w:cs="宋体"/>
              </w:rPr>
              <w:t>4.显示方式：液晶彩屏</w:t>
            </w:r>
          </w:p>
          <w:p w14:paraId="31F4CE42">
            <w:pPr>
              <w:rPr>
                <w:rFonts w:hint="eastAsia" w:ascii="宋体" w:hAnsi="宋体" w:eastAsia="宋体" w:cs="宋体"/>
              </w:rPr>
            </w:pPr>
            <w:r>
              <w:rPr>
                <w:rFonts w:hint="eastAsia" w:ascii="宋体" w:hAnsi="宋体" w:eastAsia="宋体" w:cs="宋体"/>
              </w:rPr>
              <w:t>5.钢筋直径最适测试范围：Ф6～Ф50mm</w:t>
            </w:r>
          </w:p>
          <w:p w14:paraId="56AB1B77">
            <w:pPr>
              <w:rPr>
                <w:rFonts w:hint="eastAsia" w:ascii="宋体" w:hAnsi="宋体" w:eastAsia="宋体" w:cs="宋体"/>
              </w:rPr>
            </w:pPr>
            <w:r>
              <w:rPr>
                <w:rFonts w:hint="eastAsia" w:ascii="宋体" w:hAnsi="宋体" w:eastAsia="宋体" w:cs="宋体"/>
              </w:rPr>
              <w:t>6.钢筋保护层厚度测试精度：6～70mm，±1mm（钢筋直径推荐大于16mm）70～100mm，±2mm（钢筋直径推荐大于20mm）</w:t>
            </w:r>
          </w:p>
          <w:p w14:paraId="41596FDA">
            <w:pPr>
              <w:rPr>
                <w:rFonts w:hint="eastAsia" w:ascii="宋体" w:hAnsi="宋体" w:eastAsia="宋体" w:cs="宋体"/>
              </w:rPr>
            </w:pPr>
            <w:r>
              <w:rPr>
                <w:rFonts w:hint="eastAsia" w:ascii="宋体" w:hAnsi="宋体" w:eastAsia="宋体" w:cs="宋体"/>
              </w:rPr>
              <w:t>7.钢筋分布图：平面图、剖面图</w:t>
            </w:r>
          </w:p>
          <w:p w14:paraId="12452B6D">
            <w:pPr>
              <w:rPr>
                <w:rFonts w:hint="eastAsia" w:ascii="宋体" w:hAnsi="宋体" w:eastAsia="宋体" w:cs="宋体"/>
              </w:rPr>
            </w:pPr>
            <w:r>
              <w:rPr>
                <w:rFonts w:hint="eastAsia" w:ascii="宋体" w:hAnsi="宋体" w:eastAsia="宋体" w:cs="宋体"/>
              </w:rPr>
              <w:t>8.水平和垂直激光定位，实时显示钢筋位置及相邻钢筋中心线，瞄准框及指示灯多重提醒，方便钢筋定位及钻孔取芯；</w:t>
            </w:r>
          </w:p>
          <w:p w14:paraId="05839648">
            <w:pP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rPr>
              <w:t>9.支持凹凸曲面构件检测，输入“曲面圆直径”自动补偿保护层偏差。增加反向修正检测功能；</w:t>
            </w:r>
          </w:p>
        </w:tc>
        <w:tc>
          <w:tcPr>
            <w:tcW w:w="452" w:type="dxa"/>
            <w:shd w:val="clear" w:color="auto" w:fill="auto"/>
            <w:tcMar>
              <w:top w:w="15" w:type="dxa"/>
              <w:left w:w="15" w:type="dxa"/>
              <w:right w:w="15" w:type="dxa"/>
            </w:tcMar>
            <w:vAlign w:val="center"/>
          </w:tcPr>
          <w:p w14:paraId="55468EB2">
            <w:pPr>
              <w:jc w:val="center"/>
              <w:rPr>
                <w:rFonts w:hint="eastAsia" w:ascii="宋体" w:hAnsi="宋体" w:eastAsia="宋体" w:cs="宋体"/>
                <w:i w:val="0"/>
                <w:color w:val="auto"/>
                <w:kern w:val="2"/>
                <w:sz w:val="21"/>
                <w:szCs w:val="21"/>
                <w:highlight w:val="none"/>
                <w:u w:val="none"/>
                <w:lang w:val="en-US" w:eastAsia="zh-CN" w:bidi="ar-SA"/>
              </w:rPr>
            </w:pPr>
            <w:r>
              <w:rPr>
                <w:rFonts w:hint="eastAsia" w:ascii="宋体" w:hAnsi="宋体" w:eastAsia="宋体" w:cs="宋体"/>
                <w:lang w:val="en-US" w:eastAsia="zh-CN"/>
              </w:rPr>
              <w:t>5</w:t>
            </w:r>
          </w:p>
        </w:tc>
        <w:tc>
          <w:tcPr>
            <w:tcW w:w="960" w:type="dxa"/>
            <w:shd w:val="clear" w:color="auto" w:fill="auto"/>
            <w:tcMar>
              <w:top w:w="15" w:type="dxa"/>
              <w:left w:w="15" w:type="dxa"/>
              <w:right w:w="15" w:type="dxa"/>
            </w:tcMar>
            <w:vAlign w:val="center"/>
          </w:tcPr>
          <w:p w14:paraId="31BB9979">
            <w:pPr>
              <w:jc w:val="center"/>
              <w:rPr>
                <w:rFonts w:hint="eastAsia" w:ascii="宋体" w:hAnsi="宋体" w:eastAsia="宋体" w:cs="宋体"/>
                <w:i w:val="0"/>
                <w:color w:val="auto"/>
                <w:kern w:val="2"/>
                <w:sz w:val="21"/>
                <w:szCs w:val="21"/>
                <w:highlight w:val="none"/>
                <w:u w:val="none"/>
                <w:lang w:val="en-US" w:eastAsia="zh-CN" w:bidi="ar-SA"/>
              </w:rPr>
            </w:pPr>
            <w:r>
              <w:rPr>
                <w:rFonts w:hint="eastAsia" w:ascii="宋体" w:hAnsi="宋体" w:eastAsia="宋体" w:cs="宋体"/>
                <w:lang w:val="en-US" w:eastAsia="zh-CN"/>
              </w:rPr>
              <w:t>台</w:t>
            </w:r>
          </w:p>
        </w:tc>
        <w:tc>
          <w:tcPr>
            <w:tcW w:w="1335" w:type="dxa"/>
            <w:shd w:val="clear" w:color="auto" w:fill="auto"/>
            <w:tcMar>
              <w:top w:w="15" w:type="dxa"/>
              <w:left w:w="15" w:type="dxa"/>
              <w:right w:w="15" w:type="dxa"/>
            </w:tcMar>
            <w:vAlign w:val="center"/>
          </w:tcPr>
          <w:p w14:paraId="617ACC4D">
            <w:pPr>
              <w:keepNext w:val="0"/>
              <w:keepLines w:val="0"/>
              <w:widowControl/>
              <w:suppressLineNumbers w:val="0"/>
              <w:spacing w:line="240" w:lineRule="auto"/>
              <w:jc w:val="center"/>
              <w:textAlignment w:val="center"/>
              <w:rPr>
                <w:rFonts w:hint="eastAsia" w:ascii="宋体" w:hAnsi="宋体" w:eastAsia="宋体" w:cs="宋体"/>
                <w:i w:val="0"/>
                <w:color w:val="auto"/>
                <w:kern w:val="2"/>
                <w:sz w:val="21"/>
                <w:szCs w:val="21"/>
                <w:highlight w:val="none"/>
                <w:u w:val="none"/>
                <w:lang w:val="en-US" w:eastAsia="zh-CN" w:bidi="ar-SA"/>
              </w:rPr>
            </w:pPr>
          </w:p>
        </w:tc>
      </w:tr>
      <w:tr w14:paraId="4E65A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4" w:hRule="atLeast"/>
          <w:jc w:val="center"/>
        </w:trPr>
        <w:tc>
          <w:tcPr>
            <w:tcW w:w="604" w:type="dxa"/>
            <w:shd w:val="clear" w:color="auto" w:fill="auto"/>
            <w:tcMar>
              <w:top w:w="15" w:type="dxa"/>
              <w:left w:w="15" w:type="dxa"/>
              <w:right w:w="15" w:type="dxa"/>
            </w:tcMar>
            <w:vAlign w:val="center"/>
          </w:tcPr>
          <w:p w14:paraId="0F84C677">
            <w:pPr>
              <w:keepNext w:val="0"/>
              <w:keepLines w:val="0"/>
              <w:widowControl/>
              <w:suppressLineNumbers w:val="0"/>
              <w:spacing w:line="240" w:lineRule="auto"/>
              <w:jc w:val="center"/>
              <w:textAlignment w:val="center"/>
              <w:rPr>
                <w:rFonts w:hint="eastAsia" w:ascii="宋体" w:hAnsi="宋体" w:eastAsia="宋体" w:cs="宋体"/>
                <w:i w:val="0"/>
                <w:color w:val="auto"/>
                <w:kern w:val="2"/>
                <w:sz w:val="21"/>
                <w:szCs w:val="21"/>
                <w:highlight w:val="none"/>
                <w:u w:val="none"/>
                <w:lang w:val="en-US" w:eastAsia="zh-CN" w:bidi="ar-SA"/>
              </w:rPr>
            </w:pPr>
            <w:r>
              <w:rPr>
                <w:rFonts w:hint="eastAsia" w:ascii="宋体" w:hAnsi="宋体" w:eastAsia="宋体" w:cs="宋体"/>
                <w:i w:val="0"/>
                <w:color w:val="auto"/>
                <w:kern w:val="2"/>
                <w:sz w:val="21"/>
                <w:szCs w:val="21"/>
                <w:highlight w:val="none"/>
                <w:u w:val="none"/>
                <w:lang w:val="en-US" w:eastAsia="zh-CN" w:bidi="ar-SA"/>
              </w:rPr>
              <w:t>5</w:t>
            </w:r>
          </w:p>
        </w:tc>
        <w:tc>
          <w:tcPr>
            <w:tcW w:w="1245" w:type="dxa"/>
            <w:shd w:val="clear" w:color="auto" w:fill="auto"/>
            <w:tcMar>
              <w:top w:w="15" w:type="dxa"/>
              <w:left w:w="15" w:type="dxa"/>
              <w:right w:w="15" w:type="dxa"/>
            </w:tcMar>
            <w:vAlign w:val="center"/>
          </w:tcPr>
          <w:p w14:paraId="2F0976A5">
            <w:pPr>
              <w:jc w:val="center"/>
              <w:rPr>
                <w:rFonts w:hint="eastAsia" w:ascii="宋体" w:hAnsi="宋体" w:eastAsia="宋体" w:cs="宋体"/>
                <w:i w:val="0"/>
                <w:color w:val="auto"/>
                <w:kern w:val="2"/>
                <w:sz w:val="21"/>
                <w:szCs w:val="21"/>
                <w:highlight w:val="none"/>
                <w:u w:val="none"/>
                <w:lang w:val="en-US" w:eastAsia="zh-CN" w:bidi="ar-SA"/>
              </w:rPr>
            </w:pPr>
            <w:r>
              <w:rPr>
                <w:rFonts w:hint="eastAsia" w:ascii="宋体" w:hAnsi="宋体" w:eastAsia="宋体" w:cs="宋体"/>
                <w:lang w:val="en-US" w:eastAsia="zh-CN"/>
              </w:rPr>
              <w:t>室内模型(混凝土内部缺陷测试模型)</w:t>
            </w:r>
          </w:p>
        </w:tc>
        <w:tc>
          <w:tcPr>
            <w:tcW w:w="9285" w:type="dxa"/>
            <w:shd w:val="clear" w:color="auto" w:fill="auto"/>
            <w:tcMar>
              <w:top w:w="15" w:type="dxa"/>
              <w:left w:w="15" w:type="dxa"/>
              <w:right w:w="15" w:type="dxa"/>
            </w:tcMar>
            <w:vAlign w:val="center"/>
          </w:tcPr>
          <w:p w14:paraId="00BA9677">
            <w:pP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lang w:val="en-US" w:eastAsia="zh-CN"/>
              </w:rPr>
              <w:t>1、能够配合冲击弹性波检测仪使用，满足教学功能需求</w:t>
            </w:r>
            <w:r>
              <w:rPr>
                <w:rFonts w:hint="eastAsia" w:ascii="宋体" w:hAnsi="宋体" w:eastAsia="宋体" w:cs="宋体"/>
                <w:lang w:val="en-US" w:eastAsia="zh-CN"/>
              </w:rPr>
              <w:br w:type="textWrapping"/>
            </w:r>
            <w:r>
              <w:rPr>
                <w:rFonts w:hint="eastAsia" w:ascii="宋体" w:hAnsi="宋体" w:eastAsia="宋体" w:cs="宋体"/>
                <w:lang w:val="en-US" w:eastAsia="zh-CN"/>
              </w:rPr>
              <w:t>2、能够满足冲击弹性波单面反射法检测条件；</w:t>
            </w:r>
            <w:r>
              <w:rPr>
                <w:rFonts w:hint="eastAsia" w:ascii="宋体" w:hAnsi="宋体" w:eastAsia="宋体" w:cs="宋体"/>
                <w:lang w:val="en-US" w:eastAsia="zh-CN"/>
              </w:rPr>
              <w:br w:type="textWrapping"/>
            </w:r>
            <w:r>
              <w:rPr>
                <w:rFonts w:hint="eastAsia" w:ascii="宋体" w:hAnsi="宋体" w:eastAsia="宋体" w:cs="宋体"/>
                <w:lang w:val="en-US" w:eastAsia="zh-CN"/>
              </w:rPr>
              <w:t>3、能够与室外混凝土厚度、裂缝与缺陷模型配合使用；</w:t>
            </w:r>
            <w:r>
              <w:rPr>
                <w:rFonts w:hint="eastAsia" w:ascii="宋体" w:hAnsi="宋体" w:eastAsia="宋体" w:cs="宋体"/>
                <w:lang w:val="en-US" w:eastAsia="zh-CN"/>
              </w:rPr>
              <w:br w:type="textWrapping"/>
            </w:r>
            <w:r>
              <w:rPr>
                <w:rFonts w:hint="eastAsia" w:ascii="宋体" w:hAnsi="宋体" w:eastAsia="宋体" w:cs="宋体"/>
                <w:lang w:val="en-US" w:eastAsia="zh-CN"/>
              </w:rPr>
              <w:t>4、尺寸≥400mm*400mm*200mm,内部缺陷尺寸≥150mm*150mm，缺陷厚度不小于50mm；</w:t>
            </w:r>
            <w:r>
              <w:rPr>
                <w:rFonts w:hint="eastAsia" w:ascii="宋体" w:hAnsi="宋体" w:eastAsia="宋体" w:cs="宋体"/>
                <w:lang w:val="en-US" w:eastAsia="zh-CN"/>
              </w:rPr>
              <w:br w:type="textWrapping"/>
            </w:r>
            <w:r>
              <w:rPr>
                <w:rFonts w:hint="eastAsia" w:ascii="宋体" w:hAnsi="宋体" w:eastAsia="宋体" w:cs="宋体"/>
                <w:lang w:val="en-US" w:eastAsia="zh-CN"/>
              </w:rPr>
              <w:t>5、材质为尼龙材质；</w:t>
            </w:r>
          </w:p>
        </w:tc>
        <w:tc>
          <w:tcPr>
            <w:tcW w:w="452" w:type="dxa"/>
            <w:shd w:val="clear" w:color="auto" w:fill="auto"/>
            <w:tcMar>
              <w:top w:w="15" w:type="dxa"/>
              <w:left w:w="15" w:type="dxa"/>
              <w:right w:w="15" w:type="dxa"/>
            </w:tcMar>
            <w:vAlign w:val="center"/>
          </w:tcPr>
          <w:p w14:paraId="323D7C39">
            <w:pPr>
              <w:jc w:val="center"/>
              <w:rPr>
                <w:rFonts w:hint="eastAsia" w:ascii="宋体" w:hAnsi="宋体" w:eastAsia="宋体" w:cs="宋体"/>
                <w:i w:val="0"/>
                <w:color w:val="auto"/>
                <w:kern w:val="2"/>
                <w:sz w:val="21"/>
                <w:szCs w:val="21"/>
                <w:highlight w:val="none"/>
                <w:u w:val="none"/>
                <w:lang w:val="en-US" w:eastAsia="zh-CN" w:bidi="ar-SA"/>
              </w:rPr>
            </w:pPr>
            <w:r>
              <w:rPr>
                <w:rFonts w:hint="eastAsia" w:ascii="宋体" w:hAnsi="宋体" w:eastAsia="宋体" w:cs="宋体"/>
                <w:lang w:val="en-US" w:eastAsia="zh-CN"/>
              </w:rPr>
              <w:t>5</w:t>
            </w:r>
          </w:p>
        </w:tc>
        <w:tc>
          <w:tcPr>
            <w:tcW w:w="960" w:type="dxa"/>
            <w:shd w:val="clear" w:color="auto" w:fill="auto"/>
            <w:tcMar>
              <w:top w:w="15" w:type="dxa"/>
              <w:left w:w="15" w:type="dxa"/>
              <w:right w:w="15" w:type="dxa"/>
            </w:tcMar>
            <w:vAlign w:val="center"/>
          </w:tcPr>
          <w:p w14:paraId="2816AE14">
            <w:pPr>
              <w:jc w:val="center"/>
              <w:rPr>
                <w:rFonts w:hint="eastAsia" w:ascii="宋体" w:hAnsi="宋体" w:eastAsia="宋体" w:cs="宋体"/>
                <w:i w:val="0"/>
                <w:color w:val="auto"/>
                <w:kern w:val="2"/>
                <w:sz w:val="21"/>
                <w:szCs w:val="21"/>
                <w:highlight w:val="none"/>
                <w:u w:val="none"/>
                <w:lang w:val="en-US" w:eastAsia="zh-CN" w:bidi="ar-SA"/>
              </w:rPr>
            </w:pPr>
            <w:r>
              <w:rPr>
                <w:rFonts w:hint="eastAsia" w:ascii="宋体" w:hAnsi="宋体" w:eastAsia="宋体" w:cs="宋体"/>
                <w:lang w:val="en-US" w:eastAsia="zh-CN"/>
              </w:rPr>
              <w:t>套</w:t>
            </w:r>
          </w:p>
        </w:tc>
        <w:tc>
          <w:tcPr>
            <w:tcW w:w="1335" w:type="dxa"/>
            <w:shd w:val="clear" w:color="auto" w:fill="auto"/>
            <w:tcMar>
              <w:top w:w="15" w:type="dxa"/>
              <w:left w:w="15" w:type="dxa"/>
              <w:right w:w="15" w:type="dxa"/>
            </w:tcMar>
            <w:vAlign w:val="center"/>
          </w:tcPr>
          <w:p w14:paraId="523F22D3">
            <w:pPr>
              <w:keepNext w:val="0"/>
              <w:keepLines w:val="0"/>
              <w:widowControl/>
              <w:suppressLineNumbers w:val="0"/>
              <w:spacing w:line="240" w:lineRule="auto"/>
              <w:jc w:val="center"/>
              <w:textAlignment w:val="center"/>
              <w:rPr>
                <w:rFonts w:hint="eastAsia" w:ascii="宋体" w:hAnsi="宋体" w:eastAsia="宋体" w:cs="宋体"/>
                <w:i w:val="0"/>
                <w:color w:val="auto"/>
                <w:kern w:val="2"/>
                <w:sz w:val="21"/>
                <w:szCs w:val="21"/>
                <w:highlight w:val="none"/>
                <w:u w:val="none"/>
                <w:lang w:val="en-US" w:eastAsia="zh-CN" w:bidi="ar-SA"/>
              </w:rPr>
            </w:pPr>
          </w:p>
        </w:tc>
      </w:tr>
      <w:tr w14:paraId="52E0A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4" w:hRule="atLeast"/>
          <w:jc w:val="center"/>
        </w:trPr>
        <w:tc>
          <w:tcPr>
            <w:tcW w:w="604" w:type="dxa"/>
            <w:shd w:val="clear" w:color="auto" w:fill="auto"/>
            <w:tcMar>
              <w:top w:w="15" w:type="dxa"/>
              <w:left w:w="15" w:type="dxa"/>
              <w:right w:w="15" w:type="dxa"/>
            </w:tcMar>
            <w:vAlign w:val="center"/>
          </w:tcPr>
          <w:p w14:paraId="4BDDE6EE">
            <w:pPr>
              <w:keepNext w:val="0"/>
              <w:keepLines w:val="0"/>
              <w:widowControl/>
              <w:suppressLineNumbers w:val="0"/>
              <w:spacing w:line="240" w:lineRule="auto"/>
              <w:jc w:val="center"/>
              <w:textAlignment w:val="center"/>
              <w:rPr>
                <w:rFonts w:hint="eastAsia" w:ascii="宋体" w:hAnsi="宋体" w:eastAsia="宋体" w:cs="宋体"/>
                <w:i w:val="0"/>
                <w:color w:val="auto"/>
                <w:kern w:val="2"/>
                <w:sz w:val="21"/>
                <w:szCs w:val="21"/>
                <w:highlight w:val="none"/>
                <w:u w:val="none"/>
                <w:lang w:val="en-US" w:eastAsia="zh-CN" w:bidi="ar-SA"/>
              </w:rPr>
            </w:pPr>
            <w:r>
              <w:rPr>
                <w:rFonts w:hint="eastAsia" w:ascii="宋体" w:hAnsi="宋体" w:eastAsia="宋体" w:cs="宋体"/>
                <w:i w:val="0"/>
                <w:color w:val="auto"/>
                <w:kern w:val="2"/>
                <w:sz w:val="21"/>
                <w:szCs w:val="21"/>
                <w:highlight w:val="none"/>
                <w:u w:val="none"/>
                <w:lang w:val="en-US" w:eastAsia="zh-CN" w:bidi="ar-SA"/>
              </w:rPr>
              <w:t>6</w:t>
            </w:r>
          </w:p>
        </w:tc>
        <w:tc>
          <w:tcPr>
            <w:tcW w:w="1245" w:type="dxa"/>
            <w:shd w:val="clear" w:color="auto" w:fill="auto"/>
            <w:tcMar>
              <w:top w:w="15" w:type="dxa"/>
              <w:left w:w="15" w:type="dxa"/>
              <w:right w:w="15" w:type="dxa"/>
            </w:tcMar>
            <w:vAlign w:val="center"/>
          </w:tcPr>
          <w:p w14:paraId="0E7F1218">
            <w:pPr>
              <w:jc w:val="center"/>
              <w:rPr>
                <w:rFonts w:hint="eastAsia" w:ascii="宋体" w:hAnsi="宋体" w:eastAsia="宋体" w:cs="宋体"/>
                <w:i w:val="0"/>
                <w:color w:val="auto"/>
                <w:kern w:val="2"/>
                <w:sz w:val="21"/>
                <w:szCs w:val="21"/>
                <w:highlight w:val="none"/>
                <w:u w:val="none"/>
                <w:lang w:val="en-US" w:eastAsia="zh-CN" w:bidi="ar-SA"/>
              </w:rPr>
            </w:pPr>
            <w:r>
              <w:rPr>
                <w:rFonts w:hint="eastAsia" w:ascii="宋体" w:hAnsi="宋体" w:eastAsia="宋体" w:cs="宋体"/>
                <w:lang w:val="en-US" w:eastAsia="zh-CN"/>
              </w:rPr>
              <w:t>室内模型（混凝土裂缝测试模型）</w:t>
            </w:r>
          </w:p>
        </w:tc>
        <w:tc>
          <w:tcPr>
            <w:tcW w:w="9285" w:type="dxa"/>
            <w:shd w:val="clear" w:color="auto" w:fill="auto"/>
            <w:tcMar>
              <w:top w:w="15" w:type="dxa"/>
              <w:left w:w="15" w:type="dxa"/>
              <w:right w:w="15" w:type="dxa"/>
            </w:tcMar>
            <w:vAlign w:val="center"/>
          </w:tcPr>
          <w:p w14:paraId="44A76F83">
            <w:pP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lang w:val="en-US" w:eastAsia="zh-CN"/>
              </w:rPr>
              <w:t>1、能够配合冲击弹性波检测仪使用，满足教学功能需求</w:t>
            </w:r>
            <w:r>
              <w:rPr>
                <w:rFonts w:hint="eastAsia" w:ascii="宋体" w:hAnsi="宋体" w:eastAsia="宋体" w:cs="宋体"/>
                <w:lang w:val="en-US" w:eastAsia="zh-CN"/>
              </w:rPr>
              <w:br w:type="textWrapping"/>
            </w:r>
            <w:r>
              <w:rPr>
                <w:rFonts w:hint="eastAsia" w:ascii="宋体" w:hAnsi="宋体" w:eastAsia="宋体" w:cs="宋体"/>
                <w:lang w:val="en-US" w:eastAsia="zh-CN"/>
              </w:rPr>
              <w:t>2、能够满足相位反转法等检测条件；</w:t>
            </w:r>
            <w:r>
              <w:rPr>
                <w:rFonts w:hint="eastAsia" w:ascii="宋体" w:hAnsi="宋体" w:eastAsia="宋体" w:cs="宋体"/>
                <w:lang w:val="en-US" w:eastAsia="zh-CN"/>
              </w:rPr>
              <w:br w:type="textWrapping"/>
            </w:r>
            <w:r>
              <w:rPr>
                <w:rFonts w:hint="eastAsia" w:ascii="宋体" w:hAnsi="宋体" w:eastAsia="宋体" w:cs="宋体"/>
                <w:lang w:val="en-US" w:eastAsia="zh-CN"/>
              </w:rPr>
              <w:t>3、能够与室外混凝土厚度、裂缝与缺陷模型配合使用；</w:t>
            </w:r>
            <w:r>
              <w:rPr>
                <w:rFonts w:hint="eastAsia" w:ascii="宋体" w:hAnsi="宋体" w:eastAsia="宋体" w:cs="宋体"/>
                <w:lang w:val="en-US" w:eastAsia="zh-CN"/>
              </w:rPr>
              <w:br w:type="textWrapping"/>
            </w:r>
            <w:r>
              <w:rPr>
                <w:rFonts w:hint="eastAsia" w:ascii="宋体" w:hAnsi="宋体" w:eastAsia="宋体" w:cs="宋体"/>
                <w:lang w:val="en-US" w:eastAsia="zh-CN"/>
              </w:rPr>
              <w:t>4、尺寸≥300mm*200mm*200mm，裂缝深度不大于80mm；</w:t>
            </w:r>
            <w:r>
              <w:rPr>
                <w:rFonts w:hint="eastAsia" w:ascii="宋体" w:hAnsi="宋体" w:eastAsia="宋体" w:cs="宋体"/>
                <w:lang w:val="en-US" w:eastAsia="zh-CN"/>
              </w:rPr>
              <w:br w:type="textWrapping"/>
            </w:r>
            <w:r>
              <w:rPr>
                <w:rFonts w:hint="eastAsia" w:ascii="宋体" w:hAnsi="宋体" w:eastAsia="宋体" w:cs="宋体"/>
                <w:lang w:val="en-US" w:eastAsia="zh-CN"/>
              </w:rPr>
              <w:t>5、材质为尼龙材质；</w:t>
            </w:r>
          </w:p>
        </w:tc>
        <w:tc>
          <w:tcPr>
            <w:tcW w:w="452" w:type="dxa"/>
            <w:shd w:val="clear" w:color="auto" w:fill="auto"/>
            <w:tcMar>
              <w:top w:w="15" w:type="dxa"/>
              <w:left w:w="15" w:type="dxa"/>
              <w:right w:w="15" w:type="dxa"/>
            </w:tcMar>
            <w:vAlign w:val="center"/>
          </w:tcPr>
          <w:p w14:paraId="52C14630">
            <w:pPr>
              <w:jc w:val="center"/>
              <w:rPr>
                <w:rFonts w:hint="eastAsia" w:ascii="宋体" w:hAnsi="宋体" w:eastAsia="宋体" w:cs="宋体"/>
                <w:i w:val="0"/>
                <w:color w:val="auto"/>
                <w:kern w:val="2"/>
                <w:sz w:val="21"/>
                <w:szCs w:val="21"/>
                <w:highlight w:val="none"/>
                <w:u w:val="none"/>
                <w:lang w:val="en-US" w:eastAsia="zh-CN" w:bidi="ar-SA"/>
              </w:rPr>
            </w:pPr>
            <w:r>
              <w:rPr>
                <w:rFonts w:hint="eastAsia" w:ascii="宋体" w:hAnsi="宋体" w:eastAsia="宋体" w:cs="宋体"/>
                <w:lang w:val="en-US" w:eastAsia="zh-CN"/>
              </w:rPr>
              <w:t>5</w:t>
            </w:r>
          </w:p>
        </w:tc>
        <w:tc>
          <w:tcPr>
            <w:tcW w:w="960" w:type="dxa"/>
            <w:shd w:val="clear" w:color="auto" w:fill="auto"/>
            <w:tcMar>
              <w:top w:w="15" w:type="dxa"/>
              <w:left w:w="15" w:type="dxa"/>
              <w:right w:w="15" w:type="dxa"/>
            </w:tcMar>
            <w:vAlign w:val="center"/>
          </w:tcPr>
          <w:p w14:paraId="542D02B7">
            <w:pPr>
              <w:jc w:val="center"/>
              <w:rPr>
                <w:rFonts w:hint="eastAsia" w:ascii="宋体" w:hAnsi="宋体" w:eastAsia="宋体" w:cs="宋体"/>
                <w:i w:val="0"/>
                <w:color w:val="auto"/>
                <w:kern w:val="2"/>
                <w:sz w:val="21"/>
                <w:szCs w:val="21"/>
                <w:highlight w:val="none"/>
                <w:u w:val="none"/>
                <w:lang w:val="en-US" w:eastAsia="zh-CN" w:bidi="ar-SA"/>
              </w:rPr>
            </w:pPr>
            <w:r>
              <w:rPr>
                <w:rFonts w:hint="eastAsia" w:ascii="宋体" w:hAnsi="宋体" w:eastAsia="宋体" w:cs="宋体"/>
                <w:lang w:val="en-US" w:eastAsia="zh-CN"/>
              </w:rPr>
              <w:t>套</w:t>
            </w:r>
          </w:p>
        </w:tc>
        <w:tc>
          <w:tcPr>
            <w:tcW w:w="1335" w:type="dxa"/>
            <w:shd w:val="clear" w:color="auto" w:fill="auto"/>
            <w:tcMar>
              <w:top w:w="15" w:type="dxa"/>
              <w:left w:w="15" w:type="dxa"/>
              <w:right w:w="15" w:type="dxa"/>
            </w:tcMar>
            <w:vAlign w:val="center"/>
          </w:tcPr>
          <w:p w14:paraId="073B56A8">
            <w:pPr>
              <w:keepNext w:val="0"/>
              <w:keepLines w:val="0"/>
              <w:widowControl/>
              <w:suppressLineNumbers w:val="0"/>
              <w:spacing w:line="240" w:lineRule="auto"/>
              <w:jc w:val="center"/>
              <w:textAlignment w:val="center"/>
              <w:rPr>
                <w:rFonts w:hint="eastAsia" w:ascii="宋体" w:hAnsi="宋体" w:eastAsia="宋体" w:cs="宋体"/>
                <w:i w:val="0"/>
                <w:color w:val="auto"/>
                <w:kern w:val="2"/>
                <w:sz w:val="21"/>
                <w:szCs w:val="21"/>
                <w:highlight w:val="none"/>
                <w:u w:val="none"/>
                <w:lang w:val="en-US" w:eastAsia="zh-CN" w:bidi="ar-SA"/>
              </w:rPr>
            </w:pPr>
          </w:p>
        </w:tc>
      </w:tr>
      <w:tr w14:paraId="57413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4" w:hRule="atLeast"/>
          <w:jc w:val="center"/>
        </w:trPr>
        <w:tc>
          <w:tcPr>
            <w:tcW w:w="604" w:type="dxa"/>
            <w:shd w:val="clear" w:color="auto" w:fill="auto"/>
            <w:tcMar>
              <w:top w:w="15" w:type="dxa"/>
              <w:left w:w="15" w:type="dxa"/>
              <w:right w:w="15" w:type="dxa"/>
            </w:tcMar>
            <w:vAlign w:val="center"/>
          </w:tcPr>
          <w:p w14:paraId="47B6D329">
            <w:pPr>
              <w:keepNext w:val="0"/>
              <w:keepLines w:val="0"/>
              <w:widowControl/>
              <w:suppressLineNumbers w:val="0"/>
              <w:spacing w:line="240" w:lineRule="auto"/>
              <w:jc w:val="center"/>
              <w:textAlignment w:val="center"/>
              <w:rPr>
                <w:rFonts w:hint="eastAsia" w:ascii="宋体" w:hAnsi="宋体" w:eastAsia="宋体" w:cs="宋体"/>
                <w:i w:val="0"/>
                <w:color w:val="auto"/>
                <w:kern w:val="2"/>
                <w:sz w:val="21"/>
                <w:szCs w:val="21"/>
                <w:highlight w:val="none"/>
                <w:u w:val="none"/>
                <w:lang w:val="en-US" w:eastAsia="zh-CN" w:bidi="ar-SA"/>
              </w:rPr>
            </w:pPr>
            <w:r>
              <w:rPr>
                <w:rFonts w:hint="eastAsia" w:ascii="宋体" w:hAnsi="宋体" w:eastAsia="宋体" w:cs="宋体"/>
                <w:i w:val="0"/>
                <w:color w:val="auto"/>
                <w:kern w:val="2"/>
                <w:sz w:val="21"/>
                <w:szCs w:val="21"/>
                <w:highlight w:val="none"/>
                <w:u w:val="none"/>
                <w:lang w:val="en-US" w:eastAsia="zh-CN" w:bidi="ar-SA"/>
              </w:rPr>
              <w:t>7</w:t>
            </w:r>
          </w:p>
        </w:tc>
        <w:tc>
          <w:tcPr>
            <w:tcW w:w="1245" w:type="dxa"/>
            <w:shd w:val="clear" w:color="auto" w:fill="auto"/>
            <w:tcMar>
              <w:top w:w="15" w:type="dxa"/>
              <w:left w:w="15" w:type="dxa"/>
              <w:right w:w="15" w:type="dxa"/>
            </w:tcMar>
            <w:vAlign w:val="center"/>
          </w:tcPr>
          <w:p w14:paraId="184089D6">
            <w:pPr>
              <w:jc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lang w:val="en-US" w:eastAsia="zh-CN"/>
              </w:rPr>
              <w:t>室内模型(钢筋保护层测试模型)</w:t>
            </w:r>
          </w:p>
        </w:tc>
        <w:tc>
          <w:tcPr>
            <w:tcW w:w="9285" w:type="dxa"/>
            <w:shd w:val="clear" w:color="auto" w:fill="auto"/>
            <w:tcMar>
              <w:top w:w="15" w:type="dxa"/>
              <w:left w:w="15" w:type="dxa"/>
              <w:right w:w="15" w:type="dxa"/>
            </w:tcMar>
            <w:vAlign w:val="center"/>
          </w:tcPr>
          <w:p w14:paraId="34BEA11D">
            <w:pP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lang w:val="en-US" w:eastAsia="zh-CN"/>
              </w:rPr>
              <w:t>1、能够配合钢筋扫描仪使用，满足教学功能需求；</w:t>
            </w:r>
            <w:r>
              <w:rPr>
                <w:rFonts w:hint="eastAsia" w:ascii="宋体" w:hAnsi="宋体" w:eastAsia="宋体" w:cs="宋体"/>
                <w:lang w:val="en-US" w:eastAsia="zh-CN"/>
              </w:rPr>
              <w:br w:type="textWrapping"/>
            </w:r>
            <w:r>
              <w:rPr>
                <w:rFonts w:hint="eastAsia" w:ascii="宋体" w:hAnsi="宋体" w:eastAsia="宋体" w:cs="宋体"/>
                <w:lang w:val="en-US" w:eastAsia="zh-CN"/>
              </w:rPr>
              <w:t>2、能够满足雷达波反射法等检测条件；</w:t>
            </w:r>
            <w:r>
              <w:rPr>
                <w:rFonts w:hint="eastAsia" w:ascii="宋体" w:hAnsi="宋体" w:eastAsia="宋体" w:cs="宋体"/>
                <w:lang w:val="en-US" w:eastAsia="zh-CN"/>
              </w:rPr>
              <w:br w:type="textWrapping"/>
            </w:r>
            <w:r>
              <w:rPr>
                <w:rFonts w:hint="eastAsia" w:ascii="宋体" w:hAnsi="宋体" w:eastAsia="宋体" w:cs="宋体"/>
                <w:lang w:val="en-US" w:eastAsia="zh-CN"/>
              </w:rPr>
              <w:t>3、能够与室外钢筋保护层厚度与间距模型配合使用；</w:t>
            </w:r>
            <w:r>
              <w:rPr>
                <w:rFonts w:hint="eastAsia" w:ascii="宋体" w:hAnsi="宋体" w:eastAsia="宋体" w:cs="宋体"/>
                <w:lang w:val="en-US" w:eastAsia="zh-CN"/>
              </w:rPr>
              <w:br w:type="textWrapping"/>
            </w:r>
            <w:r>
              <w:rPr>
                <w:rFonts w:hint="eastAsia" w:ascii="宋体" w:hAnsi="宋体" w:eastAsia="宋体" w:cs="宋体"/>
                <w:lang w:val="en-US" w:eastAsia="zh-CN"/>
              </w:rPr>
              <w:t>4、尺寸≥600mm*350mm*150mm，配备直径≥8mm的普通HPB300级光圆钢筋 ，模拟不同的保护层厚度和钢筋间距；</w:t>
            </w:r>
            <w:r>
              <w:rPr>
                <w:rFonts w:hint="eastAsia" w:ascii="宋体" w:hAnsi="宋体" w:eastAsia="宋体" w:cs="宋体"/>
                <w:lang w:val="en-US" w:eastAsia="zh-CN"/>
              </w:rPr>
              <w:br w:type="textWrapping"/>
            </w:r>
            <w:r>
              <w:rPr>
                <w:rFonts w:hint="eastAsia" w:ascii="宋体" w:hAnsi="宋体" w:eastAsia="宋体" w:cs="宋体"/>
                <w:lang w:val="en-US" w:eastAsia="zh-CN"/>
              </w:rPr>
              <w:t>5、材质为尼龙材质；</w:t>
            </w:r>
          </w:p>
        </w:tc>
        <w:tc>
          <w:tcPr>
            <w:tcW w:w="452" w:type="dxa"/>
            <w:shd w:val="clear" w:color="auto" w:fill="auto"/>
            <w:tcMar>
              <w:top w:w="15" w:type="dxa"/>
              <w:left w:w="15" w:type="dxa"/>
              <w:right w:w="15" w:type="dxa"/>
            </w:tcMar>
            <w:vAlign w:val="center"/>
          </w:tcPr>
          <w:p w14:paraId="25964909">
            <w:pPr>
              <w:jc w:val="center"/>
              <w:rPr>
                <w:rFonts w:hint="eastAsia" w:ascii="宋体" w:hAnsi="宋体" w:eastAsia="宋体" w:cs="宋体"/>
                <w:i w:val="0"/>
                <w:color w:val="auto"/>
                <w:kern w:val="2"/>
                <w:sz w:val="21"/>
                <w:szCs w:val="21"/>
                <w:highlight w:val="none"/>
                <w:u w:val="none"/>
                <w:lang w:val="en-US" w:eastAsia="zh-CN" w:bidi="ar-SA"/>
              </w:rPr>
            </w:pPr>
            <w:r>
              <w:rPr>
                <w:rFonts w:hint="eastAsia" w:ascii="宋体" w:hAnsi="宋体" w:eastAsia="宋体" w:cs="宋体"/>
                <w:lang w:val="en-US" w:eastAsia="zh-CN"/>
              </w:rPr>
              <w:t>5</w:t>
            </w:r>
          </w:p>
        </w:tc>
        <w:tc>
          <w:tcPr>
            <w:tcW w:w="960" w:type="dxa"/>
            <w:shd w:val="clear" w:color="auto" w:fill="auto"/>
            <w:tcMar>
              <w:top w:w="15" w:type="dxa"/>
              <w:left w:w="15" w:type="dxa"/>
              <w:right w:w="15" w:type="dxa"/>
            </w:tcMar>
            <w:vAlign w:val="center"/>
          </w:tcPr>
          <w:p w14:paraId="6C20D8F1">
            <w:pPr>
              <w:jc w:val="center"/>
              <w:rPr>
                <w:rFonts w:hint="eastAsia" w:ascii="宋体" w:hAnsi="宋体" w:eastAsia="宋体" w:cs="宋体"/>
                <w:i w:val="0"/>
                <w:color w:val="auto"/>
                <w:kern w:val="2"/>
                <w:sz w:val="21"/>
                <w:szCs w:val="21"/>
                <w:highlight w:val="none"/>
                <w:u w:val="none"/>
                <w:lang w:val="en-US" w:eastAsia="zh-CN" w:bidi="ar-SA"/>
              </w:rPr>
            </w:pPr>
            <w:r>
              <w:rPr>
                <w:rFonts w:hint="eastAsia" w:ascii="宋体" w:hAnsi="宋体" w:eastAsia="宋体" w:cs="宋体"/>
                <w:lang w:val="en-US" w:eastAsia="zh-CN"/>
              </w:rPr>
              <w:t>套</w:t>
            </w:r>
          </w:p>
        </w:tc>
        <w:tc>
          <w:tcPr>
            <w:tcW w:w="1335" w:type="dxa"/>
            <w:shd w:val="clear" w:color="auto" w:fill="auto"/>
            <w:tcMar>
              <w:top w:w="15" w:type="dxa"/>
              <w:left w:w="15" w:type="dxa"/>
              <w:right w:w="15" w:type="dxa"/>
            </w:tcMar>
            <w:vAlign w:val="center"/>
          </w:tcPr>
          <w:p w14:paraId="7432E464">
            <w:pPr>
              <w:keepNext w:val="0"/>
              <w:keepLines w:val="0"/>
              <w:widowControl/>
              <w:suppressLineNumbers w:val="0"/>
              <w:spacing w:line="240" w:lineRule="auto"/>
              <w:jc w:val="center"/>
              <w:textAlignment w:val="center"/>
              <w:rPr>
                <w:rFonts w:hint="eastAsia" w:ascii="宋体" w:hAnsi="宋体" w:eastAsia="宋体" w:cs="宋体"/>
                <w:i w:val="0"/>
                <w:color w:val="auto"/>
                <w:kern w:val="2"/>
                <w:sz w:val="21"/>
                <w:szCs w:val="21"/>
                <w:highlight w:val="none"/>
                <w:u w:val="none"/>
                <w:lang w:val="en-US" w:eastAsia="zh-CN" w:bidi="ar-SA"/>
              </w:rPr>
            </w:pPr>
          </w:p>
        </w:tc>
      </w:tr>
      <w:tr w14:paraId="6E8CF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4" w:hRule="atLeast"/>
          <w:jc w:val="center"/>
        </w:trPr>
        <w:tc>
          <w:tcPr>
            <w:tcW w:w="604" w:type="dxa"/>
            <w:shd w:val="clear" w:color="auto" w:fill="auto"/>
            <w:tcMar>
              <w:top w:w="15" w:type="dxa"/>
              <w:left w:w="15" w:type="dxa"/>
              <w:right w:w="15" w:type="dxa"/>
            </w:tcMar>
            <w:vAlign w:val="center"/>
          </w:tcPr>
          <w:p w14:paraId="66450E9A">
            <w:pPr>
              <w:keepNext w:val="0"/>
              <w:keepLines w:val="0"/>
              <w:widowControl/>
              <w:suppressLineNumbers w:val="0"/>
              <w:spacing w:line="240" w:lineRule="auto"/>
              <w:jc w:val="center"/>
              <w:textAlignment w:val="center"/>
              <w:rPr>
                <w:rFonts w:hint="default" w:ascii="宋体" w:hAnsi="宋体" w:eastAsia="宋体" w:cs="宋体"/>
                <w:i w:val="0"/>
                <w:color w:val="auto"/>
                <w:kern w:val="2"/>
                <w:sz w:val="21"/>
                <w:szCs w:val="21"/>
                <w:highlight w:val="none"/>
                <w:u w:val="none"/>
                <w:lang w:val="en-US" w:eastAsia="zh-CN" w:bidi="ar-SA"/>
              </w:rPr>
            </w:pPr>
            <w:r>
              <w:rPr>
                <w:rFonts w:hint="eastAsia" w:ascii="宋体" w:hAnsi="宋体" w:cs="宋体"/>
                <w:i w:val="0"/>
                <w:color w:val="auto"/>
                <w:kern w:val="2"/>
                <w:sz w:val="21"/>
                <w:szCs w:val="21"/>
                <w:highlight w:val="none"/>
                <w:u w:val="none"/>
                <w:lang w:val="en-US" w:eastAsia="zh-CN" w:bidi="ar-SA"/>
              </w:rPr>
              <w:t>8</w:t>
            </w:r>
          </w:p>
        </w:tc>
        <w:tc>
          <w:tcPr>
            <w:tcW w:w="1245" w:type="dxa"/>
            <w:shd w:val="clear" w:color="auto" w:fill="auto"/>
            <w:tcMar>
              <w:top w:w="15" w:type="dxa"/>
              <w:left w:w="15" w:type="dxa"/>
              <w:right w:w="15" w:type="dxa"/>
            </w:tcMar>
            <w:vAlign w:val="center"/>
          </w:tcPr>
          <w:p w14:paraId="213FF36B">
            <w:pPr>
              <w:ind w:firstLine="0" w:firstLineChars="0"/>
              <w:jc w:val="center"/>
              <w:rPr>
                <w:rFonts w:hint="eastAsia" w:ascii="宋体" w:hAnsi="宋体" w:cs="宋体"/>
                <w:b/>
                <w:bCs/>
                <w:i w:val="0"/>
                <w:iCs w:val="0"/>
                <w:color w:val="000000"/>
                <w:kern w:val="0"/>
                <w:sz w:val="21"/>
                <w:szCs w:val="21"/>
                <w:u w:val="none"/>
                <w:lang w:val="en-US" w:eastAsia="zh-CN" w:bidi="ar"/>
              </w:rPr>
            </w:pPr>
            <w:r>
              <w:rPr>
                <w:rFonts w:hint="eastAsia" w:ascii="宋体" w:hAnsi="宋体" w:eastAsia="宋体" w:cs="宋体"/>
                <w:vertAlign w:val="baseline"/>
                <w:lang w:val="en-US" w:eastAsia="zh-CN"/>
              </w:rPr>
              <w:t>建筑结构检测虚拟仿真软件V2025</w:t>
            </w:r>
          </w:p>
        </w:tc>
        <w:tc>
          <w:tcPr>
            <w:tcW w:w="9285" w:type="dxa"/>
            <w:shd w:val="clear" w:color="auto" w:fill="auto"/>
            <w:tcMar>
              <w:top w:w="15" w:type="dxa"/>
              <w:left w:w="15" w:type="dxa"/>
              <w:right w:w="15" w:type="dxa"/>
            </w:tcMar>
            <w:vAlign w:val="center"/>
          </w:tcPr>
          <w:p w14:paraId="0279CBA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rPr>
                <w:rFonts w:hint="eastAsia" w:ascii="宋体" w:hAnsi="宋体" w:eastAsia="宋体" w:cs="宋体"/>
                <w:color w:val="000000" w:themeColor="text1"/>
                <w:szCs w:val="21"/>
                <w14:textFill>
                  <w14:solidFill>
                    <w14:schemeClr w14:val="tx1"/>
                  </w14:solidFill>
                </w14:textFill>
              </w:rPr>
            </w:pPr>
            <w:r>
              <w:rPr>
                <w:rFonts w:hint="default" w:ascii="宋体" w:hAnsi="宋体" w:eastAsia="宋体" w:cs="宋体"/>
                <w:color w:val="000000" w:themeColor="text1"/>
                <w:kern w:val="2"/>
                <w:sz w:val="21"/>
                <w:szCs w:val="21"/>
                <w:lang w:val="en-US" w:eastAsia="zh-CN" w:bidi="ar-SA"/>
                <w14:textFill>
                  <w14:solidFill>
                    <w14:schemeClr w14:val="tx1"/>
                  </w14:solidFill>
                </w14:textFill>
              </w:rPr>
              <w:t>1．</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软件功能须满足教学需求，同时满足职业院校技能比赛需求。</w:t>
            </w:r>
            <w:r>
              <w:rPr>
                <w:rFonts w:hint="eastAsia" w:ascii="宋体" w:hAnsi="宋体" w:eastAsia="宋体" w:cs="宋体"/>
                <w:color w:val="000000" w:themeColor="text1"/>
                <w:szCs w:val="21"/>
                <w:lang w:eastAsia="zh-CN"/>
                <w14:textFill>
                  <w14:solidFill>
                    <w14:schemeClr w14:val="tx1"/>
                  </w14:solidFill>
                </w14:textFill>
              </w:rPr>
              <w:t>软件</w:t>
            </w:r>
            <w:r>
              <w:rPr>
                <w:rFonts w:hint="eastAsia" w:ascii="宋体" w:hAnsi="宋体" w:eastAsia="宋体" w:cs="宋体"/>
                <w:color w:val="000000" w:themeColor="text1"/>
                <w:szCs w:val="21"/>
                <w14:textFill>
                  <w14:solidFill>
                    <w14:schemeClr w14:val="tx1"/>
                  </w14:solidFill>
                </w14:textFill>
              </w:rPr>
              <w:t>须采用激活码授权激活方式，在</w:t>
            </w:r>
            <w:r>
              <w:rPr>
                <w:rFonts w:hint="eastAsia" w:ascii="宋体" w:hAnsi="宋体" w:eastAsia="宋体" w:cs="宋体"/>
                <w:color w:val="000000" w:themeColor="text1"/>
                <w:szCs w:val="21"/>
                <w:lang w:eastAsia="zh-CN"/>
                <w14:textFill>
                  <w14:solidFill>
                    <w14:schemeClr w14:val="tx1"/>
                  </w14:solidFill>
                </w14:textFill>
              </w:rPr>
              <w:t>软件</w:t>
            </w:r>
            <w:r>
              <w:rPr>
                <w:rFonts w:hint="eastAsia" w:ascii="宋体" w:hAnsi="宋体" w:eastAsia="宋体" w:cs="宋体"/>
                <w:color w:val="000000" w:themeColor="text1"/>
                <w:szCs w:val="21"/>
                <w14:textFill>
                  <w14:solidFill>
                    <w14:schemeClr w14:val="tx1"/>
                  </w14:solidFill>
                </w14:textFill>
              </w:rPr>
              <w:t>部署完后使用激活号可以对</w:t>
            </w:r>
            <w:r>
              <w:rPr>
                <w:rFonts w:hint="eastAsia" w:ascii="宋体" w:hAnsi="宋体" w:eastAsia="宋体" w:cs="宋体"/>
                <w:color w:val="000000" w:themeColor="text1"/>
                <w:szCs w:val="21"/>
                <w:lang w:eastAsia="zh-CN"/>
                <w14:textFill>
                  <w14:solidFill>
                    <w14:schemeClr w14:val="tx1"/>
                  </w14:solidFill>
                </w14:textFill>
              </w:rPr>
              <w:t>软件</w:t>
            </w:r>
            <w:r>
              <w:rPr>
                <w:rFonts w:hint="eastAsia" w:ascii="宋体" w:hAnsi="宋体" w:eastAsia="宋体" w:cs="宋体"/>
                <w:color w:val="000000" w:themeColor="text1"/>
                <w:szCs w:val="21"/>
                <w14:textFill>
                  <w14:solidFill>
                    <w14:schemeClr w14:val="tx1"/>
                  </w14:solidFill>
                </w14:textFill>
              </w:rPr>
              <w:t>进行激活或授权</w:t>
            </w:r>
            <w:r>
              <w:rPr>
                <w:rFonts w:hint="eastAsia" w:ascii="宋体" w:hAnsi="宋体" w:eastAsia="宋体" w:cs="宋体"/>
                <w:color w:val="000000" w:themeColor="text1"/>
                <w:szCs w:val="21"/>
                <w:lang w:eastAsia="zh-CN"/>
                <w14:textFill>
                  <w14:solidFill>
                    <w14:schemeClr w14:val="tx1"/>
                  </w14:solidFill>
                </w14:textFill>
              </w:rPr>
              <w:t>，</w:t>
            </w:r>
            <w:r>
              <w:rPr>
                <w:rFonts w:hint="eastAsia" w:ascii="宋体" w:hAnsi="宋体" w:eastAsia="宋体" w:cs="宋体"/>
                <w:color w:val="000000" w:themeColor="text1"/>
                <w:szCs w:val="21"/>
                <w:lang w:val="en-US" w:eastAsia="zh-CN"/>
                <w14:textFill>
                  <w14:solidFill>
                    <w14:schemeClr w14:val="tx1"/>
                  </w14:solidFill>
                </w14:textFill>
              </w:rPr>
              <w:t>软件不限制节点数量。</w:t>
            </w:r>
          </w:p>
          <w:p w14:paraId="2104CB3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w:t>
            </w:r>
            <w:r>
              <w:rPr>
                <w:rFonts w:hint="default" w:ascii="宋体" w:hAnsi="宋体" w:eastAsia="宋体" w:cs="宋体"/>
                <w:b/>
                <w:bCs/>
                <w:color w:val="000000" w:themeColor="text1"/>
                <w:kern w:val="2"/>
                <w:sz w:val="21"/>
                <w:szCs w:val="21"/>
                <w:lang w:val="en-US" w:eastAsia="zh-CN" w:bidi="ar-SA"/>
                <w14:textFill>
                  <w14:solidFill>
                    <w14:schemeClr w14:val="tx1"/>
                  </w14:solidFill>
                </w14:textFill>
              </w:rPr>
              <w:t>2．</w:t>
            </w:r>
            <w:r>
              <w:rPr>
                <w:rFonts w:hint="eastAsia" w:ascii="宋体" w:hAnsi="宋体" w:eastAsia="宋体" w:cs="宋体"/>
                <w:b/>
                <w:bCs/>
                <w:color w:val="000000" w:themeColor="text1"/>
                <w:szCs w:val="21"/>
                <w:lang w:eastAsia="zh-CN"/>
                <w14:textFill>
                  <w14:solidFill>
                    <w14:schemeClr w14:val="tx1"/>
                  </w14:solidFill>
                </w14:textFill>
              </w:rPr>
              <w:t>软件</w:t>
            </w:r>
            <w:r>
              <w:rPr>
                <w:rFonts w:hint="eastAsia" w:ascii="宋体" w:hAnsi="宋体" w:eastAsia="宋体" w:cs="宋体"/>
                <w:b/>
                <w:bCs/>
                <w:color w:val="000000" w:themeColor="text1"/>
                <w:szCs w:val="21"/>
                <w14:textFill>
                  <w14:solidFill>
                    <w14:schemeClr w14:val="tx1"/>
                  </w14:solidFill>
                </w14:textFill>
              </w:rPr>
              <w:t>须</w:t>
            </w:r>
            <w:r>
              <w:rPr>
                <w:rFonts w:hint="eastAsia" w:ascii="宋体" w:hAnsi="宋体" w:eastAsia="宋体" w:cs="宋体"/>
                <w:b/>
                <w:bCs/>
                <w:color w:val="000000" w:themeColor="text1"/>
                <w:szCs w:val="21"/>
                <w:lang w:val="en-US" w:eastAsia="zh-CN"/>
                <w14:textFill>
                  <w14:solidFill>
                    <w14:schemeClr w14:val="tx1"/>
                  </w14:solidFill>
                </w14:textFill>
              </w:rPr>
              <w:t>默认</w:t>
            </w:r>
            <w:r>
              <w:rPr>
                <w:rFonts w:hint="eastAsia" w:ascii="宋体" w:hAnsi="宋体" w:eastAsia="宋体" w:cs="宋体"/>
                <w:b/>
                <w:bCs/>
                <w:color w:val="000000" w:themeColor="text1"/>
                <w:szCs w:val="21"/>
                <w14:textFill>
                  <w14:solidFill>
                    <w14:schemeClr w14:val="tx1"/>
                  </w14:solidFill>
                </w14:textFill>
              </w:rPr>
              <w:t>具备管理员、教师、学生三种角色权限，</w:t>
            </w:r>
            <w:r>
              <w:rPr>
                <w:rFonts w:hint="eastAsia" w:ascii="宋体" w:hAnsi="宋体" w:eastAsia="宋体" w:cs="宋体"/>
                <w:b/>
                <w:bCs/>
                <w:color w:val="000000" w:themeColor="text1"/>
                <w:szCs w:val="21"/>
                <w:lang w:val="en-US" w:eastAsia="zh-CN"/>
                <w14:textFill>
                  <w14:solidFill>
                    <w14:schemeClr w14:val="tx1"/>
                  </w14:solidFill>
                </w14:textFill>
              </w:rPr>
              <w:t>每种角色权限具备不同的功能；同时支持超级管理员根据需要创建新角色并设置新角色功能权限；调整现有教师、学生角色功能。</w:t>
            </w:r>
          </w:p>
          <w:p w14:paraId="1B970E0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rPr>
                <w:rFonts w:hint="eastAsia" w:ascii="宋体" w:hAnsi="宋体" w:eastAsia="宋体" w:cs="宋体"/>
                <w:color w:val="000000" w:themeColor="text1"/>
                <w:szCs w:val="21"/>
                <w14:textFill>
                  <w14:solidFill>
                    <w14:schemeClr w14:val="tx1"/>
                  </w14:solidFill>
                </w14:textFill>
              </w:rPr>
            </w:pPr>
            <w:r>
              <w:rPr>
                <w:rFonts w:hint="default" w:ascii="宋体" w:hAnsi="宋体" w:eastAsia="宋体" w:cs="宋体"/>
                <w:color w:val="000000" w:themeColor="text1"/>
                <w:kern w:val="2"/>
                <w:sz w:val="21"/>
                <w:szCs w:val="21"/>
                <w:lang w:val="en-US" w:eastAsia="zh-CN" w:bidi="ar-SA"/>
                <w14:textFill>
                  <w14:solidFill>
                    <w14:schemeClr w14:val="tx1"/>
                  </w14:solidFill>
                </w14:textFill>
              </w:rPr>
              <w:t>3．</w:t>
            </w:r>
            <w:r>
              <w:rPr>
                <w:rFonts w:hint="eastAsia" w:ascii="宋体" w:hAnsi="宋体" w:eastAsia="宋体" w:cs="宋体"/>
                <w:color w:val="000000" w:themeColor="text1"/>
                <w:szCs w:val="21"/>
                <w:lang w:val="en-US" w:eastAsia="zh-CN"/>
                <w14:textFill>
                  <w14:solidFill>
                    <w14:schemeClr w14:val="tx1"/>
                  </w14:solidFill>
                </w14:textFill>
              </w:rPr>
              <w:t>管理员角色须支持用户管理，</w:t>
            </w:r>
            <w:r>
              <w:rPr>
                <w:rFonts w:hint="eastAsia" w:ascii="宋体" w:hAnsi="宋体" w:eastAsia="宋体" w:cs="宋体"/>
                <w:color w:val="000000" w:themeColor="text1"/>
                <w:szCs w:val="21"/>
                <w14:textFill>
                  <w14:solidFill>
                    <w14:schemeClr w14:val="tx1"/>
                  </w14:solidFill>
                </w14:textFill>
              </w:rPr>
              <w:t>支持</w:t>
            </w:r>
            <w:r>
              <w:rPr>
                <w:rFonts w:hint="eastAsia" w:ascii="宋体" w:hAnsi="宋体" w:eastAsia="宋体" w:cs="宋体"/>
                <w:color w:val="000000" w:themeColor="text1"/>
                <w:szCs w:val="21"/>
                <w:lang w:val="en-US" w:eastAsia="zh-CN"/>
                <w14:textFill>
                  <w14:solidFill>
                    <w14:schemeClr w14:val="tx1"/>
                  </w14:solidFill>
                </w14:textFill>
              </w:rPr>
              <w:t>用</w:t>
            </w:r>
            <w:r>
              <w:rPr>
                <w:rFonts w:hint="eastAsia" w:ascii="宋体" w:hAnsi="宋体" w:eastAsia="宋体" w:cs="宋体"/>
                <w:color w:val="000000" w:themeColor="text1"/>
                <w:szCs w:val="21"/>
                <w14:textFill>
                  <w14:solidFill>
                    <w14:schemeClr w14:val="tx1"/>
                  </w14:solidFill>
                </w14:textFill>
              </w:rPr>
              <w:t>户账号</w:t>
            </w:r>
            <w:r>
              <w:rPr>
                <w:rFonts w:hint="eastAsia" w:ascii="宋体" w:hAnsi="宋体" w:eastAsia="宋体" w:cs="宋体"/>
                <w:color w:val="000000" w:themeColor="text1"/>
                <w:szCs w:val="21"/>
                <w:lang w:val="en-US" w:eastAsia="zh-CN"/>
                <w14:textFill>
                  <w14:solidFill>
                    <w14:schemeClr w14:val="tx1"/>
                  </w14:solidFill>
                </w14:textFill>
              </w:rPr>
              <w:t>单个导入</w:t>
            </w:r>
            <w:r>
              <w:rPr>
                <w:rFonts w:hint="eastAsia" w:ascii="宋体" w:hAnsi="宋体" w:eastAsia="宋体" w:cs="宋体"/>
                <w:color w:val="000000" w:themeColor="text1"/>
                <w:szCs w:val="21"/>
                <w14:textFill>
                  <w14:solidFill>
                    <w14:schemeClr w14:val="tx1"/>
                  </w14:solidFill>
                </w14:textFill>
              </w:rPr>
              <w:t>和多个用户账号模式批量导入</w:t>
            </w:r>
            <w:r>
              <w:rPr>
                <w:rFonts w:hint="eastAsia" w:ascii="宋体" w:hAnsi="宋体" w:eastAsia="宋体" w:cs="宋体"/>
                <w:color w:val="000000" w:themeColor="text1"/>
                <w:szCs w:val="21"/>
                <w:lang w:eastAsia="zh-CN"/>
                <w14:textFill>
                  <w14:solidFill>
                    <w14:schemeClr w14:val="tx1"/>
                  </w14:solidFill>
                </w14:textFill>
              </w:rPr>
              <w:t>。</w:t>
            </w:r>
          </w:p>
          <w:p w14:paraId="388A2DF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rPr>
                <w:rFonts w:hint="eastAsia" w:ascii="宋体" w:hAnsi="宋体" w:eastAsia="宋体" w:cs="宋体"/>
                <w:color w:val="000000" w:themeColor="text1"/>
                <w:szCs w:val="21"/>
                <w14:textFill>
                  <w14:solidFill>
                    <w14:schemeClr w14:val="tx1"/>
                  </w14:solidFill>
                </w14:textFill>
              </w:rPr>
            </w:pPr>
            <w:r>
              <w:rPr>
                <w:rFonts w:hint="default" w:ascii="宋体" w:hAnsi="宋体" w:eastAsia="宋体" w:cs="宋体"/>
                <w:color w:val="000000" w:themeColor="text1"/>
                <w:kern w:val="2"/>
                <w:sz w:val="21"/>
                <w:szCs w:val="21"/>
                <w:lang w:val="en-US" w:eastAsia="zh-CN" w:bidi="ar-SA"/>
                <w14:textFill>
                  <w14:solidFill>
                    <w14:schemeClr w14:val="tx1"/>
                  </w14:solidFill>
                </w14:textFill>
              </w:rPr>
              <w:t>4．</w:t>
            </w:r>
            <w:r>
              <w:rPr>
                <w:rFonts w:hint="eastAsia" w:ascii="宋体" w:hAnsi="宋体" w:eastAsia="宋体" w:cs="宋体"/>
                <w:color w:val="000000" w:themeColor="text1"/>
                <w:szCs w:val="21"/>
                <w:lang w:val="en-US" w:eastAsia="zh-CN"/>
                <w14:textFill>
                  <w14:solidFill>
                    <w14:schemeClr w14:val="tx1"/>
                  </w14:solidFill>
                </w14:textFill>
              </w:rPr>
              <w:t>管理员角色须支持试题资源的分类以及添加试题，题目类型支持单选题、多选题、填空题。</w:t>
            </w:r>
          </w:p>
          <w:p w14:paraId="1015DCC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rPr>
                <w:rFonts w:hint="eastAsia" w:ascii="宋体" w:hAnsi="宋体" w:eastAsia="宋体" w:cs="宋体"/>
                <w:color w:val="000000" w:themeColor="text1"/>
                <w:szCs w:val="21"/>
                <w14:textFill>
                  <w14:solidFill>
                    <w14:schemeClr w14:val="tx1"/>
                  </w14:solidFill>
                </w14:textFill>
              </w:rPr>
            </w:pPr>
            <w:r>
              <w:rPr>
                <w:rFonts w:hint="default" w:ascii="宋体" w:hAnsi="宋体" w:eastAsia="宋体" w:cs="宋体"/>
                <w:color w:val="000000" w:themeColor="text1"/>
                <w:kern w:val="2"/>
                <w:sz w:val="21"/>
                <w:szCs w:val="21"/>
                <w:lang w:val="en-US" w:eastAsia="zh-CN" w:bidi="ar-SA"/>
                <w14:textFill>
                  <w14:solidFill>
                    <w14:schemeClr w14:val="tx1"/>
                  </w14:solidFill>
                </w14:textFill>
              </w:rPr>
              <w:t>5．</w:t>
            </w:r>
            <w:r>
              <w:rPr>
                <w:rFonts w:hint="eastAsia" w:ascii="宋体" w:hAnsi="宋体" w:eastAsia="宋体" w:cs="宋体"/>
                <w:color w:val="000000" w:themeColor="text1"/>
                <w:szCs w:val="21"/>
                <w:lang w:val="en-US" w:eastAsia="zh-CN"/>
                <w14:textFill>
                  <w14:solidFill>
                    <w14:schemeClr w14:val="tx1"/>
                  </w14:solidFill>
                </w14:textFill>
              </w:rPr>
              <w:t>教师角色须支持试卷管理，可以根据需要创建、删除、修改试卷。</w:t>
            </w:r>
          </w:p>
          <w:p w14:paraId="0D72A41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rPr>
                <w:rFonts w:hint="eastAsia" w:ascii="宋体" w:hAnsi="宋体" w:eastAsia="宋体" w:cs="宋体"/>
                <w:spacing w:val="7"/>
                <w:sz w:val="21"/>
                <w:szCs w:val="21"/>
              </w:rPr>
            </w:pPr>
            <w:r>
              <w:rPr>
                <w:rFonts w:hint="default" w:ascii="宋体" w:hAnsi="宋体" w:eastAsia="宋体" w:cs="宋体"/>
                <w:spacing w:val="7"/>
                <w:kern w:val="2"/>
                <w:sz w:val="21"/>
                <w:szCs w:val="21"/>
                <w:lang w:val="en-US" w:eastAsia="zh-CN" w:bidi="ar-SA"/>
              </w:rPr>
              <w:t>6．</w:t>
            </w:r>
            <w:r>
              <w:rPr>
                <w:rFonts w:hint="eastAsia" w:ascii="宋体" w:hAnsi="宋体" w:eastAsia="宋体" w:cs="宋体"/>
                <w:color w:val="000000" w:themeColor="text1"/>
                <w:szCs w:val="21"/>
                <w14:textFill>
                  <w14:solidFill>
                    <w14:schemeClr w14:val="tx1"/>
                  </w14:solidFill>
                </w14:textFill>
              </w:rPr>
              <w:t>教师角色须支持发起</w:t>
            </w:r>
            <w:r>
              <w:rPr>
                <w:rFonts w:hint="eastAsia" w:ascii="宋体" w:hAnsi="宋体" w:eastAsia="宋体" w:cs="宋体"/>
                <w:color w:val="000000" w:themeColor="text1"/>
                <w:szCs w:val="21"/>
                <w:lang w:val="en-US" w:eastAsia="zh-CN"/>
                <w14:textFill>
                  <w14:solidFill>
                    <w14:schemeClr w14:val="tx1"/>
                  </w14:solidFill>
                </w14:textFill>
              </w:rPr>
              <w:t>理论评价、虚仿评价</w:t>
            </w:r>
            <w:r>
              <w:rPr>
                <w:rFonts w:hint="eastAsia" w:ascii="宋体" w:hAnsi="宋体" w:eastAsia="宋体" w:cs="宋体"/>
                <w:color w:val="000000" w:themeColor="text1"/>
                <w:szCs w:val="21"/>
                <w14:textFill>
                  <w14:solidFill>
                    <w14:schemeClr w14:val="tx1"/>
                  </w14:solidFill>
                </w14:textFill>
              </w:rPr>
              <w:t>，支持设置</w:t>
            </w:r>
            <w:r>
              <w:rPr>
                <w:rFonts w:hint="eastAsia" w:ascii="宋体" w:hAnsi="宋体" w:eastAsia="宋体" w:cs="宋体"/>
                <w:color w:val="000000" w:themeColor="text1"/>
                <w:szCs w:val="21"/>
                <w:lang w:val="en-US" w:eastAsia="zh-CN"/>
                <w14:textFill>
                  <w14:solidFill>
                    <w14:schemeClr w14:val="tx1"/>
                  </w14:solidFill>
                </w14:textFill>
              </w:rPr>
              <w:t>评价名称、时长、选择人员。</w:t>
            </w:r>
          </w:p>
          <w:p w14:paraId="7107255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rPr>
                <w:rFonts w:hint="eastAsia" w:ascii="宋体" w:hAnsi="宋体" w:eastAsia="宋体" w:cs="宋体"/>
                <w:spacing w:val="7"/>
                <w:sz w:val="21"/>
                <w:szCs w:val="21"/>
              </w:rPr>
            </w:pPr>
            <w:r>
              <w:rPr>
                <w:rFonts w:hint="default" w:ascii="宋体" w:hAnsi="宋体" w:eastAsia="宋体" w:cs="宋体"/>
                <w:spacing w:val="7"/>
                <w:kern w:val="2"/>
                <w:sz w:val="21"/>
                <w:szCs w:val="21"/>
                <w:lang w:val="en-US" w:eastAsia="zh-CN" w:bidi="ar-SA"/>
              </w:rPr>
              <w:t>7．</w:t>
            </w:r>
            <w:r>
              <w:rPr>
                <w:rFonts w:hint="eastAsia" w:ascii="宋体" w:hAnsi="宋体" w:eastAsia="宋体" w:cs="宋体"/>
                <w:spacing w:val="7"/>
                <w:sz w:val="21"/>
                <w:szCs w:val="21"/>
                <w:lang w:val="en-US" w:eastAsia="zh-CN"/>
              </w:rPr>
              <w:t>教师角色须支持脚本管理，支持试题管理即将理论题目嵌入虚仿程序中，在虚仿考核中进行作答。</w:t>
            </w:r>
          </w:p>
          <w:p w14:paraId="6C2523B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rPr>
                <w:rFonts w:hint="eastAsia" w:ascii="宋体" w:hAnsi="宋体" w:eastAsia="宋体" w:cs="宋体"/>
                <w:spacing w:val="7"/>
                <w:sz w:val="21"/>
                <w:szCs w:val="21"/>
              </w:rPr>
            </w:pPr>
            <w:r>
              <w:rPr>
                <w:rFonts w:hint="default" w:ascii="宋体" w:hAnsi="宋体" w:eastAsia="宋体" w:cs="宋体"/>
                <w:spacing w:val="7"/>
                <w:kern w:val="2"/>
                <w:sz w:val="21"/>
                <w:szCs w:val="21"/>
                <w:lang w:val="en-US" w:eastAsia="zh-CN" w:bidi="ar-SA"/>
              </w:rPr>
              <w:t>8．</w:t>
            </w:r>
            <w:r>
              <w:rPr>
                <w:rFonts w:hint="eastAsia" w:ascii="宋体" w:hAnsi="宋体" w:eastAsia="宋体" w:cs="宋体"/>
                <w:spacing w:val="7"/>
                <w:sz w:val="21"/>
                <w:szCs w:val="21"/>
                <w:lang w:val="en-US" w:eastAsia="zh-CN"/>
              </w:rPr>
              <w:t>教师端须具有看板功能，查看学生的任务完成情况、考试成绩、积分排行榜。</w:t>
            </w:r>
          </w:p>
          <w:p w14:paraId="759418C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rPr>
                <w:rFonts w:hint="eastAsia" w:ascii="宋体" w:hAnsi="宋体" w:eastAsia="宋体" w:cs="宋体"/>
                <w:color w:val="000000" w:themeColor="text1"/>
                <w:szCs w:val="21"/>
                <w14:textFill>
                  <w14:solidFill>
                    <w14:schemeClr w14:val="tx1"/>
                  </w14:solidFill>
                </w14:textFill>
              </w:rPr>
            </w:pPr>
            <w:r>
              <w:rPr>
                <w:rFonts w:hint="default" w:ascii="宋体" w:hAnsi="宋体" w:eastAsia="宋体" w:cs="宋体"/>
                <w:color w:val="000000" w:themeColor="text1"/>
                <w:kern w:val="2"/>
                <w:sz w:val="21"/>
                <w:szCs w:val="21"/>
                <w:lang w:val="en-US" w:eastAsia="zh-CN" w:bidi="ar-SA"/>
                <w14:textFill>
                  <w14:solidFill>
                    <w14:schemeClr w14:val="tx1"/>
                  </w14:solidFill>
                </w14:textFill>
              </w:rPr>
              <w:t>9．</w:t>
            </w:r>
            <w:r>
              <w:rPr>
                <w:rFonts w:hint="eastAsia" w:ascii="宋体" w:hAnsi="宋体" w:eastAsia="宋体" w:cs="宋体"/>
                <w:color w:val="000000" w:themeColor="text1"/>
                <w:szCs w:val="21"/>
                <w14:textFill>
                  <w14:solidFill>
                    <w14:schemeClr w14:val="tx1"/>
                  </w14:solidFill>
                </w14:textFill>
              </w:rPr>
              <w:t>学生角色须支持接收和执行教师发布的</w:t>
            </w:r>
            <w:r>
              <w:rPr>
                <w:rFonts w:hint="eastAsia" w:ascii="宋体" w:hAnsi="宋体" w:eastAsia="宋体" w:cs="宋体"/>
                <w:color w:val="000000" w:themeColor="text1"/>
                <w:szCs w:val="21"/>
                <w:lang w:val="en-US" w:eastAsia="zh-CN"/>
                <w14:textFill>
                  <w14:solidFill>
                    <w14:schemeClr w14:val="tx1"/>
                  </w14:solidFill>
                </w14:textFill>
              </w:rPr>
              <w:t>评价</w:t>
            </w:r>
            <w:r>
              <w:rPr>
                <w:rFonts w:hint="eastAsia" w:ascii="宋体" w:hAnsi="宋体" w:eastAsia="宋体" w:cs="宋体"/>
                <w:color w:val="000000" w:themeColor="text1"/>
                <w:szCs w:val="21"/>
                <w14:textFill>
                  <w14:solidFill>
                    <w14:schemeClr w14:val="tx1"/>
                  </w14:solidFill>
                </w14:textFill>
              </w:rPr>
              <w:t>；学生可以查看自己学习情况。</w:t>
            </w:r>
          </w:p>
          <w:p w14:paraId="753E7FC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rPr>
                <w:rFonts w:hint="eastAsia" w:ascii="宋体" w:hAnsi="宋体" w:eastAsia="宋体" w:cs="宋体"/>
                <w:color w:val="000000" w:themeColor="text1"/>
                <w:szCs w:val="21"/>
                <w14:textFill>
                  <w14:solidFill>
                    <w14:schemeClr w14:val="tx1"/>
                  </w14:solidFill>
                </w14:textFill>
              </w:rPr>
            </w:pPr>
            <w:r>
              <w:rPr>
                <w:rFonts w:hint="default" w:ascii="宋体" w:hAnsi="宋体" w:eastAsia="宋体" w:cs="宋体"/>
                <w:color w:val="000000" w:themeColor="text1"/>
                <w:kern w:val="2"/>
                <w:sz w:val="21"/>
                <w:szCs w:val="21"/>
                <w:lang w:val="en-US" w:eastAsia="zh-CN" w:bidi="ar-SA"/>
                <w14:textFill>
                  <w14:solidFill>
                    <w14:schemeClr w14:val="tx1"/>
                  </w14:solidFill>
                </w14:textFill>
              </w:rPr>
              <w:t>10．</w:t>
            </w:r>
            <w:r>
              <w:rPr>
                <w:rFonts w:hint="eastAsia" w:ascii="宋体" w:hAnsi="宋体" w:eastAsia="宋体" w:cs="宋体"/>
                <w:color w:val="000000" w:themeColor="text1"/>
                <w:szCs w:val="21"/>
                <w14:textFill>
                  <w14:solidFill>
                    <w14:schemeClr w14:val="tx1"/>
                  </w14:solidFill>
                </w14:textFill>
              </w:rPr>
              <w:t>学生角色须包含</w:t>
            </w:r>
            <w:r>
              <w:rPr>
                <w:rFonts w:hint="eastAsia" w:ascii="宋体" w:hAnsi="宋体" w:eastAsia="宋体" w:cs="宋体"/>
                <w:color w:val="000000" w:themeColor="text1"/>
                <w:szCs w:val="21"/>
                <w:lang w:val="en-US" w:eastAsia="zh-CN"/>
                <w14:textFill>
                  <w14:solidFill>
                    <w14:schemeClr w14:val="tx1"/>
                  </w14:solidFill>
                </w14:textFill>
              </w:rPr>
              <w:t>虚仿实训模式</w:t>
            </w:r>
            <w:r>
              <w:rPr>
                <w:rFonts w:hint="eastAsia" w:ascii="宋体" w:hAnsi="宋体" w:eastAsia="宋体" w:cs="宋体"/>
                <w:color w:val="000000" w:themeColor="text1"/>
                <w:szCs w:val="21"/>
                <w14:textFill>
                  <w14:solidFill>
                    <w14:schemeClr w14:val="tx1"/>
                  </w14:solidFill>
                </w14:textFill>
              </w:rPr>
              <w:t>。启动仿真实训后，虚拟仿真操作中应具备文字引导，操作步骤可按需任意跳转，所有虚拟仿真操作均具备操作提示，用户可通过点击操作提示按钮得到正确操作步骤提示。</w:t>
            </w:r>
          </w:p>
          <w:p w14:paraId="2B2DB0E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rPr>
                <w:rFonts w:hint="eastAsia" w:ascii="宋体" w:hAnsi="宋体" w:eastAsia="宋体" w:cs="宋体"/>
                <w:color w:val="000000" w:themeColor="text1"/>
                <w:szCs w:val="21"/>
                <w14:textFill>
                  <w14:solidFill>
                    <w14:schemeClr w14:val="tx1"/>
                  </w14:solidFill>
                </w14:textFill>
              </w:rPr>
            </w:pPr>
            <w:r>
              <w:rPr>
                <w:rFonts w:hint="default" w:ascii="宋体" w:hAnsi="宋体" w:eastAsia="宋体" w:cs="宋体"/>
                <w:color w:val="000000" w:themeColor="text1"/>
                <w:kern w:val="2"/>
                <w:sz w:val="21"/>
                <w:szCs w:val="21"/>
                <w:lang w:val="en-US" w:eastAsia="zh-CN" w:bidi="ar-SA"/>
                <w14:textFill>
                  <w14:solidFill>
                    <w14:schemeClr w14:val="tx1"/>
                  </w14:solidFill>
                </w14:textFill>
              </w:rPr>
              <w:t>11．</w:t>
            </w:r>
            <w:r>
              <w:rPr>
                <w:rFonts w:hint="eastAsia" w:ascii="宋体" w:hAnsi="宋体" w:eastAsia="宋体" w:cs="宋体"/>
                <w:color w:val="000000" w:themeColor="text1"/>
                <w:szCs w:val="21"/>
                <w:lang w:val="en-US" w:eastAsia="zh-CN"/>
                <w14:textFill>
                  <w14:solidFill>
                    <w14:schemeClr w14:val="tx1"/>
                  </w14:solidFill>
                </w14:textFill>
              </w:rPr>
              <w:t>虚拟仿真资源须包含检测项目检测、案例实训两个模块。</w:t>
            </w:r>
          </w:p>
          <w:p w14:paraId="2E0194B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w:t>
            </w:r>
            <w:r>
              <w:rPr>
                <w:rFonts w:hint="default" w:ascii="宋体" w:hAnsi="宋体" w:eastAsia="宋体" w:cs="宋体"/>
                <w:b/>
                <w:bCs/>
                <w:color w:val="000000" w:themeColor="text1"/>
                <w:kern w:val="2"/>
                <w:sz w:val="21"/>
                <w:szCs w:val="21"/>
                <w:lang w:val="en-US" w:eastAsia="zh-CN" w:bidi="ar-SA"/>
                <w14:textFill>
                  <w14:solidFill>
                    <w14:schemeClr w14:val="tx1"/>
                  </w14:solidFill>
                </w14:textFill>
              </w:rPr>
              <w:t>12．</w:t>
            </w:r>
            <w:r>
              <w:rPr>
                <w:rFonts w:hint="eastAsia" w:ascii="宋体" w:hAnsi="宋体" w:eastAsia="宋体" w:cs="宋体"/>
                <w:b/>
                <w:bCs/>
                <w:color w:val="000000" w:themeColor="text1"/>
                <w:szCs w:val="21"/>
                <w:lang w:val="en-US" w:eastAsia="zh-CN"/>
                <w14:textFill>
                  <w14:solidFill>
                    <w14:schemeClr w14:val="tx1"/>
                  </w14:solidFill>
                </w14:textFill>
              </w:rPr>
              <w:t>检测项目检测</w:t>
            </w:r>
          </w:p>
          <w:tbl>
            <w:tblPr>
              <w:tblStyle w:val="47"/>
              <w:tblW w:w="0" w:type="auto"/>
              <w:tblInd w:w="96" w:type="dxa"/>
              <w:tblLayout w:type="fixed"/>
              <w:tblCellMar>
                <w:top w:w="0" w:type="dxa"/>
                <w:left w:w="108" w:type="dxa"/>
                <w:bottom w:w="0" w:type="dxa"/>
                <w:right w:w="108" w:type="dxa"/>
              </w:tblCellMar>
            </w:tblPr>
            <w:tblGrid>
              <w:gridCol w:w="936"/>
              <w:gridCol w:w="1278"/>
              <w:gridCol w:w="6807"/>
            </w:tblGrid>
            <w:tr w14:paraId="7F40B311">
              <w:tblPrEx>
                <w:tblCellMar>
                  <w:top w:w="0" w:type="dxa"/>
                  <w:left w:w="108" w:type="dxa"/>
                  <w:bottom w:w="0" w:type="dxa"/>
                  <w:right w:w="108" w:type="dxa"/>
                </w:tblCellMar>
              </w:tblPrEx>
              <w:trPr>
                <w:trHeight w:val="23" w:hRule="atLeast"/>
              </w:trPr>
              <w:tc>
                <w:tcPr>
                  <w:tcW w:w="841" w:type="dxa"/>
                  <w:tcBorders>
                    <w:top w:val="single" w:color="000000" w:sz="4" w:space="0"/>
                    <w:left w:val="single" w:color="000000" w:sz="4" w:space="0"/>
                    <w:bottom w:val="single" w:color="000000" w:sz="4" w:space="0"/>
                    <w:right w:val="single" w:color="000000" w:sz="4" w:space="0"/>
                  </w:tcBorders>
                  <w:vAlign w:val="center"/>
                </w:tcPr>
                <w:p w14:paraId="5D241C2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bidi="ar"/>
                    </w:rPr>
                    <w:t>结构类型</w:t>
                  </w:r>
                </w:p>
              </w:tc>
              <w:tc>
                <w:tcPr>
                  <w:tcW w:w="1278" w:type="dxa"/>
                  <w:tcBorders>
                    <w:top w:val="single" w:color="000000" w:sz="4" w:space="0"/>
                    <w:left w:val="single" w:color="000000" w:sz="4" w:space="0"/>
                    <w:bottom w:val="single" w:color="000000" w:sz="4" w:space="0"/>
                    <w:right w:val="single" w:color="000000" w:sz="4" w:space="0"/>
                  </w:tcBorders>
                  <w:vAlign w:val="center"/>
                </w:tcPr>
                <w:p w14:paraId="5EDE1BC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bidi="ar"/>
                    </w:rPr>
                    <w:t>检测项目</w:t>
                  </w:r>
                </w:p>
              </w:tc>
              <w:tc>
                <w:tcPr>
                  <w:tcW w:w="6807" w:type="dxa"/>
                  <w:tcBorders>
                    <w:top w:val="single" w:color="000000" w:sz="4" w:space="0"/>
                    <w:left w:val="single" w:color="000000" w:sz="4" w:space="0"/>
                    <w:bottom w:val="single" w:color="000000" w:sz="4" w:space="0"/>
                    <w:right w:val="single" w:color="000000" w:sz="4" w:space="0"/>
                  </w:tcBorders>
                  <w:vAlign w:val="center"/>
                </w:tcPr>
                <w:p w14:paraId="66EBAE5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bidi="ar"/>
                    </w:rPr>
                    <w:t>检测分项（检测参数）</w:t>
                  </w:r>
                </w:p>
              </w:tc>
            </w:tr>
            <w:tr w14:paraId="2D3DA0CA">
              <w:tblPrEx>
                <w:tblCellMar>
                  <w:top w:w="0" w:type="dxa"/>
                  <w:left w:w="108" w:type="dxa"/>
                  <w:bottom w:w="0" w:type="dxa"/>
                  <w:right w:w="108" w:type="dxa"/>
                </w:tblCellMar>
              </w:tblPrEx>
              <w:trPr>
                <w:trHeight w:val="23" w:hRule="atLeast"/>
              </w:trPr>
              <w:tc>
                <w:tcPr>
                  <w:tcW w:w="936" w:type="dxa"/>
                  <w:vMerge w:val="restart"/>
                  <w:tcBorders>
                    <w:top w:val="single" w:color="000000" w:sz="4" w:space="0"/>
                    <w:left w:val="single" w:color="000000" w:sz="4" w:space="0"/>
                    <w:right w:val="single" w:color="000000" w:sz="4" w:space="0"/>
                  </w:tcBorders>
                  <w:vAlign w:val="center"/>
                </w:tcPr>
                <w:p w14:paraId="6247221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r>
                    <w:rPr>
                      <w:rFonts w:hint="eastAsia" w:ascii="宋体" w:hAnsi="宋体" w:eastAsia="宋体" w:cs="宋体"/>
                      <w:color w:val="000000"/>
                      <w:sz w:val="21"/>
                      <w:szCs w:val="21"/>
                    </w:rPr>
                    <w:t>混凝土结构</w:t>
                  </w:r>
                </w:p>
              </w:tc>
              <w:tc>
                <w:tcPr>
                  <w:tcW w:w="1278" w:type="dxa"/>
                  <w:vMerge w:val="restart"/>
                  <w:tcBorders>
                    <w:top w:val="single" w:color="000000" w:sz="4" w:space="0"/>
                    <w:left w:val="single" w:color="000000" w:sz="4" w:space="0"/>
                    <w:bottom w:val="single" w:color="000000" w:sz="4" w:space="0"/>
                    <w:right w:val="single" w:color="000000" w:sz="4" w:space="0"/>
                  </w:tcBorders>
                  <w:vAlign w:val="center"/>
                </w:tcPr>
                <w:p w14:paraId="2E00D8E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构件材料检测</w:t>
                  </w:r>
                </w:p>
              </w:tc>
              <w:tc>
                <w:tcPr>
                  <w:tcW w:w="6807" w:type="dxa"/>
                  <w:tcBorders>
                    <w:top w:val="single" w:color="000000" w:sz="4" w:space="0"/>
                    <w:left w:val="single" w:color="000000" w:sz="4" w:space="0"/>
                    <w:bottom w:val="single" w:color="000000" w:sz="4" w:space="0"/>
                    <w:right w:val="single" w:color="000000" w:sz="4" w:space="0"/>
                  </w:tcBorders>
                  <w:vAlign w:val="center"/>
                </w:tcPr>
                <w:p w14:paraId="3123B4D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混凝土抗压强度（回弹法）</w:t>
                  </w:r>
                </w:p>
              </w:tc>
            </w:tr>
            <w:tr w14:paraId="76A91E89">
              <w:tblPrEx>
                <w:tblCellMar>
                  <w:top w:w="0" w:type="dxa"/>
                  <w:left w:w="108" w:type="dxa"/>
                  <w:bottom w:w="0" w:type="dxa"/>
                  <w:right w:w="108" w:type="dxa"/>
                </w:tblCellMar>
              </w:tblPrEx>
              <w:trPr>
                <w:trHeight w:val="23" w:hRule="atLeast"/>
              </w:trPr>
              <w:tc>
                <w:tcPr>
                  <w:tcW w:w="936" w:type="dxa"/>
                  <w:vMerge w:val="continue"/>
                  <w:tcBorders>
                    <w:left w:val="single" w:color="000000" w:sz="4" w:space="0"/>
                    <w:right w:val="single" w:color="000000" w:sz="4" w:space="0"/>
                  </w:tcBorders>
                  <w:vAlign w:val="center"/>
                </w:tcPr>
                <w:p w14:paraId="68896B8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p>
              </w:tc>
              <w:tc>
                <w:tcPr>
                  <w:tcW w:w="1278" w:type="dxa"/>
                  <w:vMerge w:val="continue"/>
                  <w:tcBorders>
                    <w:top w:val="single" w:color="000000" w:sz="4" w:space="0"/>
                    <w:left w:val="single" w:color="000000" w:sz="4" w:space="0"/>
                    <w:bottom w:val="single" w:color="000000" w:sz="4" w:space="0"/>
                    <w:right w:val="single" w:color="000000" w:sz="4" w:space="0"/>
                  </w:tcBorders>
                  <w:vAlign w:val="center"/>
                </w:tcPr>
                <w:p w14:paraId="0DF1005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p>
              </w:tc>
              <w:tc>
                <w:tcPr>
                  <w:tcW w:w="6807" w:type="dxa"/>
                  <w:tcBorders>
                    <w:top w:val="single" w:color="000000" w:sz="4" w:space="0"/>
                    <w:left w:val="single" w:color="000000" w:sz="4" w:space="0"/>
                    <w:bottom w:val="single" w:color="000000" w:sz="4" w:space="0"/>
                    <w:right w:val="single" w:color="000000" w:sz="4" w:space="0"/>
                  </w:tcBorders>
                  <w:vAlign w:val="center"/>
                </w:tcPr>
                <w:p w14:paraId="45B85B4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混凝土抗压强度（超声-回弹综合法）</w:t>
                  </w:r>
                </w:p>
              </w:tc>
            </w:tr>
            <w:tr w14:paraId="7117C8E9">
              <w:tblPrEx>
                <w:tblCellMar>
                  <w:top w:w="0" w:type="dxa"/>
                  <w:left w:w="108" w:type="dxa"/>
                  <w:bottom w:w="0" w:type="dxa"/>
                  <w:right w:w="108" w:type="dxa"/>
                </w:tblCellMar>
              </w:tblPrEx>
              <w:trPr>
                <w:trHeight w:val="23" w:hRule="atLeast"/>
              </w:trPr>
              <w:tc>
                <w:tcPr>
                  <w:tcW w:w="936" w:type="dxa"/>
                  <w:vMerge w:val="continue"/>
                  <w:tcBorders>
                    <w:left w:val="single" w:color="000000" w:sz="4" w:space="0"/>
                    <w:right w:val="single" w:color="000000" w:sz="4" w:space="0"/>
                  </w:tcBorders>
                  <w:vAlign w:val="center"/>
                </w:tcPr>
                <w:p w14:paraId="275A363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p>
              </w:tc>
              <w:tc>
                <w:tcPr>
                  <w:tcW w:w="1278" w:type="dxa"/>
                  <w:vMerge w:val="continue"/>
                  <w:tcBorders>
                    <w:top w:val="single" w:color="000000" w:sz="4" w:space="0"/>
                    <w:left w:val="single" w:color="000000" w:sz="4" w:space="0"/>
                    <w:bottom w:val="single" w:color="000000" w:sz="4" w:space="0"/>
                    <w:right w:val="single" w:color="000000" w:sz="4" w:space="0"/>
                  </w:tcBorders>
                  <w:vAlign w:val="center"/>
                </w:tcPr>
                <w:p w14:paraId="71C0300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p>
              </w:tc>
              <w:tc>
                <w:tcPr>
                  <w:tcW w:w="6807" w:type="dxa"/>
                  <w:tcBorders>
                    <w:top w:val="single" w:color="000000" w:sz="4" w:space="0"/>
                    <w:left w:val="single" w:color="000000" w:sz="4" w:space="0"/>
                    <w:bottom w:val="single" w:color="000000" w:sz="4" w:space="0"/>
                    <w:right w:val="single" w:color="000000" w:sz="4" w:space="0"/>
                  </w:tcBorders>
                  <w:vAlign w:val="center"/>
                </w:tcPr>
                <w:p w14:paraId="163178E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混凝土劈裂抗拉强度（后装拔出法）</w:t>
                  </w:r>
                </w:p>
              </w:tc>
            </w:tr>
            <w:tr w14:paraId="32BFFC5F">
              <w:tblPrEx>
                <w:tblCellMar>
                  <w:top w:w="0" w:type="dxa"/>
                  <w:left w:w="108" w:type="dxa"/>
                  <w:bottom w:w="0" w:type="dxa"/>
                  <w:right w:w="108" w:type="dxa"/>
                </w:tblCellMar>
              </w:tblPrEx>
              <w:trPr>
                <w:trHeight w:val="23" w:hRule="atLeast"/>
              </w:trPr>
              <w:tc>
                <w:tcPr>
                  <w:tcW w:w="936" w:type="dxa"/>
                  <w:vMerge w:val="continue"/>
                  <w:tcBorders>
                    <w:left w:val="single" w:color="000000" w:sz="4" w:space="0"/>
                    <w:right w:val="single" w:color="000000" w:sz="4" w:space="0"/>
                  </w:tcBorders>
                  <w:vAlign w:val="center"/>
                </w:tcPr>
                <w:p w14:paraId="265F5AA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p>
              </w:tc>
              <w:tc>
                <w:tcPr>
                  <w:tcW w:w="1278" w:type="dxa"/>
                  <w:vMerge w:val="continue"/>
                  <w:tcBorders>
                    <w:top w:val="single" w:color="000000" w:sz="4" w:space="0"/>
                    <w:left w:val="single" w:color="000000" w:sz="4" w:space="0"/>
                    <w:bottom w:val="single" w:color="000000" w:sz="4" w:space="0"/>
                    <w:right w:val="single" w:color="000000" w:sz="4" w:space="0"/>
                  </w:tcBorders>
                  <w:vAlign w:val="center"/>
                </w:tcPr>
                <w:p w14:paraId="455C895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p>
              </w:tc>
              <w:tc>
                <w:tcPr>
                  <w:tcW w:w="6807" w:type="dxa"/>
                  <w:tcBorders>
                    <w:top w:val="single" w:color="000000" w:sz="4" w:space="0"/>
                    <w:left w:val="single" w:color="000000" w:sz="4" w:space="0"/>
                    <w:bottom w:val="single" w:color="000000" w:sz="4" w:space="0"/>
                    <w:right w:val="single" w:color="000000" w:sz="4" w:space="0"/>
                  </w:tcBorders>
                  <w:vAlign w:val="center"/>
                </w:tcPr>
                <w:p w14:paraId="594A183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混凝土抗压强度（钻芯法）</w:t>
                  </w:r>
                </w:p>
              </w:tc>
            </w:tr>
            <w:tr w14:paraId="6AAA7339">
              <w:tblPrEx>
                <w:tblCellMar>
                  <w:top w:w="0" w:type="dxa"/>
                  <w:left w:w="108" w:type="dxa"/>
                  <w:bottom w:w="0" w:type="dxa"/>
                  <w:right w:w="108" w:type="dxa"/>
                </w:tblCellMar>
              </w:tblPrEx>
              <w:trPr>
                <w:trHeight w:val="23" w:hRule="atLeast"/>
              </w:trPr>
              <w:tc>
                <w:tcPr>
                  <w:tcW w:w="936" w:type="dxa"/>
                  <w:vMerge w:val="continue"/>
                  <w:tcBorders>
                    <w:left w:val="single" w:color="000000" w:sz="4" w:space="0"/>
                    <w:right w:val="single" w:color="000000" w:sz="4" w:space="0"/>
                  </w:tcBorders>
                  <w:vAlign w:val="center"/>
                </w:tcPr>
                <w:p w14:paraId="56E500B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p>
              </w:tc>
              <w:tc>
                <w:tcPr>
                  <w:tcW w:w="1278" w:type="dxa"/>
                  <w:vMerge w:val="restart"/>
                  <w:tcBorders>
                    <w:top w:val="single" w:color="000000" w:sz="4" w:space="0"/>
                    <w:left w:val="single" w:color="000000" w:sz="4" w:space="0"/>
                    <w:bottom w:val="single" w:color="000000" w:sz="4" w:space="0"/>
                    <w:right w:val="single" w:color="000000" w:sz="4" w:space="0"/>
                  </w:tcBorders>
                  <w:vAlign w:val="center"/>
                </w:tcPr>
                <w:p w14:paraId="61A5487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构件缺陷与损伤</w:t>
                  </w:r>
                </w:p>
              </w:tc>
              <w:tc>
                <w:tcPr>
                  <w:tcW w:w="6807" w:type="dxa"/>
                  <w:tcBorders>
                    <w:top w:val="single" w:color="000000" w:sz="4" w:space="0"/>
                    <w:left w:val="single" w:color="000000" w:sz="4" w:space="0"/>
                    <w:bottom w:val="single" w:color="000000" w:sz="4" w:space="0"/>
                    <w:right w:val="single" w:color="000000" w:sz="4" w:space="0"/>
                  </w:tcBorders>
                  <w:vAlign w:val="center"/>
                </w:tcPr>
                <w:p w14:paraId="69D0EA0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内部缺陷检测（超声波综合因子判定法）</w:t>
                  </w:r>
                </w:p>
              </w:tc>
            </w:tr>
            <w:tr w14:paraId="788A104A">
              <w:tblPrEx>
                <w:tblCellMar>
                  <w:top w:w="0" w:type="dxa"/>
                  <w:left w:w="108" w:type="dxa"/>
                  <w:bottom w:w="0" w:type="dxa"/>
                  <w:right w:w="108" w:type="dxa"/>
                </w:tblCellMar>
              </w:tblPrEx>
              <w:trPr>
                <w:trHeight w:val="23" w:hRule="atLeast"/>
              </w:trPr>
              <w:tc>
                <w:tcPr>
                  <w:tcW w:w="936" w:type="dxa"/>
                  <w:vMerge w:val="continue"/>
                  <w:tcBorders>
                    <w:left w:val="single" w:color="000000" w:sz="4" w:space="0"/>
                    <w:right w:val="single" w:color="000000" w:sz="4" w:space="0"/>
                  </w:tcBorders>
                  <w:vAlign w:val="center"/>
                </w:tcPr>
                <w:p w14:paraId="52CAD92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p>
              </w:tc>
              <w:tc>
                <w:tcPr>
                  <w:tcW w:w="1278" w:type="dxa"/>
                  <w:vMerge w:val="continue"/>
                  <w:tcBorders>
                    <w:top w:val="single" w:color="000000" w:sz="4" w:space="0"/>
                    <w:left w:val="single" w:color="000000" w:sz="4" w:space="0"/>
                    <w:bottom w:val="single" w:color="000000" w:sz="4" w:space="0"/>
                    <w:right w:val="single" w:color="000000" w:sz="4" w:space="0"/>
                  </w:tcBorders>
                  <w:vAlign w:val="center"/>
                </w:tcPr>
                <w:p w14:paraId="2711B20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p>
              </w:tc>
              <w:tc>
                <w:tcPr>
                  <w:tcW w:w="6807" w:type="dxa"/>
                  <w:tcBorders>
                    <w:top w:val="single" w:color="000000" w:sz="4" w:space="0"/>
                    <w:left w:val="single" w:color="000000" w:sz="4" w:space="0"/>
                    <w:bottom w:val="single" w:color="000000" w:sz="4" w:space="0"/>
                    <w:right w:val="single" w:color="000000" w:sz="4" w:space="0"/>
                  </w:tcBorders>
                  <w:vAlign w:val="center"/>
                </w:tcPr>
                <w:p w14:paraId="5460C50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内部缺陷检测（冲击回波法）</w:t>
                  </w:r>
                </w:p>
              </w:tc>
            </w:tr>
            <w:tr w14:paraId="7C7B468D">
              <w:tblPrEx>
                <w:tblCellMar>
                  <w:top w:w="0" w:type="dxa"/>
                  <w:left w:w="108" w:type="dxa"/>
                  <w:bottom w:w="0" w:type="dxa"/>
                  <w:right w:w="108" w:type="dxa"/>
                </w:tblCellMar>
              </w:tblPrEx>
              <w:trPr>
                <w:trHeight w:val="23" w:hRule="atLeast"/>
              </w:trPr>
              <w:tc>
                <w:tcPr>
                  <w:tcW w:w="936" w:type="dxa"/>
                  <w:vMerge w:val="continue"/>
                  <w:tcBorders>
                    <w:left w:val="single" w:color="000000" w:sz="4" w:space="0"/>
                    <w:right w:val="single" w:color="000000" w:sz="4" w:space="0"/>
                  </w:tcBorders>
                  <w:vAlign w:val="center"/>
                </w:tcPr>
                <w:p w14:paraId="3C5BFC1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p>
              </w:tc>
              <w:tc>
                <w:tcPr>
                  <w:tcW w:w="1278" w:type="dxa"/>
                  <w:vMerge w:val="continue"/>
                  <w:tcBorders>
                    <w:top w:val="single" w:color="000000" w:sz="4" w:space="0"/>
                    <w:left w:val="single" w:color="000000" w:sz="4" w:space="0"/>
                    <w:bottom w:val="single" w:color="000000" w:sz="4" w:space="0"/>
                    <w:right w:val="single" w:color="000000" w:sz="4" w:space="0"/>
                  </w:tcBorders>
                  <w:vAlign w:val="center"/>
                </w:tcPr>
                <w:p w14:paraId="43F3C71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p>
              </w:tc>
              <w:tc>
                <w:tcPr>
                  <w:tcW w:w="6807" w:type="dxa"/>
                  <w:tcBorders>
                    <w:top w:val="single" w:color="000000" w:sz="4" w:space="0"/>
                    <w:left w:val="single" w:color="000000" w:sz="4" w:space="0"/>
                    <w:bottom w:val="single" w:color="000000" w:sz="4" w:space="0"/>
                    <w:right w:val="single" w:color="000000" w:sz="4" w:space="0"/>
                  </w:tcBorders>
                  <w:vAlign w:val="center"/>
                </w:tcPr>
                <w:p w14:paraId="6F024A2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构件裂缝检测（包括裂缝位置、长度、宽度、深度、形态和数量）（裂缝深度可采用超声波法或相位反转法</w:t>
                  </w:r>
                  <w:r>
                    <w:rPr>
                      <w:rStyle w:val="140"/>
                      <w:rFonts w:hint="eastAsia" w:ascii="宋体" w:hAnsi="宋体" w:eastAsia="宋体" w:cs="宋体"/>
                      <w:sz w:val="21"/>
                      <w:szCs w:val="21"/>
                      <w:lang w:bidi="ar"/>
                    </w:rPr>
                    <w:t>）</w:t>
                  </w:r>
                </w:p>
              </w:tc>
            </w:tr>
            <w:tr w14:paraId="18CC3FC4">
              <w:tblPrEx>
                <w:tblCellMar>
                  <w:top w:w="0" w:type="dxa"/>
                  <w:left w:w="108" w:type="dxa"/>
                  <w:bottom w:w="0" w:type="dxa"/>
                  <w:right w:w="108" w:type="dxa"/>
                </w:tblCellMar>
              </w:tblPrEx>
              <w:trPr>
                <w:trHeight w:val="23" w:hRule="atLeast"/>
              </w:trPr>
              <w:tc>
                <w:tcPr>
                  <w:tcW w:w="936" w:type="dxa"/>
                  <w:vMerge w:val="continue"/>
                  <w:tcBorders>
                    <w:left w:val="single" w:color="000000" w:sz="4" w:space="0"/>
                    <w:right w:val="single" w:color="000000" w:sz="4" w:space="0"/>
                  </w:tcBorders>
                  <w:vAlign w:val="center"/>
                </w:tcPr>
                <w:p w14:paraId="521CF22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p>
              </w:tc>
              <w:tc>
                <w:tcPr>
                  <w:tcW w:w="1278" w:type="dxa"/>
                  <w:tcBorders>
                    <w:top w:val="single" w:color="000000" w:sz="4" w:space="0"/>
                    <w:left w:val="single" w:color="000000" w:sz="4" w:space="0"/>
                    <w:bottom w:val="single" w:color="000000" w:sz="4" w:space="0"/>
                    <w:right w:val="single" w:color="000000" w:sz="4" w:space="0"/>
                  </w:tcBorders>
                  <w:vAlign w:val="center"/>
                </w:tcPr>
                <w:p w14:paraId="43411A6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构件的钢筋</w:t>
                  </w:r>
                </w:p>
              </w:tc>
              <w:tc>
                <w:tcPr>
                  <w:tcW w:w="6807" w:type="dxa"/>
                  <w:tcBorders>
                    <w:top w:val="single" w:color="000000" w:sz="4" w:space="0"/>
                    <w:left w:val="single" w:color="000000" w:sz="4" w:space="0"/>
                    <w:bottom w:val="single" w:color="000000" w:sz="4" w:space="0"/>
                    <w:right w:val="single" w:color="000000" w:sz="4" w:space="0"/>
                  </w:tcBorders>
                  <w:vAlign w:val="center"/>
                </w:tcPr>
                <w:p w14:paraId="188CE09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钢筋位置、钢筋间距或数量、钢筋直径、混凝土保护层厚度（一体式钢筋扫描仪）</w:t>
                  </w:r>
                </w:p>
              </w:tc>
            </w:tr>
            <w:tr w14:paraId="5A7B8695">
              <w:tblPrEx>
                <w:tblCellMar>
                  <w:top w:w="0" w:type="dxa"/>
                  <w:left w:w="108" w:type="dxa"/>
                  <w:bottom w:w="0" w:type="dxa"/>
                  <w:right w:w="108" w:type="dxa"/>
                </w:tblCellMar>
              </w:tblPrEx>
              <w:trPr>
                <w:trHeight w:val="774" w:hRule="atLeast"/>
              </w:trPr>
              <w:tc>
                <w:tcPr>
                  <w:tcW w:w="936" w:type="dxa"/>
                  <w:vMerge w:val="continue"/>
                  <w:tcBorders>
                    <w:left w:val="single" w:color="000000" w:sz="4" w:space="0"/>
                    <w:right w:val="single" w:color="000000" w:sz="4" w:space="0"/>
                  </w:tcBorders>
                  <w:vAlign w:val="center"/>
                </w:tcPr>
                <w:p w14:paraId="25AB248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p>
              </w:tc>
              <w:tc>
                <w:tcPr>
                  <w:tcW w:w="1278" w:type="dxa"/>
                  <w:vMerge w:val="restart"/>
                  <w:tcBorders>
                    <w:top w:val="single" w:color="000000" w:sz="4" w:space="0"/>
                    <w:left w:val="single" w:color="000000" w:sz="4" w:space="0"/>
                    <w:right w:val="single" w:color="000000" w:sz="4" w:space="0"/>
                  </w:tcBorders>
                  <w:vAlign w:val="center"/>
                </w:tcPr>
                <w:p w14:paraId="402169D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装配混凝土结构的预制构件和连接节点</w:t>
                  </w:r>
                </w:p>
              </w:tc>
              <w:tc>
                <w:tcPr>
                  <w:tcW w:w="6807" w:type="dxa"/>
                  <w:tcBorders>
                    <w:top w:val="single" w:color="000000" w:sz="4" w:space="0"/>
                    <w:left w:val="single" w:color="000000" w:sz="4" w:space="0"/>
                    <w:bottom w:val="single" w:color="000000" w:sz="4" w:space="0"/>
                    <w:right w:val="single" w:color="000000" w:sz="4" w:space="0"/>
                  </w:tcBorders>
                  <w:vAlign w:val="center"/>
                </w:tcPr>
                <w:p w14:paraId="2EBAD15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装配式结构节点局部现浇混凝土内部的缺陷（采用超声波综合因子判定法、超声波法、电磁波反射法或冲击回波法结合局部打孔开凿的方法）</w:t>
                  </w:r>
                </w:p>
              </w:tc>
            </w:tr>
            <w:tr w14:paraId="0DB22497">
              <w:tblPrEx>
                <w:tblCellMar>
                  <w:top w:w="0" w:type="dxa"/>
                  <w:left w:w="108" w:type="dxa"/>
                  <w:bottom w:w="0" w:type="dxa"/>
                  <w:right w:w="108" w:type="dxa"/>
                </w:tblCellMar>
              </w:tblPrEx>
              <w:trPr>
                <w:trHeight w:val="337" w:hRule="atLeast"/>
              </w:trPr>
              <w:tc>
                <w:tcPr>
                  <w:tcW w:w="936" w:type="dxa"/>
                  <w:vMerge w:val="continue"/>
                  <w:tcBorders>
                    <w:left w:val="single" w:color="000000" w:sz="4" w:space="0"/>
                    <w:right w:val="single" w:color="000000" w:sz="4" w:space="0"/>
                  </w:tcBorders>
                  <w:vAlign w:val="center"/>
                </w:tcPr>
                <w:p w14:paraId="07B321D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p>
              </w:tc>
              <w:tc>
                <w:tcPr>
                  <w:tcW w:w="1278" w:type="dxa"/>
                  <w:vMerge w:val="continue"/>
                  <w:tcBorders>
                    <w:left w:val="single" w:color="000000" w:sz="4" w:space="0"/>
                    <w:right w:val="single" w:color="000000" w:sz="4" w:space="0"/>
                  </w:tcBorders>
                  <w:vAlign w:val="center"/>
                </w:tcPr>
                <w:p w14:paraId="276BEA2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p>
              </w:tc>
              <w:tc>
                <w:tcPr>
                  <w:tcW w:w="6807" w:type="dxa"/>
                  <w:tcBorders>
                    <w:top w:val="single" w:color="000000" w:sz="4" w:space="0"/>
                    <w:left w:val="single" w:color="000000" w:sz="4" w:space="0"/>
                    <w:bottom w:val="single" w:color="000000" w:sz="4" w:space="0"/>
                    <w:right w:val="single" w:color="000000" w:sz="4" w:space="0"/>
                  </w:tcBorders>
                  <w:vAlign w:val="center"/>
                </w:tcPr>
                <w:p w14:paraId="51E44DC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梁、板等叠合构件的混凝土结合面缺陷（雷达法和冲击回波法）</w:t>
                  </w:r>
                </w:p>
              </w:tc>
            </w:tr>
            <w:tr w14:paraId="55659FD5">
              <w:tblPrEx>
                <w:tblCellMar>
                  <w:top w:w="0" w:type="dxa"/>
                  <w:left w:w="108" w:type="dxa"/>
                  <w:bottom w:w="0" w:type="dxa"/>
                  <w:right w:w="108" w:type="dxa"/>
                </w:tblCellMar>
              </w:tblPrEx>
              <w:trPr>
                <w:trHeight w:val="23" w:hRule="atLeast"/>
              </w:trPr>
              <w:tc>
                <w:tcPr>
                  <w:tcW w:w="936" w:type="dxa"/>
                  <w:vMerge w:val="continue"/>
                  <w:tcBorders>
                    <w:left w:val="single" w:color="000000" w:sz="4" w:space="0"/>
                    <w:bottom w:val="single" w:color="000000" w:sz="4" w:space="0"/>
                    <w:right w:val="single" w:color="000000" w:sz="4" w:space="0"/>
                  </w:tcBorders>
                  <w:vAlign w:val="center"/>
                </w:tcPr>
                <w:p w14:paraId="0D4D524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p>
              </w:tc>
              <w:tc>
                <w:tcPr>
                  <w:tcW w:w="1278" w:type="dxa"/>
                  <w:vMerge w:val="continue"/>
                  <w:tcBorders>
                    <w:left w:val="single" w:color="000000" w:sz="4" w:space="0"/>
                    <w:bottom w:val="single" w:color="000000" w:sz="4" w:space="0"/>
                    <w:right w:val="single" w:color="000000" w:sz="4" w:space="0"/>
                  </w:tcBorders>
                  <w:vAlign w:val="center"/>
                </w:tcPr>
                <w:p w14:paraId="18D0BB1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p>
              </w:tc>
              <w:tc>
                <w:tcPr>
                  <w:tcW w:w="6807" w:type="dxa"/>
                  <w:tcBorders>
                    <w:top w:val="single" w:color="000000" w:sz="4" w:space="0"/>
                    <w:left w:val="single" w:color="000000" w:sz="4" w:space="0"/>
                    <w:bottom w:val="single" w:color="000000" w:sz="4" w:space="0"/>
                    <w:right w:val="single" w:color="000000" w:sz="4" w:space="0"/>
                  </w:tcBorders>
                  <w:vAlign w:val="center"/>
                </w:tcPr>
                <w:p w14:paraId="2AB2235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螺栓连接节点和焊缝连接节点实体检测</w:t>
                  </w:r>
                </w:p>
              </w:tc>
            </w:tr>
            <w:tr w14:paraId="5EE2B256">
              <w:tblPrEx>
                <w:tblCellMar>
                  <w:top w:w="0" w:type="dxa"/>
                  <w:left w:w="108" w:type="dxa"/>
                  <w:bottom w:w="0" w:type="dxa"/>
                  <w:right w:w="108" w:type="dxa"/>
                </w:tblCellMar>
              </w:tblPrEx>
              <w:trPr>
                <w:trHeight w:val="23" w:hRule="atLeast"/>
              </w:trPr>
              <w:tc>
                <w:tcPr>
                  <w:tcW w:w="936" w:type="dxa"/>
                  <w:vMerge w:val="restart"/>
                  <w:tcBorders>
                    <w:top w:val="single" w:color="000000" w:sz="4" w:space="0"/>
                    <w:left w:val="single" w:color="000000" w:sz="4" w:space="0"/>
                    <w:right w:val="single" w:color="000000" w:sz="4" w:space="0"/>
                  </w:tcBorders>
                  <w:vAlign w:val="center"/>
                </w:tcPr>
                <w:p w14:paraId="40DAEF9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r>
                    <w:rPr>
                      <w:rFonts w:hint="eastAsia" w:ascii="宋体" w:hAnsi="宋体" w:eastAsia="宋体" w:cs="宋体"/>
                      <w:color w:val="000000"/>
                      <w:sz w:val="21"/>
                      <w:szCs w:val="21"/>
                    </w:rPr>
                    <w:t>砌体结构</w:t>
                  </w:r>
                </w:p>
              </w:tc>
              <w:tc>
                <w:tcPr>
                  <w:tcW w:w="1278" w:type="dxa"/>
                  <w:tcBorders>
                    <w:top w:val="single" w:color="000000" w:sz="4" w:space="0"/>
                    <w:left w:val="single" w:color="000000" w:sz="4" w:space="0"/>
                    <w:bottom w:val="single" w:color="000000" w:sz="4" w:space="0"/>
                    <w:right w:val="single" w:color="000000" w:sz="4" w:space="0"/>
                  </w:tcBorders>
                  <w:vAlign w:val="center"/>
                </w:tcPr>
                <w:p w14:paraId="5838FEE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r>
                    <w:rPr>
                      <w:rFonts w:hint="eastAsia" w:ascii="宋体" w:hAnsi="宋体" w:eastAsia="宋体" w:cs="宋体"/>
                      <w:color w:val="000000"/>
                      <w:sz w:val="21"/>
                      <w:szCs w:val="21"/>
                    </w:rPr>
                    <w:t>砌筑材料</w:t>
                  </w:r>
                </w:p>
              </w:tc>
              <w:tc>
                <w:tcPr>
                  <w:tcW w:w="6807" w:type="dxa"/>
                  <w:tcBorders>
                    <w:top w:val="single" w:color="000000" w:sz="4" w:space="0"/>
                    <w:left w:val="single" w:color="000000" w:sz="4" w:space="0"/>
                    <w:bottom w:val="single" w:color="000000" w:sz="4" w:space="0"/>
                    <w:right w:val="single" w:color="000000" w:sz="4" w:space="0"/>
                  </w:tcBorders>
                  <w:vAlign w:val="center"/>
                </w:tcPr>
                <w:p w14:paraId="07C6944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砌筑块材的抗压强度（回弹法）-砖回弹仪</w:t>
                  </w:r>
                </w:p>
              </w:tc>
            </w:tr>
            <w:tr w14:paraId="130D599D">
              <w:tblPrEx>
                <w:tblCellMar>
                  <w:top w:w="0" w:type="dxa"/>
                  <w:left w:w="108" w:type="dxa"/>
                  <w:bottom w:w="0" w:type="dxa"/>
                  <w:right w:w="108" w:type="dxa"/>
                </w:tblCellMar>
              </w:tblPrEx>
              <w:trPr>
                <w:trHeight w:val="23" w:hRule="atLeast"/>
              </w:trPr>
              <w:tc>
                <w:tcPr>
                  <w:tcW w:w="936" w:type="dxa"/>
                  <w:vMerge w:val="continue"/>
                  <w:tcBorders>
                    <w:left w:val="single" w:color="000000" w:sz="4" w:space="0"/>
                    <w:right w:val="single" w:color="000000" w:sz="4" w:space="0"/>
                  </w:tcBorders>
                  <w:vAlign w:val="center"/>
                </w:tcPr>
                <w:p w14:paraId="270087F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p>
              </w:tc>
              <w:tc>
                <w:tcPr>
                  <w:tcW w:w="1278" w:type="dxa"/>
                  <w:vMerge w:val="restart"/>
                  <w:tcBorders>
                    <w:top w:val="single" w:color="000000" w:sz="4" w:space="0"/>
                    <w:left w:val="single" w:color="000000" w:sz="4" w:space="0"/>
                    <w:bottom w:val="single" w:color="000000" w:sz="4" w:space="0"/>
                    <w:right w:val="single" w:color="000000" w:sz="4" w:space="0"/>
                  </w:tcBorders>
                  <w:vAlign w:val="center"/>
                </w:tcPr>
                <w:p w14:paraId="4E629DB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砌筑砂浆</w:t>
                  </w:r>
                </w:p>
              </w:tc>
              <w:tc>
                <w:tcPr>
                  <w:tcW w:w="6807" w:type="dxa"/>
                  <w:tcBorders>
                    <w:top w:val="single" w:color="000000" w:sz="4" w:space="0"/>
                    <w:left w:val="single" w:color="000000" w:sz="4" w:space="0"/>
                    <w:bottom w:val="single" w:color="000000" w:sz="4" w:space="0"/>
                    <w:right w:val="single" w:color="000000" w:sz="4" w:space="0"/>
                  </w:tcBorders>
                  <w:vAlign w:val="center"/>
                </w:tcPr>
                <w:p w14:paraId="11E3AEA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砌筑砂浆强度（回弹法）-砂浆回弹仪</w:t>
                  </w:r>
                </w:p>
              </w:tc>
            </w:tr>
            <w:tr w14:paraId="471F109F">
              <w:tblPrEx>
                <w:tblCellMar>
                  <w:top w:w="0" w:type="dxa"/>
                  <w:left w:w="108" w:type="dxa"/>
                  <w:bottom w:w="0" w:type="dxa"/>
                  <w:right w:w="108" w:type="dxa"/>
                </w:tblCellMar>
              </w:tblPrEx>
              <w:trPr>
                <w:trHeight w:val="23" w:hRule="atLeast"/>
              </w:trPr>
              <w:tc>
                <w:tcPr>
                  <w:tcW w:w="936" w:type="dxa"/>
                  <w:vMerge w:val="continue"/>
                  <w:tcBorders>
                    <w:left w:val="single" w:color="000000" w:sz="4" w:space="0"/>
                    <w:right w:val="single" w:color="000000" w:sz="4" w:space="0"/>
                  </w:tcBorders>
                  <w:vAlign w:val="center"/>
                </w:tcPr>
                <w:p w14:paraId="494383D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p>
              </w:tc>
              <w:tc>
                <w:tcPr>
                  <w:tcW w:w="1278" w:type="dxa"/>
                  <w:vMerge w:val="continue"/>
                  <w:tcBorders>
                    <w:top w:val="single" w:color="000000" w:sz="4" w:space="0"/>
                    <w:left w:val="single" w:color="000000" w:sz="4" w:space="0"/>
                    <w:bottom w:val="single" w:color="000000" w:sz="4" w:space="0"/>
                    <w:right w:val="single" w:color="000000" w:sz="4" w:space="0"/>
                  </w:tcBorders>
                  <w:vAlign w:val="center"/>
                </w:tcPr>
                <w:p w14:paraId="7BFF18C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p>
              </w:tc>
              <w:tc>
                <w:tcPr>
                  <w:tcW w:w="6807" w:type="dxa"/>
                  <w:tcBorders>
                    <w:top w:val="single" w:color="000000" w:sz="4" w:space="0"/>
                    <w:left w:val="single" w:color="000000" w:sz="4" w:space="0"/>
                    <w:bottom w:val="single" w:color="000000" w:sz="4" w:space="0"/>
                    <w:right w:val="single" w:color="000000" w:sz="4" w:space="0"/>
                  </w:tcBorders>
                  <w:vAlign w:val="center"/>
                </w:tcPr>
                <w:p w14:paraId="70BFCC4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砌筑砂浆强度（贯入法）-砂浆贯入仪</w:t>
                  </w:r>
                </w:p>
              </w:tc>
            </w:tr>
            <w:tr w14:paraId="6735A774">
              <w:tblPrEx>
                <w:tblCellMar>
                  <w:top w:w="0" w:type="dxa"/>
                  <w:left w:w="108" w:type="dxa"/>
                  <w:bottom w:w="0" w:type="dxa"/>
                  <w:right w:w="108" w:type="dxa"/>
                </w:tblCellMar>
              </w:tblPrEx>
              <w:trPr>
                <w:trHeight w:val="23" w:hRule="atLeast"/>
              </w:trPr>
              <w:tc>
                <w:tcPr>
                  <w:tcW w:w="936" w:type="dxa"/>
                  <w:vMerge w:val="continue"/>
                  <w:tcBorders>
                    <w:left w:val="single" w:color="000000" w:sz="4" w:space="0"/>
                    <w:right w:val="single" w:color="000000" w:sz="4" w:space="0"/>
                  </w:tcBorders>
                  <w:vAlign w:val="center"/>
                </w:tcPr>
                <w:p w14:paraId="1678531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p>
              </w:tc>
              <w:tc>
                <w:tcPr>
                  <w:tcW w:w="1278" w:type="dxa"/>
                  <w:vMerge w:val="restart"/>
                  <w:tcBorders>
                    <w:top w:val="single" w:color="000000" w:sz="4" w:space="0"/>
                    <w:left w:val="single" w:color="000000" w:sz="4" w:space="0"/>
                    <w:bottom w:val="single" w:color="000000" w:sz="4" w:space="0"/>
                    <w:right w:val="single" w:color="000000" w:sz="4" w:space="0"/>
                  </w:tcBorders>
                  <w:vAlign w:val="center"/>
                </w:tcPr>
                <w:p w14:paraId="7D883EA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砌体力学性能</w:t>
                  </w:r>
                </w:p>
              </w:tc>
              <w:tc>
                <w:tcPr>
                  <w:tcW w:w="6807" w:type="dxa"/>
                  <w:tcBorders>
                    <w:top w:val="single" w:color="000000" w:sz="4" w:space="0"/>
                    <w:left w:val="single" w:color="000000" w:sz="4" w:space="0"/>
                    <w:bottom w:val="single" w:color="000000" w:sz="4" w:space="0"/>
                    <w:right w:val="single" w:color="000000" w:sz="4" w:space="0"/>
                  </w:tcBorders>
                  <w:vAlign w:val="center"/>
                </w:tcPr>
                <w:p w14:paraId="4775B6A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弹性模量（扁式液压顶法）</w:t>
                  </w:r>
                </w:p>
              </w:tc>
            </w:tr>
            <w:tr w14:paraId="621F6441">
              <w:tblPrEx>
                <w:tblCellMar>
                  <w:top w:w="0" w:type="dxa"/>
                  <w:left w:w="108" w:type="dxa"/>
                  <w:bottom w:w="0" w:type="dxa"/>
                  <w:right w:w="108" w:type="dxa"/>
                </w:tblCellMar>
              </w:tblPrEx>
              <w:trPr>
                <w:trHeight w:val="23" w:hRule="atLeast"/>
              </w:trPr>
              <w:tc>
                <w:tcPr>
                  <w:tcW w:w="936" w:type="dxa"/>
                  <w:vMerge w:val="continue"/>
                  <w:tcBorders>
                    <w:left w:val="single" w:color="000000" w:sz="4" w:space="0"/>
                    <w:right w:val="single" w:color="000000" w:sz="4" w:space="0"/>
                  </w:tcBorders>
                  <w:vAlign w:val="center"/>
                </w:tcPr>
                <w:p w14:paraId="2830632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p>
              </w:tc>
              <w:tc>
                <w:tcPr>
                  <w:tcW w:w="1278" w:type="dxa"/>
                  <w:vMerge w:val="continue"/>
                  <w:tcBorders>
                    <w:top w:val="single" w:color="000000" w:sz="4" w:space="0"/>
                    <w:left w:val="single" w:color="000000" w:sz="4" w:space="0"/>
                    <w:bottom w:val="single" w:color="000000" w:sz="4" w:space="0"/>
                    <w:right w:val="single" w:color="000000" w:sz="4" w:space="0"/>
                  </w:tcBorders>
                  <w:vAlign w:val="center"/>
                </w:tcPr>
                <w:p w14:paraId="39C4DD2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p>
              </w:tc>
              <w:tc>
                <w:tcPr>
                  <w:tcW w:w="6807" w:type="dxa"/>
                  <w:tcBorders>
                    <w:top w:val="single" w:color="000000" w:sz="4" w:space="0"/>
                    <w:left w:val="single" w:color="000000" w:sz="4" w:space="0"/>
                    <w:bottom w:val="single" w:color="000000" w:sz="4" w:space="0"/>
                    <w:right w:val="single" w:color="000000" w:sz="4" w:space="0"/>
                  </w:tcBorders>
                  <w:vAlign w:val="center"/>
                </w:tcPr>
                <w:p w14:paraId="742D366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抗压强度（原位轴压法、扁式液压顶法）</w:t>
                  </w:r>
                </w:p>
              </w:tc>
            </w:tr>
            <w:tr w14:paraId="4BB08F70">
              <w:tblPrEx>
                <w:tblCellMar>
                  <w:top w:w="0" w:type="dxa"/>
                  <w:left w:w="108" w:type="dxa"/>
                  <w:bottom w:w="0" w:type="dxa"/>
                  <w:right w:w="108" w:type="dxa"/>
                </w:tblCellMar>
              </w:tblPrEx>
              <w:trPr>
                <w:trHeight w:val="23" w:hRule="atLeast"/>
              </w:trPr>
              <w:tc>
                <w:tcPr>
                  <w:tcW w:w="936" w:type="dxa"/>
                  <w:vMerge w:val="continue"/>
                  <w:tcBorders>
                    <w:left w:val="single" w:color="000000" w:sz="4" w:space="0"/>
                    <w:bottom w:val="single" w:color="000000" w:sz="4" w:space="0"/>
                    <w:right w:val="single" w:color="000000" w:sz="4" w:space="0"/>
                  </w:tcBorders>
                  <w:vAlign w:val="center"/>
                </w:tcPr>
                <w:p w14:paraId="12D8D20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p>
              </w:tc>
              <w:tc>
                <w:tcPr>
                  <w:tcW w:w="1278" w:type="dxa"/>
                  <w:vMerge w:val="continue"/>
                  <w:tcBorders>
                    <w:top w:val="single" w:color="000000" w:sz="4" w:space="0"/>
                    <w:left w:val="single" w:color="000000" w:sz="4" w:space="0"/>
                    <w:bottom w:val="single" w:color="000000" w:sz="4" w:space="0"/>
                    <w:right w:val="single" w:color="000000" w:sz="4" w:space="0"/>
                  </w:tcBorders>
                  <w:vAlign w:val="center"/>
                </w:tcPr>
                <w:p w14:paraId="38F6FB3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p>
              </w:tc>
              <w:tc>
                <w:tcPr>
                  <w:tcW w:w="6807" w:type="dxa"/>
                  <w:tcBorders>
                    <w:top w:val="single" w:color="000000" w:sz="4" w:space="0"/>
                    <w:left w:val="single" w:color="000000" w:sz="4" w:space="0"/>
                    <w:bottom w:val="single" w:color="000000" w:sz="4" w:space="0"/>
                    <w:right w:val="single" w:color="000000" w:sz="4" w:space="0"/>
                  </w:tcBorders>
                  <w:vAlign w:val="center"/>
                </w:tcPr>
                <w:p w14:paraId="1360CA2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抗剪强度（单剪法或原位双剪法）</w:t>
                  </w:r>
                </w:p>
              </w:tc>
            </w:tr>
            <w:tr w14:paraId="099F79D5">
              <w:tblPrEx>
                <w:tblCellMar>
                  <w:top w:w="0" w:type="dxa"/>
                  <w:left w:w="108" w:type="dxa"/>
                  <w:bottom w:w="0" w:type="dxa"/>
                  <w:right w:w="108" w:type="dxa"/>
                </w:tblCellMar>
              </w:tblPrEx>
              <w:trPr>
                <w:trHeight w:val="23" w:hRule="atLeast"/>
              </w:trPr>
              <w:tc>
                <w:tcPr>
                  <w:tcW w:w="841" w:type="dxa"/>
                  <w:vMerge w:val="restart"/>
                  <w:tcBorders>
                    <w:top w:val="single" w:color="000000" w:sz="4" w:space="0"/>
                    <w:left w:val="single" w:color="000000" w:sz="4" w:space="0"/>
                    <w:bottom w:val="single" w:color="000000" w:sz="4" w:space="0"/>
                    <w:right w:val="single" w:color="000000" w:sz="4" w:space="0"/>
                  </w:tcBorders>
                  <w:vAlign w:val="center"/>
                </w:tcPr>
                <w:p w14:paraId="03F1EE5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钢结构</w:t>
                  </w:r>
                </w:p>
              </w:tc>
              <w:tc>
                <w:tcPr>
                  <w:tcW w:w="1278" w:type="dxa"/>
                  <w:tcBorders>
                    <w:top w:val="single" w:color="000000" w:sz="4" w:space="0"/>
                    <w:left w:val="single" w:color="000000" w:sz="4" w:space="0"/>
                    <w:bottom w:val="single" w:color="000000" w:sz="4" w:space="0"/>
                    <w:right w:val="single" w:color="000000" w:sz="4" w:space="0"/>
                  </w:tcBorders>
                  <w:vAlign w:val="center"/>
                </w:tcPr>
                <w:p w14:paraId="3497FD9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材料力学性能</w:t>
                  </w:r>
                </w:p>
              </w:tc>
              <w:tc>
                <w:tcPr>
                  <w:tcW w:w="6807" w:type="dxa"/>
                  <w:tcBorders>
                    <w:top w:val="single" w:color="000000" w:sz="4" w:space="0"/>
                    <w:left w:val="single" w:color="000000" w:sz="4" w:space="0"/>
                    <w:bottom w:val="single" w:color="000000" w:sz="4" w:space="0"/>
                    <w:right w:val="single" w:color="000000" w:sz="4" w:space="0"/>
                  </w:tcBorders>
                  <w:vAlign w:val="center"/>
                </w:tcPr>
                <w:p w14:paraId="6EF0826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钢材强度（里氏硬度计）-现场打磨至原材料表明直接测量，再查表间接推断其屈服强度</w:t>
                  </w:r>
                </w:p>
              </w:tc>
            </w:tr>
            <w:tr w14:paraId="2BCDA4E6">
              <w:tblPrEx>
                <w:tblCellMar>
                  <w:top w:w="0" w:type="dxa"/>
                  <w:left w:w="108" w:type="dxa"/>
                  <w:bottom w:w="0" w:type="dxa"/>
                  <w:right w:w="108" w:type="dxa"/>
                </w:tblCellMar>
              </w:tblPrEx>
              <w:trPr>
                <w:trHeight w:val="23" w:hRule="atLeast"/>
              </w:trPr>
              <w:tc>
                <w:tcPr>
                  <w:tcW w:w="841" w:type="dxa"/>
                  <w:vMerge w:val="continue"/>
                  <w:tcBorders>
                    <w:top w:val="single" w:color="000000" w:sz="4" w:space="0"/>
                    <w:left w:val="single" w:color="000000" w:sz="4" w:space="0"/>
                    <w:bottom w:val="single" w:color="000000" w:sz="4" w:space="0"/>
                    <w:right w:val="single" w:color="000000" w:sz="4" w:space="0"/>
                  </w:tcBorders>
                  <w:vAlign w:val="center"/>
                </w:tcPr>
                <w:p w14:paraId="70E1963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p>
              </w:tc>
              <w:tc>
                <w:tcPr>
                  <w:tcW w:w="1278" w:type="dxa"/>
                  <w:vMerge w:val="restart"/>
                  <w:tcBorders>
                    <w:top w:val="single" w:color="000000" w:sz="4" w:space="0"/>
                    <w:left w:val="single" w:color="000000" w:sz="4" w:space="0"/>
                    <w:bottom w:val="single" w:color="000000" w:sz="4" w:space="0"/>
                    <w:right w:val="single" w:color="000000" w:sz="4" w:space="0"/>
                  </w:tcBorders>
                  <w:vAlign w:val="center"/>
                </w:tcPr>
                <w:p w14:paraId="4355F26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链接</w:t>
                  </w:r>
                </w:p>
              </w:tc>
              <w:tc>
                <w:tcPr>
                  <w:tcW w:w="6807" w:type="dxa"/>
                  <w:tcBorders>
                    <w:top w:val="single" w:color="000000" w:sz="4" w:space="0"/>
                    <w:left w:val="single" w:color="000000" w:sz="4" w:space="0"/>
                    <w:bottom w:val="single" w:color="000000" w:sz="4" w:space="0"/>
                    <w:right w:val="single" w:color="000000" w:sz="4" w:space="0"/>
                  </w:tcBorders>
                  <w:vAlign w:val="center"/>
                </w:tcPr>
                <w:p w14:paraId="5C4A57B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焊缝裂纹（渗透探伤或磁粉探伤）</w:t>
                  </w:r>
                </w:p>
              </w:tc>
            </w:tr>
            <w:tr w14:paraId="23652C62">
              <w:tblPrEx>
                <w:tblCellMar>
                  <w:top w:w="0" w:type="dxa"/>
                  <w:left w:w="108" w:type="dxa"/>
                  <w:bottom w:w="0" w:type="dxa"/>
                  <w:right w:w="108" w:type="dxa"/>
                </w:tblCellMar>
              </w:tblPrEx>
              <w:trPr>
                <w:trHeight w:val="23" w:hRule="atLeast"/>
              </w:trPr>
              <w:tc>
                <w:tcPr>
                  <w:tcW w:w="841" w:type="dxa"/>
                  <w:vMerge w:val="continue"/>
                  <w:tcBorders>
                    <w:top w:val="single" w:color="000000" w:sz="4" w:space="0"/>
                    <w:left w:val="single" w:color="000000" w:sz="4" w:space="0"/>
                    <w:bottom w:val="single" w:color="000000" w:sz="4" w:space="0"/>
                    <w:right w:val="single" w:color="000000" w:sz="4" w:space="0"/>
                  </w:tcBorders>
                  <w:vAlign w:val="center"/>
                </w:tcPr>
                <w:p w14:paraId="227B5C1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p>
              </w:tc>
              <w:tc>
                <w:tcPr>
                  <w:tcW w:w="1278" w:type="dxa"/>
                  <w:vMerge w:val="continue"/>
                  <w:tcBorders>
                    <w:top w:val="single" w:color="000000" w:sz="4" w:space="0"/>
                    <w:left w:val="single" w:color="000000" w:sz="4" w:space="0"/>
                    <w:bottom w:val="single" w:color="000000" w:sz="4" w:space="0"/>
                    <w:right w:val="single" w:color="000000" w:sz="4" w:space="0"/>
                  </w:tcBorders>
                  <w:vAlign w:val="center"/>
                </w:tcPr>
                <w:p w14:paraId="1BE3451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p>
              </w:tc>
              <w:tc>
                <w:tcPr>
                  <w:tcW w:w="6807" w:type="dxa"/>
                  <w:tcBorders>
                    <w:top w:val="single" w:color="000000" w:sz="4" w:space="0"/>
                    <w:left w:val="single" w:color="000000" w:sz="4" w:space="0"/>
                    <w:bottom w:val="single" w:color="000000" w:sz="4" w:space="0"/>
                    <w:right w:val="single" w:color="000000" w:sz="4" w:space="0"/>
                  </w:tcBorders>
                  <w:vAlign w:val="center"/>
                </w:tcPr>
                <w:p w14:paraId="0F828F1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焊缝缺陷（超声波探伤法）</w:t>
                  </w:r>
                </w:p>
              </w:tc>
            </w:tr>
            <w:tr w14:paraId="772FA230">
              <w:tblPrEx>
                <w:tblCellMar>
                  <w:top w:w="0" w:type="dxa"/>
                  <w:left w:w="108" w:type="dxa"/>
                  <w:bottom w:w="0" w:type="dxa"/>
                  <w:right w:w="108" w:type="dxa"/>
                </w:tblCellMar>
              </w:tblPrEx>
              <w:trPr>
                <w:trHeight w:val="23" w:hRule="atLeast"/>
              </w:trPr>
              <w:tc>
                <w:tcPr>
                  <w:tcW w:w="841" w:type="dxa"/>
                  <w:vMerge w:val="continue"/>
                  <w:tcBorders>
                    <w:top w:val="single" w:color="000000" w:sz="4" w:space="0"/>
                    <w:left w:val="single" w:color="000000" w:sz="4" w:space="0"/>
                    <w:bottom w:val="single" w:color="000000" w:sz="4" w:space="0"/>
                    <w:right w:val="single" w:color="000000" w:sz="4" w:space="0"/>
                  </w:tcBorders>
                  <w:vAlign w:val="center"/>
                </w:tcPr>
                <w:p w14:paraId="0AE8021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p>
              </w:tc>
              <w:tc>
                <w:tcPr>
                  <w:tcW w:w="1278" w:type="dxa"/>
                  <w:vMerge w:val="continue"/>
                  <w:tcBorders>
                    <w:top w:val="single" w:color="000000" w:sz="4" w:space="0"/>
                    <w:left w:val="single" w:color="000000" w:sz="4" w:space="0"/>
                    <w:bottom w:val="single" w:color="000000" w:sz="4" w:space="0"/>
                    <w:right w:val="single" w:color="000000" w:sz="4" w:space="0"/>
                  </w:tcBorders>
                  <w:vAlign w:val="center"/>
                </w:tcPr>
                <w:p w14:paraId="4DA9049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p>
              </w:tc>
              <w:tc>
                <w:tcPr>
                  <w:tcW w:w="6807" w:type="dxa"/>
                  <w:tcBorders>
                    <w:top w:val="single" w:color="000000" w:sz="4" w:space="0"/>
                    <w:left w:val="single" w:color="000000" w:sz="4" w:space="0"/>
                    <w:bottom w:val="single" w:color="000000" w:sz="4" w:space="0"/>
                    <w:right w:val="single" w:color="000000" w:sz="4" w:space="0"/>
                  </w:tcBorders>
                  <w:vAlign w:val="center"/>
                </w:tcPr>
                <w:p w14:paraId="6FDF0AF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高强度螺栓连接副施工扭矩（扭矩扳手）</w:t>
                  </w:r>
                </w:p>
              </w:tc>
            </w:tr>
            <w:tr w14:paraId="51736BFE">
              <w:tblPrEx>
                <w:tblCellMar>
                  <w:top w:w="0" w:type="dxa"/>
                  <w:left w:w="108" w:type="dxa"/>
                  <w:bottom w:w="0" w:type="dxa"/>
                  <w:right w:w="108" w:type="dxa"/>
                </w:tblCellMar>
              </w:tblPrEx>
              <w:trPr>
                <w:trHeight w:val="23" w:hRule="atLeast"/>
              </w:trPr>
              <w:tc>
                <w:tcPr>
                  <w:tcW w:w="841" w:type="dxa"/>
                  <w:vMerge w:val="continue"/>
                  <w:tcBorders>
                    <w:top w:val="single" w:color="000000" w:sz="4" w:space="0"/>
                    <w:left w:val="single" w:color="000000" w:sz="4" w:space="0"/>
                    <w:bottom w:val="single" w:color="000000" w:sz="4" w:space="0"/>
                    <w:right w:val="single" w:color="000000" w:sz="4" w:space="0"/>
                  </w:tcBorders>
                  <w:vAlign w:val="center"/>
                </w:tcPr>
                <w:p w14:paraId="132ADD2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p>
              </w:tc>
              <w:tc>
                <w:tcPr>
                  <w:tcW w:w="1278" w:type="dxa"/>
                  <w:vMerge w:val="restart"/>
                  <w:tcBorders>
                    <w:top w:val="single" w:color="000000" w:sz="4" w:space="0"/>
                    <w:left w:val="single" w:color="000000" w:sz="4" w:space="0"/>
                    <w:bottom w:val="single" w:color="000000" w:sz="4" w:space="0"/>
                    <w:right w:val="single" w:color="000000" w:sz="4" w:space="0"/>
                  </w:tcBorders>
                  <w:vAlign w:val="center"/>
                </w:tcPr>
                <w:p w14:paraId="6A80BFE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涂装防护</w:t>
                  </w:r>
                </w:p>
              </w:tc>
              <w:tc>
                <w:tcPr>
                  <w:tcW w:w="6807" w:type="dxa"/>
                  <w:tcBorders>
                    <w:top w:val="single" w:color="000000" w:sz="4" w:space="0"/>
                    <w:left w:val="single" w:color="000000" w:sz="4" w:space="0"/>
                    <w:bottom w:val="single" w:color="000000" w:sz="4" w:space="0"/>
                    <w:right w:val="single" w:color="000000" w:sz="4" w:space="0"/>
                  </w:tcBorders>
                  <w:vAlign w:val="center"/>
                </w:tcPr>
                <w:p w14:paraId="5C88F78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涂层厚度检测（防腐涂层）-漆层测厚仪</w:t>
                  </w:r>
                </w:p>
              </w:tc>
            </w:tr>
            <w:tr w14:paraId="1194DEE4">
              <w:tblPrEx>
                <w:tblCellMar>
                  <w:top w:w="0" w:type="dxa"/>
                  <w:left w:w="108" w:type="dxa"/>
                  <w:bottom w:w="0" w:type="dxa"/>
                  <w:right w:w="108" w:type="dxa"/>
                </w:tblCellMar>
              </w:tblPrEx>
              <w:trPr>
                <w:trHeight w:val="23" w:hRule="atLeast"/>
              </w:trPr>
              <w:tc>
                <w:tcPr>
                  <w:tcW w:w="841" w:type="dxa"/>
                  <w:vMerge w:val="continue"/>
                  <w:tcBorders>
                    <w:top w:val="single" w:color="000000" w:sz="4" w:space="0"/>
                    <w:left w:val="single" w:color="000000" w:sz="4" w:space="0"/>
                    <w:bottom w:val="single" w:color="000000" w:sz="4" w:space="0"/>
                    <w:right w:val="single" w:color="000000" w:sz="4" w:space="0"/>
                  </w:tcBorders>
                  <w:vAlign w:val="center"/>
                </w:tcPr>
                <w:p w14:paraId="2DF3AE5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p>
              </w:tc>
              <w:tc>
                <w:tcPr>
                  <w:tcW w:w="1278" w:type="dxa"/>
                  <w:vMerge w:val="continue"/>
                  <w:tcBorders>
                    <w:top w:val="single" w:color="000000" w:sz="4" w:space="0"/>
                    <w:left w:val="single" w:color="000000" w:sz="4" w:space="0"/>
                    <w:bottom w:val="single" w:color="000000" w:sz="4" w:space="0"/>
                    <w:right w:val="single" w:color="000000" w:sz="4" w:space="0"/>
                  </w:tcBorders>
                  <w:vAlign w:val="center"/>
                </w:tcPr>
                <w:p w14:paraId="0484666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1"/>
                      <w:szCs w:val="21"/>
                    </w:rPr>
                  </w:pPr>
                </w:p>
              </w:tc>
              <w:tc>
                <w:tcPr>
                  <w:tcW w:w="6807" w:type="dxa"/>
                  <w:tcBorders>
                    <w:top w:val="single" w:color="000000" w:sz="4" w:space="0"/>
                    <w:left w:val="single" w:color="000000" w:sz="4" w:space="0"/>
                    <w:bottom w:val="single" w:color="000000" w:sz="4" w:space="0"/>
                    <w:right w:val="single" w:color="000000" w:sz="4" w:space="0"/>
                  </w:tcBorders>
                  <w:vAlign w:val="center"/>
                </w:tcPr>
                <w:p w14:paraId="5E04924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涂层厚度检测（防火涂层）-涂层厚度测定仪</w:t>
                  </w:r>
                </w:p>
              </w:tc>
            </w:tr>
          </w:tbl>
          <w:p w14:paraId="2D99CB0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rPr>
                <w:rFonts w:hint="eastAsia" w:ascii="宋体" w:hAnsi="宋体" w:eastAsia="宋体" w:cs="宋体"/>
                <w:color w:val="000000" w:themeColor="text1"/>
                <w:szCs w:val="21"/>
                <w:lang w:val="en-US" w:eastAsia="zh-CN"/>
                <w14:textFill>
                  <w14:solidFill>
                    <w14:schemeClr w14:val="tx1"/>
                  </w14:solidFill>
                </w14:textFill>
              </w:rPr>
            </w:pPr>
            <w:r>
              <w:rPr>
                <w:rFonts w:hint="default" w:ascii="宋体" w:hAnsi="宋体" w:eastAsia="宋体" w:cs="宋体"/>
                <w:color w:val="000000" w:themeColor="text1"/>
                <w:kern w:val="2"/>
                <w:sz w:val="21"/>
                <w:szCs w:val="21"/>
                <w:lang w:val="en-US" w:eastAsia="zh-CN" w:bidi="ar-SA"/>
                <w14:textFill>
                  <w14:solidFill>
                    <w14:schemeClr w14:val="tx1"/>
                  </w14:solidFill>
                </w14:textFill>
              </w:rPr>
              <w:t>13．</w:t>
            </w:r>
            <w:r>
              <w:rPr>
                <w:rFonts w:hint="eastAsia" w:ascii="宋体" w:hAnsi="宋体" w:eastAsia="宋体" w:cs="宋体"/>
                <w:color w:val="000000" w:themeColor="text1"/>
                <w:szCs w:val="21"/>
                <w:lang w:val="en-US" w:eastAsia="zh-CN"/>
                <w14:textFill>
                  <w14:solidFill>
                    <w14:schemeClr w14:val="tx1"/>
                  </w14:solidFill>
                </w14:textFill>
              </w:rPr>
              <w:t>案例实训须包含不少于三种案例实训场景，包括混凝土结构、砌体结构、钢结构。</w:t>
            </w:r>
          </w:p>
          <w:p w14:paraId="1566AE0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rPr>
                <w:rFonts w:hint="eastAsia" w:ascii="宋体" w:hAnsi="宋体" w:eastAsia="宋体" w:cs="宋体"/>
                <w:color w:val="000000" w:themeColor="text1"/>
                <w:szCs w:val="21"/>
                <w:lang w:val="en-US" w:eastAsia="zh-CN"/>
                <w14:textFill>
                  <w14:solidFill>
                    <w14:schemeClr w14:val="tx1"/>
                  </w14:solidFill>
                </w14:textFill>
              </w:rPr>
            </w:pPr>
            <w:r>
              <w:rPr>
                <w:rFonts w:hint="default" w:ascii="宋体" w:hAnsi="宋体" w:eastAsia="宋体" w:cs="宋体"/>
                <w:color w:val="000000" w:themeColor="text1"/>
                <w:kern w:val="2"/>
                <w:sz w:val="21"/>
                <w:szCs w:val="21"/>
                <w:lang w:val="en-US" w:eastAsia="zh-CN" w:bidi="ar-SA"/>
                <w14:textFill>
                  <w14:solidFill>
                    <w14:schemeClr w14:val="tx1"/>
                  </w14:solidFill>
                </w14:textFill>
              </w:rPr>
              <w:t>14．</w:t>
            </w:r>
            <w:r>
              <w:rPr>
                <w:rFonts w:hint="eastAsia" w:ascii="宋体" w:hAnsi="宋体" w:eastAsia="宋体" w:cs="宋体"/>
                <w:color w:val="000000" w:themeColor="text1"/>
                <w:szCs w:val="21"/>
                <w:lang w:val="en-US" w:eastAsia="zh-CN"/>
                <w14:textFill>
                  <w14:solidFill>
                    <w14:schemeClr w14:val="tx1"/>
                  </w14:solidFill>
                </w14:textFill>
              </w:rPr>
              <w:t>钢筋混凝土结构案例须在原有分项检测基础上增加混凝土构件表面损伤检查（外观肉眼观察+量测）、构件尺寸检测（包括梁板柱的构件尺寸）、结构图纸复核（包括层高、总高、轴网尺寸等）、柱垂直度、梁挠度房屋倾斜测量等检测内容。</w:t>
            </w:r>
          </w:p>
          <w:p w14:paraId="3486EAF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rPr>
                <w:rFonts w:hint="eastAsia" w:ascii="宋体" w:hAnsi="宋体" w:eastAsia="宋体" w:cs="宋体"/>
                <w:color w:val="000000" w:themeColor="text1"/>
                <w:szCs w:val="21"/>
                <w:lang w:val="en-US" w:eastAsia="zh-CN"/>
                <w14:textFill>
                  <w14:solidFill>
                    <w14:schemeClr w14:val="tx1"/>
                  </w14:solidFill>
                </w14:textFill>
              </w:rPr>
            </w:pPr>
            <w:r>
              <w:rPr>
                <w:rFonts w:hint="default" w:ascii="宋体" w:hAnsi="宋体" w:eastAsia="宋体" w:cs="宋体"/>
                <w:color w:val="000000" w:themeColor="text1"/>
                <w:kern w:val="2"/>
                <w:sz w:val="21"/>
                <w:szCs w:val="21"/>
                <w:lang w:val="en-US" w:eastAsia="zh-CN" w:bidi="ar-SA"/>
                <w14:textFill>
                  <w14:solidFill>
                    <w14:schemeClr w14:val="tx1"/>
                  </w14:solidFill>
                </w14:textFill>
              </w:rPr>
              <w:t>15．</w:t>
            </w:r>
            <w:r>
              <w:rPr>
                <w:rFonts w:hint="eastAsia" w:ascii="宋体" w:hAnsi="宋体" w:eastAsia="宋体" w:cs="宋体"/>
                <w:color w:val="000000" w:themeColor="text1"/>
                <w:szCs w:val="21"/>
                <w:lang w:val="en-US" w:eastAsia="zh-CN"/>
                <w14:textFill>
                  <w14:solidFill>
                    <w14:schemeClr w14:val="tx1"/>
                  </w14:solidFill>
                </w14:textFill>
              </w:rPr>
              <w:t>砌体结构在须原有分项检测基础上案例中增加承重墙表面损伤、砌筑质量、砌体构造、有害物质影响检查（外观肉眼观察+量测）、构件及洞口尺寸检测（承重墙、门窗洞口、构造柱、圈梁等尺寸）、结构图纸复核（包括层高、总高、轴网尺寸等）、墙倾斜度、弯曲度等检测内容；案例中体现房屋结构裂缝检测（包括裂缝位置、长度、宽度、深度、形态和数量、房屋倾斜测量。</w:t>
            </w:r>
          </w:p>
          <w:p w14:paraId="1D1DBBD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rPr>
                <w:rFonts w:hint="eastAsia" w:ascii="宋体" w:hAnsi="宋体" w:eastAsia="宋体" w:cs="宋体"/>
                <w:color w:val="000000" w:themeColor="text1"/>
                <w:szCs w:val="21"/>
                <w:lang w:val="en-US" w:eastAsia="zh-CN"/>
                <w14:textFill>
                  <w14:solidFill>
                    <w14:schemeClr w14:val="tx1"/>
                  </w14:solidFill>
                </w14:textFill>
              </w:rPr>
            </w:pPr>
            <w:r>
              <w:rPr>
                <w:rFonts w:hint="default" w:ascii="宋体" w:hAnsi="宋体" w:eastAsia="宋体" w:cs="宋体"/>
                <w:color w:val="000000" w:themeColor="text1"/>
                <w:kern w:val="2"/>
                <w:sz w:val="21"/>
                <w:szCs w:val="21"/>
                <w:lang w:val="en-US" w:eastAsia="zh-CN" w:bidi="ar-SA"/>
                <w14:textFill>
                  <w14:solidFill>
                    <w14:schemeClr w14:val="tx1"/>
                  </w14:solidFill>
                </w14:textFill>
              </w:rPr>
              <w:t>16．</w:t>
            </w:r>
            <w:r>
              <w:rPr>
                <w:rFonts w:hint="eastAsia" w:ascii="宋体" w:hAnsi="宋体" w:eastAsia="宋体" w:cs="宋体"/>
                <w:color w:val="000000" w:themeColor="text1"/>
                <w:szCs w:val="21"/>
                <w:lang w:val="en-US" w:eastAsia="zh-CN"/>
                <w14:textFill>
                  <w14:solidFill>
                    <w14:schemeClr w14:val="tx1"/>
                  </w14:solidFill>
                </w14:textFill>
              </w:rPr>
              <w:t>钢结构案例须在原有的分项的基础上增加表面检查内容（特别注意锈蚀、裂缝、变形弯曲、缺少螺栓）钢构件尺寸检测（包括梁、柱、檩条等的构件尺寸量测）、结构图纸复核（包括层高、总高、轴网尺寸等）、柱垂直度、梁挠度，房屋倾斜测量等检测内容。</w:t>
            </w:r>
          </w:p>
          <w:p w14:paraId="276D078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w:t>
            </w:r>
            <w:r>
              <w:rPr>
                <w:rFonts w:hint="default" w:ascii="宋体" w:hAnsi="宋体" w:eastAsia="宋体" w:cs="宋体"/>
                <w:b/>
                <w:bCs/>
                <w:kern w:val="2"/>
                <w:sz w:val="21"/>
                <w:szCs w:val="21"/>
                <w:lang w:val="en-US" w:eastAsia="zh-CN" w:bidi="ar-SA"/>
              </w:rPr>
              <w:t>17．</w:t>
            </w:r>
            <w:r>
              <w:rPr>
                <w:rFonts w:hint="eastAsia" w:ascii="宋体" w:hAnsi="宋体" w:eastAsia="宋体" w:cs="宋体"/>
                <w:b/>
                <w:bCs/>
                <w:szCs w:val="21"/>
                <w:lang w:val="en-US" w:eastAsia="zh-CN"/>
              </w:rPr>
              <w:t>须具有AI智能问答功能，须支持上传自有文档至知识库。</w:t>
            </w:r>
          </w:p>
          <w:p w14:paraId="1CF8399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rPr>
                <w:rFonts w:hint="eastAsia" w:ascii="宋体" w:hAnsi="宋体" w:eastAsia="宋体" w:cs="宋体"/>
                <w:szCs w:val="21"/>
                <w:highlight w:val="none"/>
                <w:lang w:val="en-US" w:eastAsia="zh-CN"/>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w:t>
            </w:r>
            <w:r>
              <w:rPr>
                <w:rFonts w:hint="default" w:ascii="宋体" w:hAnsi="宋体" w:eastAsia="宋体" w:cs="宋体"/>
                <w:b/>
                <w:bCs/>
                <w:kern w:val="2"/>
                <w:sz w:val="21"/>
                <w:szCs w:val="21"/>
                <w:lang w:val="en-US" w:eastAsia="zh-CN" w:bidi="ar-SA"/>
              </w:rPr>
              <w:t>18．</w:t>
            </w:r>
            <w:r>
              <w:rPr>
                <w:rFonts w:hint="eastAsia" w:ascii="宋体" w:hAnsi="宋体" w:eastAsia="宋体" w:cs="宋体"/>
                <w:b/>
                <w:bCs/>
                <w:szCs w:val="21"/>
                <w:lang w:val="en-US" w:eastAsia="zh-CN"/>
              </w:rPr>
              <w:t>须具有智能命题的工能，支持根据选择的题目类型、设置题目数量</w:t>
            </w:r>
            <w:r>
              <w:rPr>
                <w:rFonts w:hint="eastAsia" w:ascii="宋体" w:hAnsi="宋体" w:eastAsia="宋体" w:cs="宋体"/>
                <w:b/>
                <w:bCs/>
                <w:szCs w:val="21"/>
                <w:lang w:eastAsia="zh-CN"/>
              </w:rPr>
              <w:t>智能命题，支持</w:t>
            </w:r>
            <w:r>
              <w:rPr>
                <w:rFonts w:hint="eastAsia" w:ascii="宋体" w:hAnsi="宋体" w:eastAsia="宋体" w:cs="宋体"/>
                <w:b/>
                <w:bCs/>
                <w:szCs w:val="21"/>
                <w:lang w:val="en-US" w:eastAsia="zh-CN"/>
              </w:rPr>
              <w:t>题目校核、批量导入题库。</w:t>
            </w:r>
          </w:p>
          <w:p w14:paraId="0E531BF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rPr>
                <w:rFonts w:hint="eastAsia" w:ascii="宋体" w:hAnsi="宋体" w:eastAsia="宋体" w:cs="宋体"/>
                <w:color w:val="000000" w:themeColor="text1"/>
                <w:szCs w:val="21"/>
                <w14:textFill>
                  <w14:solidFill>
                    <w14:schemeClr w14:val="tx1"/>
                  </w14:solidFill>
                </w14:textFill>
              </w:rPr>
            </w:pPr>
            <w:r>
              <w:rPr>
                <w:rFonts w:hint="default" w:ascii="宋体" w:hAnsi="宋体" w:eastAsia="宋体" w:cs="宋体"/>
                <w:color w:val="000000" w:themeColor="text1"/>
                <w:kern w:val="2"/>
                <w:sz w:val="21"/>
                <w:szCs w:val="21"/>
                <w:lang w:val="en-US" w:eastAsia="zh-CN" w:bidi="ar-SA"/>
                <w14:textFill>
                  <w14:solidFill>
                    <w14:schemeClr w14:val="tx1"/>
                  </w14:solidFill>
                </w14:textFill>
              </w:rPr>
              <w:t>19．</w:t>
            </w:r>
            <w:r>
              <w:rPr>
                <w:rFonts w:hint="eastAsia" w:ascii="宋体" w:hAnsi="宋体" w:eastAsia="宋体" w:cs="宋体"/>
                <w:color w:val="000000" w:themeColor="text1"/>
                <w:szCs w:val="21"/>
                <w14:textFill>
                  <w14:solidFill>
                    <w14:schemeClr w14:val="tx1"/>
                  </w14:solidFill>
                </w14:textFill>
              </w:rPr>
              <w:t>所有模块均须配</w:t>
            </w:r>
            <w:r>
              <w:rPr>
                <w:rFonts w:hint="eastAsia" w:ascii="宋体" w:hAnsi="宋体" w:eastAsia="宋体" w:cs="宋体"/>
                <w:color w:val="000000" w:themeColor="text1"/>
                <w:szCs w:val="21"/>
                <w:lang w:val="en-US" w:eastAsia="zh-CN"/>
                <w14:textFill>
                  <w14:solidFill>
                    <w14:schemeClr w14:val="tx1"/>
                  </w14:solidFill>
                </w14:textFill>
              </w:rPr>
              <w:t>有</w:t>
            </w:r>
            <w:r>
              <w:rPr>
                <w:rFonts w:hint="eastAsia" w:ascii="宋体" w:hAnsi="宋体" w:eastAsia="宋体" w:cs="宋体"/>
                <w:color w:val="000000" w:themeColor="text1"/>
                <w:szCs w:val="21"/>
                <w14:textFill>
                  <w14:solidFill>
                    <w14:schemeClr w14:val="tx1"/>
                  </w14:solidFill>
                </w14:textFill>
              </w:rPr>
              <w:t>规范文档、</w:t>
            </w:r>
            <w:r>
              <w:rPr>
                <w:rFonts w:hint="eastAsia" w:ascii="宋体" w:hAnsi="宋体" w:eastAsia="宋体" w:cs="宋体"/>
                <w:color w:val="000000" w:themeColor="text1"/>
                <w:szCs w:val="21"/>
                <w:lang w:val="en-US" w:eastAsia="zh-CN"/>
                <w14:textFill>
                  <w14:solidFill>
                    <w14:schemeClr w14:val="tx1"/>
                  </w14:solidFill>
                </w14:textFill>
              </w:rPr>
              <w:t>视频、图纸等</w:t>
            </w:r>
            <w:r>
              <w:rPr>
                <w:rFonts w:hint="eastAsia" w:ascii="宋体" w:hAnsi="宋体" w:eastAsia="宋体" w:cs="宋体"/>
                <w:color w:val="000000" w:themeColor="text1"/>
                <w:szCs w:val="21"/>
                <w14:textFill>
                  <w14:solidFill>
                    <w14:schemeClr w14:val="tx1"/>
                  </w14:solidFill>
                </w14:textFill>
              </w:rPr>
              <w:t>教辅资源。</w:t>
            </w:r>
          </w:p>
          <w:p w14:paraId="552CA43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rPr>
                <w:rFonts w:hint="eastAsia" w:ascii="宋体" w:hAnsi="宋体" w:eastAsia="宋体" w:cs="宋体"/>
                <w:color w:val="000000" w:themeColor="text1"/>
                <w:szCs w:val="21"/>
                <w:lang w:val="en-US" w:eastAsia="zh-CN"/>
                <w14:textFill>
                  <w14:solidFill>
                    <w14:schemeClr w14:val="tx1"/>
                  </w14:solidFill>
                </w14:textFill>
              </w:rPr>
            </w:pPr>
            <w:r>
              <w:rPr>
                <w:rFonts w:hint="default" w:ascii="宋体" w:hAnsi="宋体" w:eastAsia="宋体" w:cs="宋体"/>
                <w:kern w:val="2"/>
                <w:sz w:val="21"/>
                <w:szCs w:val="24"/>
                <w:lang w:val="en-US" w:eastAsia="zh-CN" w:bidi="ar-SA"/>
              </w:rPr>
              <w:t>20．</w:t>
            </w:r>
            <w:r>
              <w:rPr>
                <w:rFonts w:hint="eastAsia" w:ascii="宋体" w:hAnsi="宋体" w:eastAsia="宋体" w:cs="宋体"/>
                <w:color w:val="000000" w:themeColor="text1"/>
                <w:szCs w:val="21"/>
                <w:lang w:val="en-US" w:eastAsia="zh-CN"/>
                <w14:textFill>
                  <w14:solidFill>
                    <w14:schemeClr w14:val="tx1"/>
                  </w14:solidFill>
                </w14:textFill>
              </w:rPr>
              <w:t>三维模型操作功能须包括但不限于360°旋转、放大、缩小查看。</w:t>
            </w:r>
          </w:p>
          <w:p w14:paraId="6A7465E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rPr>
                <w:rFonts w:hint="eastAsia" w:ascii="宋体" w:hAnsi="宋体" w:eastAsia="宋体" w:cs="宋体"/>
                <w:lang w:val="en-US" w:eastAsia="zh-CN"/>
              </w:rPr>
            </w:pPr>
            <w:r>
              <w:rPr>
                <w:rFonts w:hint="eastAsia" w:ascii="宋体" w:hAnsi="宋体" w:eastAsia="宋体" w:cs="宋体"/>
                <w:color w:val="000000" w:themeColor="text1"/>
                <w:szCs w:val="21"/>
                <w:highlight w:val="none"/>
                <w:lang w:val="en-US" w:eastAsia="zh-CN"/>
                <w14:textFill>
                  <w14:solidFill>
                    <w14:schemeClr w14:val="tx1"/>
                  </w14:solidFill>
                </w14:textFill>
              </w:rPr>
              <w:t>21.合同签订后须根据各级技能大赛方案提供相关赛道专家服务指导及技术支持不少于10次。</w:t>
            </w:r>
          </w:p>
        </w:tc>
        <w:tc>
          <w:tcPr>
            <w:tcW w:w="452" w:type="dxa"/>
            <w:shd w:val="clear" w:color="auto" w:fill="auto"/>
            <w:tcMar>
              <w:top w:w="15" w:type="dxa"/>
              <w:left w:w="15" w:type="dxa"/>
              <w:right w:w="15" w:type="dxa"/>
            </w:tcMar>
            <w:vAlign w:val="center"/>
          </w:tcPr>
          <w:p w14:paraId="7723BEB4">
            <w:pPr>
              <w:jc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lang w:val="en-US" w:eastAsia="zh-CN"/>
              </w:rPr>
              <w:t>1</w:t>
            </w:r>
          </w:p>
        </w:tc>
        <w:tc>
          <w:tcPr>
            <w:tcW w:w="960" w:type="dxa"/>
            <w:shd w:val="clear" w:color="auto" w:fill="auto"/>
            <w:tcMar>
              <w:top w:w="15" w:type="dxa"/>
              <w:left w:w="15" w:type="dxa"/>
              <w:right w:w="15" w:type="dxa"/>
            </w:tcMar>
            <w:vAlign w:val="center"/>
          </w:tcPr>
          <w:p w14:paraId="7AF5D2C6">
            <w:pPr>
              <w:jc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lang w:val="en-US" w:eastAsia="zh-CN"/>
              </w:rPr>
              <w:t>套</w:t>
            </w:r>
          </w:p>
        </w:tc>
        <w:tc>
          <w:tcPr>
            <w:tcW w:w="1335" w:type="dxa"/>
            <w:shd w:val="clear" w:color="auto" w:fill="auto"/>
            <w:tcMar>
              <w:top w:w="15" w:type="dxa"/>
              <w:left w:w="15" w:type="dxa"/>
              <w:right w:w="15" w:type="dxa"/>
            </w:tcMar>
            <w:vAlign w:val="center"/>
          </w:tcPr>
          <w:p w14:paraId="24ED5EB9">
            <w:pPr>
              <w:keepNext w:val="0"/>
              <w:keepLines w:val="0"/>
              <w:widowControl/>
              <w:suppressLineNumbers w:val="0"/>
              <w:spacing w:line="240" w:lineRule="auto"/>
              <w:jc w:val="center"/>
              <w:textAlignment w:val="center"/>
              <w:rPr>
                <w:rFonts w:hint="eastAsia" w:ascii="宋体" w:hAnsi="宋体" w:eastAsia="宋体" w:cs="宋体"/>
                <w:i w:val="0"/>
                <w:color w:val="auto"/>
                <w:kern w:val="2"/>
                <w:sz w:val="21"/>
                <w:szCs w:val="21"/>
                <w:highlight w:val="none"/>
                <w:u w:val="none"/>
                <w:lang w:val="en-US" w:eastAsia="zh-CN" w:bidi="ar-SA"/>
              </w:rPr>
            </w:pPr>
            <w:r>
              <w:rPr>
                <w:rFonts w:hint="eastAsia" w:ascii="宋体" w:hAnsi="宋体" w:eastAsia="宋体" w:cs="宋体"/>
                <w:highlight w:val="none"/>
                <w:lang w:val="en-US" w:eastAsia="zh-CN"/>
              </w:rPr>
              <w:t>▲</w:t>
            </w:r>
            <w:r>
              <w:rPr>
                <w:rFonts w:hint="eastAsia" w:ascii="宋体" w:hAnsi="宋体" w:cs="宋体"/>
                <w:highlight w:val="none"/>
                <w:lang w:val="en-US" w:eastAsia="zh-CN"/>
              </w:rPr>
              <w:t>投标</w:t>
            </w:r>
            <w:r>
              <w:rPr>
                <w:rFonts w:hint="eastAsia" w:ascii="宋体" w:hAnsi="宋体" w:eastAsia="宋体" w:cs="宋体"/>
                <w:highlight w:val="none"/>
                <w:lang w:eastAsia="zh-CN"/>
              </w:rPr>
              <w:t>单位须承诺所提供软件功能真实有效</w:t>
            </w:r>
            <w:r>
              <w:rPr>
                <w:rFonts w:hint="eastAsia" w:ascii="宋体" w:hAnsi="宋体" w:cs="宋体"/>
                <w:highlight w:val="none"/>
                <w:lang w:val="en-US" w:eastAsia="zh-CN"/>
              </w:rPr>
              <w:t>并提供软件截图</w:t>
            </w:r>
            <w:r>
              <w:rPr>
                <w:rFonts w:hint="eastAsia" w:ascii="宋体" w:hAnsi="宋体" w:cs="宋体"/>
                <w:highlight w:val="none"/>
                <w:lang w:eastAsia="zh-CN"/>
              </w:rPr>
              <w:t>；</w:t>
            </w:r>
            <w:r>
              <w:rPr>
                <w:rFonts w:hint="eastAsia" w:ascii="宋体" w:hAnsi="宋体" w:cs="宋体"/>
                <w:highlight w:val="none"/>
                <w:lang w:val="en-US" w:eastAsia="zh-CN"/>
              </w:rPr>
              <w:t>中标后</w:t>
            </w:r>
            <w:r>
              <w:rPr>
                <w:rFonts w:hint="eastAsia" w:ascii="宋体" w:hAnsi="宋体" w:eastAsia="宋体" w:cs="宋体"/>
                <w:highlight w:val="none"/>
                <w:lang w:eastAsia="zh-CN"/>
              </w:rPr>
              <w:t>签订合同之前需在现场演示核对</w:t>
            </w:r>
          </w:p>
        </w:tc>
      </w:tr>
      <w:tr w14:paraId="2F3B9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4" w:hRule="atLeast"/>
          <w:jc w:val="center"/>
        </w:trPr>
        <w:tc>
          <w:tcPr>
            <w:tcW w:w="604" w:type="dxa"/>
            <w:shd w:val="clear" w:color="auto" w:fill="auto"/>
            <w:tcMar>
              <w:top w:w="15" w:type="dxa"/>
              <w:left w:w="15" w:type="dxa"/>
              <w:right w:w="15" w:type="dxa"/>
            </w:tcMar>
            <w:vAlign w:val="center"/>
          </w:tcPr>
          <w:p w14:paraId="4CE5E04D">
            <w:pPr>
              <w:keepNext w:val="0"/>
              <w:keepLines w:val="0"/>
              <w:widowControl/>
              <w:suppressLineNumbers w:val="0"/>
              <w:spacing w:line="240" w:lineRule="auto"/>
              <w:jc w:val="center"/>
              <w:textAlignment w:val="center"/>
              <w:rPr>
                <w:rFonts w:hint="default" w:ascii="宋体" w:hAnsi="宋体" w:eastAsia="宋体" w:cs="宋体"/>
                <w:i w:val="0"/>
                <w:color w:val="auto"/>
                <w:kern w:val="2"/>
                <w:sz w:val="21"/>
                <w:szCs w:val="21"/>
                <w:highlight w:val="none"/>
                <w:u w:val="none"/>
                <w:lang w:val="en-US" w:eastAsia="zh-CN" w:bidi="ar-SA"/>
              </w:rPr>
            </w:pPr>
            <w:r>
              <w:rPr>
                <w:rFonts w:hint="eastAsia" w:ascii="宋体" w:hAnsi="宋体" w:cs="宋体"/>
                <w:i w:val="0"/>
                <w:color w:val="auto"/>
                <w:kern w:val="2"/>
                <w:sz w:val="21"/>
                <w:szCs w:val="21"/>
                <w:highlight w:val="none"/>
                <w:u w:val="none"/>
                <w:lang w:val="en-US" w:eastAsia="zh-CN" w:bidi="ar-SA"/>
              </w:rPr>
              <w:t>9</w:t>
            </w:r>
          </w:p>
        </w:tc>
        <w:tc>
          <w:tcPr>
            <w:tcW w:w="1245" w:type="dxa"/>
            <w:shd w:val="clear" w:color="auto" w:fill="auto"/>
            <w:tcMar>
              <w:top w:w="15" w:type="dxa"/>
              <w:left w:w="15" w:type="dxa"/>
              <w:right w:w="15" w:type="dxa"/>
            </w:tcMar>
            <w:vAlign w:val="center"/>
          </w:tcPr>
          <w:p w14:paraId="093CF33C">
            <w:pPr>
              <w:ind w:firstLine="0" w:firstLineChars="0"/>
              <w:jc w:val="center"/>
              <w:rPr>
                <w:rFonts w:hint="eastAsia" w:ascii="宋体" w:hAnsi="宋体" w:cs="宋体"/>
                <w:b/>
                <w:bCs/>
                <w:i w:val="0"/>
                <w:iCs w:val="0"/>
                <w:color w:val="000000"/>
                <w:kern w:val="0"/>
                <w:sz w:val="21"/>
                <w:szCs w:val="21"/>
                <w:u w:val="none"/>
                <w:lang w:val="en-US" w:eastAsia="zh-CN" w:bidi="ar"/>
              </w:rPr>
            </w:pPr>
            <w:r>
              <w:rPr>
                <w:rFonts w:hint="eastAsia" w:ascii="宋体" w:hAnsi="宋体" w:eastAsia="宋体" w:cs="宋体"/>
                <w:vertAlign w:val="baseline"/>
                <w:lang w:val="en-US" w:eastAsia="zh-CN"/>
              </w:rPr>
              <w:t>建筑结构加固修复虚拟仿真软件V2025</w:t>
            </w:r>
          </w:p>
        </w:tc>
        <w:tc>
          <w:tcPr>
            <w:tcW w:w="9285" w:type="dxa"/>
            <w:shd w:val="clear" w:color="auto" w:fill="auto"/>
            <w:tcMar>
              <w:top w:w="15" w:type="dxa"/>
              <w:left w:w="15" w:type="dxa"/>
              <w:right w:w="15" w:type="dxa"/>
            </w:tcMar>
            <w:vAlign w:val="center"/>
          </w:tcPr>
          <w:p w14:paraId="00A3023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000000" w:themeColor="text1"/>
                <w:szCs w:val="21"/>
                <w14:textFill>
                  <w14:solidFill>
                    <w14:schemeClr w14:val="tx1"/>
                  </w14:solidFill>
                </w14:textFill>
              </w:rPr>
            </w:pPr>
            <w:r>
              <w:rPr>
                <w:rFonts w:hint="default" w:ascii="宋体" w:hAnsi="宋体" w:eastAsia="宋体" w:cs="宋体"/>
                <w:color w:val="000000" w:themeColor="text1"/>
                <w:kern w:val="2"/>
                <w:sz w:val="21"/>
                <w:szCs w:val="21"/>
                <w:highlight w:val="none"/>
                <w:lang w:val="en-US" w:eastAsia="zh-CN" w:bidi="ar-SA"/>
                <w14:textFill>
                  <w14:solidFill>
                    <w14:schemeClr w14:val="tx1"/>
                  </w14:solidFill>
                </w14:textFill>
              </w:rPr>
              <w:t>1．</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软件功能须满足教学需求，同时满足职业院校技能比赛需求。</w:t>
            </w:r>
            <w:r>
              <w:rPr>
                <w:rFonts w:hint="eastAsia" w:ascii="宋体" w:hAnsi="宋体" w:eastAsia="宋体" w:cs="宋体"/>
                <w:color w:val="000000" w:themeColor="text1"/>
                <w:szCs w:val="21"/>
                <w:lang w:eastAsia="zh-CN"/>
                <w14:textFill>
                  <w14:solidFill>
                    <w14:schemeClr w14:val="tx1"/>
                  </w14:solidFill>
                </w14:textFill>
              </w:rPr>
              <w:t>软件</w:t>
            </w:r>
            <w:r>
              <w:rPr>
                <w:rFonts w:hint="eastAsia" w:ascii="宋体" w:hAnsi="宋体" w:eastAsia="宋体" w:cs="宋体"/>
                <w:color w:val="000000" w:themeColor="text1"/>
                <w:szCs w:val="21"/>
                <w14:textFill>
                  <w14:solidFill>
                    <w14:schemeClr w14:val="tx1"/>
                  </w14:solidFill>
                </w14:textFill>
              </w:rPr>
              <w:t>须采用激活码授权激活方式，在</w:t>
            </w:r>
            <w:r>
              <w:rPr>
                <w:rFonts w:hint="eastAsia" w:ascii="宋体" w:hAnsi="宋体" w:eastAsia="宋体" w:cs="宋体"/>
                <w:color w:val="000000" w:themeColor="text1"/>
                <w:szCs w:val="21"/>
                <w:lang w:eastAsia="zh-CN"/>
                <w14:textFill>
                  <w14:solidFill>
                    <w14:schemeClr w14:val="tx1"/>
                  </w14:solidFill>
                </w14:textFill>
              </w:rPr>
              <w:t>软件</w:t>
            </w:r>
            <w:r>
              <w:rPr>
                <w:rFonts w:hint="eastAsia" w:ascii="宋体" w:hAnsi="宋体" w:eastAsia="宋体" w:cs="宋体"/>
                <w:color w:val="000000" w:themeColor="text1"/>
                <w:szCs w:val="21"/>
                <w14:textFill>
                  <w14:solidFill>
                    <w14:schemeClr w14:val="tx1"/>
                  </w14:solidFill>
                </w14:textFill>
              </w:rPr>
              <w:t>部署完后使用激活号可以对</w:t>
            </w:r>
            <w:r>
              <w:rPr>
                <w:rFonts w:hint="eastAsia" w:ascii="宋体" w:hAnsi="宋体" w:eastAsia="宋体" w:cs="宋体"/>
                <w:color w:val="000000" w:themeColor="text1"/>
                <w:szCs w:val="21"/>
                <w:lang w:eastAsia="zh-CN"/>
                <w14:textFill>
                  <w14:solidFill>
                    <w14:schemeClr w14:val="tx1"/>
                  </w14:solidFill>
                </w14:textFill>
              </w:rPr>
              <w:t>软件</w:t>
            </w:r>
            <w:r>
              <w:rPr>
                <w:rFonts w:hint="eastAsia" w:ascii="宋体" w:hAnsi="宋体" w:eastAsia="宋体" w:cs="宋体"/>
                <w:color w:val="000000" w:themeColor="text1"/>
                <w:szCs w:val="21"/>
                <w14:textFill>
                  <w14:solidFill>
                    <w14:schemeClr w14:val="tx1"/>
                  </w14:solidFill>
                </w14:textFill>
              </w:rPr>
              <w:t>进行激活或授权</w:t>
            </w:r>
            <w:r>
              <w:rPr>
                <w:rFonts w:hint="eastAsia" w:ascii="宋体" w:hAnsi="宋体" w:eastAsia="宋体" w:cs="宋体"/>
                <w:color w:val="000000" w:themeColor="text1"/>
                <w:szCs w:val="21"/>
                <w:lang w:eastAsia="zh-CN"/>
                <w14:textFill>
                  <w14:solidFill>
                    <w14:schemeClr w14:val="tx1"/>
                  </w14:solidFill>
                </w14:textFill>
              </w:rPr>
              <w:t>，</w:t>
            </w:r>
            <w:r>
              <w:rPr>
                <w:rFonts w:hint="eastAsia" w:ascii="宋体" w:hAnsi="宋体" w:eastAsia="宋体" w:cs="宋体"/>
                <w:color w:val="000000" w:themeColor="text1"/>
                <w:szCs w:val="21"/>
                <w:lang w:val="en-US" w:eastAsia="zh-CN"/>
                <w14:textFill>
                  <w14:solidFill>
                    <w14:schemeClr w14:val="tx1"/>
                  </w14:solidFill>
                </w14:textFill>
              </w:rPr>
              <w:t>软件不限制节点数量。</w:t>
            </w:r>
          </w:p>
          <w:p w14:paraId="32AEFBB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000000" w:themeColor="text1"/>
                <w:szCs w:val="21"/>
                <w14:textFill>
                  <w14:solidFill>
                    <w14:schemeClr w14:val="tx1"/>
                  </w14:solidFill>
                </w14:textFill>
              </w:rPr>
            </w:pPr>
            <w:r>
              <w:rPr>
                <w:rFonts w:hint="default" w:ascii="宋体" w:hAnsi="宋体" w:eastAsia="宋体" w:cs="宋体"/>
                <w:color w:val="000000" w:themeColor="text1"/>
                <w:kern w:val="2"/>
                <w:sz w:val="21"/>
                <w:szCs w:val="21"/>
                <w:lang w:val="en-US" w:eastAsia="zh-CN" w:bidi="ar-SA"/>
                <w14:textFill>
                  <w14:solidFill>
                    <w14:schemeClr w14:val="tx1"/>
                  </w14:solidFill>
                </w14:textFill>
              </w:rPr>
              <w:t>2．</w:t>
            </w:r>
            <w:r>
              <w:rPr>
                <w:rFonts w:hint="eastAsia" w:ascii="宋体" w:hAnsi="宋体" w:eastAsia="宋体" w:cs="宋体"/>
                <w:color w:val="000000" w:themeColor="text1"/>
                <w:szCs w:val="21"/>
                <w:lang w:eastAsia="zh-CN"/>
                <w14:textFill>
                  <w14:solidFill>
                    <w14:schemeClr w14:val="tx1"/>
                  </w14:solidFill>
                </w14:textFill>
              </w:rPr>
              <w:t>软件</w:t>
            </w:r>
            <w:r>
              <w:rPr>
                <w:rFonts w:hint="eastAsia" w:ascii="宋体" w:hAnsi="宋体" w:eastAsia="宋体" w:cs="宋体"/>
                <w:color w:val="000000" w:themeColor="text1"/>
                <w:szCs w:val="21"/>
                <w14:textFill>
                  <w14:solidFill>
                    <w14:schemeClr w14:val="tx1"/>
                  </w14:solidFill>
                </w14:textFill>
              </w:rPr>
              <w:t>须</w:t>
            </w:r>
            <w:r>
              <w:rPr>
                <w:rFonts w:hint="eastAsia" w:ascii="宋体" w:hAnsi="宋体" w:eastAsia="宋体" w:cs="宋体"/>
                <w:color w:val="000000" w:themeColor="text1"/>
                <w:szCs w:val="21"/>
                <w:lang w:val="en-US" w:eastAsia="zh-CN"/>
                <w14:textFill>
                  <w14:solidFill>
                    <w14:schemeClr w14:val="tx1"/>
                  </w14:solidFill>
                </w14:textFill>
              </w:rPr>
              <w:t>默认</w:t>
            </w:r>
            <w:r>
              <w:rPr>
                <w:rFonts w:hint="eastAsia" w:ascii="宋体" w:hAnsi="宋体" w:eastAsia="宋体" w:cs="宋体"/>
                <w:color w:val="000000" w:themeColor="text1"/>
                <w:szCs w:val="21"/>
                <w14:textFill>
                  <w14:solidFill>
                    <w14:schemeClr w14:val="tx1"/>
                  </w14:solidFill>
                </w14:textFill>
              </w:rPr>
              <w:t>具备管理员、教师、学生三种角色权限，</w:t>
            </w:r>
            <w:r>
              <w:rPr>
                <w:rFonts w:hint="eastAsia" w:ascii="宋体" w:hAnsi="宋体" w:eastAsia="宋体" w:cs="宋体"/>
                <w:color w:val="000000" w:themeColor="text1"/>
                <w:szCs w:val="21"/>
                <w:lang w:val="en-US" w:eastAsia="zh-CN"/>
                <w14:textFill>
                  <w14:solidFill>
                    <w14:schemeClr w14:val="tx1"/>
                  </w14:solidFill>
                </w14:textFill>
              </w:rPr>
              <w:t>每种角色权限具备不同的功能；同时支持超级管理员根据需要创建新角色并设置新角色功能权限；调整现有教师、学生角色功能。</w:t>
            </w:r>
          </w:p>
          <w:p w14:paraId="50B5AE1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000000" w:themeColor="text1"/>
                <w:szCs w:val="21"/>
                <w14:textFill>
                  <w14:solidFill>
                    <w14:schemeClr w14:val="tx1"/>
                  </w14:solidFill>
                </w14:textFill>
              </w:rPr>
            </w:pPr>
            <w:r>
              <w:rPr>
                <w:rFonts w:hint="default" w:ascii="宋体" w:hAnsi="宋体" w:eastAsia="宋体" w:cs="宋体"/>
                <w:color w:val="000000" w:themeColor="text1"/>
                <w:kern w:val="2"/>
                <w:sz w:val="21"/>
                <w:szCs w:val="21"/>
                <w:lang w:val="en-US" w:eastAsia="zh-CN" w:bidi="ar-SA"/>
                <w14:textFill>
                  <w14:solidFill>
                    <w14:schemeClr w14:val="tx1"/>
                  </w14:solidFill>
                </w14:textFill>
              </w:rPr>
              <w:t>3．</w:t>
            </w:r>
            <w:r>
              <w:rPr>
                <w:rFonts w:hint="eastAsia" w:ascii="宋体" w:hAnsi="宋体" w:eastAsia="宋体" w:cs="宋体"/>
                <w:color w:val="000000" w:themeColor="text1"/>
                <w:szCs w:val="21"/>
                <w:lang w:val="en-US" w:eastAsia="zh-CN"/>
                <w14:textFill>
                  <w14:solidFill>
                    <w14:schemeClr w14:val="tx1"/>
                  </w14:solidFill>
                </w14:textFill>
              </w:rPr>
              <w:t>管理员角色须支持用户管理，</w:t>
            </w:r>
            <w:r>
              <w:rPr>
                <w:rFonts w:hint="eastAsia" w:ascii="宋体" w:hAnsi="宋体" w:eastAsia="宋体" w:cs="宋体"/>
                <w:color w:val="000000" w:themeColor="text1"/>
                <w:szCs w:val="21"/>
                <w14:textFill>
                  <w14:solidFill>
                    <w14:schemeClr w14:val="tx1"/>
                  </w14:solidFill>
                </w14:textFill>
              </w:rPr>
              <w:t>支持</w:t>
            </w:r>
            <w:r>
              <w:rPr>
                <w:rFonts w:hint="eastAsia" w:ascii="宋体" w:hAnsi="宋体" w:eastAsia="宋体" w:cs="宋体"/>
                <w:color w:val="000000" w:themeColor="text1"/>
                <w:szCs w:val="21"/>
                <w:lang w:val="en-US" w:eastAsia="zh-CN"/>
                <w14:textFill>
                  <w14:solidFill>
                    <w14:schemeClr w14:val="tx1"/>
                  </w14:solidFill>
                </w14:textFill>
              </w:rPr>
              <w:t>用</w:t>
            </w:r>
            <w:r>
              <w:rPr>
                <w:rFonts w:hint="eastAsia" w:ascii="宋体" w:hAnsi="宋体" w:eastAsia="宋体" w:cs="宋体"/>
                <w:color w:val="000000" w:themeColor="text1"/>
                <w:szCs w:val="21"/>
                <w14:textFill>
                  <w14:solidFill>
                    <w14:schemeClr w14:val="tx1"/>
                  </w14:solidFill>
                </w14:textFill>
              </w:rPr>
              <w:t>户账号</w:t>
            </w:r>
            <w:r>
              <w:rPr>
                <w:rFonts w:hint="eastAsia" w:ascii="宋体" w:hAnsi="宋体" w:eastAsia="宋体" w:cs="宋体"/>
                <w:color w:val="000000" w:themeColor="text1"/>
                <w:szCs w:val="21"/>
                <w:lang w:val="en-US" w:eastAsia="zh-CN"/>
                <w14:textFill>
                  <w14:solidFill>
                    <w14:schemeClr w14:val="tx1"/>
                  </w14:solidFill>
                </w14:textFill>
              </w:rPr>
              <w:t>单个导入</w:t>
            </w:r>
            <w:r>
              <w:rPr>
                <w:rFonts w:hint="eastAsia" w:ascii="宋体" w:hAnsi="宋体" w:eastAsia="宋体" w:cs="宋体"/>
                <w:color w:val="000000" w:themeColor="text1"/>
                <w:szCs w:val="21"/>
                <w14:textFill>
                  <w14:solidFill>
                    <w14:schemeClr w14:val="tx1"/>
                  </w14:solidFill>
                </w14:textFill>
              </w:rPr>
              <w:t>和多个用户账号模式批量导入</w:t>
            </w:r>
            <w:r>
              <w:rPr>
                <w:rFonts w:hint="eastAsia" w:ascii="宋体" w:hAnsi="宋体" w:eastAsia="宋体" w:cs="宋体"/>
                <w:color w:val="000000" w:themeColor="text1"/>
                <w:szCs w:val="21"/>
                <w:lang w:eastAsia="zh-CN"/>
                <w14:textFill>
                  <w14:solidFill>
                    <w14:schemeClr w14:val="tx1"/>
                  </w14:solidFill>
                </w14:textFill>
              </w:rPr>
              <w:t>。</w:t>
            </w:r>
          </w:p>
          <w:p w14:paraId="77DB715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000000" w:themeColor="text1"/>
                <w:szCs w:val="21"/>
                <w14:textFill>
                  <w14:solidFill>
                    <w14:schemeClr w14:val="tx1"/>
                  </w14:solidFill>
                </w14:textFill>
              </w:rPr>
            </w:pPr>
            <w:r>
              <w:rPr>
                <w:rFonts w:hint="default" w:ascii="宋体" w:hAnsi="宋体" w:eastAsia="宋体" w:cs="宋体"/>
                <w:color w:val="000000" w:themeColor="text1"/>
                <w:kern w:val="2"/>
                <w:sz w:val="21"/>
                <w:szCs w:val="21"/>
                <w:lang w:val="en-US" w:eastAsia="zh-CN" w:bidi="ar-SA"/>
                <w14:textFill>
                  <w14:solidFill>
                    <w14:schemeClr w14:val="tx1"/>
                  </w14:solidFill>
                </w14:textFill>
              </w:rPr>
              <w:t>4．</w:t>
            </w:r>
            <w:r>
              <w:rPr>
                <w:rFonts w:hint="eastAsia" w:ascii="宋体" w:hAnsi="宋体" w:eastAsia="宋体" w:cs="宋体"/>
                <w:color w:val="000000" w:themeColor="text1"/>
                <w:szCs w:val="21"/>
                <w:lang w:val="en-US" w:eastAsia="zh-CN"/>
                <w14:textFill>
                  <w14:solidFill>
                    <w14:schemeClr w14:val="tx1"/>
                  </w14:solidFill>
                </w14:textFill>
              </w:rPr>
              <w:t>管理员角色须支持试题资源的分类以及添加试题，题目类型支持单选题、多选题、填空题。</w:t>
            </w:r>
          </w:p>
          <w:p w14:paraId="058414A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000000" w:themeColor="text1"/>
                <w:szCs w:val="21"/>
                <w14:textFill>
                  <w14:solidFill>
                    <w14:schemeClr w14:val="tx1"/>
                  </w14:solidFill>
                </w14:textFill>
              </w:rPr>
            </w:pPr>
            <w:r>
              <w:rPr>
                <w:rFonts w:hint="default" w:ascii="宋体" w:hAnsi="宋体" w:eastAsia="宋体" w:cs="宋体"/>
                <w:color w:val="000000" w:themeColor="text1"/>
                <w:kern w:val="2"/>
                <w:sz w:val="21"/>
                <w:szCs w:val="21"/>
                <w:lang w:val="en-US" w:eastAsia="zh-CN" w:bidi="ar-SA"/>
                <w14:textFill>
                  <w14:solidFill>
                    <w14:schemeClr w14:val="tx1"/>
                  </w14:solidFill>
                </w14:textFill>
              </w:rPr>
              <w:t>5．</w:t>
            </w:r>
            <w:r>
              <w:rPr>
                <w:rFonts w:hint="eastAsia" w:ascii="宋体" w:hAnsi="宋体" w:eastAsia="宋体" w:cs="宋体"/>
                <w:color w:val="000000" w:themeColor="text1"/>
                <w:szCs w:val="21"/>
                <w:lang w:val="en-US" w:eastAsia="zh-CN"/>
                <w14:textFill>
                  <w14:solidFill>
                    <w14:schemeClr w14:val="tx1"/>
                  </w14:solidFill>
                </w14:textFill>
              </w:rPr>
              <w:t>教师角色须支持试卷管理，可以根据需要创建、删除、修改试卷。</w:t>
            </w:r>
          </w:p>
          <w:p w14:paraId="3821406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pacing w:val="7"/>
                <w:sz w:val="21"/>
                <w:szCs w:val="21"/>
              </w:rPr>
            </w:pPr>
            <w:r>
              <w:rPr>
                <w:rFonts w:hint="default" w:ascii="宋体" w:hAnsi="宋体" w:eastAsia="宋体" w:cs="宋体"/>
                <w:spacing w:val="7"/>
                <w:kern w:val="2"/>
                <w:sz w:val="21"/>
                <w:szCs w:val="21"/>
                <w:lang w:val="en-US" w:eastAsia="zh-CN" w:bidi="ar-SA"/>
              </w:rPr>
              <w:t>6．</w:t>
            </w:r>
            <w:r>
              <w:rPr>
                <w:rFonts w:hint="eastAsia" w:ascii="宋体" w:hAnsi="宋体" w:eastAsia="宋体" w:cs="宋体"/>
                <w:color w:val="000000" w:themeColor="text1"/>
                <w:szCs w:val="21"/>
                <w14:textFill>
                  <w14:solidFill>
                    <w14:schemeClr w14:val="tx1"/>
                  </w14:solidFill>
                </w14:textFill>
              </w:rPr>
              <w:t>教师角色须支持发起</w:t>
            </w:r>
            <w:r>
              <w:rPr>
                <w:rFonts w:hint="eastAsia" w:ascii="宋体" w:hAnsi="宋体" w:eastAsia="宋体" w:cs="宋体"/>
                <w:color w:val="000000" w:themeColor="text1"/>
                <w:szCs w:val="21"/>
                <w:lang w:val="en-US" w:eastAsia="zh-CN"/>
                <w14:textFill>
                  <w14:solidFill>
                    <w14:schemeClr w14:val="tx1"/>
                  </w14:solidFill>
                </w14:textFill>
              </w:rPr>
              <w:t>理论评价、虚仿评价</w:t>
            </w:r>
            <w:r>
              <w:rPr>
                <w:rFonts w:hint="eastAsia" w:ascii="宋体" w:hAnsi="宋体" w:eastAsia="宋体" w:cs="宋体"/>
                <w:color w:val="000000" w:themeColor="text1"/>
                <w:szCs w:val="21"/>
                <w14:textFill>
                  <w14:solidFill>
                    <w14:schemeClr w14:val="tx1"/>
                  </w14:solidFill>
                </w14:textFill>
              </w:rPr>
              <w:t>，支持设置</w:t>
            </w:r>
            <w:r>
              <w:rPr>
                <w:rFonts w:hint="eastAsia" w:ascii="宋体" w:hAnsi="宋体" w:eastAsia="宋体" w:cs="宋体"/>
                <w:color w:val="000000" w:themeColor="text1"/>
                <w:szCs w:val="21"/>
                <w:lang w:val="en-US" w:eastAsia="zh-CN"/>
                <w14:textFill>
                  <w14:solidFill>
                    <w14:schemeClr w14:val="tx1"/>
                  </w14:solidFill>
                </w14:textFill>
              </w:rPr>
              <w:t>评价名称、时长、选择人员。</w:t>
            </w:r>
          </w:p>
          <w:p w14:paraId="398DC5E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pacing w:val="7"/>
                <w:sz w:val="21"/>
                <w:szCs w:val="21"/>
              </w:rPr>
            </w:pPr>
            <w:r>
              <w:rPr>
                <w:rFonts w:hint="default" w:ascii="宋体" w:hAnsi="宋体" w:eastAsia="宋体" w:cs="宋体"/>
                <w:spacing w:val="7"/>
                <w:kern w:val="2"/>
                <w:sz w:val="21"/>
                <w:szCs w:val="21"/>
                <w:lang w:val="en-US" w:eastAsia="zh-CN" w:bidi="ar-SA"/>
              </w:rPr>
              <w:t>7．</w:t>
            </w:r>
            <w:r>
              <w:rPr>
                <w:rFonts w:hint="eastAsia" w:ascii="宋体" w:hAnsi="宋体" w:eastAsia="宋体" w:cs="宋体"/>
                <w:spacing w:val="7"/>
                <w:sz w:val="21"/>
                <w:szCs w:val="21"/>
                <w:lang w:val="en-US" w:eastAsia="zh-CN"/>
              </w:rPr>
              <w:t>教师角色须支持脚本管理，支持试题管理即将理论题目嵌入虚仿程序中，在虚仿考核中进行作答。</w:t>
            </w:r>
          </w:p>
          <w:p w14:paraId="7AF9490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pacing w:val="7"/>
                <w:sz w:val="21"/>
                <w:szCs w:val="21"/>
              </w:rPr>
            </w:pPr>
            <w:r>
              <w:rPr>
                <w:rFonts w:hint="default" w:ascii="宋体" w:hAnsi="宋体" w:eastAsia="宋体" w:cs="宋体"/>
                <w:spacing w:val="7"/>
                <w:kern w:val="2"/>
                <w:sz w:val="21"/>
                <w:szCs w:val="21"/>
                <w:lang w:val="en-US" w:eastAsia="zh-CN" w:bidi="ar-SA"/>
              </w:rPr>
              <w:t>8．</w:t>
            </w:r>
            <w:r>
              <w:rPr>
                <w:rFonts w:hint="eastAsia" w:ascii="宋体" w:hAnsi="宋体" w:eastAsia="宋体" w:cs="宋体"/>
                <w:spacing w:val="7"/>
                <w:sz w:val="21"/>
                <w:szCs w:val="21"/>
                <w:lang w:val="en-US" w:eastAsia="zh-CN"/>
              </w:rPr>
              <w:t>教师端须具有看板功能，查看学生的任务完成情况、考试成绩、积分排行榜。</w:t>
            </w:r>
          </w:p>
          <w:p w14:paraId="608080A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000000" w:themeColor="text1"/>
                <w:szCs w:val="21"/>
                <w14:textFill>
                  <w14:solidFill>
                    <w14:schemeClr w14:val="tx1"/>
                  </w14:solidFill>
                </w14:textFill>
              </w:rPr>
            </w:pPr>
            <w:r>
              <w:rPr>
                <w:rFonts w:hint="default" w:ascii="宋体" w:hAnsi="宋体" w:eastAsia="宋体" w:cs="宋体"/>
                <w:color w:val="000000" w:themeColor="text1"/>
                <w:kern w:val="2"/>
                <w:sz w:val="21"/>
                <w:szCs w:val="21"/>
                <w:lang w:val="en-US" w:eastAsia="zh-CN" w:bidi="ar-SA"/>
                <w14:textFill>
                  <w14:solidFill>
                    <w14:schemeClr w14:val="tx1"/>
                  </w14:solidFill>
                </w14:textFill>
              </w:rPr>
              <w:t>9．</w:t>
            </w:r>
            <w:r>
              <w:rPr>
                <w:rFonts w:hint="eastAsia" w:ascii="宋体" w:hAnsi="宋体" w:eastAsia="宋体" w:cs="宋体"/>
                <w:color w:val="000000" w:themeColor="text1"/>
                <w:szCs w:val="21"/>
                <w14:textFill>
                  <w14:solidFill>
                    <w14:schemeClr w14:val="tx1"/>
                  </w14:solidFill>
                </w14:textFill>
              </w:rPr>
              <w:t>学生角色须支持接收和执行教师发布的</w:t>
            </w:r>
            <w:r>
              <w:rPr>
                <w:rFonts w:hint="eastAsia" w:ascii="宋体" w:hAnsi="宋体" w:eastAsia="宋体" w:cs="宋体"/>
                <w:color w:val="000000" w:themeColor="text1"/>
                <w:szCs w:val="21"/>
                <w:lang w:val="en-US" w:eastAsia="zh-CN"/>
                <w14:textFill>
                  <w14:solidFill>
                    <w14:schemeClr w14:val="tx1"/>
                  </w14:solidFill>
                </w14:textFill>
              </w:rPr>
              <w:t>评价</w:t>
            </w:r>
            <w:r>
              <w:rPr>
                <w:rFonts w:hint="eastAsia" w:ascii="宋体" w:hAnsi="宋体" w:eastAsia="宋体" w:cs="宋体"/>
                <w:color w:val="000000" w:themeColor="text1"/>
                <w:szCs w:val="21"/>
                <w14:textFill>
                  <w14:solidFill>
                    <w14:schemeClr w14:val="tx1"/>
                  </w14:solidFill>
                </w14:textFill>
              </w:rPr>
              <w:t>；学生可以查看自己学习情况。</w:t>
            </w:r>
          </w:p>
          <w:p w14:paraId="73E2D5A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000000" w:themeColor="text1"/>
                <w:szCs w:val="21"/>
                <w14:textFill>
                  <w14:solidFill>
                    <w14:schemeClr w14:val="tx1"/>
                  </w14:solidFill>
                </w14:textFill>
              </w:rPr>
            </w:pPr>
            <w:r>
              <w:rPr>
                <w:rFonts w:hint="default" w:ascii="宋体" w:hAnsi="宋体" w:eastAsia="宋体" w:cs="宋体"/>
                <w:color w:val="000000" w:themeColor="text1"/>
                <w:kern w:val="2"/>
                <w:sz w:val="21"/>
                <w:szCs w:val="21"/>
                <w:lang w:val="en-US" w:eastAsia="zh-CN" w:bidi="ar-SA"/>
                <w14:textFill>
                  <w14:solidFill>
                    <w14:schemeClr w14:val="tx1"/>
                  </w14:solidFill>
                </w14:textFill>
              </w:rPr>
              <w:t>10．</w:t>
            </w:r>
            <w:r>
              <w:rPr>
                <w:rFonts w:hint="eastAsia" w:ascii="宋体" w:hAnsi="宋体" w:eastAsia="宋体" w:cs="宋体"/>
                <w:color w:val="000000" w:themeColor="text1"/>
                <w:szCs w:val="21"/>
                <w14:textFill>
                  <w14:solidFill>
                    <w14:schemeClr w14:val="tx1"/>
                  </w14:solidFill>
                </w14:textFill>
              </w:rPr>
              <w:t>学生角色须包含</w:t>
            </w:r>
            <w:r>
              <w:rPr>
                <w:rFonts w:hint="eastAsia" w:ascii="宋体" w:hAnsi="宋体" w:eastAsia="宋体" w:cs="宋体"/>
                <w:color w:val="000000" w:themeColor="text1"/>
                <w:szCs w:val="21"/>
                <w:lang w:val="en-US" w:eastAsia="zh-CN"/>
                <w14:textFill>
                  <w14:solidFill>
                    <w14:schemeClr w14:val="tx1"/>
                  </w14:solidFill>
                </w14:textFill>
              </w:rPr>
              <w:t>虚仿实训模式</w:t>
            </w:r>
            <w:r>
              <w:rPr>
                <w:rFonts w:hint="eastAsia" w:ascii="宋体" w:hAnsi="宋体" w:eastAsia="宋体" w:cs="宋体"/>
                <w:color w:val="000000" w:themeColor="text1"/>
                <w:szCs w:val="21"/>
                <w14:textFill>
                  <w14:solidFill>
                    <w14:schemeClr w14:val="tx1"/>
                  </w14:solidFill>
                </w14:textFill>
              </w:rPr>
              <w:t>。启动仿真实训后，虚拟仿真操作中应具备文字引导，操作步骤可按需任意跳转，所有虚拟仿真操作均具备操作提示，用户可通过点击操作提示按钮得到正确操作步骤提示。</w:t>
            </w:r>
          </w:p>
          <w:p w14:paraId="1FED41D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000000" w:themeColor="text1"/>
                <w:szCs w:val="21"/>
                <w14:textFill>
                  <w14:solidFill>
                    <w14:schemeClr w14:val="tx1"/>
                  </w14:solidFill>
                </w14:textFill>
              </w:rPr>
            </w:pPr>
            <w:r>
              <w:rPr>
                <w:rFonts w:hint="default" w:ascii="宋体" w:hAnsi="宋体" w:eastAsia="宋体" w:cs="宋体"/>
                <w:color w:val="000000" w:themeColor="text1"/>
                <w:kern w:val="2"/>
                <w:sz w:val="21"/>
                <w:szCs w:val="21"/>
                <w:lang w:val="en-US" w:eastAsia="zh-CN" w:bidi="ar-SA"/>
                <w14:textFill>
                  <w14:solidFill>
                    <w14:schemeClr w14:val="tx1"/>
                  </w14:solidFill>
                </w14:textFill>
              </w:rPr>
              <w:t>11．</w:t>
            </w:r>
            <w:r>
              <w:rPr>
                <w:rFonts w:hint="eastAsia" w:ascii="宋体" w:hAnsi="宋体" w:eastAsia="宋体" w:cs="宋体"/>
                <w:color w:val="000000" w:themeColor="text1"/>
                <w:szCs w:val="21"/>
                <w:lang w:val="en-US" w:eastAsia="zh-CN"/>
                <w14:textFill>
                  <w14:solidFill>
                    <w14:schemeClr w14:val="tx1"/>
                  </w14:solidFill>
                </w14:textFill>
              </w:rPr>
              <w:t>虚拟仿真资源须包钢筋混凝土结构、砌体结构、钢结构3类建筑类型以及其他加固过程中常见其他工艺。每个虚拟仿真资源须均包含考核模式、实训模式两种模式。</w:t>
            </w:r>
          </w:p>
          <w:p w14:paraId="0C1EE3B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highlight w:val="none"/>
                <w:lang w:val="en-US" w:eastAsia="zh-CN"/>
              </w:rPr>
              <w:t>▲</w:t>
            </w:r>
            <w:r>
              <w:rPr>
                <w:rFonts w:hint="default" w:ascii="宋体" w:hAnsi="宋体" w:eastAsia="宋体" w:cs="宋体"/>
                <w:b/>
                <w:bCs/>
                <w:color w:val="000000" w:themeColor="text1"/>
                <w:kern w:val="2"/>
                <w:sz w:val="21"/>
                <w:szCs w:val="21"/>
                <w:lang w:val="en-US" w:eastAsia="zh-CN" w:bidi="ar-SA"/>
                <w14:textFill>
                  <w14:solidFill>
                    <w14:schemeClr w14:val="tx1"/>
                  </w14:solidFill>
                </w14:textFill>
              </w:rPr>
              <w:t>12．</w:t>
            </w:r>
            <w:r>
              <w:rPr>
                <w:rFonts w:hint="eastAsia" w:ascii="宋体" w:hAnsi="宋体" w:eastAsia="宋体" w:cs="宋体"/>
                <w:b/>
                <w:bCs/>
                <w:color w:val="000000" w:themeColor="text1"/>
                <w:szCs w:val="21"/>
                <w:lang w:val="en-US" w:eastAsia="zh-CN"/>
                <w14:textFill>
                  <w14:solidFill>
                    <w14:schemeClr w14:val="tx1"/>
                  </w14:solidFill>
                </w14:textFill>
              </w:rPr>
              <w:t>钢筋混凝土结构须包含增大截面法、粘贴钢板法、粘贴纤维复合材料法等不少于3个虚拟仿真资源。</w:t>
            </w:r>
          </w:p>
          <w:p w14:paraId="7EE58E6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Cs w:val="21"/>
                <w:highlight w:val="none"/>
                <w:lang w:val="en-US" w:eastAsia="zh-CN"/>
              </w:rPr>
            </w:pPr>
            <w:r>
              <w:rPr>
                <w:rFonts w:hint="eastAsia" w:ascii="宋体" w:hAnsi="宋体" w:eastAsia="宋体" w:cs="宋体"/>
                <w:highlight w:val="none"/>
                <w:lang w:val="en-US" w:eastAsia="zh-CN"/>
              </w:rPr>
              <w:t>▲</w:t>
            </w:r>
            <w:r>
              <w:rPr>
                <w:rFonts w:hint="default" w:ascii="宋体" w:hAnsi="宋体" w:eastAsia="宋体" w:cs="宋体"/>
                <w:b/>
                <w:bCs/>
                <w:kern w:val="2"/>
                <w:sz w:val="21"/>
                <w:szCs w:val="21"/>
                <w:highlight w:val="none"/>
                <w:lang w:val="en-US" w:eastAsia="zh-CN" w:bidi="ar-SA"/>
              </w:rPr>
              <w:t>13．</w:t>
            </w:r>
            <w:r>
              <w:rPr>
                <w:rFonts w:hint="eastAsia" w:ascii="宋体" w:hAnsi="宋体" w:eastAsia="宋体" w:cs="宋体"/>
                <w:b/>
                <w:bCs/>
                <w:color w:val="000000" w:themeColor="text1"/>
                <w:szCs w:val="21"/>
                <w:highlight w:val="none"/>
                <w:lang w:val="en-US" w:eastAsia="zh-CN"/>
                <w14:textFill>
                  <w14:solidFill>
                    <w14:schemeClr w14:val="tx1"/>
                  </w14:solidFill>
                </w14:textFill>
              </w:rPr>
              <w:t>砌体结构须包含</w:t>
            </w:r>
            <w:r>
              <w:rPr>
                <w:rFonts w:hint="eastAsia" w:ascii="宋体" w:hAnsi="宋体" w:eastAsia="宋体" w:cs="宋体"/>
                <w:b/>
                <w:bCs/>
                <w:color w:val="000000" w:themeColor="text1"/>
                <w:szCs w:val="21"/>
                <w:highlight w:val="none"/>
                <w14:textFill>
                  <w14:solidFill>
                    <w14:schemeClr w14:val="tx1"/>
                  </w14:solidFill>
                </w14:textFill>
              </w:rPr>
              <w:t>钢筋网水泥砂浆面层</w:t>
            </w:r>
            <w:r>
              <w:rPr>
                <w:rFonts w:hint="eastAsia" w:ascii="宋体" w:hAnsi="宋体" w:eastAsia="宋体" w:cs="宋体"/>
                <w:b/>
                <w:bCs/>
                <w:color w:val="000000" w:themeColor="text1"/>
                <w:szCs w:val="21"/>
                <w:highlight w:val="none"/>
                <w:lang w:val="en-US" w:eastAsia="zh-CN"/>
                <w14:textFill>
                  <w14:solidFill>
                    <w14:schemeClr w14:val="tx1"/>
                  </w14:solidFill>
                </w14:textFill>
              </w:rPr>
              <w:t>法、</w:t>
            </w:r>
            <w:r>
              <w:rPr>
                <w:rFonts w:hint="eastAsia" w:ascii="宋体" w:hAnsi="宋体" w:eastAsia="宋体" w:cs="宋体"/>
                <w:b/>
                <w:bCs/>
                <w:color w:val="000000" w:themeColor="text1"/>
                <w:szCs w:val="21"/>
                <w:highlight w:val="none"/>
                <w14:textFill>
                  <w14:solidFill>
                    <w14:schemeClr w14:val="tx1"/>
                  </w14:solidFill>
                </w14:textFill>
              </w:rPr>
              <w:t>增设构造柱与圈梁</w:t>
            </w:r>
            <w:r>
              <w:rPr>
                <w:rFonts w:hint="eastAsia" w:ascii="宋体" w:hAnsi="宋体" w:eastAsia="宋体" w:cs="宋体"/>
                <w:b/>
                <w:bCs/>
                <w:color w:val="000000" w:themeColor="text1"/>
                <w:szCs w:val="21"/>
                <w:highlight w:val="none"/>
                <w:lang w:val="en-US" w:eastAsia="zh-CN"/>
                <w14:textFill>
                  <w14:solidFill>
                    <w14:schemeClr w14:val="tx1"/>
                  </w14:solidFill>
                </w14:textFill>
              </w:rPr>
              <w:t>等不少于2个虚拟</w:t>
            </w:r>
            <w:r>
              <w:rPr>
                <w:rFonts w:hint="eastAsia" w:ascii="宋体" w:hAnsi="宋体" w:eastAsia="宋体" w:cs="宋体"/>
                <w:b/>
                <w:bCs/>
                <w:szCs w:val="21"/>
                <w:highlight w:val="none"/>
                <w:lang w:val="en-US" w:eastAsia="zh-CN"/>
              </w:rPr>
              <w:t>仿真资源。</w:t>
            </w:r>
          </w:p>
          <w:p w14:paraId="0C656FD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b/>
                <w:bCs/>
                <w:szCs w:val="21"/>
                <w:highlight w:val="none"/>
                <w:lang w:val="en-US" w:eastAsia="zh-CN"/>
              </w:rPr>
            </w:pPr>
            <w:r>
              <w:rPr>
                <w:rFonts w:hint="eastAsia" w:ascii="宋体" w:hAnsi="宋体" w:eastAsia="宋体" w:cs="宋体"/>
                <w:highlight w:val="none"/>
                <w:lang w:val="en-US" w:eastAsia="zh-CN"/>
              </w:rPr>
              <w:t>▲</w:t>
            </w:r>
            <w:r>
              <w:rPr>
                <w:rFonts w:hint="default" w:ascii="宋体" w:hAnsi="宋体" w:eastAsia="宋体" w:cs="宋体"/>
                <w:b/>
                <w:bCs/>
                <w:kern w:val="2"/>
                <w:sz w:val="21"/>
                <w:szCs w:val="21"/>
                <w:highlight w:val="none"/>
                <w:lang w:val="en-US" w:eastAsia="zh-CN" w:bidi="ar-SA"/>
              </w:rPr>
              <w:t>14．</w:t>
            </w:r>
            <w:r>
              <w:rPr>
                <w:rFonts w:hint="eastAsia" w:ascii="宋体" w:hAnsi="宋体" w:eastAsia="宋体" w:cs="宋体"/>
                <w:b/>
                <w:bCs/>
                <w:szCs w:val="21"/>
                <w:highlight w:val="none"/>
                <w:lang w:val="en-US" w:eastAsia="zh-CN"/>
              </w:rPr>
              <w:t>钢结构须包含增大截面法、裂纹修复等不少于3个虚拟仿真资源。</w:t>
            </w:r>
          </w:p>
          <w:p w14:paraId="2AB885B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Cs w:val="21"/>
                <w:highlight w:val="none"/>
                <w:lang w:val="en-US" w:eastAsia="zh-CN"/>
              </w:rPr>
            </w:pPr>
            <w:r>
              <w:rPr>
                <w:rFonts w:hint="eastAsia" w:ascii="宋体" w:hAnsi="宋体" w:eastAsia="宋体" w:cs="宋体"/>
                <w:highlight w:val="none"/>
                <w:lang w:val="en-US" w:eastAsia="zh-CN"/>
              </w:rPr>
              <w:t>▲</w:t>
            </w:r>
            <w:r>
              <w:rPr>
                <w:rFonts w:hint="default" w:ascii="宋体" w:hAnsi="宋体" w:eastAsia="宋体" w:cs="宋体"/>
                <w:b/>
                <w:bCs/>
                <w:kern w:val="2"/>
                <w:sz w:val="21"/>
                <w:szCs w:val="21"/>
                <w:highlight w:val="none"/>
                <w:lang w:val="en-US" w:eastAsia="zh-CN" w:bidi="ar-SA"/>
              </w:rPr>
              <w:t>15．</w:t>
            </w:r>
            <w:r>
              <w:rPr>
                <w:rFonts w:hint="eastAsia" w:ascii="宋体" w:hAnsi="宋体" w:eastAsia="宋体" w:cs="宋体"/>
                <w:b/>
                <w:bCs/>
                <w:szCs w:val="21"/>
                <w:highlight w:val="none"/>
                <w:lang w:val="en-US" w:eastAsia="zh-CN"/>
              </w:rPr>
              <w:t>其他工艺须包含植筋工程、灌浆工程等不少于2个虚拟仿真资源。</w:t>
            </w:r>
          </w:p>
          <w:p w14:paraId="2564F3E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Cs w:val="21"/>
                <w:lang w:val="en-US" w:eastAsia="zh-CN"/>
              </w:rPr>
            </w:pPr>
            <w:r>
              <w:rPr>
                <w:rFonts w:hint="default" w:ascii="宋体" w:hAnsi="宋体" w:eastAsia="宋体" w:cs="宋体"/>
                <w:kern w:val="2"/>
                <w:sz w:val="21"/>
                <w:szCs w:val="21"/>
                <w:lang w:val="en-US" w:eastAsia="zh-CN" w:bidi="ar-SA"/>
              </w:rPr>
              <w:t>16．</w:t>
            </w:r>
            <w:r>
              <w:rPr>
                <w:rFonts w:hint="eastAsia" w:ascii="宋体" w:hAnsi="宋体" w:eastAsia="宋体" w:cs="宋体"/>
                <w:szCs w:val="21"/>
                <w:lang w:val="en-US" w:eastAsia="zh-CN"/>
              </w:rPr>
              <w:t>须具有AI智能问答功能，须支持上传自有文档至知识库。</w:t>
            </w:r>
          </w:p>
          <w:p w14:paraId="74DBBC4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Cs w:val="21"/>
                <w:lang w:val="en-US" w:eastAsia="zh-CN"/>
              </w:rPr>
            </w:pPr>
            <w:r>
              <w:rPr>
                <w:rFonts w:hint="default" w:ascii="宋体" w:hAnsi="宋体" w:eastAsia="宋体" w:cs="宋体"/>
                <w:kern w:val="2"/>
                <w:sz w:val="21"/>
                <w:szCs w:val="21"/>
                <w:lang w:val="en-US" w:eastAsia="zh-CN" w:bidi="ar-SA"/>
              </w:rPr>
              <w:t>17．</w:t>
            </w:r>
            <w:r>
              <w:rPr>
                <w:rFonts w:hint="eastAsia" w:ascii="宋体" w:hAnsi="宋体" w:eastAsia="宋体" w:cs="宋体"/>
                <w:szCs w:val="21"/>
                <w:lang w:val="en-US" w:eastAsia="zh-CN"/>
              </w:rPr>
              <w:t>须具有智能命题的工能，支持根据选择的题目类型、设置题目数量</w:t>
            </w:r>
            <w:r>
              <w:rPr>
                <w:rFonts w:hint="eastAsia" w:ascii="宋体" w:hAnsi="宋体" w:eastAsia="宋体" w:cs="宋体"/>
                <w:szCs w:val="21"/>
                <w:lang w:eastAsia="zh-CN"/>
              </w:rPr>
              <w:t>智能命题，支持</w:t>
            </w:r>
            <w:r>
              <w:rPr>
                <w:rFonts w:hint="eastAsia" w:ascii="宋体" w:hAnsi="宋体" w:eastAsia="宋体" w:cs="宋体"/>
                <w:szCs w:val="21"/>
                <w:lang w:val="en-US" w:eastAsia="zh-CN"/>
              </w:rPr>
              <w:t>题目校核、批量导入题库。</w:t>
            </w:r>
          </w:p>
          <w:p w14:paraId="0F02230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000000" w:themeColor="text1"/>
                <w:szCs w:val="21"/>
                <w14:textFill>
                  <w14:solidFill>
                    <w14:schemeClr w14:val="tx1"/>
                  </w14:solidFill>
                </w14:textFill>
              </w:rPr>
            </w:pPr>
            <w:r>
              <w:rPr>
                <w:rFonts w:hint="default" w:ascii="宋体" w:hAnsi="宋体" w:eastAsia="宋体" w:cs="宋体"/>
                <w:color w:val="000000" w:themeColor="text1"/>
                <w:kern w:val="2"/>
                <w:sz w:val="21"/>
                <w:szCs w:val="21"/>
                <w:lang w:val="en-US" w:eastAsia="zh-CN" w:bidi="ar-SA"/>
                <w14:textFill>
                  <w14:solidFill>
                    <w14:schemeClr w14:val="tx1"/>
                  </w14:solidFill>
                </w14:textFill>
              </w:rPr>
              <w:t>18．</w:t>
            </w:r>
            <w:r>
              <w:rPr>
                <w:rFonts w:hint="eastAsia" w:ascii="宋体" w:hAnsi="宋体" w:eastAsia="宋体" w:cs="宋体"/>
                <w:color w:val="000000" w:themeColor="text1"/>
                <w:szCs w:val="21"/>
                <w14:textFill>
                  <w14:solidFill>
                    <w14:schemeClr w14:val="tx1"/>
                  </w14:solidFill>
                </w14:textFill>
              </w:rPr>
              <w:t>所有模块均须配</w:t>
            </w:r>
            <w:r>
              <w:rPr>
                <w:rFonts w:hint="eastAsia" w:ascii="宋体" w:hAnsi="宋体" w:eastAsia="宋体" w:cs="宋体"/>
                <w:color w:val="000000" w:themeColor="text1"/>
                <w:szCs w:val="21"/>
                <w:lang w:val="en-US" w:eastAsia="zh-CN"/>
                <w14:textFill>
                  <w14:solidFill>
                    <w14:schemeClr w14:val="tx1"/>
                  </w14:solidFill>
                </w14:textFill>
              </w:rPr>
              <w:t>有</w:t>
            </w:r>
            <w:r>
              <w:rPr>
                <w:rFonts w:hint="eastAsia" w:ascii="宋体" w:hAnsi="宋体" w:eastAsia="宋体" w:cs="宋体"/>
                <w:color w:val="000000" w:themeColor="text1"/>
                <w:szCs w:val="21"/>
                <w14:textFill>
                  <w14:solidFill>
                    <w14:schemeClr w14:val="tx1"/>
                  </w14:solidFill>
                </w14:textFill>
              </w:rPr>
              <w:t>规范文档、</w:t>
            </w:r>
            <w:r>
              <w:rPr>
                <w:rFonts w:hint="eastAsia" w:ascii="宋体" w:hAnsi="宋体" w:eastAsia="宋体" w:cs="宋体"/>
                <w:color w:val="000000" w:themeColor="text1"/>
                <w:szCs w:val="21"/>
                <w:lang w:val="en-US" w:eastAsia="zh-CN"/>
                <w14:textFill>
                  <w14:solidFill>
                    <w14:schemeClr w14:val="tx1"/>
                  </w14:solidFill>
                </w14:textFill>
              </w:rPr>
              <w:t>视频、图纸等</w:t>
            </w:r>
            <w:r>
              <w:rPr>
                <w:rFonts w:hint="eastAsia" w:ascii="宋体" w:hAnsi="宋体" w:eastAsia="宋体" w:cs="宋体"/>
                <w:color w:val="000000" w:themeColor="text1"/>
                <w:szCs w:val="21"/>
                <w14:textFill>
                  <w14:solidFill>
                    <w14:schemeClr w14:val="tx1"/>
                  </w14:solidFill>
                </w14:textFill>
              </w:rPr>
              <w:t>教辅资源。</w:t>
            </w:r>
          </w:p>
          <w:p w14:paraId="5895DD7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000000" w:themeColor="text1"/>
                <w:szCs w:val="21"/>
                <w:lang w:val="en-US" w:eastAsia="zh-CN"/>
                <w14:textFill>
                  <w14:solidFill>
                    <w14:schemeClr w14:val="tx1"/>
                  </w14:solidFill>
                </w14:textFill>
              </w:rPr>
            </w:pPr>
            <w:r>
              <w:rPr>
                <w:rFonts w:hint="default" w:ascii="宋体" w:hAnsi="宋体" w:eastAsia="宋体" w:cs="宋体"/>
                <w:kern w:val="2"/>
                <w:sz w:val="21"/>
                <w:szCs w:val="24"/>
                <w:lang w:val="en-US" w:eastAsia="zh-CN" w:bidi="ar-SA"/>
              </w:rPr>
              <w:t>19．</w:t>
            </w:r>
            <w:r>
              <w:rPr>
                <w:rFonts w:hint="eastAsia" w:ascii="宋体" w:hAnsi="宋体" w:eastAsia="宋体" w:cs="宋体"/>
                <w:color w:val="000000" w:themeColor="text1"/>
                <w:szCs w:val="21"/>
                <w:lang w:val="en-US" w:eastAsia="zh-CN"/>
                <w14:textFill>
                  <w14:solidFill>
                    <w14:schemeClr w14:val="tx1"/>
                  </w14:solidFill>
                </w14:textFill>
              </w:rPr>
              <w:t>三维模型操作功能须包括但不限于360°旋转、放大、缩小查看。</w:t>
            </w:r>
          </w:p>
          <w:p w14:paraId="4423E27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lang w:val="en-US" w:eastAsia="zh-CN"/>
              </w:rPr>
            </w:pPr>
            <w:r>
              <w:rPr>
                <w:rFonts w:hint="eastAsia" w:ascii="宋体" w:hAnsi="宋体" w:eastAsia="宋体" w:cs="宋体"/>
                <w:color w:val="000000" w:themeColor="text1"/>
                <w:szCs w:val="21"/>
                <w:lang w:val="en-US" w:eastAsia="zh-CN"/>
                <w14:textFill>
                  <w14:solidFill>
                    <w14:schemeClr w14:val="tx1"/>
                  </w14:solidFill>
                </w14:textFill>
              </w:rPr>
              <w:t>20.</w:t>
            </w:r>
            <w:r>
              <w:rPr>
                <w:rFonts w:hint="eastAsia" w:ascii="宋体" w:hAnsi="宋体" w:eastAsia="宋体" w:cs="宋体"/>
                <w:color w:val="000000" w:themeColor="text1"/>
                <w:szCs w:val="21"/>
                <w:highlight w:val="none"/>
                <w:lang w:val="en-US" w:eastAsia="zh-CN"/>
                <w14:textFill>
                  <w14:solidFill>
                    <w14:schemeClr w14:val="tx1"/>
                  </w14:solidFill>
                </w14:textFill>
              </w:rPr>
              <w:t>合同签订后须根据各级技能大赛方案提供相关赛道专家服务指导及技术支持不少于10次。</w:t>
            </w:r>
          </w:p>
        </w:tc>
        <w:tc>
          <w:tcPr>
            <w:tcW w:w="452" w:type="dxa"/>
            <w:shd w:val="clear" w:color="auto" w:fill="auto"/>
            <w:tcMar>
              <w:top w:w="15" w:type="dxa"/>
              <w:left w:w="15" w:type="dxa"/>
              <w:right w:w="15" w:type="dxa"/>
            </w:tcMar>
            <w:vAlign w:val="center"/>
          </w:tcPr>
          <w:p w14:paraId="75D2576C">
            <w:pPr>
              <w:jc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lang w:val="en-US" w:eastAsia="zh-CN"/>
              </w:rPr>
              <w:t>1</w:t>
            </w:r>
          </w:p>
        </w:tc>
        <w:tc>
          <w:tcPr>
            <w:tcW w:w="960" w:type="dxa"/>
            <w:shd w:val="clear" w:color="auto" w:fill="auto"/>
            <w:tcMar>
              <w:top w:w="15" w:type="dxa"/>
              <w:left w:w="15" w:type="dxa"/>
              <w:right w:w="15" w:type="dxa"/>
            </w:tcMar>
            <w:vAlign w:val="center"/>
          </w:tcPr>
          <w:p w14:paraId="5B8A807E">
            <w:pPr>
              <w:jc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lang w:val="en-US" w:eastAsia="zh-CN"/>
              </w:rPr>
              <w:t>套</w:t>
            </w:r>
          </w:p>
        </w:tc>
        <w:tc>
          <w:tcPr>
            <w:tcW w:w="1335" w:type="dxa"/>
            <w:shd w:val="clear" w:color="auto" w:fill="auto"/>
            <w:tcMar>
              <w:top w:w="15" w:type="dxa"/>
              <w:left w:w="15" w:type="dxa"/>
              <w:right w:w="15" w:type="dxa"/>
            </w:tcMar>
            <w:vAlign w:val="center"/>
          </w:tcPr>
          <w:p w14:paraId="7F83C6BA">
            <w:pPr>
              <w:keepNext w:val="0"/>
              <w:keepLines w:val="0"/>
              <w:widowControl/>
              <w:suppressLineNumbers w:val="0"/>
              <w:spacing w:line="240" w:lineRule="auto"/>
              <w:jc w:val="center"/>
              <w:textAlignment w:val="center"/>
              <w:rPr>
                <w:rFonts w:hint="eastAsia" w:ascii="宋体" w:hAnsi="宋体" w:eastAsia="宋体" w:cs="宋体"/>
                <w:i w:val="0"/>
                <w:color w:val="auto"/>
                <w:kern w:val="2"/>
                <w:sz w:val="21"/>
                <w:szCs w:val="21"/>
                <w:highlight w:val="none"/>
                <w:u w:val="none"/>
                <w:lang w:val="en-US" w:eastAsia="zh-CN" w:bidi="ar-SA"/>
              </w:rPr>
            </w:pPr>
            <w:r>
              <w:rPr>
                <w:rFonts w:hint="eastAsia" w:ascii="宋体" w:hAnsi="宋体" w:eastAsia="宋体" w:cs="宋体"/>
                <w:highlight w:val="none"/>
                <w:lang w:val="en-US" w:eastAsia="zh-CN"/>
              </w:rPr>
              <w:t>▲</w:t>
            </w:r>
            <w:r>
              <w:rPr>
                <w:rFonts w:hint="eastAsia" w:ascii="宋体" w:hAnsi="宋体" w:cs="宋体"/>
                <w:highlight w:val="none"/>
                <w:lang w:val="en-US" w:eastAsia="zh-CN"/>
              </w:rPr>
              <w:t>投标</w:t>
            </w:r>
            <w:r>
              <w:rPr>
                <w:rFonts w:hint="eastAsia" w:ascii="宋体" w:hAnsi="宋体" w:eastAsia="宋体" w:cs="宋体"/>
                <w:highlight w:val="none"/>
                <w:lang w:eastAsia="zh-CN"/>
              </w:rPr>
              <w:t>单位须承诺所提供软件功能真实有效</w:t>
            </w:r>
            <w:r>
              <w:rPr>
                <w:rFonts w:hint="eastAsia" w:ascii="宋体" w:hAnsi="宋体" w:cs="宋体"/>
                <w:highlight w:val="none"/>
                <w:lang w:val="en-US" w:eastAsia="zh-CN"/>
              </w:rPr>
              <w:t>并提供软件截图</w:t>
            </w:r>
            <w:r>
              <w:rPr>
                <w:rFonts w:hint="eastAsia" w:ascii="宋体" w:hAnsi="宋体" w:cs="宋体"/>
                <w:highlight w:val="none"/>
                <w:lang w:eastAsia="zh-CN"/>
              </w:rPr>
              <w:t>；</w:t>
            </w:r>
            <w:r>
              <w:rPr>
                <w:rFonts w:hint="eastAsia" w:ascii="宋体" w:hAnsi="宋体" w:cs="宋体"/>
                <w:highlight w:val="none"/>
                <w:lang w:val="en-US" w:eastAsia="zh-CN"/>
              </w:rPr>
              <w:t>中标后</w:t>
            </w:r>
            <w:r>
              <w:rPr>
                <w:rFonts w:hint="eastAsia" w:ascii="宋体" w:hAnsi="宋体" w:eastAsia="宋体" w:cs="宋体"/>
                <w:highlight w:val="none"/>
                <w:lang w:eastAsia="zh-CN"/>
              </w:rPr>
              <w:t>签订合同之前需在现场演示核对</w:t>
            </w:r>
          </w:p>
        </w:tc>
      </w:tr>
    </w:tbl>
    <w:p w14:paraId="0F84E51B">
      <w:pPr>
        <w:pStyle w:val="3"/>
        <w:pageBreakBefore w:val="0"/>
        <w:kinsoku/>
        <w:wordWrap/>
        <w:overflowPunct/>
        <w:topLinePunct w:val="0"/>
        <w:autoSpaceDE/>
        <w:autoSpaceDN/>
        <w:bidi w:val="0"/>
        <w:adjustRightInd/>
        <w:snapToGrid/>
        <w:spacing w:before="0" w:line="480" w:lineRule="exact"/>
        <w:jc w:val="left"/>
        <w:rPr>
          <w:rFonts w:hint="default" w:ascii="宋体" w:hAnsi="宋体" w:cs="宋体"/>
          <w:color w:val="auto"/>
          <w:spacing w:val="0"/>
          <w:kern w:val="0"/>
          <w:sz w:val="28"/>
          <w:szCs w:val="28"/>
          <w:highlight w:val="none"/>
          <w:lang w:val="en-US" w:eastAsia="zh-CN"/>
        </w:rPr>
      </w:pPr>
      <w:r>
        <w:rPr>
          <w:rFonts w:hint="eastAsia" w:ascii="宋体" w:hAnsi="宋体" w:cs="宋体"/>
          <w:color w:val="auto"/>
          <w:spacing w:val="0"/>
          <w:kern w:val="0"/>
          <w:sz w:val="28"/>
          <w:szCs w:val="28"/>
          <w:highlight w:val="none"/>
          <w:lang w:val="en-US" w:eastAsia="zh-CN"/>
        </w:rPr>
        <w:t>三、商务要求</w:t>
      </w:r>
    </w:p>
    <w:p w14:paraId="460DA66E">
      <w:pPr>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pacing w:val="0"/>
          <w:kern w:val="0"/>
          <w:sz w:val="21"/>
          <w:szCs w:val="21"/>
          <w:highlight w:val="none"/>
          <w:lang w:val="en-US" w:eastAsia="zh-CN"/>
        </w:rPr>
      </w:pPr>
      <w:r>
        <w:rPr>
          <w:rFonts w:hint="eastAsia" w:ascii="宋体" w:hAnsi="宋体" w:cs="宋体"/>
          <w:color w:val="auto"/>
          <w:spacing w:val="0"/>
          <w:kern w:val="0"/>
          <w:sz w:val="21"/>
          <w:szCs w:val="21"/>
          <w:highlight w:val="none"/>
          <w:lang w:val="en-US" w:eastAsia="zh-CN"/>
        </w:rPr>
        <w:t>1项目实施期限、项目实施地点：</w:t>
      </w:r>
      <w:bookmarkStart w:id="88" w:name="_GoBack"/>
      <w:bookmarkEnd w:id="88"/>
    </w:p>
    <w:p w14:paraId="5578C134">
      <w:pPr>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pacing w:val="0"/>
          <w:kern w:val="0"/>
          <w:sz w:val="21"/>
          <w:szCs w:val="21"/>
          <w:highlight w:val="none"/>
          <w:lang w:val="en-US" w:eastAsia="zh-CN"/>
        </w:rPr>
      </w:pPr>
      <w:r>
        <w:rPr>
          <w:rFonts w:hint="eastAsia" w:ascii="宋体" w:hAnsi="宋体" w:cs="宋体"/>
          <w:color w:val="auto"/>
          <w:spacing w:val="0"/>
          <w:kern w:val="0"/>
          <w:sz w:val="21"/>
          <w:szCs w:val="21"/>
          <w:highlight w:val="none"/>
          <w:lang w:val="en-US" w:eastAsia="zh-CN"/>
        </w:rPr>
        <w:t>1.1项目实施期限：</w:t>
      </w:r>
      <w:r>
        <w:rPr>
          <w:rFonts w:hint="eastAsia" w:ascii="宋体" w:hAnsi="宋体" w:cs="宋体"/>
          <w:color w:val="auto"/>
          <w:szCs w:val="21"/>
          <w:highlight w:val="none"/>
          <w:lang w:eastAsia="zh-CN"/>
        </w:rPr>
        <w:t>合同签订后</w:t>
      </w:r>
      <w:r>
        <w:rPr>
          <w:rFonts w:hint="eastAsia" w:ascii="宋体" w:hAnsi="宋体" w:cs="宋体"/>
          <w:color w:val="auto"/>
          <w:szCs w:val="21"/>
          <w:highlight w:val="none"/>
          <w:lang w:val="en-US" w:eastAsia="zh-CN"/>
        </w:rPr>
        <w:t>15</w:t>
      </w:r>
      <w:r>
        <w:rPr>
          <w:rFonts w:hint="eastAsia" w:ascii="宋体" w:hAnsi="宋体" w:cs="宋体"/>
          <w:color w:val="auto"/>
          <w:szCs w:val="21"/>
          <w:highlight w:val="none"/>
          <w:lang w:eastAsia="zh-CN"/>
        </w:rPr>
        <w:t>天内完成供货及安装调试工作，投标人可在规定的时限内自报最短交货期，若采购人有分批次供货要求的，投标人按照采购人的要求执行。</w:t>
      </w:r>
    </w:p>
    <w:p w14:paraId="17FEA2F3">
      <w:pPr>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pacing w:val="0"/>
          <w:kern w:val="0"/>
          <w:sz w:val="21"/>
          <w:szCs w:val="21"/>
          <w:highlight w:val="none"/>
          <w:lang w:val="en-US" w:eastAsia="zh-CN"/>
        </w:rPr>
      </w:pPr>
      <w:r>
        <w:rPr>
          <w:rFonts w:hint="eastAsia" w:ascii="宋体" w:hAnsi="宋体" w:cs="宋体"/>
          <w:color w:val="auto"/>
          <w:spacing w:val="0"/>
          <w:kern w:val="0"/>
          <w:sz w:val="21"/>
          <w:szCs w:val="21"/>
          <w:highlight w:val="none"/>
          <w:lang w:val="en-US" w:eastAsia="zh-CN"/>
        </w:rPr>
        <w:t>1.2项目实施地点：怒江州民族中等专业学校指定地点。</w:t>
      </w:r>
    </w:p>
    <w:p w14:paraId="5624DF68">
      <w:pPr>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pacing w:val="0"/>
          <w:kern w:val="0"/>
          <w:sz w:val="21"/>
          <w:szCs w:val="21"/>
          <w:highlight w:val="none"/>
          <w:lang w:val="en-US" w:eastAsia="zh-CN"/>
        </w:rPr>
      </w:pPr>
      <w:r>
        <w:rPr>
          <w:rFonts w:hint="eastAsia" w:ascii="宋体" w:hAnsi="宋体" w:cs="宋体"/>
          <w:color w:val="auto"/>
          <w:spacing w:val="0"/>
          <w:kern w:val="0"/>
          <w:sz w:val="21"/>
          <w:szCs w:val="21"/>
          <w:highlight w:val="none"/>
          <w:lang w:val="en-US" w:eastAsia="zh-CN"/>
        </w:rPr>
        <w:t>2质保期：本项目产品质保期为双方在《产品到货验收单》上签字确认起三年。在质保期内，产品出现质量问题，投标人应当在采购人通知之日起1日内给予回复，采购单位有权要求投标人无条件换货。</w:t>
      </w:r>
    </w:p>
    <w:p w14:paraId="0D8346F9">
      <w:pPr>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pacing w:val="0"/>
          <w:kern w:val="0"/>
          <w:sz w:val="21"/>
          <w:szCs w:val="21"/>
          <w:highlight w:val="none"/>
          <w:lang w:val="en-US" w:eastAsia="zh-CN"/>
        </w:rPr>
      </w:pPr>
      <w:r>
        <w:rPr>
          <w:rFonts w:hint="eastAsia" w:ascii="宋体" w:hAnsi="宋体" w:cs="宋体"/>
          <w:color w:val="auto"/>
          <w:spacing w:val="0"/>
          <w:kern w:val="0"/>
          <w:sz w:val="21"/>
          <w:szCs w:val="21"/>
          <w:highlight w:val="none"/>
          <w:lang w:val="en-US" w:eastAsia="zh-CN"/>
        </w:rPr>
        <w:t>3售后服务：</w:t>
      </w:r>
    </w:p>
    <w:p w14:paraId="30274C63">
      <w:pPr>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pacing w:val="0"/>
          <w:kern w:val="0"/>
          <w:sz w:val="21"/>
          <w:szCs w:val="21"/>
          <w:highlight w:val="none"/>
          <w:lang w:val="en-US" w:eastAsia="zh-CN"/>
        </w:rPr>
      </w:pPr>
      <w:r>
        <w:rPr>
          <w:rFonts w:hint="eastAsia" w:ascii="宋体" w:hAnsi="宋体" w:cs="宋体"/>
          <w:color w:val="auto"/>
          <w:spacing w:val="0"/>
          <w:kern w:val="0"/>
          <w:sz w:val="21"/>
          <w:szCs w:val="21"/>
          <w:highlight w:val="none"/>
          <w:lang w:val="en-US" w:eastAsia="zh-CN"/>
        </w:rPr>
        <w:t>3.1质保期为验收合格移交后不少于三年，在质保期内，投标人应对货物出现的质量及安全问题负责处理解决并承担一切费用。</w:t>
      </w:r>
    </w:p>
    <w:p w14:paraId="7A3EEDA4">
      <w:pPr>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pacing w:val="0"/>
          <w:kern w:val="0"/>
          <w:sz w:val="21"/>
          <w:szCs w:val="21"/>
          <w:highlight w:val="none"/>
          <w:lang w:val="en-US" w:eastAsia="zh-CN"/>
        </w:rPr>
      </w:pPr>
      <w:r>
        <w:rPr>
          <w:rFonts w:hint="eastAsia" w:ascii="宋体" w:hAnsi="宋体" w:cs="宋体"/>
          <w:color w:val="auto"/>
          <w:spacing w:val="0"/>
          <w:kern w:val="0"/>
          <w:sz w:val="21"/>
          <w:szCs w:val="21"/>
          <w:highlight w:val="none"/>
          <w:lang w:val="en-US" w:eastAsia="zh-CN"/>
        </w:rPr>
        <w:t xml:space="preserve">3.2采购项目由于运输造成损坏的，由投标人免费更换。 </w:t>
      </w:r>
    </w:p>
    <w:p w14:paraId="768D7150">
      <w:pPr>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pacing w:val="0"/>
          <w:kern w:val="0"/>
          <w:sz w:val="21"/>
          <w:szCs w:val="21"/>
          <w:highlight w:val="none"/>
          <w:lang w:val="en-US" w:eastAsia="zh-CN"/>
        </w:rPr>
      </w:pPr>
      <w:r>
        <w:rPr>
          <w:rFonts w:hint="eastAsia" w:ascii="宋体" w:hAnsi="宋体" w:cs="宋体"/>
          <w:color w:val="auto"/>
          <w:spacing w:val="0"/>
          <w:kern w:val="0"/>
          <w:sz w:val="21"/>
          <w:szCs w:val="21"/>
          <w:highlight w:val="none"/>
          <w:lang w:val="en-US" w:eastAsia="zh-CN"/>
        </w:rPr>
        <w:t xml:space="preserve">3.3投标人需向采购人提供项目的验收和送达签收单据。 </w:t>
      </w:r>
      <w:r>
        <w:rPr>
          <w:rFonts w:hint="eastAsia" w:ascii="宋体" w:hAnsi="宋体" w:cs="宋体"/>
          <w:color w:val="auto"/>
          <w:spacing w:val="0"/>
          <w:kern w:val="0"/>
          <w:sz w:val="21"/>
          <w:szCs w:val="21"/>
          <w:highlight w:val="none"/>
          <w:lang w:val="en-US" w:eastAsia="zh-CN"/>
        </w:rPr>
        <w:tab/>
      </w:r>
      <w:r>
        <w:rPr>
          <w:rFonts w:hint="eastAsia" w:ascii="宋体" w:hAnsi="宋体" w:cs="宋体"/>
          <w:color w:val="auto"/>
          <w:spacing w:val="0"/>
          <w:kern w:val="0"/>
          <w:sz w:val="21"/>
          <w:szCs w:val="21"/>
          <w:highlight w:val="none"/>
          <w:lang w:val="en-US" w:eastAsia="zh-CN"/>
        </w:rPr>
        <w:tab/>
      </w:r>
      <w:r>
        <w:rPr>
          <w:rFonts w:hint="eastAsia" w:ascii="宋体" w:hAnsi="宋体" w:cs="宋体"/>
          <w:color w:val="auto"/>
          <w:spacing w:val="0"/>
          <w:kern w:val="0"/>
          <w:sz w:val="21"/>
          <w:szCs w:val="21"/>
          <w:highlight w:val="none"/>
          <w:lang w:val="en-US" w:eastAsia="zh-CN"/>
        </w:rPr>
        <w:tab/>
      </w:r>
      <w:r>
        <w:rPr>
          <w:rFonts w:hint="eastAsia" w:ascii="宋体" w:hAnsi="宋体" w:cs="宋体"/>
          <w:color w:val="auto"/>
          <w:spacing w:val="0"/>
          <w:kern w:val="0"/>
          <w:sz w:val="21"/>
          <w:szCs w:val="21"/>
          <w:highlight w:val="none"/>
          <w:lang w:val="en-US" w:eastAsia="zh-CN"/>
        </w:rPr>
        <w:tab/>
      </w:r>
      <w:r>
        <w:rPr>
          <w:rFonts w:hint="eastAsia" w:ascii="宋体" w:hAnsi="宋体" w:cs="宋体"/>
          <w:color w:val="auto"/>
          <w:spacing w:val="0"/>
          <w:kern w:val="0"/>
          <w:sz w:val="21"/>
          <w:szCs w:val="21"/>
          <w:highlight w:val="none"/>
          <w:lang w:val="en-US" w:eastAsia="zh-CN"/>
        </w:rPr>
        <w:tab/>
      </w:r>
    </w:p>
    <w:p w14:paraId="4F4CE7F4">
      <w:pPr>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pacing w:val="0"/>
          <w:kern w:val="0"/>
          <w:sz w:val="21"/>
          <w:szCs w:val="21"/>
          <w:highlight w:val="none"/>
          <w:lang w:val="en-US" w:eastAsia="zh-CN"/>
        </w:rPr>
      </w:pPr>
      <w:r>
        <w:rPr>
          <w:rFonts w:hint="eastAsia" w:ascii="宋体" w:hAnsi="宋体" w:cs="宋体"/>
          <w:color w:val="auto"/>
          <w:spacing w:val="0"/>
          <w:kern w:val="0"/>
          <w:sz w:val="21"/>
          <w:szCs w:val="21"/>
          <w:highlight w:val="none"/>
          <w:lang w:val="en-US" w:eastAsia="zh-CN"/>
        </w:rPr>
        <w:t xml:space="preserve">3.4质保期内出现需因质量或尺寸问题需要修改或调换等非人为原因问题，投标人应无条件免费修改或更换。 </w:t>
      </w:r>
    </w:p>
    <w:p w14:paraId="54A569C9">
      <w:pPr>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pacing w:val="0"/>
          <w:kern w:val="0"/>
          <w:sz w:val="21"/>
          <w:szCs w:val="21"/>
          <w:highlight w:val="none"/>
          <w:lang w:val="en-US" w:eastAsia="zh-CN"/>
        </w:rPr>
      </w:pPr>
      <w:r>
        <w:rPr>
          <w:rFonts w:hint="eastAsia" w:ascii="宋体" w:hAnsi="宋体" w:cs="宋体"/>
          <w:color w:val="auto"/>
          <w:spacing w:val="0"/>
          <w:kern w:val="0"/>
          <w:sz w:val="21"/>
          <w:szCs w:val="21"/>
          <w:highlight w:val="none"/>
          <w:lang w:val="en-US" w:eastAsia="zh-CN"/>
        </w:rPr>
        <w:t>3.5投标人接到采购人质量问题反馈时，投标人应当在采购人通知之日起1日内给予回复，并根据实际情况及时进行处理。</w:t>
      </w:r>
    </w:p>
    <w:p w14:paraId="3736C354">
      <w:pPr>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pacing w:val="0"/>
          <w:kern w:val="0"/>
          <w:sz w:val="21"/>
          <w:szCs w:val="21"/>
          <w:highlight w:val="none"/>
          <w:lang w:val="en-US" w:eastAsia="zh-CN"/>
        </w:rPr>
      </w:pPr>
      <w:r>
        <w:rPr>
          <w:rFonts w:hint="eastAsia" w:ascii="宋体" w:hAnsi="宋体" w:cs="宋体"/>
          <w:color w:val="auto"/>
          <w:spacing w:val="0"/>
          <w:kern w:val="0"/>
          <w:sz w:val="21"/>
          <w:szCs w:val="21"/>
          <w:highlight w:val="none"/>
          <w:lang w:val="en-US" w:eastAsia="zh-CN"/>
        </w:rPr>
        <w:t>4验收及验收标准：</w:t>
      </w:r>
    </w:p>
    <w:p w14:paraId="5793E604">
      <w:pPr>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pacing w:val="0"/>
          <w:kern w:val="0"/>
          <w:sz w:val="21"/>
          <w:szCs w:val="21"/>
          <w:highlight w:val="none"/>
          <w:lang w:val="en-US" w:eastAsia="zh-CN"/>
        </w:rPr>
      </w:pPr>
      <w:r>
        <w:rPr>
          <w:rFonts w:hint="eastAsia" w:ascii="宋体" w:hAnsi="宋体" w:cs="宋体"/>
          <w:color w:val="auto"/>
          <w:spacing w:val="0"/>
          <w:kern w:val="0"/>
          <w:sz w:val="21"/>
          <w:szCs w:val="21"/>
          <w:highlight w:val="none"/>
          <w:lang w:val="en-US" w:eastAsia="zh-CN"/>
        </w:rPr>
        <w:t>投标人应严格执行合同约定的供货周期，保质、保量的完成产品的供货。全部货物到达采购人指定地点后，采购人组建验收小组对产品进行验收，产品验收合格的，双方签署《产品到货验收单》；若出现产品品类、规格、数量等与合同约定不一致，或有质量缺陷的，采购人有权要求投标人在规定时间内无条件更换、补足或退货，由此产生的费用由投标人承担，因此延误交货期的，投标人承担相应的违约责任。</w:t>
      </w:r>
    </w:p>
    <w:p w14:paraId="7AB706C5">
      <w:pPr>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pacing w:val="0"/>
          <w:kern w:val="0"/>
          <w:sz w:val="21"/>
          <w:szCs w:val="21"/>
          <w:highlight w:val="none"/>
          <w:lang w:val="en-US" w:eastAsia="zh-CN"/>
        </w:rPr>
      </w:pPr>
      <w:r>
        <w:rPr>
          <w:rFonts w:hint="eastAsia" w:ascii="宋体" w:hAnsi="宋体" w:cs="宋体"/>
          <w:color w:val="auto"/>
          <w:spacing w:val="0"/>
          <w:kern w:val="0"/>
          <w:sz w:val="21"/>
          <w:szCs w:val="21"/>
          <w:highlight w:val="none"/>
          <w:lang w:val="en-US" w:eastAsia="zh-CN"/>
        </w:rPr>
        <w:t>5违约责任：</w:t>
      </w:r>
    </w:p>
    <w:p w14:paraId="6EE6B507">
      <w:pPr>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pacing w:val="0"/>
          <w:kern w:val="0"/>
          <w:sz w:val="21"/>
          <w:szCs w:val="21"/>
          <w:highlight w:val="none"/>
          <w:lang w:val="en-US" w:eastAsia="zh-CN"/>
        </w:rPr>
      </w:pPr>
      <w:r>
        <w:rPr>
          <w:rFonts w:hint="eastAsia" w:ascii="宋体" w:hAnsi="宋体" w:cs="宋体"/>
          <w:color w:val="auto"/>
          <w:spacing w:val="0"/>
          <w:kern w:val="0"/>
          <w:sz w:val="21"/>
          <w:szCs w:val="21"/>
          <w:highlight w:val="none"/>
          <w:lang w:val="en-US" w:eastAsia="zh-CN"/>
        </w:rPr>
        <w:t>5.1除发生不可抗力事实外，投标人交付产品与合同标准不相符合的，采购人有权拒绝验收；投标人有以下情形之一，视为违约，采购人有权解除合同，如果投标人已经收取费用的，已经收取的费用应退还采购人，并且投标人除承担本合同总额10%的违约责任外，给采购人造成损失的，还应当赔偿采购人的损失。（1）未经采购人同意，投标人将本合同项下的权利和义务部分或全部转让给第三人，或随意变更项目负责人的；（2）投标人逾期向采购人交付产品每日偿付合同总额千分之一的违约金，且逾期交付超过30个日历天的；（3）投标人所提供的产品质量等不符合双方合同约定，经采购人提出整改后仍未达到采购人要求的；（4）投标人违反合同或法律法规规定其他义务的。</w:t>
      </w:r>
    </w:p>
    <w:p w14:paraId="30062F27">
      <w:pPr>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pacing w:val="0"/>
          <w:kern w:val="0"/>
          <w:sz w:val="21"/>
          <w:szCs w:val="21"/>
          <w:highlight w:val="none"/>
          <w:lang w:val="en-US" w:eastAsia="zh-CN"/>
        </w:rPr>
      </w:pPr>
      <w:r>
        <w:rPr>
          <w:rFonts w:hint="eastAsia" w:ascii="宋体" w:hAnsi="宋体" w:cs="宋体"/>
          <w:color w:val="auto"/>
          <w:spacing w:val="0"/>
          <w:kern w:val="0"/>
          <w:sz w:val="21"/>
          <w:szCs w:val="21"/>
          <w:highlight w:val="none"/>
          <w:lang w:val="en-US" w:eastAsia="zh-CN"/>
        </w:rPr>
        <w:t>5.2采购人有权拒付合同价款以外的其他任何费用，投标人有权要求采购人承担逾期支付资金的违约责任。因投标人违约导致采购人因诉讼、维权而产生的立案费、律师费、交通费、保全费等均由投标人负责。</w:t>
      </w:r>
    </w:p>
    <w:p w14:paraId="4278F6F9">
      <w:pPr>
        <w:pageBreakBefore w:val="0"/>
        <w:widowControl w:val="0"/>
        <w:numPr>
          <w:ilvl w:val="0"/>
          <w:numId w:val="6"/>
        </w:numPr>
        <w:kinsoku/>
        <w:wordWrap/>
        <w:overflowPunct/>
        <w:topLinePunct w:val="0"/>
        <w:autoSpaceDE/>
        <w:autoSpaceDN/>
        <w:bidi w:val="0"/>
        <w:adjustRightInd/>
        <w:snapToGrid/>
        <w:spacing w:line="480" w:lineRule="exact"/>
        <w:textAlignment w:val="auto"/>
        <w:rPr>
          <w:rFonts w:hint="default" w:ascii="宋体" w:hAnsi="宋体" w:cs="宋体"/>
          <w:color w:val="auto"/>
          <w:spacing w:val="0"/>
          <w:kern w:val="0"/>
          <w:sz w:val="28"/>
          <w:szCs w:val="28"/>
          <w:highlight w:val="none"/>
          <w:vertAlign w:val="baseline"/>
          <w:lang w:val="en-US" w:eastAsia="zh-CN"/>
        </w:rPr>
      </w:pPr>
      <w:r>
        <w:rPr>
          <w:rFonts w:hint="eastAsia" w:ascii="宋体" w:hAnsi="宋体" w:cs="宋体"/>
          <w:b/>
          <w:bCs/>
          <w:color w:val="auto"/>
          <w:spacing w:val="0"/>
          <w:kern w:val="0"/>
          <w:sz w:val="28"/>
          <w:szCs w:val="28"/>
          <w:highlight w:val="none"/>
          <w:lang w:val="en-US" w:eastAsia="zh-CN"/>
        </w:rPr>
        <w:t>其他：</w:t>
      </w:r>
      <w:r>
        <w:rPr>
          <w:rFonts w:hint="eastAsia" w:ascii="宋体" w:hAnsi="宋体" w:eastAsia="宋体" w:cs="宋体"/>
          <w:b w:val="0"/>
          <w:bCs/>
          <w:color w:val="auto"/>
          <w:sz w:val="21"/>
          <w:szCs w:val="21"/>
          <w:highlight w:val="none"/>
        </w:rPr>
        <w:t>根据</w:t>
      </w:r>
      <w:r>
        <w:rPr>
          <w:rFonts w:hint="eastAsia" w:ascii="宋体" w:hAnsi="宋体" w:eastAsia="宋体" w:cs="宋体"/>
          <w:bCs/>
          <w:color w:val="auto"/>
          <w:sz w:val="21"/>
          <w:szCs w:val="21"/>
          <w:highlight w:val="none"/>
        </w:rPr>
        <w:t>《关于印发</w:t>
      </w:r>
      <w:r>
        <w:rPr>
          <w:rFonts w:hint="eastAsia" w:ascii="宋体" w:hAnsi="宋体" w:eastAsia="宋体" w:cs="宋体"/>
          <w:bCs/>
          <w:color w:val="auto"/>
          <w:sz w:val="21"/>
          <w:szCs w:val="21"/>
          <w:highlight w:val="none"/>
          <w:lang w:val="en-US" w:eastAsia="zh-CN"/>
        </w:rPr>
        <w:t>&lt;</w:t>
      </w:r>
      <w:r>
        <w:rPr>
          <w:rFonts w:hint="eastAsia" w:ascii="宋体" w:hAnsi="宋体" w:eastAsia="宋体" w:cs="宋体"/>
          <w:bCs/>
          <w:color w:val="auto"/>
          <w:sz w:val="21"/>
          <w:szCs w:val="21"/>
          <w:highlight w:val="none"/>
        </w:rPr>
        <w:t>政府采购促进中小企业发展管理办法</w:t>
      </w:r>
      <w:r>
        <w:rPr>
          <w:rFonts w:hint="eastAsia" w:ascii="宋体" w:hAnsi="宋体" w:eastAsia="宋体" w:cs="宋体"/>
          <w:bCs/>
          <w:color w:val="auto"/>
          <w:sz w:val="21"/>
          <w:szCs w:val="21"/>
          <w:highlight w:val="none"/>
          <w:lang w:val="en-US" w:eastAsia="zh-CN"/>
        </w:rPr>
        <w:t>&gt;</w:t>
      </w:r>
      <w:r>
        <w:rPr>
          <w:rFonts w:hint="eastAsia" w:ascii="宋体" w:hAnsi="宋体" w:eastAsia="宋体" w:cs="宋体"/>
          <w:bCs/>
          <w:color w:val="auto"/>
          <w:sz w:val="21"/>
          <w:szCs w:val="21"/>
          <w:highlight w:val="none"/>
        </w:rPr>
        <w:t>的通知》（财库〔2020〕46号）、工业和信息化部、国家统计局、国家发展和改革委员会、财政部《关于印发中小企业划型标准规定的通知》（工信部联企业</w:t>
      </w:r>
      <w:r>
        <w:rPr>
          <w:rFonts w:hint="eastAsia" w:hAnsi="宋体" w:cs="宋体"/>
          <w:bCs/>
          <w:color w:val="auto"/>
          <w:sz w:val="21"/>
          <w:szCs w:val="21"/>
          <w:highlight w:val="none"/>
          <w:lang w:eastAsia="zh-CN"/>
        </w:rPr>
        <w:t>〔2011〕300号</w:t>
      </w:r>
      <w:r>
        <w:rPr>
          <w:rFonts w:hint="eastAsia" w:ascii="宋体" w:hAnsi="宋体" w:eastAsia="宋体" w:cs="宋体"/>
          <w:bCs/>
          <w:color w:val="auto"/>
          <w:sz w:val="21"/>
          <w:szCs w:val="21"/>
          <w:highlight w:val="none"/>
        </w:rPr>
        <w:t>）及《国民经济行业分类》规定的划分标准，本项目对应的中小企业划分标准所属行业为：</w:t>
      </w:r>
    </w:p>
    <w:p w14:paraId="5D3FC982">
      <w:pPr>
        <w:pStyle w:val="2"/>
        <w:rPr>
          <w:rFonts w:hint="default"/>
          <w:lang w:val="en-US" w:eastAsia="zh-CN"/>
        </w:rPr>
      </w:pP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92"/>
        <w:gridCol w:w="4392"/>
      </w:tblGrid>
      <w:tr w14:paraId="08C4D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2" w:type="dxa"/>
          </w:tcPr>
          <w:p w14:paraId="064556FE">
            <w:pPr>
              <w:pageBreakBefore w:val="0"/>
              <w:widowControl w:val="0"/>
              <w:numPr>
                <w:ilvl w:val="0"/>
                <w:numId w:val="0"/>
              </w:numPr>
              <w:kinsoku/>
              <w:wordWrap/>
              <w:overflowPunct/>
              <w:topLinePunct w:val="0"/>
              <w:autoSpaceDE/>
              <w:autoSpaceDN/>
              <w:bidi w:val="0"/>
              <w:adjustRightInd/>
              <w:snapToGrid/>
              <w:spacing w:line="480" w:lineRule="exact"/>
              <w:jc w:val="center"/>
              <w:textAlignment w:val="auto"/>
              <w:rPr>
                <w:rFonts w:hint="default" w:ascii="宋体" w:hAnsi="宋体" w:cs="宋体"/>
                <w:b/>
                <w:bCs w:val="0"/>
                <w:color w:val="auto"/>
                <w:spacing w:val="0"/>
                <w:kern w:val="0"/>
                <w:sz w:val="28"/>
                <w:szCs w:val="28"/>
                <w:highlight w:val="none"/>
                <w:vertAlign w:val="baseline"/>
                <w:lang w:val="en-US" w:eastAsia="zh-CN"/>
              </w:rPr>
            </w:pPr>
            <w:r>
              <w:rPr>
                <w:rFonts w:hint="eastAsia" w:ascii="宋体" w:hAnsi="宋体" w:eastAsia="宋体" w:cs="宋体"/>
                <w:b/>
                <w:bCs w:val="0"/>
                <w:color w:val="auto"/>
                <w:sz w:val="28"/>
                <w:szCs w:val="28"/>
                <w:highlight w:val="none"/>
              </w:rPr>
              <w:t>产品（项目）名称</w:t>
            </w:r>
          </w:p>
        </w:tc>
        <w:tc>
          <w:tcPr>
            <w:tcW w:w="4392" w:type="dxa"/>
          </w:tcPr>
          <w:p w14:paraId="1AF9E249">
            <w:pPr>
              <w:pageBreakBefore w:val="0"/>
              <w:widowControl w:val="0"/>
              <w:numPr>
                <w:ilvl w:val="0"/>
                <w:numId w:val="0"/>
              </w:numPr>
              <w:kinsoku/>
              <w:wordWrap/>
              <w:overflowPunct/>
              <w:topLinePunct w:val="0"/>
              <w:autoSpaceDE/>
              <w:autoSpaceDN/>
              <w:bidi w:val="0"/>
              <w:adjustRightInd/>
              <w:snapToGrid/>
              <w:spacing w:line="480" w:lineRule="exact"/>
              <w:jc w:val="center"/>
              <w:textAlignment w:val="auto"/>
              <w:rPr>
                <w:rFonts w:hint="default" w:ascii="宋体" w:hAnsi="宋体" w:cs="宋体"/>
                <w:b/>
                <w:bCs w:val="0"/>
                <w:color w:val="auto"/>
                <w:spacing w:val="0"/>
                <w:kern w:val="0"/>
                <w:sz w:val="28"/>
                <w:szCs w:val="28"/>
                <w:highlight w:val="none"/>
                <w:vertAlign w:val="baseline"/>
                <w:lang w:val="en-US" w:eastAsia="zh-CN"/>
              </w:rPr>
            </w:pPr>
            <w:r>
              <w:rPr>
                <w:rFonts w:hint="eastAsia" w:ascii="宋体" w:hAnsi="宋体" w:cs="宋体"/>
                <w:b/>
                <w:bCs w:val="0"/>
                <w:color w:val="auto"/>
                <w:spacing w:val="0"/>
                <w:kern w:val="0"/>
                <w:sz w:val="28"/>
                <w:szCs w:val="28"/>
                <w:highlight w:val="none"/>
                <w:vertAlign w:val="baseline"/>
                <w:lang w:val="en-US" w:eastAsia="zh-CN"/>
              </w:rPr>
              <w:t>所属行业</w:t>
            </w:r>
          </w:p>
        </w:tc>
      </w:tr>
      <w:tr w14:paraId="1D3FF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2" w:type="dxa"/>
            <w:vAlign w:val="center"/>
          </w:tcPr>
          <w:p w14:paraId="2FF39C0D">
            <w:pPr>
              <w:spacing w:line="300" w:lineRule="exact"/>
              <w:jc w:val="center"/>
              <w:rPr>
                <w:rFonts w:hint="default" w:ascii="宋体" w:hAnsi="宋体" w:cs="宋体"/>
                <w:b/>
                <w:bCs w:val="0"/>
                <w:color w:val="auto"/>
                <w:spacing w:val="0"/>
                <w:kern w:val="0"/>
                <w:sz w:val="21"/>
                <w:szCs w:val="21"/>
                <w:highlight w:val="none"/>
                <w:vertAlign w:val="baseline"/>
                <w:lang w:val="en-US" w:eastAsia="zh-CN"/>
              </w:rPr>
            </w:pPr>
            <w:r>
              <w:rPr>
                <w:rFonts w:hint="eastAsia" w:ascii="宋体" w:hAnsi="宋体" w:eastAsia="宋体" w:cs="宋体"/>
                <w:b w:val="0"/>
                <w:bCs/>
                <w:sz w:val="21"/>
                <w:szCs w:val="21"/>
              </w:rPr>
              <w:t>数显式万能材料试验机</w:t>
            </w:r>
          </w:p>
        </w:tc>
        <w:tc>
          <w:tcPr>
            <w:tcW w:w="4392" w:type="dxa"/>
          </w:tcPr>
          <w:p w14:paraId="2CA7C657">
            <w:pPr>
              <w:pageBreakBefore w:val="0"/>
              <w:widowControl w:val="0"/>
              <w:numPr>
                <w:ilvl w:val="0"/>
                <w:numId w:val="0"/>
              </w:numPr>
              <w:kinsoku/>
              <w:wordWrap/>
              <w:overflowPunct/>
              <w:topLinePunct w:val="0"/>
              <w:autoSpaceDE/>
              <w:autoSpaceDN/>
              <w:bidi w:val="0"/>
              <w:adjustRightInd/>
              <w:snapToGrid/>
              <w:spacing w:line="480" w:lineRule="exact"/>
              <w:jc w:val="center"/>
              <w:textAlignment w:val="auto"/>
              <w:rPr>
                <w:rFonts w:hint="default" w:ascii="宋体" w:hAnsi="宋体" w:cs="宋体"/>
                <w:b w:val="0"/>
                <w:bCs/>
                <w:color w:val="auto"/>
                <w:spacing w:val="0"/>
                <w:kern w:val="0"/>
                <w:sz w:val="21"/>
                <w:szCs w:val="21"/>
                <w:highlight w:val="none"/>
                <w:vertAlign w:val="baseline"/>
                <w:lang w:val="en-US" w:eastAsia="zh-CN"/>
              </w:rPr>
            </w:pPr>
            <w:r>
              <w:rPr>
                <w:rFonts w:hint="eastAsia" w:ascii="宋体" w:hAnsi="宋体" w:cs="宋体"/>
                <w:b w:val="0"/>
                <w:bCs/>
                <w:color w:val="auto"/>
                <w:spacing w:val="0"/>
                <w:kern w:val="0"/>
                <w:sz w:val="21"/>
                <w:szCs w:val="21"/>
                <w:highlight w:val="none"/>
                <w:vertAlign w:val="baseline"/>
                <w:lang w:val="en-US" w:eastAsia="zh-CN"/>
              </w:rPr>
              <w:t>工业</w:t>
            </w:r>
          </w:p>
        </w:tc>
      </w:tr>
      <w:tr w14:paraId="74052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2" w:type="dxa"/>
            <w:vAlign w:val="center"/>
          </w:tcPr>
          <w:p w14:paraId="637D92CD">
            <w:pPr>
              <w:jc w:val="center"/>
              <w:rPr>
                <w:rFonts w:hint="default" w:ascii="宋体" w:hAnsi="宋体" w:cs="宋体"/>
                <w:b/>
                <w:bCs w:val="0"/>
                <w:color w:val="auto"/>
                <w:spacing w:val="0"/>
                <w:kern w:val="0"/>
                <w:sz w:val="21"/>
                <w:szCs w:val="21"/>
                <w:highlight w:val="none"/>
                <w:vertAlign w:val="baseline"/>
                <w:lang w:val="en-US" w:eastAsia="zh-CN"/>
              </w:rPr>
            </w:pPr>
            <w:r>
              <w:rPr>
                <w:rFonts w:hint="eastAsia" w:ascii="宋体" w:hAnsi="宋体" w:eastAsia="宋体" w:cs="宋体"/>
                <w:sz w:val="21"/>
                <w:szCs w:val="21"/>
              </w:rPr>
              <w:t>冲击弹性波无损检测仪</w:t>
            </w:r>
          </w:p>
        </w:tc>
        <w:tc>
          <w:tcPr>
            <w:tcW w:w="4392" w:type="dxa"/>
          </w:tcPr>
          <w:p w14:paraId="04228452">
            <w:pPr>
              <w:pageBreakBefore w:val="0"/>
              <w:widowControl w:val="0"/>
              <w:numPr>
                <w:ilvl w:val="0"/>
                <w:numId w:val="0"/>
              </w:numPr>
              <w:kinsoku/>
              <w:wordWrap/>
              <w:overflowPunct/>
              <w:topLinePunct w:val="0"/>
              <w:autoSpaceDE/>
              <w:autoSpaceDN/>
              <w:bidi w:val="0"/>
              <w:adjustRightInd/>
              <w:snapToGrid/>
              <w:spacing w:line="480" w:lineRule="exact"/>
              <w:jc w:val="center"/>
              <w:textAlignment w:val="auto"/>
              <w:rPr>
                <w:rFonts w:hint="default" w:ascii="宋体" w:hAnsi="宋体" w:cs="宋体"/>
                <w:b w:val="0"/>
                <w:bCs/>
                <w:color w:val="auto"/>
                <w:spacing w:val="0"/>
                <w:kern w:val="0"/>
                <w:sz w:val="21"/>
                <w:szCs w:val="21"/>
                <w:highlight w:val="none"/>
                <w:vertAlign w:val="baseline"/>
                <w:lang w:val="en-US" w:eastAsia="zh-CN"/>
              </w:rPr>
            </w:pPr>
            <w:r>
              <w:rPr>
                <w:rFonts w:hint="eastAsia" w:ascii="宋体" w:hAnsi="宋体" w:cs="宋体"/>
                <w:b w:val="0"/>
                <w:bCs/>
                <w:color w:val="auto"/>
                <w:spacing w:val="0"/>
                <w:kern w:val="0"/>
                <w:sz w:val="21"/>
                <w:szCs w:val="21"/>
                <w:highlight w:val="none"/>
                <w:vertAlign w:val="baseline"/>
                <w:lang w:val="en-US" w:eastAsia="zh-CN"/>
              </w:rPr>
              <w:t>工业</w:t>
            </w:r>
          </w:p>
        </w:tc>
      </w:tr>
      <w:tr w14:paraId="45BD7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2" w:type="dxa"/>
            <w:vAlign w:val="center"/>
          </w:tcPr>
          <w:p w14:paraId="2BF68314">
            <w:pPr>
              <w:jc w:val="center"/>
              <w:rPr>
                <w:rFonts w:hint="default" w:ascii="宋体" w:hAnsi="宋体" w:cs="宋体"/>
                <w:b/>
                <w:bCs w:val="0"/>
                <w:color w:val="auto"/>
                <w:spacing w:val="0"/>
                <w:kern w:val="0"/>
                <w:sz w:val="21"/>
                <w:szCs w:val="21"/>
                <w:highlight w:val="none"/>
                <w:vertAlign w:val="baseline"/>
                <w:lang w:val="en-US" w:eastAsia="zh-CN"/>
              </w:rPr>
            </w:pPr>
            <w:r>
              <w:rPr>
                <w:rFonts w:hint="eastAsia" w:ascii="宋体" w:hAnsi="宋体" w:eastAsia="宋体" w:cs="宋体"/>
                <w:sz w:val="21"/>
                <w:szCs w:val="21"/>
              </w:rPr>
              <w:t>裂缝监测动态模型系统</w:t>
            </w:r>
          </w:p>
        </w:tc>
        <w:tc>
          <w:tcPr>
            <w:tcW w:w="4392" w:type="dxa"/>
          </w:tcPr>
          <w:p w14:paraId="5E68DD63">
            <w:pPr>
              <w:pageBreakBefore w:val="0"/>
              <w:widowControl w:val="0"/>
              <w:numPr>
                <w:ilvl w:val="0"/>
                <w:numId w:val="0"/>
              </w:numPr>
              <w:kinsoku/>
              <w:wordWrap/>
              <w:overflowPunct/>
              <w:topLinePunct w:val="0"/>
              <w:autoSpaceDE/>
              <w:autoSpaceDN/>
              <w:bidi w:val="0"/>
              <w:adjustRightInd/>
              <w:snapToGrid/>
              <w:spacing w:line="480" w:lineRule="exact"/>
              <w:jc w:val="center"/>
              <w:textAlignment w:val="auto"/>
              <w:rPr>
                <w:rFonts w:hint="default" w:ascii="宋体" w:hAnsi="宋体" w:cs="宋体"/>
                <w:b w:val="0"/>
                <w:bCs/>
                <w:color w:val="auto"/>
                <w:spacing w:val="0"/>
                <w:kern w:val="0"/>
                <w:sz w:val="21"/>
                <w:szCs w:val="21"/>
                <w:highlight w:val="none"/>
                <w:vertAlign w:val="baseline"/>
                <w:lang w:val="en-US" w:eastAsia="zh-CN"/>
              </w:rPr>
            </w:pPr>
            <w:r>
              <w:rPr>
                <w:rFonts w:hint="eastAsia" w:ascii="宋体" w:hAnsi="宋体" w:cs="宋体"/>
                <w:b w:val="0"/>
                <w:bCs/>
                <w:color w:val="auto"/>
                <w:spacing w:val="0"/>
                <w:kern w:val="0"/>
                <w:sz w:val="21"/>
                <w:szCs w:val="21"/>
                <w:highlight w:val="none"/>
                <w:vertAlign w:val="baseline"/>
                <w:lang w:val="en-US" w:eastAsia="zh-CN"/>
              </w:rPr>
              <w:t>工业</w:t>
            </w:r>
          </w:p>
        </w:tc>
      </w:tr>
      <w:tr w14:paraId="72B54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2" w:type="dxa"/>
            <w:vAlign w:val="center"/>
          </w:tcPr>
          <w:p w14:paraId="639F818A">
            <w:pPr>
              <w:jc w:val="center"/>
              <w:rPr>
                <w:rFonts w:hint="default" w:ascii="宋体" w:hAnsi="宋体" w:cs="宋体"/>
                <w:b/>
                <w:bCs w:val="0"/>
                <w:color w:val="auto"/>
                <w:spacing w:val="0"/>
                <w:kern w:val="0"/>
                <w:sz w:val="21"/>
                <w:szCs w:val="21"/>
                <w:highlight w:val="none"/>
                <w:vertAlign w:val="baseline"/>
                <w:lang w:val="en-US" w:eastAsia="zh-CN"/>
              </w:rPr>
            </w:pPr>
            <w:r>
              <w:rPr>
                <w:rFonts w:hint="eastAsia" w:ascii="宋体" w:hAnsi="宋体" w:eastAsia="宋体" w:cs="宋体"/>
                <w:sz w:val="21"/>
                <w:szCs w:val="21"/>
              </w:rPr>
              <w:t>一体式钢筋扫描仪</w:t>
            </w:r>
          </w:p>
        </w:tc>
        <w:tc>
          <w:tcPr>
            <w:tcW w:w="4392" w:type="dxa"/>
          </w:tcPr>
          <w:p w14:paraId="037FA063">
            <w:pPr>
              <w:pageBreakBefore w:val="0"/>
              <w:widowControl w:val="0"/>
              <w:numPr>
                <w:ilvl w:val="0"/>
                <w:numId w:val="0"/>
              </w:numPr>
              <w:kinsoku/>
              <w:wordWrap/>
              <w:overflowPunct/>
              <w:topLinePunct w:val="0"/>
              <w:autoSpaceDE/>
              <w:autoSpaceDN/>
              <w:bidi w:val="0"/>
              <w:adjustRightInd/>
              <w:snapToGrid/>
              <w:spacing w:line="480" w:lineRule="exact"/>
              <w:jc w:val="center"/>
              <w:textAlignment w:val="auto"/>
              <w:rPr>
                <w:rFonts w:hint="default" w:ascii="宋体" w:hAnsi="宋体" w:cs="宋体"/>
                <w:b w:val="0"/>
                <w:bCs/>
                <w:color w:val="auto"/>
                <w:spacing w:val="0"/>
                <w:kern w:val="0"/>
                <w:sz w:val="21"/>
                <w:szCs w:val="21"/>
                <w:highlight w:val="none"/>
                <w:vertAlign w:val="baseline"/>
                <w:lang w:val="en-US" w:eastAsia="zh-CN"/>
              </w:rPr>
            </w:pPr>
            <w:r>
              <w:rPr>
                <w:rFonts w:hint="eastAsia" w:ascii="宋体" w:hAnsi="宋体" w:cs="宋体"/>
                <w:b w:val="0"/>
                <w:bCs/>
                <w:color w:val="auto"/>
                <w:spacing w:val="0"/>
                <w:kern w:val="0"/>
                <w:sz w:val="21"/>
                <w:szCs w:val="21"/>
                <w:highlight w:val="none"/>
                <w:vertAlign w:val="baseline"/>
                <w:lang w:val="en-US" w:eastAsia="zh-CN"/>
              </w:rPr>
              <w:t>工业</w:t>
            </w:r>
          </w:p>
        </w:tc>
      </w:tr>
      <w:tr w14:paraId="3647F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2" w:type="dxa"/>
            <w:vAlign w:val="center"/>
          </w:tcPr>
          <w:p w14:paraId="66CA5FF1">
            <w:pPr>
              <w:jc w:val="center"/>
              <w:rPr>
                <w:rFonts w:hint="default" w:ascii="宋体" w:hAnsi="宋体" w:cs="宋体"/>
                <w:b/>
                <w:bCs w:val="0"/>
                <w:color w:val="auto"/>
                <w:spacing w:val="0"/>
                <w:kern w:val="0"/>
                <w:sz w:val="21"/>
                <w:szCs w:val="21"/>
                <w:highlight w:val="none"/>
                <w:vertAlign w:val="baseline"/>
                <w:lang w:val="en-US" w:eastAsia="zh-CN"/>
              </w:rPr>
            </w:pPr>
            <w:r>
              <w:rPr>
                <w:rFonts w:hint="eastAsia" w:ascii="宋体" w:hAnsi="宋体" w:eastAsia="宋体" w:cs="宋体"/>
                <w:sz w:val="21"/>
                <w:szCs w:val="21"/>
                <w:lang w:val="en-US" w:eastAsia="zh-CN"/>
              </w:rPr>
              <w:t>室内模型(混凝土内部缺陷测试模型)</w:t>
            </w:r>
          </w:p>
        </w:tc>
        <w:tc>
          <w:tcPr>
            <w:tcW w:w="4392" w:type="dxa"/>
          </w:tcPr>
          <w:p w14:paraId="299EAA22">
            <w:pPr>
              <w:pageBreakBefore w:val="0"/>
              <w:widowControl w:val="0"/>
              <w:numPr>
                <w:ilvl w:val="0"/>
                <w:numId w:val="0"/>
              </w:numPr>
              <w:kinsoku/>
              <w:wordWrap/>
              <w:overflowPunct/>
              <w:topLinePunct w:val="0"/>
              <w:autoSpaceDE/>
              <w:autoSpaceDN/>
              <w:bidi w:val="0"/>
              <w:adjustRightInd/>
              <w:snapToGrid/>
              <w:spacing w:line="480" w:lineRule="exact"/>
              <w:jc w:val="center"/>
              <w:textAlignment w:val="auto"/>
              <w:rPr>
                <w:rFonts w:hint="default" w:ascii="宋体" w:hAnsi="宋体" w:cs="宋体"/>
                <w:b w:val="0"/>
                <w:bCs/>
                <w:color w:val="auto"/>
                <w:spacing w:val="0"/>
                <w:kern w:val="0"/>
                <w:sz w:val="21"/>
                <w:szCs w:val="21"/>
                <w:highlight w:val="none"/>
                <w:vertAlign w:val="baseline"/>
                <w:lang w:val="en-US" w:eastAsia="zh-CN"/>
              </w:rPr>
            </w:pPr>
            <w:r>
              <w:rPr>
                <w:rFonts w:hint="eastAsia" w:ascii="宋体" w:hAnsi="宋体" w:cs="宋体"/>
                <w:b w:val="0"/>
                <w:bCs/>
                <w:color w:val="auto"/>
                <w:spacing w:val="0"/>
                <w:kern w:val="0"/>
                <w:sz w:val="21"/>
                <w:szCs w:val="21"/>
                <w:highlight w:val="none"/>
                <w:vertAlign w:val="baseline"/>
                <w:lang w:val="en-US" w:eastAsia="zh-CN"/>
              </w:rPr>
              <w:t>工业</w:t>
            </w:r>
          </w:p>
        </w:tc>
      </w:tr>
      <w:tr w14:paraId="1D029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2" w:type="dxa"/>
            <w:vAlign w:val="center"/>
          </w:tcPr>
          <w:p w14:paraId="68D05B11">
            <w:pPr>
              <w:jc w:val="center"/>
              <w:rPr>
                <w:rFonts w:hint="default" w:ascii="宋体" w:hAnsi="宋体" w:cs="宋体"/>
                <w:b/>
                <w:bCs w:val="0"/>
                <w:color w:val="auto"/>
                <w:spacing w:val="0"/>
                <w:kern w:val="0"/>
                <w:sz w:val="21"/>
                <w:szCs w:val="21"/>
                <w:highlight w:val="none"/>
                <w:vertAlign w:val="baseline"/>
                <w:lang w:val="en-US" w:eastAsia="zh-CN"/>
              </w:rPr>
            </w:pPr>
            <w:r>
              <w:rPr>
                <w:rFonts w:hint="eastAsia" w:ascii="宋体" w:hAnsi="宋体" w:eastAsia="宋体" w:cs="宋体"/>
                <w:sz w:val="21"/>
                <w:szCs w:val="21"/>
                <w:lang w:val="en-US" w:eastAsia="zh-CN"/>
              </w:rPr>
              <w:t>室内模型（混凝土裂缝测试模型）</w:t>
            </w:r>
          </w:p>
        </w:tc>
        <w:tc>
          <w:tcPr>
            <w:tcW w:w="4392" w:type="dxa"/>
          </w:tcPr>
          <w:p w14:paraId="630F216A">
            <w:pPr>
              <w:pageBreakBefore w:val="0"/>
              <w:widowControl w:val="0"/>
              <w:numPr>
                <w:ilvl w:val="0"/>
                <w:numId w:val="0"/>
              </w:numPr>
              <w:kinsoku/>
              <w:wordWrap/>
              <w:overflowPunct/>
              <w:topLinePunct w:val="0"/>
              <w:autoSpaceDE/>
              <w:autoSpaceDN/>
              <w:bidi w:val="0"/>
              <w:adjustRightInd/>
              <w:snapToGrid/>
              <w:spacing w:line="480" w:lineRule="exact"/>
              <w:jc w:val="center"/>
              <w:textAlignment w:val="auto"/>
              <w:rPr>
                <w:rFonts w:hint="default" w:ascii="宋体" w:hAnsi="宋体" w:cs="宋体"/>
                <w:b w:val="0"/>
                <w:bCs/>
                <w:color w:val="auto"/>
                <w:spacing w:val="0"/>
                <w:kern w:val="0"/>
                <w:sz w:val="21"/>
                <w:szCs w:val="21"/>
                <w:highlight w:val="none"/>
                <w:vertAlign w:val="baseline"/>
                <w:lang w:val="en-US" w:eastAsia="zh-CN"/>
              </w:rPr>
            </w:pPr>
            <w:r>
              <w:rPr>
                <w:rFonts w:hint="eastAsia" w:ascii="宋体" w:hAnsi="宋体" w:cs="宋体"/>
                <w:b w:val="0"/>
                <w:bCs/>
                <w:color w:val="auto"/>
                <w:spacing w:val="0"/>
                <w:kern w:val="0"/>
                <w:sz w:val="21"/>
                <w:szCs w:val="21"/>
                <w:highlight w:val="none"/>
                <w:vertAlign w:val="baseline"/>
                <w:lang w:val="en-US" w:eastAsia="zh-CN"/>
              </w:rPr>
              <w:t>工业</w:t>
            </w:r>
          </w:p>
        </w:tc>
      </w:tr>
      <w:tr w14:paraId="09672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2" w:type="dxa"/>
            <w:vAlign w:val="center"/>
          </w:tcPr>
          <w:p w14:paraId="7EA2C75C">
            <w:pPr>
              <w:jc w:val="center"/>
              <w:rPr>
                <w:rFonts w:hint="default" w:ascii="宋体" w:hAnsi="宋体" w:cs="宋体"/>
                <w:b/>
                <w:bCs w:val="0"/>
                <w:color w:val="auto"/>
                <w:spacing w:val="0"/>
                <w:kern w:val="0"/>
                <w:sz w:val="21"/>
                <w:szCs w:val="21"/>
                <w:highlight w:val="none"/>
                <w:vertAlign w:val="baseline"/>
                <w:lang w:val="en-US" w:eastAsia="zh-CN"/>
              </w:rPr>
            </w:pPr>
            <w:r>
              <w:rPr>
                <w:rFonts w:hint="eastAsia" w:ascii="宋体" w:hAnsi="宋体" w:eastAsia="宋体" w:cs="宋体"/>
                <w:sz w:val="21"/>
                <w:szCs w:val="21"/>
                <w:lang w:val="en-US" w:eastAsia="zh-CN"/>
              </w:rPr>
              <w:t>室内模型(钢筋保护层测试模型)</w:t>
            </w:r>
          </w:p>
        </w:tc>
        <w:tc>
          <w:tcPr>
            <w:tcW w:w="4392" w:type="dxa"/>
          </w:tcPr>
          <w:p w14:paraId="66AB7E9F">
            <w:pPr>
              <w:pageBreakBefore w:val="0"/>
              <w:widowControl w:val="0"/>
              <w:numPr>
                <w:ilvl w:val="0"/>
                <w:numId w:val="0"/>
              </w:numPr>
              <w:kinsoku/>
              <w:wordWrap/>
              <w:overflowPunct/>
              <w:topLinePunct w:val="0"/>
              <w:autoSpaceDE/>
              <w:autoSpaceDN/>
              <w:bidi w:val="0"/>
              <w:adjustRightInd/>
              <w:snapToGrid/>
              <w:spacing w:line="480" w:lineRule="exact"/>
              <w:jc w:val="center"/>
              <w:textAlignment w:val="auto"/>
              <w:rPr>
                <w:rFonts w:hint="default" w:ascii="宋体" w:hAnsi="宋体" w:cs="宋体"/>
                <w:b w:val="0"/>
                <w:bCs/>
                <w:color w:val="auto"/>
                <w:spacing w:val="0"/>
                <w:kern w:val="0"/>
                <w:sz w:val="21"/>
                <w:szCs w:val="21"/>
                <w:highlight w:val="none"/>
                <w:vertAlign w:val="baseline"/>
                <w:lang w:val="en-US" w:eastAsia="zh-CN"/>
              </w:rPr>
            </w:pPr>
            <w:r>
              <w:rPr>
                <w:rFonts w:hint="eastAsia" w:ascii="宋体" w:hAnsi="宋体" w:cs="宋体"/>
                <w:b w:val="0"/>
                <w:bCs/>
                <w:color w:val="auto"/>
                <w:spacing w:val="0"/>
                <w:kern w:val="0"/>
                <w:sz w:val="21"/>
                <w:szCs w:val="21"/>
                <w:highlight w:val="none"/>
                <w:vertAlign w:val="baseline"/>
                <w:lang w:val="en-US" w:eastAsia="zh-CN"/>
              </w:rPr>
              <w:t>工业</w:t>
            </w:r>
          </w:p>
        </w:tc>
      </w:tr>
      <w:tr w14:paraId="4D8B3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2" w:type="dxa"/>
            <w:vAlign w:val="center"/>
          </w:tcPr>
          <w:p w14:paraId="27DF7FAC">
            <w:pPr>
              <w:ind w:firstLine="0" w:firstLineChars="0"/>
              <w:jc w:val="center"/>
              <w:rPr>
                <w:rFonts w:hint="default" w:ascii="宋体" w:hAnsi="宋体" w:cs="宋体"/>
                <w:b/>
                <w:bCs w:val="0"/>
                <w:color w:val="auto"/>
                <w:spacing w:val="0"/>
                <w:kern w:val="0"/>
                <w:sz w:val="21"/>
                <w:szCs w:val="21"/>
                <w:highlight w:val="none"/>
                <w:vertAlign w:val="baseline"/>
                <w:lang w:val="en-US" w:eastAsia="zh-CN"/>
              </w:rPr>
            </w:pPr>
            <w:r>
              <w:rPr>
                <w:rFonts w:hint="eastAsia" w:ascii="宋体" w:hAnsi="宋体" w:eastAsia="宋体" w:cs="宋体"/>
                <w:sz w:val="21"/>
                <w:szCs w:val="21"/>
                <w:vertAlign w:val="baseline"/>
                <w:lang w:val="en-US" w:eastAsia="zh-CN"/>
              </w:rPr>
              <w:t>建筑结构检测虚拟仿真软件V2025</w:t>
            </w:r>
          </w:p>
        </w:tc>
        <w:tc>
          <w:tcPr>
            <w:tcW w:w="4392" w:type="dxa"/>
          </w:tcPr>
          <w:p w14:paraId="3D2F4E59">
            <w:pPr>
              <w:pageBreakBefore w:val="0"/>
              <w:widowControl w:val="0"/>
              <w:numPr>
                <w:ilvl w:val="0"/>
                <w:numId w:val="0"/>
              </w:numPr>
              <w:kinsoku/>
              <w:wordWrap/>
              <w:overflowPunct/>
              <w:topLinePunct w:val="0"/>
              <w:autoSpaceDE/>
              <w:autoSpaceDN/>
              <w:bidi w:val="0"/>
              <w:adjustRightInd/>
              <w:snapToGrid/>
              <w:spacing w:line="480" w:lineRule="exact"/>
              <w:jc w:val="center"/>
              <w:textAlignment w:val="auto"/>
              <w:rPr>
                <w:rFonts w:hint="default" w:ascii="宋体" w:hAnsi="宋体" w:cs="宋体"/>
                <w:b/>
                <w:bCs w:val="0"/>
                <w:color w:val="auto"/>
                <w:spacing w:val="0"/>
                <w:kern w:val="0"/>
                <w:sz w:val="21"/>
                <w:szCs w:val="21"/>
                <w:highlight w:val="none"/>
                <w:vertAlign w:val="baseline"/>
                <w:lang w:val="en-US" w:eastAsia="zh-CN"/>
              </w:rPr>
            </w:pPr>
            <w:r>
              <w:rPr>
                <w:rFonts w:hint="eastAsia" w:ascii="宋体" w:hAnsi="宋体" w:eastAsia="宋体" w:cs="宋体"/>
                <w:color w:val="000000"/>
                <w:kern w:val="0"/>
                <w:sz w:val="21"/>
                <w:szCs w:val="21"/>
                <w:highlight w:val="none"/>
                <w:lang w:val="en-US" w:eastAsia="zh-CN"/>
              </w:rPr>
              <w:t>软件和信息技术服务业</w:t>
            </w:r>
          </w:p>
        </w:tc>
      </w:tr>
      <w:tr w14:paraId="5C6ED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2" w:type="dxa"/>
            <w:vAlign w:val="center"/>
          </w:tcPr>
          <w:p w14:paraId="1B74F91B">
            <w:pPr>
              <w:ind w:firstLine="0" w:firstLineChars="0"/>
              <w:jc w:val="center"/>
              <w:rPr>
                <w:rFonts w:hint="default" w:ascii="宋体" w:hAnsi="宋体" w:cs="宋体"/>
                <w:b/>
                <w:bCs w:val="0"/>
                <w:color w:val="auto"/>
                <w:spacing w:val="0"/>
                <w:kern w:val="0"/>
                <w:sz w:val="21"/>
                <w:szCs w:val="21"/>
                <w:highlight w:val="none"/>
                <w:vertAlign w:val="baseline"/>
                <w:lang w:val="en-US" w:eastAsia="zh-CN"/>
              </w:rPr>
            </w:pPr>
            <w:r>
              <w:rPr>
                <w:rFonts w:hint="eastAsia" w:ascii="宋体" w:hAnsi="宋体" w:eastAsia="宋体" w:cs="宋体"/>
                <w:sz w:val="21"/>
                <w:szCs w:val="21"/>
                <w:vertAlign w:val="baseline"/>
                <w:lang w:val="en-US" w:eastAsia="zh-CN"/>
              </w:rPr>
              <w:t>建筑结构加固修复虚拟仿真软件V2025</w:t>
            </w:r>
          </w:p>
        </w:tc>
        <w:tc>
          <w:tcPr>
            <w:tcW w:w="4392" w:type="dxa"/>
          </w:tcPr>
          <w:p w14:paraId="57456D85">
            <w:pPr>
              <w:pageBreakBefore w:val="0"/>
              <w:widowControl w:val="0"/>
              <w:numPr>
                <w:ilvl w:val="0"/>
                <w:numId w:val="0"/>
              </w:numPr>
              <w:kinsoku/>
              <w:wordWrap/>
              <w:overflowPunct/>
              <w:topLinePunct w:val="0"/>
              <w:autoSpaceDE/>
              <w:autoSpaceDN/>
              <w:bidi w:val="0"/>
              <w:adjustRightInd/>
              <w:snapToGrid/>
              <w:spacing w:line="480" w:lineRule="exact"/>
              <w:jc w:val="center"/>
              <w:textAlignment w:val="auto"/>
              <w:rPr>
                <w:rFonts w:hint="default" w:ascii="宋体" w:hAnsi="宋体" w:cs="宋体"/>
                <w:b/>
                <w:bCs w:val="0"/>
                <w:color w:val="auto"/>
                <w:spacing w:val="0"/>
                <w:kern w:val="0"/>
                <w:sz w:val="21"/>
                <w:szCs w:val="21"/>
                <w:highlight w:val="none"/>
                <w:vertAlign w:val="baseline"/>
                <w:lang w:val="en-US" w:eastAsia="zh-CN"/>
              </w:rPr>
            </w:pPr>
            <w:r>
              <w:rPr>
                <w:rFonts w:hint="eastAsia" w:ascii="宋体" w:hAnsi="宋体" w:eastAsia="宋体" w:cs="宋体"/>
                <w:color w:val="000000"/>
                <w:kern w:val="0"/>
                <w:sz w:val="21"/>
                <w:szCs w:val="21"/>
                <w:highlight w:val="none"/>
                <w:lang w:val="en-US" w:eastAsia="zh-CN"/>
              </w:rPr>
              <w:t>软件和信息技术服务业</w:t>
            </w:r>
          </w:p>
        </w:tc>
      </w:tr>
    </w:tbl>
    <w:p w14:paraId="11949DF0">
      <w:pPr>
        <w:pageBreakBefore w:val="0"/>
        <w:widowControl w:val="0"/>
        <w:numPr>
          <w:ilvl w:val="0"/>
          <w:numId w:val="0"/>
        </w:numPr>
        <w:kinsoku/>
        <w:wordWrap/>
        <w:overflowPunct/>
        <w:topLinePunct w:val="0"/>
        <w:autoSpaceDE/>
        <w:autoSpaceDN/>
        <w:bidi w:val="0"/>
        <w:adjustRightInd/>
        <w:snapToGrid/>
        <w:spacing w:line="480" w:lineRule="exact"/>
        <w:textAlignment w:val="auto"/>
        <w:rPr>
          <w:rFonts w:hint="default" w:ascii="宋体" w:hAnsi="宋体" w:cs="宋体"/>
          <w:color w:val="auto"/>
          <w:spacing w:val="0"/>
          <w:kern w:val="0"/>
          <w:sz w:val="28"/>
          <w:szCs w:val="28"/>
          <w:highlight w:val="none"/>
          <w:lang w:val="en-US" w:eastAsia="zh-CN"/>
        </w:rPr>
        <w:sectPr>
          <w:pgSz w:w="15840" w:h="12240" w:orient="landscape"/>
          <w:pgMar w:top="1803" w:right="1440" w:bottom="1803" w:left="1440" w:header="567" w:footer="567" w:gutter="0"/>
          <w:pgNumType w:fmt="decimal"/>
          <w:cols w:space="0" w:num="1"/>
          <w:rtlGutter w:val="0"/>
          <w:docGrid w:linePitch="0" w:charSpace="0"/>
        </w:sectPr>
      </w:pPr>
    </w:p>
    <w:p w14:paraId="7B4C0C6C">
      <w:pPr>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宋体" w:hAnsi="宋体" w:cs="宋体"/>
          <w:color w:val="auto"/>
          <w:spacing w:val="0"/>
          <w:kern w:val="0"/>
          <w:sz w:val="28"/>
          <w:szCs w:val="28"/>
          <w:highlight w:val="none"/>
          <w:lang w:val="en-US" w:eastAsia="zh-CN"/>
        </w:rPr>
      </w:pPr>
    </w:p>
    <w:p w14:paraId="7E216CAC">
      <w:pPr>
        <w:pStyle w:val="2"/>
        <w:pageBreakBefore w:val="0"/>
        <w:kinsoku/>
        <w:topLinePunct w:val="0"/>
        <w:autoSpaceDE/>
        <w:autoSpaceDN/>
        <w:bidi w:val="0"/>
        <w:snapToGrid/>
        <w:spacing w:before="0" w:beforeAutospacing="0" w:after="0" w:afterAutospacing="0" w:line="480" w:lineRule="exact"/>
        <w:ind w:left="0" w:leftChars="0"/>
        <w:textAlignment w:val="auto"/>
        <w:rPr>
          <w:rFonts w:hint="eastAsia" w:ascii="宋体" w:hAnsi="宋体" w:eastAsia="宋体" w:cs="宋体"/>
          <w:color w:val="auto"/>
          <w:sz w:val="32"/>
          <w:szCs w:val="32"/>
          <w:highlight w:val="none"/>
        </w:rPr>
      </w:pPr>
      <w:bookmarkStart w:id="83" w:name="_Toc16369"/>
      <w:r>
        <w:rPr>
          <w:rFonts w:hint="eastAsia" w:ascii="宋体" w:hAnsi="宋体" w:eastAsia="宋体" w:cs="宋体"/>
          <w:color w:val="auto"/>
          <w:sz w:val="32"/>
          <w:szCs w:val="32"/>
          <w:highlight w:val="none"/>
        </w:rPr>
        <w:t>第六章资格审查</w:t>
      </w:r>
      <w:bookmarkEnd w:id="83"/>
    </w:p>
    <w:p w14:paraId="0D7E9868">
      <w:pPr>
        <w:pStyle w:val="3"/>
        <w:pageBreakBefore w:val="0"/>
        <w:kinsoku/>
        <w:topLinePunct w:val="0"/>
        <w:autoSpaceDE/>
        <w:autoSpaceDN/>
        <w:bidi w:val="0"/>
        <w:snapToGrid/>
        <w:spacing w:before="0" w:beforeAutospacing="0" w:afterAutospacing="0" w:line="480" w:lineRule="exact"/>
        <w:ind w:left="0" w:leftChars="0"/>
        <w:jc w:val="center"/>
        <w:textAlignment w:val="auto"/>
        <w:rPr>
          <w:rFonts w:hint="eastAsia" w:ascii="宋体" w:hAnsi="宋体" w:eastAsia="宋体" w:cs="宋体"/>
          <w:color w:val="auto"/>
          <w:spacing w:val="0"/>
          <w:kern w:val="0"/>
          <w:sz w:val="28"/>
          <w:szCs w:val="28"/>
          <w:highlight w:val="none"/>
          <w:lang w:val="en-US" w:eastAsia="zh-CN"/>
        </w:rPr>
      </w:pPr>
      <w:bookmarkStart w:id="84" w:name="_Toc20258"/>
      <w:r>
        <w:rPr>
          <w:rFonts w:hint="eastAsia" w:ascii="宋体" w:hAnsi="宋体" w:eastAsia="宋体" w:cs="宋体"/>
          <w:color w:val="auto"/>
          <w:spacing w:val="0"/>
          <w:kern w:val="0"/>
          <w:sz w:val="28"/>
          <w:szCs w:val="28"/>
          <w:highlight w:val="none"/>
          <w:lang w:val="en-US" w:eastAsia="zh-CN"/>
        </w:rPr>
        <w:t>投标人资格要求前附表</w:t>
      </w:r>
      <w:bookmarkEnd w:id="84"/>
    </w:p>
    <w:tbl>
      <w:tblPr>
        <w:tblStyle w:val="47"/>
        <w:tblW w:w="85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6"/>
        <w:gridCol w:w="6799"/>
      </w:tblGrid>
      <w:tr w14:paraId="01704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766" w:type="dxa"/>
            <w:vAlign w:val="center"/>
          </w:tcPr>
          <w:p w14:paraId="4E117AC2">
            <w:pPr>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资格要求</w:t>
            </w:r>
          </w:p>
        </w:tc>
        <w:tc>
          <w:tcPr>
            <w:tcW w:w="6799" w:type="dxa"/>
            <w:vAlign w:val="center"/>
          </w:tcPr>
          <w:p w14:paraId="2E0F2BAD">
            <w:pPr>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审查标准</w:t>
            </w:r>
          </w:p>
        </w:tc>
      </w:tr>
      <w:tr w14:paraId="5CFD0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766" w:type="dxa"/>
            <w:vAlign w:val="center"/>
          </w:tcPr>
          <w:p w14:paraId="389FE6E3">
            <w:pPr>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具有独立承担民事责任的能力</w:t>
            </w:r>
          </w:p>
        </w:tc>
        <w:tc>
          <w:tcPr>
            <w:tcW w:w="6799" w:type="dxa"/>
            <w:vAlign w:val="center"/>
          </w:tcPr>
          <w:p w14:paraId="0B2CAED4">
            <w:pPr>
              <w:pageBreakBefore w:val="0"/>
              <w:kinsoku/>
              <w:topLinePunct w:val="0"/>
              <w:autoSpaceDE/>
              <w:autoSpaceDN/>
              <w:bidi w:val="0"/>
              <w:snapToGrid/>
              <w:spacing w:beforeAutospacing="0" w:afterAutospacing="0" w:line="480" w:lineRule="exact"/>
              <w:ind w:left="0" w:leftChars="0"/>
              <w:jc w:val="left"/>
              <w:textAlignment w:val="auto"/>
              <w:rPr>
                <w:rFonts w:hint="eastAsia" w:ascii="宋体" w:hAnsi="宋体" w:eastAsia="宋体" w:cs="宋体"/>
                <w:color w:val="auto"/>
                <w:szCs w:val="21"/>
                <w:highlight w:val="none"/>
              </w:rPr>
            </w:pPr>
            <w:r>
              <w:rPr>
                <w:rFonts w:hint="eastAsia" w:ascii="宋体" w:hAnsi="宋体" w:cs="宋体"/>
                <w:color w:val="auto"/>
                <w:kern w:val="0"/>
                <w:szCs w:val="21"/>
                <w:highlight w:val="none"/>
                <w:lang w:eastAsia="zh-CN"/>
              </w:rPr>
              <w:t>投标人须在中华人民共和国境内注册，提供市场监督管理部门核发的有效的三证合一营业执照或其他组织形式的相关主体资格证明材料（扫描件加盖投标人电子公章）</w:t>
            </w:r>
            <w:r>
              <w:rPr>
                <w:rFonts w:hint="eastAsia" w:ascii="宋体" w:hAnsi="宋体" w:eastAsia="宋体" w:cs="宋体"/>
                <w:color w:val="auto"/>
                <w:kern w:val="0"/>
                <w:szCs w:val="21"/>
                <w:highlight w:val="none"/>
                <w:lang w:eastAsia="zh-CN"/>
              </w:rPr>
              <w:t>；</w:t>
            </w:r>
          </w:p>
        </w:tc>
      </w:tr>
      <w:tr w14:paraId="73CFF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766" w:type="dxa"/>
            <w:vAlign w:val="center"/>
          </w:tcPr>
          <w:p w14:paraId="6F13A5DB">
            <w:pPr>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具有良好的商业信誉和健全的财务会计制度</w:t>
            </w:r>
          </w:p>
        </w:tc>
        <w:tc>
          <w:tcPr>
            <w:tcW w:w="6799" w:type="dxa"/>
            <w:vAlign w:val="center"/>
          </w:tcPr>
          <w:p w14:paraId="1F6BA988">
            <w:pPr>
              <w:pageBreakBefore w:val="0"/>
              <w:kinsoku/>
              <w:wordWrap w:val="0"/>
              <w:topLinePunct w:val="0"/>
              <w:autoSpaceDE/>
              <w:autoSpaceDN/>
              <w:bidi w:val="0"/>
              <w:snapToGrid/>
              <w:spacing w:beforeAutospacing="0" w:afterAutospacing="0" w:line="480" w:lineRule="exact"/>
              <w:ind w:left="0" w:leftChars="0"/>
              <w:jc w:val="left"/>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提供投标人2024年度或2025年度经第三方审计的财务报告及报表（报表至少应包括资产负债表</w:t>
            </w:r>
            <w:r>
              <w:rPr>
                <w:rFonts w:hint="eastAsia" w:ascii="宋体" w:hAnsi="宋体" w:eastAsia="宋体" w:cs="宋体"/>
                <w:color w:val="auto"/>
                <w:szCs w:val="21"/>
                <w:highlight w:val="none"/>
                <w:lang w:eastAsia="zh-CN"/>
              </w:rPr>
              <w:t>、利润表（损益表）、现金流量表）或提供自提交投标文件截止时间前三个月内基本开户银行出具的资信证明（扫描件加盖投标人电子公章），至投标文件提交截止时间止成立不足一年的投标人可提供相关情况说明（加盖投标人电子公章）；</w:t>
            </w:r>
          </w:p>
        </w:tc>
      </w:tr>
      <w:tr w14:paraId="486E8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766" w:type="dxa"/>
            <w:vAlign w:val="center"/>
          </w:tcPr>
          <w:p w14:paraId="5D790CA5">
            <w:pPr>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lang w:eastAsia="zh-CN"/>
              </w:rPr>
            </w:pPr>
            <w:r>
              <w:rPr>
                <w:rFonts w:hint="eastAsia" w:ascii="宋体" w:hAnsi="宋体" w:cs="宋体"/>
                <w:color w:val="auto"/>
                <w:kern w:val="0"/>
                <w:szCs w:val="21"/>
                <w:highlight w:val="none"/>
                <w:lang w:eastAsia="zh-CN"/>
              </w:rPr>
              <w:t>具有履行合同所必需的设备和专业技术能力</w:t>
            </w:r>
          </w:p>
        </w:tc>
        <w:tc>
          <w:tcPr>
            <w:tcW w:w="6799" w:type="dxa"/>
            <w:vAlign w:val="center"/>
          </w:tcPr>
          <w:p w14:paraId="6EEA6E6D">
            <w:pPr>
              <w:pageBreakBefore w:val="0"/>
              <w:kinsoku/>
              <w:wordWrap w:val="0"/>
              <w:topLinePunct w:val="0"/>
              <w:autoSpaceDE/>
              <w:autoSpaceDN/>
              <w:bidi w:val="0"/>
              <w:snapToGrid/>
              <w:spacing w:beforeAutospacing="0" w:afterAutospacing="0" w:line="480" w:lineRule="exact"/>
              <w:ind w:left="0" w:leftChars="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提供投标人</w:t>
            </w:r>
            <w:r>
              <w:rPr>
                <w:rFonts w:hint="eastAsia" w:ascii="宋体" w:hAnsi="宋体" w:cs="宋体"/>
                <w:color w:val="auto"/>
                <w:szCs w:val="21"/>
                <w:highlight w:val="none"/>
                <w:lang w:eastAsia="zh-CN"/>
              </w:rPr>
              <w:t>具有履行合同所必需的设备和专业技术能力</w:t>
            </w:r>
            <w:r>
              <w:rPr>
                <w:rFonts w:hint="eastAsia" w:ascii="宋体" w:hAnsi="宋体" w:eastAsia="宋体" w:cs="宋体"/>
                <w:color w:val="auto"/>
                <w:szCs w:val="21"/>
                <w:highlight w:val="none"/>
                <w:lang w:eastAsia="zh-CN"/>
              </w:rPr>
              <w:t>证明材料（扫描件加盖投标人电子公章）或书面声明（加盖投标人电子公章）；</w:t>
            </w:r>
          </w:p>
        </w:tc>
      </w:tr>
      <w:tr w14:paraId="6C722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766" w:type="dxa"/>
            <w:vMerge w:val="restart"/>
            <w:vAlign w:val="center"/>
          </w:tcPr>
          <w:p w14:paraId="58C431CB">
            <w:pPr>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lang w:eastAsia="zh-CN"/>
              </w:rPr>
            </w:pPr>
            <w:r>
              <w:rPr>
                <w:rFonts w:hint="eastAsia" w:ascii="宋体" w:hAnsi="宋体" w:cs="宋体"/>
                <w:color w:val="auto"/>
                <w:kern w:val="0"/>
                <w:szCs w:val="21"/>
                <w:highlight w:val="none"/>
                <w:lang w:eastAsia="zh-CN"/>
              </w:rPr>
              <w:t>有依法缴纳税收和社会保障资金的良好记录</w:t>
            </w:r>
          </w:p>
        </w:tc>
        <w:tc>
          <w:tcPr>
            <w:tcW w:w="6799" w:type="dxa"/>
            <w:vAlign w:val="center"/>
          </w:tcPr>
          <w:p w14:paraId="440FDD2E">
            <w:pPr>
              <w:pageBreakBefore w:val="0"/>
              <w:kinsoku/>
              <w:wordWrap w:val="0"/>
              <w:topLinePunct w:val="0"/>
              <w:autoSpaceDE/>
              <w:autoSpaceDN/>
              <w:bidi w:val="0"/>
              <w:snapToGrid/>
              <w:spacing w:beforeAutospacing="0" w:afterAutospacing="0" w:line="480" w:lineRule="exact"/>
              <w:ind w:left="0" w:leftChars="0"/>
              <w:jc w:val="lef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提供投标人缴税所属时间在</w:t>
            </w:r>
            <w:r>
              <w:rPr>
                <w:rFonts w:hint="eastAsia" w:ascii="宋体" w:hAnsi="宋体" w:cs="宋体"/>
                <w:color w:val="auto"/>
                <w:szCs w:val="21"/>
                <w:highlight w:val="none"/>
                <w:lang w:eastAsia="zh-CN"/>
              </w:rPr>
              <w:t>2025年01月至本项目提交投标文件截止时间前任意3</w:t>
            </w:r>
            <w:r>
              <w:rPr>
                <w:rFonts w:hint="eastAsia" w:ascii="宋体" w:hAnsi="宋体" w:eastAsia="宋体" w:cs="宋体"/>
                <w:color w:val="auto"/>
                <w:szCs w:val="21"/>
                <w:highlight w:val="none"/>
                <w:lang w:eastAsia="zh-CN"/>
              </w:rPr>
              <w:t>个月的税务局税收通用缴款书或银行电子缴税（费）凭证或税务局出具纳税情况的相关证明，依法免税的，应提供依法免税的相关证明文件（扫描件加盖投标人电子公章），至投标文件提交截止时间止成立不足一年的投标人可提供相关情况说明（加盖投标人电子公章）；</w:t>
            </w:r>
          </w:p>
        </w:tc>
      </w:tr>
      <w:tr w14:paraId="49A99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766" w:type="dxa"/>
            <w:vMerge w:val="continue"/>
            <w:vAlign w:val="center"/>
          </w:tcPr>
          <w:p w14:paraId="5A565C13">
            <w:pPr>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rPr>
            </w:pPr>
          </w:p>
        </w:tc>
        <w:tc>
          <w:tcPr>
            <w:tcW w:w="6799" w:type="dxa"/>
            <w:vAlign w:val="center"/>
          </w:tcPr>
          <w:p w14:paraId="10166B25">
            <w:pPr>
              <w:pageBreakBefore w:val="0"/>
              <w:kinsoku/>
              <w:wordWrap w:val="0"/>
              <w:topLinePunct w:val="0"/>
              <w:autoSpaceDE/>
              <w:autoSpaceDN/>
              <w:bidi w:val="0"/>
              <w:snapToGrid/>
              <w:spacing w:beforeAutospacing="0" w:afterAutospacing="0" w:line="480" w:lineRule="exact"/>
              <w:ind w:left="0" w:leftChars="0"/>
              <w:jc w:val="lef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提供投标人缴费所属时间在</w:t>
            </w:r>
            <w:r>
              <w:rPr>
                <w:rFonts w:hint="eastAsia" w:ascii="宋体" w:hAnsi="宋体" w:cs="宋体"/>
                <w:color w:val="auto"/>
                <w:szCs w:val="21"/>
                <w:highlight w:val="none"/>
                <w:lang w:eastAsia="zh-CN"/>
              </w:rPr>
              <w:t>2025年01月至本项目提交投标文件截止时间前任意3</w:t>
            </w:r>
            <w:r>
              <w:rPr>
                <w:rFonts w:hint="eastAsia" w:ascii="宋体" w:hAnsi="宋体" w:eastAsia="宋体" w:cs="宋体"/>
                <w:color w:val="auto"/>
                <w:szCs w:val="21"/>
                <w:highlight w:val="none"/>
                <w:lang w:eastAsia="zh-CN"/>
              </w:rPr>
              <w:t>个月的社会保险费缴款书或银行电子缴税（费）凭证或社保管理部门出具的有效的缴款证明，依法免缴的，应提供依法免缴的相关证明文件（扫描件加盖投标人电子公章），至投标文件提交截止时间止成立不足一年的投标人可提供相关情况说明（加盖投标人电子公章）；</w:t>
            </w:r>
          </w:p>
        </w:tc>
      </w:tr>
      <w:tr w14:paraId="244A5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766" w:type="dxa"/>
            <w:vAlign w:val="center"/>
          </w:tcPr>
          <w:p w14:paraId="3E957FF0">
            <w:pPr>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lang w:eastAsia="zh-CN"/>
              </w:rPr>
            </w:pPr>
            <w:r>
              <w:rPr>
                <w:rFonts w:hint="eastAsia" w:ascii="宋体" w:hAnsi="宋体" w:cs="宋体"/>
                <w:color w:val="auto"/>
                <w:kern w:val="0"/>
                <w:szCs w:val="21"/>
                <w:highlight w:val="none"/>
                <w:lang w:eastAsia="zh-CN"/>
              </w:rPr>
              <w:t>参加政府采购活动前三年内，在经营活动中没有重大违法记录</w:t>
            </w:r>
          </w:p>
        </w:tc>
        <w:tc>
          <w:tcPr>
            <w:tcW w:w="6799" w:type="dxa"/>
            <w:vAlign w:val="center"/>
          </w:tcPr>
          <w:p w14:paraId="2BF1CFFD">
            <w:pPr>
              <w:pageBreakBefore w:val="0"/>
              <w:kinsoku/>
              <w:wordWrap w:val="0"/>
              <w:topLinePunct w:val="0"/>
              <w:autoSpaceDE/>
              <w:autoSpaceDN/>
              <w:bidi w:val="0"/>
              <w:snapToGrid/>
              <w:spacing w:beforeAutospacing="0" w:afterAutospacing="0" w:line="480" w:lineRule="exact"/>
              <w:ind w:left="0" w:leftChars="0"/>
              <w:jc w:val="lef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提供投标人</w:t>
            </w:r>
            <w:r>
              <w:rPr>
                <w:rFonts w:hint="eastAsia" w:ascii="宋体" w:hAnsi="宋体" w:cs="宋体"/>
                <w:color w:val="auto"/>
                <w:szCs w:val="21"/>
                <w:highlight w:val="none"/>
                <w:lang w:eastAsia="zh-CN"/>
              </w:rPr>
              <w:t>参加政府采购活动前三年内，在经营活动中没有重大违法记录</w:t>
            </w:r>
            <w:r>
              <w:rPr>
                <w:rFonts w:hint="eastAsia" w:ascii="宋体" w:hAnsi="宋体" w:eastAsia="宋体" w:cs="宋体"/>
                <w:color w:val="auto"/>
                <w:szCs w:val="21"/>
                <w:highlight w:val="none"/>
                <w:lang w:eastAsia="zh-CN"/>
              </w:rPr>
              <w:t>（重大违法记录，是指投标人因违法经营受到刑事处罚或者责令停产停业、吊销许可证或者执照、较大数额罚款等行政处罚）的书面声明（加盖投标人电子公章）</w:t>
            </w:r>
          </w:p>
        </w:tc>
      </w:tr>
      <w:tr w14:paraId="31BE9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766" w:type="dxa"/>
            <w:vMerge w:val="restart"/>
            <w:vAlign w:val="center"/>
          </w:tcPr>
          <w:p w14:paraId="49C39EE5">
            <w:pPr>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法律、行政法规规定的其他条件</w:t>
            </w:r>
          </w:p>
        </w:tc>
        <w:tc>
          <w:tcPr>
            <w:tcW w:w="6799" w:type="dxa"/>
            <w:vAlign w:val="center"/>
          </w:tcPr>
          <w:p w14:paraId="6669D216">
            <w:pPr>
              <w:pageBreakBefore w:val="0"/>
              <w:kinsoku/>
              <w:wordWrap w:val="0"/>
              <w:topLinePunct w:val="0"/>
              <w:autoSpaceDE/>
              <w:autoSpaceDN/>
              <w:bidi w:val="0"/>
              <w:snapToGrid/>
              <w:spacing w:beforeAutospacing="0" w:afterAutospacing="0" w:line="480" w:lineRule="exact"/>
              <w:ind w:left="0" w:leftChars="0"/>
              <w:jc w:val="lef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投标人在本项目投标文件提交截止时间前在“信用中国”网站（www.creditchina.gov.cn）“专项查询”查询栏中查询结果应未被列入失信被执行人（按网站要求链接到中国执行信息网（http://zxgk.court.gov.cn/shixin/）查询）、重大税收违法失信主体、政府采购严重违法失信行为记录名单（查询时间为本公告发布之日起至提交投标文件截止之日止，查询结果以采购人、采购代理机构查询结果为准）；</w:t>
            </w:r>
          </w:p>
        </w:tc>
      </w:tr>
      <w:tr w14:paraId="4E602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766" w:type="dxa"/>
            <w:vMerge w:val="continue"/>
            <w:vAlign w:val="center"/>
          </w:tcPr>
          <w:p w14:paraId="7E66D924">
            <w:pPr>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rPr>
            </w:pPr>
          </w:p>
        </w:tc>
        <w:tc>
          <w:tcPr>
            <w:tcW w:w="6799" w:type="dxa"/>
            <w:vAlign w:val="center"/>
          </w:tcPr>
          <w:p w14:paraId="769617D7">
            <w:pPr>
              <w:pageBreakBefore w:val="0"/>
              <w:kinsoku/>
              <w:wordWrap w:val="0"/>
              <w:topLinePunct w:val="0"/>
              <w:autoSpaceDE/>
              <w:autoSpaceDN/>
              <w:bidi w:val="0"/>
              <w:snapToGrid/>
              <w:spacing w:beforeAutospacing="0" w:afterAutospacing="0" w:line="480" w:lineRule="exact"/>
              <w:ind w:left="0" w:leftChars="0"/>
              <w:jc w:val="left"/>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投标人在本项目投标文件提交截止时间前在“中国政府采购网”（www.ccgp.gov.cn）未被列入政府采购严重违法失信行为记录名单（查询时间为本公告发布之日起至提交投标文件截止之日止，查询结果以采购人、采购代理机构查询结果为准）；</w:t>
            </w:r>
          </w:p>
        </w:tc>
      </w:tr>
      <w:tr w14:paraId="5120E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766" w:type="dxa"/>
            <w:vMerge w:val="continue"/>
            <w:vAlign w:val="center"/>
          </w:tcPr>
          <w:p w14:paraId="690D5D27">
            <w:pPr>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rPr>
            </w:pPr>
          </w:p>
        </w:tc>
        <w:tc>
          <w:tcPr>
            <w:tcW w:w="6799" w:type="dxa"/>
            <w:vAlign w:val="center"/>
          </w:tcPr>
          <w:p w14:paraId="59EAD0FF">
            <w:pPr>
              <w:pageBreakBefore w:val="0"/>
              <w:kinsoku/>
              <w:wordWrap w:val="0"/>
              <w:topLinePunct w:val="0"/>
              <w:autoSpaceDE/>
              <w:autoSpaceDN/>
              <w:bidi w:val="0"/>
              <w:snapToGrid/>
              <w:spacing w:beforeAutospacing="0" w:afterAutospacing="0" w:line="480" w:lineRule="exact"/>
              <w:ind w:left="0" w:leftChars="0"/>
              <w:jc w:val="left"/>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单位负责人为同一人或者存在直接控股、管理关系不同的投标人，不得同时参与本项目的采购活动。为采购项目提供整体设计、规范编制和项目管理、监理、检测等服务的投标人，不得参与本项目采购活动（提供承诺函加盖投标人电子公章）；</w:t>
            </w:r>
          </w:p>
        </w:tc>
      </w:tr>
    </w:tbl>
    <w:p w14:paraId="4853C34C">
      <w:pPr>
        <w:pageBreakBefore w:val="0"/>
        <w:kinsoku/>
        <w:topLinePunct w:val="0"/>
        <w:autoSpaceDE/>
        <w:autoSpaceDN/>
        <w:bidi w:val="0"/>
        <w:snapToGrid/>
        <w:spacing w:beforeAutospacing="0" w:afterAutospacing="0" w:line="480" w:lineRule="exact"/>
        <w:ind w:left="0" w:leftChars="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1.开标结束后，采购人或者采购代理机构将依法对投标人的资格进行审查，合格投标人不足3家的，不得评标。</w:t>
      </w:r>
    </w:p>
    <w:p w14:paraId="55585F0A">
      <w:pPr>
        <w:pageBreakBefore w:val="0"/>
        <w:kinsoku/>
        <w:topLinePunct w:val="0"/>
        <w:autoSpaceDE/>
        <w:autoSpaceDN/>
        <w:bidi w:val="0"/>
        <w:snapToGrid/>
        <w:spacing w:beforeAutospacing="0" w:afterAutospacing="0" w:line="480" w:lineRule="exact"/>
        <w:ind w:left="0" w:leftChars="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2.采购人或者采购代理机构按照招标文件第一章《</w:t>
      </w:r>
      <w:r>
        <w:rPr>
          <w:rFonts w:hint="eastAsia" w:ascii="宋体" w:hAnsi="宋体" w:eastAsia="宋体" w:cs="宋体"/>
          <w:color w:val="auto"/>
          <w:szCs w:val="21"/>
          <w:highlight w:val="none"/>
          <w:lang w:eastAsia="zh-CN"/>
        </w:rPr>
        <w:t>招标公告</w:t>
      </w:r>
      <w:r>
        <w:rPr>
          <w:rFonts w:hint="eastAsia" w:ascii="宋体" w:hAnsi="宋体" w:eastAsia="宋体" w:cs="宋体"/>
          <w:color w:val="auto"/>
          <w:szCs w:val="21"/>
          <w:highlight w:val="none"/>
        </w:rPr>
        <w:t>》二、投标人资格要求（投标人应符合《中华人民共和国政府采购法》第二十二条规定的条件）和第二章《投标人须知》“4.投标人资格要求”的规定对投标人电子投标文件中</w:t>
      </w:r>
      <w:r>
        <w:rPr>
          <w:rFonts w:hint="eastAsia" w:ascii="宋体" w:hAnsi="宋体" w:cs="宋体"/>
          <w:color w:val="auto"/>
          <w:szCs w:val="21"/>
          <w:highlight w:val="none"/>
          <w:lang w:eastAsia="zh-CN"/>
        </w:rPr>
        <w:t>资格文件</w:t>
      </w:r>
      <w:r>
        <w:rPr>
          <w:rFonts w:hint="eastAsia" w:ascii="宋体" w:hAnsi="宋体" w:eastAsia="宋体" w:cs="宋体"/>
          <w:color w:val="auto"/>
          <w:szCs w:val="21"/>
          <w:highlight w:val="none"/>
        </w:rPr>
        <w:t>及采购人、采购代理机构通过互联网或者相关信息系统的查询结果进行审查。</w:t>
      </w:r>
    </w:p>
    <w:p w14:paraId="283AA0BB">
      <w:pPr>
        <w:pageBreakBefore w:val="0"/>
        <w:kinsoku/>
        <w:topLinePunct w:val="0"/>
        <w:autoSpaceDE/>
        <w:autoSpaceDN/>
        <w:bidi w:val="0"/>
        <w:snapToGrid/>
        <w:spacing w:beforeAutospacing="0" w:afterAutospacing="0" w:line="480" w:lineRule="exact"/>
        <w:ind w:left="0" w:leftChars="0"/>
        <w:jc w:val="left"/>
        <w:textAlignment w:val="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3.如投标人为满足投标人资格要求提供虚假材料，一经查实，视为未实质性响应招标文件，投标人投标文件将按无效处理。</w:t>
      </w:r>
    </w:p>
    <w:p w14:paraId="72BA05BA">
      <w:pPr>
        <w:pageBreakBefore w:val="0"/>
        <w:kinsoku/>
        <w:topLinePunct w:val="0"/>
        <w:autoSpaceDE/>
        <w:autoSpaceDN/>
        <w:bidi w:val="0"/>
        <w:snapToGrid/>
        <w:spacing w:beforeAutospacing="0" w:afterAutospacing="0" w:line="480" w:lineRule="exact"/>
        <w:ind w:left="0" w:leftChars="0"/>
        <w:jc w:val="left"/>
        <w:textAlignment w:val="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4.采购人或者采购代理机构在资格审查过程中发现投标人有一项不符合上述规定的，该投标文件按无效投标处理。</w:t>
      </w:r>
    </w:p>
    <w:p w14:paraId="0730FF77">
      <w:pPr>
        <w:pageBreakBefore w:val="0"/>
        <w:kinsoku/>
        <w:topLinePunct w:val="0"/>
        <w:autoSpaceDE/>
        <w:autoSpaceDN/>
        <w:bidi w:val="0"/>
        <w:snapToGrid/>
        <w:spacing w:beforeAutospacing="0" w:afterAutospacing="0" w:line="480" w:lineRule="exact"/>
        <w:ind w:left="0" w:leftChars="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0B924697">
      <w:pPr>
        <w:pStyle w:val="2"/>
        <w:pageBreakBefore w:val="0"/>
        <w:kinsoku/>
        <w:topLinePunct w:val="0"/>
        <w:autoSpaceDE/>
        <w:autoSpaceDN/>
        <w:bidi w:val="0"/>
        <w:snapToGrid/>
        <w:spacing w:before="0" w:beforeAutospacing="0" w:after="0" w:afterAutospacing="0" w:line="480" w:lineRule="exact"/>
        <w:ind w:left="0" w:leftChars="0"/>
        <w:textAlignment w:val="auto"/>
        <w:rPr>
          <w:rFonts w:hint="eastAsia" w:ascii="宋体" w:hAnsi="宋体" w:eastAsia="宋体" w:cs="宋体"/>
          <w:color w:val="auto"/>
          <w:sz w:val="32"/>
          <w:szCs w:val="32"/>
          <w:highlight w:val="none"/>
        </w:rPr>
      </w:pPr>
      <w:bookmarkStart w:id="85" w:name="_Toc18290"/>
      <w:r>
        <w:rPr>
          <w:rFonts w:hint="eastAsia" w:ascii="宋体" w:hAnsi="宋体" w:eastAsia="宋体" w:cs="宋体"/>
          <w:color w:val="auto"/>
          <w:sz w:val="32"/>
          <w:szCs w:val="32"/>
          <w:highlight w:val="none"/>
        </w:rPr>
        <w:t>第七章评标方法（综合评分法）</w:t>
      </w:r>
      <w:bookmarkEnd w:id="85"/>
    </w:p>
    <w:p w14:paraId="5ECA1D35">
      <w:pPr>
        <w:pStyle w:val="3"/>
        <w:pageBreakBefore w:val="0"/>
        <w:kinsoku/>
        <w:topLinePunct w:val="0"/>
        <w:autoSpaceDE/>
        <w:autoSpaceDN/>
        <w:bidi w:val="0"/>
        <w:snapToGrid/>
        <w:spacing w:before="0" w:beforeAutospacing="0" w:afterAutospacing="0" w:line="480" w:lineRule="exact"/>
        <w:ind w:left="0" w:leftChars="0"/>
        <w:jc w:val="center"/>
        <w:textAlignment w:val="auto"/>
        <w:rPr>
          <w:rFonts w:hint="eastAsia" w:ascii="宋体" w:hAnsi="宋体" w:eastAsia="宋体" w:cs="宋体"/>
          <w:color w:val="auto"/>
          <w:spacing w:val="0"/>
          <w:kern w:val="0"/>
          <w:sz w:val="28"/>
          <w:szCs w:val="28"/>
          <w:highlight w:val="none"/>
          <w:lang w:val="en-US" w:eastAsia="zh-CN"/>
        </w:rPr>
      </w:pPr>
      <w:bookmarkStart w:id="86" w:name="_Toc3151"/>
      <w:r>
        <w:rPr>
          <w:rFonts w:hint="eastAsia" w:ascii="宋体" w:hAnsi="宋体" w:eastAsia="宋体" w:cs="宋体"/>
          <w:color w:val="auto"/>
          <w:spacing w:val="0"/>
          <w:kern w:val="0"/>
          <w:sz w:val="28"/>
          <w:szCs w:val="28"/>
          <w:highlight w:val="none"/>
          <w:lang w:val="en-US" w:eastAsia="zh-CN"/>
        </w:rPr>
        <w:t>评标方法前附表</w:t>
      </w:r>
      <w:bookmarkEnd w:id="86"/>
    </w:p>
    <w:tbl>
      <w:tblPr>
        <w:tblStyle w:val="47"/>
        <w:tblW w:w="93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836"/>
        <w:gridCol w:w="2242"/>
        <w:gridCol w:w="5506"/>
      </w:tblGrid>
      <w:tr w14:paraId="10EAD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1646" w:type="dxa"/>
            <w:gridSpan w:val="2"/>
            <w:vAlign w:val="center"/>
          </w:tcPr>
          <w:p w14:paraId="6D311B4B">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条款号</w:t>
            </w:r>
          </w:p>
        </w:tc>
        <w:tc>
          <w:tcPr>
            <w:tcW w:w="2242" w:type="dxa"/>
            <w:vAlign w:val="center"/>
          </w:tcPr>
          <w:p w14:paraId="35007044">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评审内容</w:t>
            </w:r>
          </w:p>
        </w:tc>
        <w:tc>
          <w:tcPr>
            <w:tcW w:w="5506" w:type="dxa"/>
            <w:vAlign w:val="center"/>
          </w:tcPr>
          <w:p w14:paraId="1E4D35C4">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评审标准</w:t>
            </w:r>
          </w:p>
        </w:tc>
      </w:tr>
      <w:tr w14:paraId="4C2E5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restart"/>
            <w:vAlign w:val="center"/>
          </w:tcPr>
          <w:p w14:paraId="5FFD7B7E">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2.1</w:t>
            </w:r>
          </w:p>
        </w:tc>
        <w:tc>
          <w:tcPr>
            <w:tcW w:w="836" w:type="dxa"/>
            <w:vMerge w:val="restart"/>
            <w:vAlign w:val="center"/>
          </w:tcPr>
          <w:p w14:paraId="0CAA006F">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符合性审查</w:t>
            </w:r>
          </w:p>
        </w:tc>
        <w:tc>
          <w:tcPr>
            <w:tcW w:w="2242" w:type="dxa"/>
            <w:vAlign w:val="center"/>
          </w:tcPr>
          <w:p w14:paraId="0CD3EE1E">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投标有效期</w:t>
            </w:r>
          </w:p>
        </w:tc>
        <w:tc>
          <w:tcPr>
            <w:tcW w:w="5506" w:type="dxa"/>
            <w:vAlign w:val="center"/>
          </w:tcPr>
          <w:p w14:paraId="011C5889">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符合第二章《投标人须知》第17.1项规定</w:t>
            </w:r>
            <w:r>
              <w:rPr>
                <w:rFonts w:hint="eastAsia" w:ascii="宋体" w:hAnsi="宋体" w:cs="宋体"/>
                <w:color w:val="auto"/>
                <w:szCs w:val="21"/>
                <w:highlight w:val="none"/>
                <w:lang w:eastAsia="zh-CN"/>
              </w:rPr>
              <w:t>；</w:t>
            </w:r>
          </w:p>
        </w:tc>
      </w:tr>
      <w:tr w14:paraId="66083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4DEAEA73">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rPr>
            </w:pPr>
          </w:p>
        </w:tc>
        <w:tc>
          <w:tcPr>
            <w:tcW w:w="836" w:type="dxa"/>
            <w:vMerge w:val="continue"/>
            <w:vAlign w:val="center"/>
          </w:tcPr>
          <w:p w14:paraId="78B7E3F4">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rPr>
            </w:pPr>
          </w:p>
        </w:tc>
        <w:tc>
          <w:tcPr>
            <w:tcW w:w="2242" w:type="dxa"/>
            <w:vAlign w:val="center"/>
          </w:tcPr>
          <w:p w14:paraId="476D64AF">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投标保证金</w:t>
            </w:r>
          </w:p>
        </w:tc>
        <w:tc>
          <w:tcPr>
            <w:tcW w:w="5506" w:type="dxa"/>
            <w:vAlign w:val="center"/>
          </w:tcPr>
          <w:p w14:paraId="26002CA2">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符合第二章《投标人须知》第18.1项规定</w:t>
            </w:r>
            <w:r>
              <w:rPr>
                <w:rFonts w:hint="eastAsia" w:ascii="宋体" w:hAnsi="宋体" w:cs="宋体"/>
                <w:color w:val="auto"/>
                <w:szCs w:val="21"/>
                <w:highlight w:val="none"/>
                <w:lang w:eastAsia="zh-CN"/>
              </w:rPr>
              <w:t>；</w:t>
            </w:r>
          </w:p>
        </w:tc>
      </w:tr>
      <w:tr w14:paraId="4D974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2E97475F">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rPr>
            </w:pPr>
          </w:p>
        </w:tc>
        <w:tc>
          <w:tcPr>
            <w:tcW w:w="836" w:type="dxa"/>
            <w:vMerge w:val="continue"/>
            <w:vAlign w:val="center"/>
          </w:tcPr>
          <w:p w14:paraId="17BC5355">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rPr>
            </w:pPr>
          </w:p>
        </w:tc>
        <w:tc>
          <w:tcPr>
            <w:tcW w:w="2242" w:type="dxa"/>
            <w:vAlign w:val="center"/>
          </w:tcPr>
          <w:p w14:paraId="640D490B">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投标函</w:t>
            </w:r>
          </w:p>
        </w:tc>
        <w:tc>
          <w:tcPr>
            <w:tcW w:w="5506" w:type="dxa"/>
            <w:vAlign w:val="center"/>
          </w:tcPr>
          <w:p w14:paraId="32711465">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符合第四章《投标文件格式》中规定的格式及内容，有法定代表人</w:t>
            </w:r>
            <w:r>
              <w:rPr>
                <w:rFonts w:hint="eastAsia" w:ascii="宋体" w:hAnsi="宋体" w:eastAsia="宋体" w:cs="宋体"/>
                <w:color w:val="auto"/>
                <w:szCs w:val="21"/>
                <w:highlight w:val="none"/>
                <w:lang w:eastAsia="zh-CN"/>
              </w:rPr>
              <w:t>电子签名</w:t>
            </w:r>
            <w:r>
              <w:rPr>
                <w:rFonts w:hint="eastAsia" w:ascii="宋体" w:hAnsi="宋体" w:eastAsia="宋体" w:cs="宋体"/>
                <w:color w:val="auto"/>
                <w:szCs w:val="21"/>
                <w:highlight w:val="none"/>
              </w:rPr>
              <w:t>或</w:t>
            </w:r>
            <w:r>
              <w:rPr>
                <w:rFonts w:hint="eastAsia" w:ascii="宋体" w:hAnsi="宋体" w:eastAsia="宋体" w:cs="宋体"/>
                <w:color w:val="auto"/>
                <w:szCs w:val="21"/>
                <w:highlight w:val="none"/>
                <w:lang w:eastAsia="zh-CN"/>
              </w:rPr>
              <w:t>电子签章</w:t>
            </w:r>
            <w:r>
              <w:rPr>
                <w:rFonts w:hint="eastAsia" w:ascii="宋体" w:hAnsi="宋体" w:eastAsia="宋体" w:cs="宋体"/>
                <w:color w:val="auto"/>
                <w:szCs w:val="21"/>
                <w:highlight w:val="none"/>
              </w:rPr>
              <w:t>，并加盖投标人</w:t>
            </w:r>
            <w:r>
              <w:rPr>
                <w:rFonts w:hint="eastAsia" w:ascii="宋体" w:hAnsi="宋体" w:eastAsia="宋体" w:cs="宋体"/>
                <w:color w:val="auto"/>
                <w:szCs w:val="21"/>
                <w:highlight w:val="none"/>
                <w:lang w:eastAsia="zh-CN"/>
              </w:rPr>
              <w:t>电子</w:t>
            </w:r>
            <w:r>
              <w:rPr>
                <w:rFonts w:hint="eastAsia" w:ascii="宋体" w:hAnsi="宋体" w:eastAsia="宋体" w:cs="宋体"/>
                <w:color w:val="auto"/>
                <w:szCs w:val="21"/>
                <w:highlight w:val="none"/>
              </w:rPr>
              <w:t>公章</w:t>
            </w:r>
            <w:r>
              <w:rPr>
                <w:rFonts w:hint="eastAsia" w:ascii="宋体" w:hAnsi="宋体" w:cs="宋体"/>
                <w:color w:val="auto"/>
                <w:szCs w:val="21"/>
                <w:highlight w:val="none"/>
                <w:lang w:eastAsia="zh-CN"/>
              </w:rPr>
              <w:t>；</w:t>
            </w:r>
          </w:p>
        </w:tc>
      </w:tr>
      <w:tr w14:paraId="39893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77F78057">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rPr>
            </w:pPr>
          </w:p>
        </w:tc>
        <w:tc>
          <w:tcPr>
            <w:tcW w:w="836" w:type="dxa"/>
            <w:vMerge w:val="continue"/>
            <w:vAlign w:val="center"/>
          </w:tcPr>
          <w:p w14:paraId="5E3BC14A">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rPr>
            </w:pPr>
          </w:p>
        </w:tc>
        <w:tc>
          <w:tcPr>
            <w:tcW w:w="2242" w:type="dxa"/>
            <w:vAlign w:val="center"/>
          </w:tcPr>
          <w:p w14:paraId="169E1FAC">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投标报价表</w:t>
            </w:r>
          </w:p>
        </w:tc>
        <w:tc>
          <w:tcPr>
            <w:tcW w:w="5506" w:type="dxa"/>
            <w:vAlign w:val="center"/>
          </w:tcPr>
          <w:p w14:paraId="75E8C37F">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b/>
                <w:bCs/>
                <w:color w:val="auto"/>
                <w:szCs w:val="21"/>
                <w:highlight w:val="none"/>
                <w:lang w:eastAsia="zh-CN"/>
              </w:rPr>
            </w:pPr>
            <w:r>
              <w:rPr>
                <w:rFonts w:hint="eastAsia" w:ascii="宋体" w:hAnsi="宋体" w:eastAsia="宋体" w:cs="宋体"/>
                <w:color w:val="auto"/>
                <w:szCs w:val="21"/>
                <w:highlight w:val="none"/>
              </w:rPr>
              <w:t>符合第四章《投标文件格式》中规定的格式及内容，提供开标一览表</w:t>
            </w:r>
            <w:r>
              <w:rPr>
                <w:rFonts w:hint="eastAsia" w:ascii="宋体" w:hAnsi="宋体" w:eastAsia="宋体" w:cs="宋体"/>
                <w:color w:val="auto"/>
                <w:szCs w:val="21"/>
                <w:highlight w:val="none"/>
                <w:lang w:val="en-US" w:eastAsia="zh-CN"/>
              </w:rPr>
              <w:t>及投标报价汇总表</w:t>
            </w:r>
            <w:r>
              <w:rPr>
                <w:rFonts w:hint="eastAsia" w:ascii="宋体" w:hAnsi="宋体" w:eastAsia="宋体" w:cs="宋体"/>
                <w:color w:val="auto"/>
                <w:szCs w:val="21"/>
                <w:highlight w:val="none"/>
              </w:rPr>
              <w:t>，有法定代表人</w:t>
            </w:r>
            <w:r>
              <w:rPr>
                <w:rFonts w:hint="eastAsia" w:ascii="宋体" w:hAnsi="宋体" w:eastAsia="宋体" w:cs="宋体"/>
                <w:color w:val="auto"/>
                <w:szCs w:val="21"/>
                <w:highlight w:val="none"/>
                <w:lang w:eastAsia="zh-CN"/>
              </w:rPr>
              <w:t>电子签名</w:t>
            </w:r>
            <w:r>
              <w:rPr>
                <w:rFonts w:hint="eastAsia" w:ascii="宋体" w:hAnsi="宋体" w:eastAsia="宋体" w:cs="宋体"/>
                <w:color w:val="auto"/>
                <w:szCs w:val="21"/>
                <w:highlight w:val="none"/>
              </w:rPr>
              <w:t>或</w:t>
            </w:r>
            <w:r>
              <w:rPr>
                <w:rFonts w:hint="eastAsia" w:ascii="宋体" w:hAnsi="宋体" w:eastAsia="宋体" w:cs="宋体"/>
                <w:color w:val="auto"/>
                <w:szCs w:val="21"/>
                <w:highlight w:val="none"/>
                <w:lang w:eastAsia="zh-CN"/>
              </w:rPr>
              <w:t>电子签章</w:t>
            </w:r>
            <w:r>
              <w:rPr>
                <w:rFonts w:hint="eastAsia" w:ascii="宋体" w:hAnsi="宋体" w:eastAsia="宋体" w:cs="宋体"/>
                <w:color w:val="auto"/>
                <w:szCs w:val="21"/>
                <w:highlight w:val="none"/>
              </w:rPr>
              <w:t>，并加盖投标人</w:t>
            </w:r>
            <w:r>
              <w:rPr>
                <w:rFonts w:hint="eastAsia" w:ascii="宋体" w:hAnsi="宋体" w:eastAsia="宋体" w:cs="宋体"/>
                <w:color w:val="auto"/>
                <w:szCs w:val="21"/>
                <w:highlight w:val="none"/>
                <w:lang w:eastAsia="zh-CN"/>
              </w:rPr>
              <w:t>电子</w:t>
            </w:r>
            <w:r>
              <w:rPr>
                <w:rFonts w:hint="eastAsia" w:ascii="宋体" w:hAnsi="宋体" w:eastAsia="宋体" w:cs="宋体"/>
                <w:color w:val="auto"/>
                <w:szCs w:val="21"/>
                <w:highlight w:val="none"/>
              </w:rPr>
              <w:t>公章</w:t>
            </w:r>
            <w:r>
              <w:rPr>
                <w:rFonts w:hint="eastAsia" w:ascii="宋体" w:hAnsi="宋体" w:cs="宋体"/>
                <w:color w:val="auto"/>
                <w:szCs w:val="21"/>
                <w:highlight w:val="none"/>
                <w:lang w:eastAsia="zh-CN"/>
              </w:rPr>
              <w:t>；</w:t>
            </w:r>
          </w:p>
        </w:tc>
      </w:tr>
      <w:tr w14:paraId="62F3E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47BA79BB">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rPr>
            </w:pPr>
          </w:p>
        </w:tc>
        <w:tc>
          <w:tcPr>
            <w:tcW w:w="836" w:type="dxa"/>
            <w:vMerge w:val="continue"/>
            <w:vAlign w:val="center"/>
          </w:tcPr>
          <w:p w14:paraId="6EDACC24">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rPr>
            </w:pPr>
          </w:p>
        </w:tc>
        <w:tc>
          <w:tcPr>
            <w:tcW w:w="2242" w:type="dxa"/>
            <w:vAlign w:val="center"/>
          </w:tcPr>
          <w:p w14:paraId="2F679B66">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w:t>
            </w:r>
          </w:p>
        </w:tc>
        <w:tc>
          <w:tcPr>
            <w:tcW w:w="5506" w:type="dxa"/>
            <w:vAlign w:val="center"/>
          </w:tcPr>
          <w:p w14:paraId="354EDCF7">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未超过采购预算或最高限价</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单价</w:t>
            </w:r>
            <w:r>
              <w:rPr>
                <w:rFonts w:hint="eastAsia" w:ascii="宋体" w:hAnsi="宋体" w:cs="宋体"/>
                <w:color w:val="auto"/>
                <w:szCs w:val="21"/>
                <w:highlight w:val="none"/>
                <w:lang w:val="en-US" w:eastAsia="zh-CN"/>
              </w:rPr>
              <w:t>报价</w:t>
            </w:r>
            <w:r>
              <w:rPr>
                <w:rFonts w:hint="eastAsia" w:ascii="宋体" w:hAnsi="宋体" w:eastAsia="宋体" w:cs="宋体"/>
                <w:color w:val="auto"/>
                <w:szCs w:val="21"/>
                <w:highlight w:val="none"/>
              </w:rPr>
              <w:t>未超过单价控制价，未出现缺项、漏项，对本项目所有内容作出完整唯一的投标报价</w:t>
            </w:r>
            <w:r>
              <w:rPr>
                <w:rFonts w:hint="eastAsia" w:ascii="宋体" w:hAnsi="宋体" w:cs="宋体"/>
                <w:color w:val="auto"/>
                <w:szCs w:val="21"/>
                <w:highlight w:val="none"/>
                <w:lang w:eastAsia="zh-CN"/>
              </w:rPr>
              <w:t>；</w:t>
            </w:r>
          </w:p>
        </w:tc>
      </w:tr>
      <w:tr w14:paraId="5CBB4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jc w:val="center"/>
        </w:trPr>
        <w:tc>
          <w:tcPr>
            <w:tcW w:w="810" w:type="dxa"/>
            <w:vMerge w:val="continue"/>
            <w:vAlign w:val="center"/>
          </w:tcPr>
          <w:p w14:paraId="1ED91791">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auto"/>
                <w:szCs w:val="21"/>
                <w:highlight w:val="none"/>
              </w:rPr>
            </w:pPr>
          </w:p>
        </w:tc>
        <w:tc>
          <w:tcPr>
            <w:tcW w:w="836" w:type="dxa"/>
            <w:vMerge w:val="continue"/>
            <w:vAlign w:val="center"/>
          </w:tcPr>
          <w:p w14:paraId="1A674CEF">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auto"/>
                <w:szCs w:val="21"/>
                <w:highlight w:val="none"/>
              </w:rPr>
            </w:pPr>
          </w:p>
        </w:tc>
        <w:tc>
          <w:tcPr>
            <w:tcW w:w="2242" w:type="dxa"/>
            <w:vAlign w:val="center"/>
          </w:tcPr>
          <w:p w14:paraId="3732DADB">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法定代表人身份证明书</w:t>
            </w:r>
          </w:p>
        </w:tc>
        <w:tc>
          <w:tcPr>
            <w:tcW w:w="5506" w:type="dxa"/>
            <w:vAlign w:val="center"/>
          </w:tcPr>
          <w:p w14:paraId="4F0CA8AD">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符合第四章《投标文件格式》中规定的格式及内容，并加盖投标人</w:t>
            </w:r>
            <w:r>
              <w:rPr>
                <w:rFonts w:hint="eastAsia" w:ascii="宋体" w:hAnsi="宋体" w:eastAsia="宋体" w:cs="宋体"/>
                <w:color w:val="auto"/>
                <w:szCs w:val="21"/>
                <w:highlight w:val="none"/>
                <w:lang w:eastAsia="zh-CN"/>
              </w:rPr>
              <w:t>电子</w:t>
            </w:r>
            <w:r>
              <w:rPr>
                <w:rFonts w:hint="eastAsia" w:ascii="宋体" w:hAnsi="宋体" w:eastAsia="宋体" w:cs="宋体"/>
                <w:color w:val="auto"/>
                <w:szCs w:val="21"/>
                <w:highlight w:val="none"/>
              </w:rPr>
              <w:t>公章；</w:t>
            </w:r>
          </w:p>
        </w:tc>
      </w:tr>
      <w:tr w14:paraId="421C0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4D8E17E4">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auto"/>
                <w:szCs w:val="21"/>
                <w:highlight w:val="none"/>
              </w:rPr>
            </w:pPr>
          </w:p>
        </w:tc>
        <w:tc>
          <w:tcPr>
            <w:tcW w:w="836" w:type="dxa"/>
            <w:vMerge w:val="continue"/>
            <w:vAlign w:val="center"/>
          </w:tcPr>
          <w:p w14:paraId="46C98074">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auto"/>
                <w:szCs w:val="21"/>
                <w:highlight w:val="none"/>
              </w:rPr>
            </w:pPr>
          </w:p>
        </w:tc>
        <w:tc>
          <w:tcPr>
            <w:tcW w:w="2242" w:type="dxa"/>
            <w:vAlign w:val="center"/>
          </w:tcPr>
          <w:p w14:paraId="2FCCBD9C">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法定代表人授权委托书</w:t>
            </w:r>
          </w:p>
        </w:tc>
        <w:tc>
          <w:tcPr>
            <w:tcW w:w="5506" w:type="dxa"/>
            <w:vAlign w:val="center"/>
          </w:tcPr>
          <w:p w14:paraId="6345B792">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符合第四章《投标文件格式》中规定的格式及内容，有法定代表人</w:t>
            </w:r>
            <w:r>
              <w:rPr>
                <w:rFonts w:hint="eastAsia" w:ascii="宋体" w:hAnsi="宋体" w:eastAsia="宋体" w:cs="宋体"/>
                <w:color w:val="auto"/>
                <w:szCs w:val="21"/>
                <w:highlight w:val="none"/>
                <w:lang w:eastAsia="zh-CN"/>
              </w:rPr>
              <w:t>电子签名</w:t>
            </w:r>
            <w:r>
              <w:rPr>
                <w:rFonts w:hint="eastAsia" w:ascii="宋体" w:hAnsi="宋体" w:eastAsia="宋体" w:cs="宋体"/>
                <w:color w:val="auto"/>
                <w:szCs w:val="21"/>
                <w:highlight w:val="none"/>
              </w:rPr>
              <w:t>或</w:t>
            </w:r>
            <w:r>
              <w:rPr>
                <w:rFonts w:hint="eastAsia" w:ascii="宋体" w:hAnsi="宋体" w:eastAsia="宋体" w:cs="宋体"/>
                <w:color w:val="auto"/>
                <w:szCs w:val="21"/>
                <w:highlight w:val="none"/>
                <w:lang w:eastAsia="zh-CN"/>
              </w:rPr>
              <w:t>电子签章</w:t>
            </w:r>
            <w:r>
              <w:rPr>
                <w:rFonts w:hint="eastAsia" w:ascii="宋体" w:hAnsi="宋体" w:eastAsia="宋体" w:cs="宋体"/>
                <w:color w:val="auto"/>
                <w:szCs w:val="21"/>
                <w:highlight w:val="none"/>
              </w:rPr>
              <w:t>，并加盖投标人</w:t>
            </w:r>
            <w:r>
              <w:rPr>
                <w:rFonts w:hint="eastAsia" w:ascii="宋体" w:hAnsi="宋体" w:eastAsia="宋体" w:cs="宋体"/>
                <w:color w:val="auto"/>
                <w:szCs w:val="21"/>
                <w:highlight w:val="none"/>
                <w:lang w:eastAsia="zh-CN"/>
              </w:rPr>
              <w:t>电子</w:t>
            </w:r>
            <w:r>
              <w:rPr>
                <w:rFonts w:hint="eastAsia" w:ascii="宋体" w:hAnsi="宋体" w:eastAsia="宋体" w:cs="宋体"/>
                <w:color w:val="auto"/>
                <w:szCs w:val="21"/>
                <w:highlight w:val="none"/>
              </w:rPr>
              <w:t>公章；</w:t>
            </w:r>
          </w:p>
        </w:tc>
      </w:tr>
      <w:tr w14:paraId="13C14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6D941D53">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auto"/>
                <w:szCs w:val="21"/>
                <w:highlight w:val="none"/>
              </w:rPr>
            </w:pPr>
          </w:p>
        </w:tc>
        <w:tc>
          <w:tcPr>
            <w:tcW w:w="836" w:type="dxa"/>
            <w:vMerge w:val="continue"/>
            <w:vAlign w:val="center"/>
          </w:tcPr>
          <w:p w14:paraId="7FBE26A4">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auto"/>
                <w:szCs w:val="21"/>
                <w:highlight w:val="none"/>
              </w:rPr>
            </w:pPr>
          </w:p>
        </w:tc>
        <w:tc>
          <w:tcPr>
            <w:tcW w:w="2242" w:type="dxa"/>
            <w:vAlign w:val="center"/>
          </w:tcPr>
          <w:p w14:paraId="280E1B9A">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rPr>
            </w:pPr>
            <w:bookmarkStart w:id="87" w:name="OLE_LINK2"/>
            <w:r>
              <w:rPr>
                <w:rFonts w:hint="eastAsia" w:ascii="宋体" w:hAnsi="宋体" w:eastAsia="宋体" w:cs="宋体"/>
                <w:color w:val="auto"/>
                <w:szCs w:val="21"/>
                <w:highlight w:val="none"/>
              </w:rPr>
              <w:t>投标人具备参加采购活动条件承诺书</w:t>
            </w:r>
            <w:bookmarkEnd w:id="87"/>
          </w:p>
        </w:tc>
        <w:tc>
          <w:tcPr>
            <w:tcW w:w="5506" w:type="dxa"/>
            <w:vAlign w:val="center"/>
          </w:tcPr>
          <w:p w14:paraId="7E759051">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符合《政府采购法》第二十二条规定</w:t>
            </w:r>
            <w:r>
              <w:rPr>
                <w:rFonts w:hint="eastAsia" w:ascii="宋体" w:hAnsi="宋体" w:cs="宋体"/>
                <w:color w:val="auto"/>
                <w:szCs w:val="21"/>
                <w:highlight w:val="none"/>
                <w:lang w:eastAsia="zh-CN"/>
              </w:rPr>
              <w:t>；</w:t>
            </w:r>
          </w:p>
        </w:tc>
      </w:tr>
      <w:tr w14:paraId="7D4F9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12A12E30">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auto"/>
                <w:szCs w:val="21"/>
                <w:highlight w:val="none"/>
              </w:rPr>
            </w:pPr>
          </w:p>
        </w:tc>
        <w:tc>
          <w:tcPr>
            <w:tcW w:w="836" w:type="dxa"/>
            <w:vMerge w:val="continue"/>
            <w:vAlign w:val="center"/>
          </w:tcPr>
          <w:p w14:paraId="41D2155D">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auto"/>
                <w:szCs w:val="21"/>
                <w:highlight w:val="none"/>
              </w:rPr>
            </w:pPr>
          </w:p>
        </w:tc>
        <w:tc>
          <w:tcPr>
            <w:tcW w:w="2242" w:type="dxa"/>
            <w:vAlign w:val="center"/>
          </w:tcPr>
          <w:p w14:paraId="258DDC48">
            <w:pPr>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其它实质性要求</w:t>
            </w:r>
          </w:p>
        </w:tc>
        <w:tc>
          <w:tcPr>
            <w:tcW w:w="5506" w:type="dxa"/>
            <w:vAlign w:val="center"/>
          </w:tcPr>
          <w:p w14:paraId="50B3EA4B">
            <w:pPr>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投标文件未出现其他不满足招标文件中标注★条款内容且未出现招标文件规定的其他投标无效情形</w:t>
            </w:r>
            <w:r>
              <w:rPr>
                <w:rFonts w:hint="eastAsia" w:ascii="宋体" w:hAnsi="宋体" w:cs="宋体"/>
                <w:color w:val="auto"/>
                <w:szCs w:val="21"/>
                <w:highlight w:val="none"/>
                <w:lang w:eastAsia="zh-CN"/>
              </w:rPr>
              <w:t>；</w:t>
            </w:r>
          </w:p>
        </w:tc>
      </w:tr>
      <w:tr w14:paraId="62C04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restart"/>
            <w:vAlign w:val="center"/>
          </w:tcPr>
          <w:p w14:paraId="784AED8E">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2.2</w:t>
            </w:r>
          </w:p>
        </w:tc>
        <w:tc>
          <w:tcPr>
            <w:tcW w:w="836" w:type="dxa"/>
            <w:vMerge w:val="restart"/>
            <w:vAlign w:val="center"/>
          </w:tcPr>
          <w:p w14:paraId="0D957330">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详细评审标准</w:t>
            </w:r>
          </w:p>
        </w:tc>
        <w:tc>
          <w:tcPr>
            <w:tcW w:w="2242" w:type="dxa"/>
            <w:vAlign w:val="center"/>
          </w:tcPr>
          <w:p w14:paraId="74EE1D19">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1）评标总得分计算公式</w:t>
            </w:r>
          </w:p>
        </w:tc>
        <w:tc>
          <w:tcPr>
            <w:tcW w:w="5506" w:type="dxa"/>
            <w:vAlign w:val="center"/>
          </w:tcPr>
          <w:p w14:paraId="1F3851D7">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投标人的评标总得分＝F1＋F2</w:t>
            </w:r>
          </w:p>
          <w:p w14:paraId="42AB95F4">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其中：F1、F2分别为投标报价、技术商务部分</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项评分因素的汇总得分；</w:t>
            </w:r>
          </w:p>
        </w:tc>
      </w:tr>
      <w:tr w14:paraId="67AF9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48CECDE7">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auto"/>
                <w:szCs w:val="21"/>
                <w:highlight w:val="none"/>
              </w:rPr>
            </w:pPr>
          </w:p>
        </w:tc>
        <w:tc>
          <w:tcPr>
            <w:tcW w:w="836" w:type="dxa"/>
            <w:vMerge w:val="continue"/>
            <w:vAlign w:val="center"/>
          </w:tcPr>
          <w:p w14:paraId="33023E18">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auto"/>
                <w:szCs w:val="21"/>
                <w:highlight w:val="none"/>
              </w:rPr>
            </w:pPr>
          </w:p>
        </w:tc>
        <w:tc>
          <w:tcPr>
            <w:tcW w:w="2242" w:type="dxa"/>
            <w:vAlign w:val="center"/>
          </w:tcPr>
          <w:p w14:paraId="6C739922">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2）评分因素权重</w:t>
            </w:r>
          </w:p>
        </w:tc>
        <w:tc>
          <w:tcPr>
            <w:tcW w:w="5506" w:type="dxa"/>
            <w:vAlign w:val="center"/>
          </w:tcPr>
          <w:p w14:paraId="3FCE5F8E">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投标报价F1：</w:t>
            </w:r>
            <w:r>
              <w:rPr>
                <w:rFonts w:hint="eastAsia" w:ascii="宋体" w:hAnsi="宋体" w:eastAsia="宋体" w:cs="宋体"/>
                <w:color w:val="auto"/>
                <w:szCs w:val="21"/>
                <w:highlight w:val="none"/>
                <w:lang w:val="en-US" w:eastAsia="zh-CN"/>
              </w:rPr>
              <w:t>30</w:t>
            </w:r>
            <w:r>
              <w:rPr>
                <w:rFonts w:hint="eastAsia" w:ascii="宋体" w:hAnsi="宋体" w:eastAsia="宋体" w:cs="宋体"/>
                <w:color w:val="auto"/>
                <w:szCs w:val="21"/>
                <w:highlight w:val="none"/>
              </w:rPr>
              <w:t>分。</w:t>
            </w:r>
          </w:p>
          <w:p w14:paraId="2A119849">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技术商务部分F2：</w:t>
            </w:r>
            <w:r>
              <w:rPr>
                <w:rFonts w:hint="eastAsia" w:ascii="宋体" w:hAnsi="宋体" w:eastAsia="宋体" w:cs="宋体"/>
                <w:color w:val="auto"/>
                <w:szCs w:val="21"/>
                <w:highlight w:val="none"/>
                <w:lang w:val="en-US" w:eastAsia="zh-CN"/>
              </w:rPr>
              <w:t>70</w:t>
            </w:r>
            <w:r>
              <w:rPr>
                <w:rFonts w:hint="eastAsia" w:ascii="宋体" w:hAnsi="宋体" w:eastAsia="宋体" w:cs="宋体"/>
                <w:color w:val="auto"/>
                <w:szCs w:val="21"/>
                <w:highlight w:val="none"/>
              </w:rPr>
              <w:t>分。</w:t>
            </w:r>
          </w:p>
        </w:tc>
      </w:tr>
      <w:tr w14:paraId="091E3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041318D8">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auto"/>
                <w:szCs w:val="21"/>
                <w:highlight w:val="none"/>
              </w:rPr>
            </w:pPr>
          </w:p>
        </w:tc>
        <w:tc>
          <w:tcPr>
            <w:tcW w:w="836" w:type="dxa"/>
            <w:vMerge w:val="continue"/>
            <w:vAlign w:val="center"/>
          </w:tcPr>
          <w:p w14:paraId="0E6F25B0">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auto"/>
                <w:szCs w:val="21"/>
                <w:highlight w:val="none"/>
              </w:rPr>
            </w:pPr>
          </w:p>
        </w:tc>
        <w:tc>
          <w:tcPr>
            <w:tcW w:w="2242" w:type="dxa"/>
            <w:vAlign w:val="center"/>
          </w:tcPr>
          <w:p w14:paraId="3B28C590">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3）投标报价得分F1</w:t>
            </w:r>
          </w:p>
          <w:p w14:paraId="67088B7D">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（满分</w:t>
            </w:r>
            <w:r>
              <w:rPr>
                <w:rFonts w:hint="eastAsia" w:ascii="宋体" w:hAnsi="宋体" w:eastAsia="宋体" w:cs="宋体"/>
                <w:color w:val="auto"/>
                <w:szCs w:val="21"/>
                <w:highlight w:val="none"/>
                <w:lang w:val="en-US" w:eastAsia="zh-CN"/>
              </w:rPr>
              <w:t>30</w:t>
            </w:r>
            <w:r>
              <w:rPr>
                <w:rFonts w:hint="eastAsia" w:ascii="宋体" w:hAnsi="宋体" w:eastAsia="宋体" w:cs="宋体"/>
                <w:color w:val="auto"/>
                <w:szCs w:val="21"/>
                <w:highlight w:val="none"/>
              </w:rPr>
              <w:t>分）</w:t>
            </w:r>
          </w:p>
        </w:tc>
        <w:tc>
          <w:tcPr>
            <w:tcW w:w="5506" w:type="dxa"/>
            <w:vAlign w:val="center"/>
          </w:tcPr>
          <w:p w14:paraId="4BBE2105">
            <w:pPr>
              <w:keepNext w:val="0"/>
              <w:keepLines w:val="0"/>
              <w:suppressLineNumbers w:val="0"/>
              <w:spacing w:before="0" w:beforeAutospacing="0" w:after="0" w:afterAutospacing="0" w:line="440" w:lineRule="exact"/>
              <w:ind w:left="0" w:right="0"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投标报价计算公式= 评标基准价/投标报价×</w:t>
            </w:r>
            <w:r>
              <w:rPr>
                <w:rFonts w:hint="eastAsia" w:ascii="宋体" w:hAnsi="宋体" w:eastAsia="宋体" w:cs="宋体"/>
                <w:color w:val="auto"/>
                <w:sz w:val="21"/>
                <w:szCs w:val="21"/>
                <w:highlight w:val="none"/>
                <w:u w:val="single"/>
                <w:lang w:val="en-US" w:eastAsia="zh-CN"/>
              </w:rPr>
              <w:t>30</w:t>
            </w:r>
          </w:p>
          <w:p w14:paraId="12D96FB5">
            <w:pPr>
              <w:keepNext w:val="0"/>
              <w:keepLines w:val="0"/>
              <w:suppressLineNumbers w:val="0"/>
              <w:spacing w:before="0" w:beforeAutospacing="0" w:after="0" w:afterAutospacing="0" w:line="440" w:lineRule="exact"/>
              <w:ind w:left="0" w:right="0"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即：F1=[C/（B1，B2，…，Bn）]×</w:t>
            </w:r>
            <w:r>
              <w:rPr>
                <w:rFonts w:hint="eastAsia" w:ascii="宋体" w:hAnsi="宋体" w:eastAsia="宋体" w:cs="宋体"/>
                <w:color w:val="auto"/>
                <w:sz w:val="21"/>
                <w:szCs w:val="21"/>
                <w:highlight w:val="none"/>
                <w:u w:val="single"/>
                <w:lang w:val="en-US" w:eastAsia="zh-CN"/>
              </w:rPr>
              <w:t>30</w:t>
            </w:r>
          </w:p>
          <w:p w14:paraId="2FD1E8BC">
            <w:pPr>
              <w:keepNext w:val="0"/>
              <w:keepLines w:val="0"/>
              <w:suppressLineNumbers w:val="0"/>
              <w:spacing w:before="0" w:beforeAutospacing="0" w:after="0" w:afterAutospacing="0" w:line="440" w:lineRule="exact"/>
              <w:ind w:left="0"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说明：C为评标基准价，即实质性要求审查合格且投标价格最低的有效投标报价；B1，B2，…，Bn为第n个经初步审查合格的有效投标报价。</w:t>
            </w:r>
          </w:p>
          <w:p w14:paraId="62A2504E">
            <w:pPr>
              <w:keepNext w:val="0"/>
              <w:keepLines w:val="0"/>
              <w:suppressLineNumbers w:val="0"/>
              <w:spacing w:before="0" w:beforeAutospacing="0" w:after="0" w:afterAutospacing="0" w:line="440" w:lineRule="exact"/>
              <w:ind w:left="-57" w:leftChars="-27" w:right="0" w:firstLine="84" w:firstLineChars="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772AE0BE">
            <w:pPr>
              <w:keepNext w:val="0"/>
              <w:keepLines w:val="0"/>
              <w:suppressLineNumbers w:val="0"/>
              <w:spacing w:before="0" w:beforeAutospacing="0" w:after="0" w:afterAutospacing="0" w:line="440" w:lineRule="exact"/>
              <w:ind w:left="-57" w:leftChars="-27" w:right="0" w:firstLine="84" w:firstLineChars="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因</w:t>
            </w:r>
            <w:r>
              <w:rPr>
                <w:rFonts w:hint="eastAsia" w:ascii="宋体" w:hAnsi="宋体" w:eastAsia="宋体" w:cs="宋体"/>
                <w:color w:val="auto"/>
                <w:sz w:val="21"/>
                <w:szCs w:val="21"/>
                <w:highlight w:val="none"/>
              </w:rPr>
              <w:t>落实政府采购政策进行价格调整的，以调整后的价格计算基准价；</w:t>
            </w:r>
          </w:p>
          <w:p w14:paraId="656D482B">
            <w:pPr>
              <w:keepNext w:val="0"/>
              <w:keepLines w:val="0"/>
              <w:suppressLineNumbers w:val="0"/>
              <w:spacing w:before="0" w:beforeAutospacing="0" w:after="0" w:afterAutospacing="0" w:line="440" w:lineRule="exact"/>
              <w:ind w:left="-57" w:leftChars="-27" w:right="0" w:firstLine="84" w:firstLineChars="4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highlight w:val="none"/>
                <w:lang w:val="en-US" w:eastAsia="zh-CN"/>
              </w:rPr>
              <w:t>本项目专门面向中小微企业采购，不再执行价格评审优惠的扶持政策（监狱企业、残疾人福利单位视同小微企业）</w:t>
            </w:r>
            <w:r>
              <w:rPr>
                <w:rFonts w:hint="eastAsia" w:ascii="宋体" w:hAnsi="宋体" w:eastAsia="宋体" w:cs="宋体"/>
                <w:color w:val="auto"/>
                <w:sz w:val="21"/>
                <w:szCs w:val="21"/>
                <w:highlight w:val="none"/>
              </w:rPr>
              <w:t>；</w:t>
            </w:r>
          </w:p>
          <w:p w14:paraId="657592CB">
            <w:pPr>
              <w:keepNext w:val="0"/>
              <w:keepLines w:val="0"/>
              <w:suppressLineNumbers w:val="0"/>
              <w:spacing w:before="0" w:beforeAutospacing="0" w:after="0" w:afterAutospacing="0" w:line="440" w:lineRule="exact"/>
              <w:ind w:left="-57" w:leftChars="-27" w:right="0" w:firstLine="84" w:firstLineChars="40"/>
              <w:rPr>
                <w:rFonts w:hint="eastAsia" w:ascii="宋体" w:hAnsi="宋体" w:eastAsia="宋体" w:cs="宋体"/>
                <w:b/>
                <w:color w:val="auto"/>
                <w:highlight w:val="none"/>
              </w:rPr>
            </w:pP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w:t>
            </w:r>
            <w:r>
              <w:rPr>
                <w:rFonts w:hint="eastAsia" w:ascii="Times New Roman" w:hAnsi="Times New Roman" w:cs="Times New Roman"/>
                <w:color w:val="auto"/>
                <w:highlight w:val="none"/>
                <w:lang w:val="en-US" w:eastAsia="zh-CN"/>
              </w:rPr>
              <w:t>根据《国务院办公厅关于在政府采购中实施本国产品标准及相关政策的通知》（国办发〔2025〕34号），若本项目属于该文件规定的</w:t>
            </w:r>
            <w:r>
              <w:rPr>
                <w:rFonts w:hint="eastAsia" w:ascii="宋体" w:hAnsi="宋体" w:eastAsia="宋体" w:cs="宋体"/>
                <w:color w:val="auto"/>
                <w:highlight w:val="none"/>
                <w:lang w:val="en-US" w:eastAsia="zh-CN"/>
              </w:rPr>
              <w:t>本国产品标准及相关政策适用范围</w:t>
            </w:r>
            <w:r>
              <w:rPr>
                <w:rFonts w:hint="eastAsia" w:ascii="宋体" w:hAnsi="宋体" w:cs="宋体"/>
                <w:color w:val="auto"/>
                <w:highlight w:val="none"/>
                <w:lang w:val="en-US" w:eastAsia="zh-CN"/>
              </w:rPr>
              <w:t>，</w:t>
            </w:r>
            <w:r>
              <w:rPr>
                <w:rFonts w:hint="eastAsia" w:ascii="Times New Roman" w:hAnsi="Times New Roman" w:cs="Times New Roman"/>
                <w:color w:val="auto"/>
                <w:highlight w:val="none"/>
                <w:lang w:val="en-US" w:eastAsia="zh-CN"/>
              </w:rPr>
              <w:t>投标人为本采购项目或者采购包提供的符合本国产品标准的产品成本之和占该投标人提供的全部产品成本之和的比例达到80%以上时，依法对该投标人提供的全部产品给予价格评审优惠，即对该投标人提供的全部产品的总报价给予</w:t>
            </w:r>
            <w:r>
              <w:rPr>
                <w:rFonts w:hint="eastAsia" w:ascii="Times New Roman" w:hAnsi="Times New Roman" w:cs="Times New Roman"/>
                <w:b/>
                <w:bCs/>
                <w:color w:val="auto"/>
                <w:highlight w:val="none"/>
                <w:u w:val="single"/>
                <w:lang w:val="en-US" w:eastAsia="zh-CN"/>
              </w:rPr>
              <w:t>20%</w:t>
            </w:r>
            <w:r>
              <w:rPr>
                <w:rFonts w:hint="eastAsia" w:ascii="Times New Roman" w:hAnsi="Times New Roman" w:cs="Times New Roman"/>
                <w:color w:val="auto"/>
                <w:highlight w:val="none"/>
                <w:lang w:val="en-US" w:eastAsia="zh-CN"/>
              </w:rPr>
              <w:t>的价格扣除，用扣除后的价格参与评审。对于仅有本国产品参与竞争的政府采购项目，本国产品不享受价格扣除评审优惠。投标人应按第四章投标文件格式规定提供并填写《关于符合本国产品标准的声明函》，否则不享受价格扣除评审优惠。</w:t>
            </w:r>
          </w:p>
        </w:tc>
      </w:tr>
      <w:tr w14:paraId="6469D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6D4E8774">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auto"/>
                <w:szCs w:val="21"/>
                <w:highlight w:val="none"/>
              </w:rPr>
            </w:pPr>
          </w:p>
        </w:tc>
        <w:tc>
          <w:tcPr>
            <w:tcW w:w="836" w:type="dxa"/>
            <w:vMerge w:val="continue"/>
            <w:vAlign w:val="center"/>
          </w:tcPr>
          <w:p w14:paraId="1D86272C">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auto"/>
                <w:szCs w:val="21"/>
                <w:highlight w:val="none"/>
              </w:rPr>
            </w:pPr>
          </w:p>
        </w:tc>
        <w:tc>
          <w:tcPr>
            <w:tcW w:w="2242" w:type="dxa"/>
            <w:vMerge w:val="restart"/>
            <w:vAlign w:val="center"/>
          </w:tcPr>
          <w:p w14:paraId="57657A30">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4）技术商务部分得分F2</w:t>
            </w:r>
          </w:p>
          <w:p w14:paraId="02626710">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（满分</w:t>
            </w:r>
            <w:r>
              <w:rPr>
                <w:rFonts w:hint="eastAsia" w:ascii="宋体" w:hAnsi="宋体" w:eastAsia="宋体" w:cs="宋体"/>
                <w:color w:val="auto"/>
                <w:szCs w:val="21"/>
                <w:highlight w:val="none"/>
                <w:lang w:val="en-US" w:eastAsia="zh-CN"/>
              </w:rPr>
              <w:t>70</w:t>
            </w:r>
            <w:r>
              <w:rPr>
                <w:rFonts w:hint="eastAsia" w:ascii="宋体" w:hAnsi="宋体" w:eastAsia="宋体" w:cs="宋体"/>
                <w:color w:val="auto"/>
                <w:szCs w:val="21"/>
                <w:highlight w:val="none"/>
              </w:rPr>
              <w:t>分）</w:t>
            </w:r>
          </w:p>
        </w:tc>
        <w:tc>
          <w:tcPr>
            <w:tcW w:w="5506" w:type="dxa"/>
            <w:vAlign w:val="center"/>
          </w:tcPr>
          <w:p w14:paraId="4A86A0F7">
            <w:pPr>
              <w:keepNext w:val="0"/>
              <w:keepLines w:val="0"/>
              <w:pageBreakBefore w:val="0"/>
              <w:widowControl/>
              <w:suppressLineNumbers w:val="0"/>
              <w:kinsoku/>
              <w:topLinePunct w:val="0"/>
              <w:autoSpaceDE/>
              <w:autoSpaceDN/>
              <w:bidi w:val="0"/>
              <w:adjustRightInd w:val="0"/>
              <w:snapToGrid w:val="0"/>
              <w:spacing w:before="0" w:beforeAutospacing="0" w:after="0" w:afterAutospacing="0" w:line="400" w:lineRule="exact"/>
              <w:ind w:left="0" w:leftChars="0" w:right="0" w:firstLine="0" w:firstLineChars="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1）技术条款响应评审（</w:t>
            </w:r>
            <w:r>
              <w:rPr>
                <w:rFonts w:hint="eastAsia" w:ascii="宋体" w:hAnsi="宋体" w:cs="宋体"/>
                <w:b/>
                <w:color w:val="auto"/>
                <w:sz w:val="21"/>
                <w:szCs w:val="21"/>
                <w:highlight w:val="none"/>
                <w:lang w:val="en-US" w:eastAsia="zh-CN"/>
              </w:rPr>
              <w:t>40</w:t>
            </w:r>
            <w:r>
              <w:rPr>
                <w:rFonts w:hint="eastAsia" w:ascii="宋体" w:hAnsi="宋体" w:eastAsia="宋体" w:cs="宋体"/>
                <w:b/>
                <w:color w:val="auto"/>
                <w:sz w:val="21"/>
                <w:szCs w:val="21"/>
                <w:highlight w:val="none"/>
              </w:rPr>
              <w:t>分）</w:t>
            </w:r>
          </w:p>
          <w:p w14:paraId="6EB22182">
            <w:pPr>
              <w:keepNext w:val="0"/>
              <w:keepLines w:val="0"/>
              <w:pageBreakBefore w:val="0"/>
              <w:widowControl/>
              <w:suppressLineNumbers w:val="0"/>
              <w:kinsoku/>
              <w:topLinePunct w:val="0"/>
              <w:autoSpaceDE/>
              <w:autoSpaceDN/>
              <w:bidi w:val="0"/>
              <w:adjustRightInd w:val="0"/>
              <w:snapToGrid w:val="0"/>
              <w:spacing w:before="0" w:beforeAutospacing="0" w:after="0" w:afterAutospacing="0" w:line="400" w:lineRule="exact"/>
              <w:ind w:left="0" w:leftChars="0" w:right="0" w:firstLine="0" w:firstLineChars="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①重要技术指标</w:t>
            </w:r>
            <w:r>
              <w:rPr>
                <w:rFonts w:hint="eastAsia" w:ascii="宋体" w:hAnsi="宋体" w:cs="宋体"/>
                <w:b/>
                <w:bCs/>
                <w:color w:val="auto"/>
                <w:sz w:val="21"/>
                <w:szCs w:val="21"/>
                <w:highlight w:val="none"/>
                <w:lang w:val="en-US" w:eastAsia="zh-CN"/>
              </w:rPr>
              <w:t>响应</w:t>
            </w:r>
            <w:r>
              <w:rPr>
                <w:rFonts w:hint="eastAsia" w:ascii="宋体" w:hAnsi="宋体" w:eastAsia="宋体" w:cs="宋体"/>
                <w:b/>
                <w:bCs/>
                <w:color w:val="auto"/>
                <w:sz w:val="21"/>
                <w:szCs w:val="21"/>
                <w:highlight w:val="none"/>
              </w:rPr>
              <w:t>评审（满分</w:t>
            </w:r>
            <w:r>
              <w:rPr>
                <w:rFonts w:hint="eastAsia" w:ascii="宋体" w:hAnsi="宋体" w:cs="宋体"/>
                <w:b/>
                <w:bCs/>
                <w:color w:val="auto"/>
                <w:sz w:val="21"/>
                <w:szCs w:val="21"/>
                <w:highlight w:val="none"/>
                <w:lang w:val="en-US" w:eastAsia="zh-CN"/>
              </w:rPr>
              <w:t>22</w:t>
            </w:r>
            <w:r>
              <w:rPr>
                <w:rFonts w:hint="eastAsia" w:ascii="宋体" w:hAnsi="宋体" w:eastAsia="宋体" w:cs="宋体"/>
                <w:b/>
                <w:bCs/>
                <w:color w:val="auto"/>
                <w:sz w:val="21"/>
                <w:szCs w:val="21"/>
                <w:highlight w:val="none"/>
              </w:rPr>
              <w:t>分）</w:t>
            </w:r>
          </w:p>
          <w:p w14:paraId="7D4F5E5A">
            <w:pPr>
              <w:keepNext w:val="0"/>
              <w:keepLines w:val="0"/>
              <w:pageBreakBefore w:val="0"/>
              <w:widowControl/>
              <w:suppressLineNumbers w:val="0"/>
              <w:kinsoku/>
              <w:topLinePunct w:val="0"/>
              <w:autoSpaceDE/>
              <w:autoSpaceDN/>
              <w:bidi w:val="0"/>
              <w:adjustRightInd w:val="0"/>
              <w:snapToGrid w:val="0"/>
              <w:spacing w:before="0" w:beforeAutospacing="0" w:after="0" w:afterAutospacing="0" w:line="400" w:lineRule="exact"/>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招标文件第五章 采购需求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采购需求一览表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中标注“▲”号的为重要技术指标（共计</w:t>
            </w: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rPr>
              <w:t>项）。投标人未对重要技术指标内容作出响应或响应为负偏离</w:t>
            </w:r>
            <w:r>
              <w:rPr>
                <w:rFonts w:hint="eastAsia" w:ascii="宋体" w:hAnsi="宋体" w:eastAsia="宋体" w:cs="宋体"/>
                <w:bCs/>
                <w:color w:val="auto"/>
                <w:sz w:val="21"/>
                <w:szCs w:val="21"/>
                <w:highlight w:val="none"/>
              </w:rPr>
              <w:t>的，每条扣</w:t>
            </w:r>
            <w:r>
              <w:rPr>
                <w:rFonts w:hint="eastAsia" w:ascii="宋体" w:hAnsi="宋体" w:cs="宋体"/>
                <w:bCs/>
                <w:color w:val="auto"/>
                <w:sz w:val="21"/>
                <w:szCs w:val="21"/>
                <w:highlight w:val="none"/>
                <w:lang w:val="en-US" w:eastAsia="zh-CN"/>
              </w:rPr>
              <w:t>2</w:t>
            </w:r>
            <w:r>
              <w:rPr>
                <w:rFonts w:hint="eastAsia" w:ascii="宋体" w:hAnsi="宋体" w:eastAsia="宋体" w:cs="宋体"/>
                <w:bCs/>
                <w:color w:val="auto"/>
                <w:sz w:val="21"/>
                <w:szCs w:val="21"/>
                <w:highlight w:val="none"/>
              </w:rPr>
              <w:t>分</w:t>
            </w:r>
            <w:r>
              <w:rPr>
                <w:rFonts w:hint="eastAsia" w:ascii="宋体" w:hAnsi="宋体" w:eastAsia="宋体" w:cs="宋体"/>
                <w:color w:val="auto"/>
                <w:sz w:val="21"/>
                <w:szCs w:val="21"/>
                <w:highlight w:val="none"/>
              </w:rPr>
              <w:t>。</w:t>
            </w:r>
          </w:p>
          <w:p w14:paraId="782D10B4">
            <w:pPr>
              <w:keepNext w:val="0"/>
              <w:keepLines w:val="0"/>
              <w:pageBreakBefore w:val="0"/>
              <w:widowControl/>
              <w:suppressLineNumbers w:val="0"/>
              <w:kinsoku/>
              <w:topLinePunct w:val="0"/>
              <w:autoSpaceDE/>
              <w:autoSpaceDN/>
              <w:bidi w:val="0"/>
              <w:adjustRightInd w:val="0"/>
              <w:snapToGrid w:val="0"/>
              <w:spacing w:before="0" w:beforeAutospacing="0" w:after="0" w:afterAutospacing="0" w:line="400" w:lineRule="exact"/>
              <w:ind w:left="0" w:leftChars="0" w:right="0" w:firstLine="420" w:firstLineChars="200"/>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注：标注“▲”号的重要指标内容，投标人除如实填写《技术条款偏离表》外，还需按第五章 采购需求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采购需求一览表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中的要求提供技术支持资料，若投标文件中技术支持资料参数与技术条款偏离表应答不符或无支持资料应答的，评标委员会在评审时可以视为不响应该条技术</w:t>
            </w:r>
            <w:r>
              <w:rPr>
                <w:rFonts w:hint="eastAsia" w:ascii="宋体" w:hAnsi="宋体" w:eastAsia="宋体" w:cs="宋体"/>
                <w:color w:val="auto"/>
                <w:sz w:val="21"/>
                <w:szCs w:val="21"/>
                <w:highlight w:val="none"/>
                <w:lang w:eastAsia="zh-CN"/>
              </w:rPr>
              <w:t>条款的规定。</w:t>
            </w:r>
          </w:p>
          <w:p w14:paraId="6DFF5563">
            <w:pPr>
              <w:keepNext w:val="0"/>
              <w:keepLines w:val="0"/>
              <w:pageBreakBefore w:val="0"/>
              <w:widowControl/>
              <w:suppressLineNumbers w:val="0"/>
              <w:kinsoku/>
              <w:topLinePunct w:val="0"/>
              <w:autoSpaceDE/>
              <w:autoSpaceDN/>
              <w:bidi w:val="0"/>
              <w:adjustRightInd w:val="0"/>
              <w:snapToGrid w:val="0"/>
              <w:spacing w:before="0" w:beforeAutospacing="0" w:after="0" w:afterAutospacing="0" w:line="400" w:lineRule="exact"/>
              <w:ind w:left="0" w:leftChars="0" w:right="0" w:firstLine="0" w:firstLineChars="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②一般技术指标响应评审（</w:t>
            </w:r>
            <w:r>
              <w:rPr>
                <w:rFonts w:hint="eastAsia" w:ascii="宋体" w:hAnsi="宋体" w:eastAsia="宋体" w:cs="宋体"/>
                <w:b/>
                <w:bCs/>
                <w:color w:val="auto"/>
                <w:sz w:val="21"/>
                <w:szCs w:val="21"/>
                <w:highlight w:val="none"/>
              </w:rPr>
              <w:t>满分</w:t>
            </w:r>
            <w:r>
              <w:rPr>
                <w:rFonts w:hint="eastAsia" w:ascii="宋体" w:hAnsi="宋体" w:cs="宋体"/>
                <w:b/>
                <w:color w:val="auto"/>
                <w:sz w:val="21"/>
                <w:szCs w:val="21"/>
                <w:highlight w:val="none"/>
                <w:lang w:val="en-US" w:eastAsia="zh-CN"/>
              </w:rPr>
              <w:t>18</w:t>
            </w:r>
            <w:r>
              <w:rPr>
                <w:rFonts w:hint="eastAsia" w:ascii="宋体" w:hAnsi="宋体" w:eastAsia="宋体" w:cs="宋体"/>
                <w:b/>
                <w:bCs/>
                <w:color w:val="auto"/>
                <w:sz w:val="21"/>
                <w:szCs w:val="21"/>
                <w:highlight w:val="none"/>
              </w:rPr>
              <w:t>分</w:t>
            </w:r>
            <w:r>
              <w:rPr>
                <w:rFonts w:hint="eastAsia" w:ascii="宋体" w:hAnsi="宋体" w:eastAsia="宋体" w:cs="宋体"/>
                <w:b/>
                <w:color w:val="auto"/>
                <w:sz w:val="21"/>
                <w:szCs w:val="21"/>
                <w:highlight w:val="none"/>
              </w:rPr>
              <w:t>）</w:t>
            </w:r>
          </w:p>
          <w:p w14:paraId="38F3B804">
            <w:pPr>
              <w:keepNext w:val="0"/>
              <w:keepLines w:val="0"/>
              <w:pageBreakBefore w:val="0"/>
              <w:widowControl/>
              <w:suppressLineNumbers w:val="0"/>
              <w:kinsoku/>
              <w:topLinePunct w:val="0"/>
              <w:autoSpaceDE/>
              <w:autoSpaceDN/>
              <w:bidi w:val="0"/>
              <w:adjustRightInd w:val="0"/>
              <w:snapToGrid w:val="0"/>
              <w:spacing w:before="0" w:beforeAutospacing="0" w:after="0" w:afterAutospacing="0" w:line="400" w:lineRule="exact"/>
              <w:ind w:left="0" w:right="0"/>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招标文件第五章 采购需求中未标注“▲”号的为一般技术指标</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共计</w:t>
            </w:r>
            <w:r>
              <w:rPr>
                <w:rFonts w:hint="eastAsia" w:ascii="宋体" w:hAnsi="宋体" w:cs="宋体"/>
                <w:color w:val="auto"/>
                <w:sz w:val="21"/>
                <w:szCs w:val="21"/>
                <w:highlight w:val="none"/>
                <w:lang w:val="en-US" w:eastAsia="zh-CN"/>
              </w:rPr>
              <w:t>122</w:t>
            </w:r>
            <w:r>
              <w:rPr>
                <w:rFonts w:hint="eastAsia" w:ascii="宋体" w:hAnsi="宋体" w:eastAsia="宋体" w:cs="宋体"/>
                <w:color w:val="auto"/>
                <w:sz w:val="21"/>
                <w:szCs w:val="21"/>
                <w:highlight w:val="none"/>
              </w:rPr>
              <w:t>项）。投标人未对技术指标内容作出响应或响应为负偏离的，</w:t>
            </w:r>
            <w:r>
              <w:rPr>
                <w:rFonts w:hint="eastAsia" w:ascii="宋体" w:hAnsi="宋体" w:eastAsia="宋体" w:cs="宋体"/>
                <w:bCs/>
                <w:color w:val="auto"/>
                <w:sz w:val="21"/>
                <w:szCs w:val="21"/>
                <w:highlight w:val="none"/>
              </w:rPr>
              <w:t>每条扣0.</w:t>
            </w:r>
            <w:r>
              <w:rPr>
                <w:rFonts w:hint="eastAsia" w:ascii="宋体" w:hAnsi="宋体" w:cs="宋体"/>
                <w:bCs/>
                <w:color w:val="auto"/>
                <w:sz w:val="21"/>
                <w:szCs w:val="21"/>
                <w:highlight w:val="none"/>
                <w:lang w:val="en-US" w:eastAsia="zh-CN"/>
              </w:rPr>
              <w:t>147</w:t>
            </w:r>
            <w:r>
              <w:rPr>
                <w:rFonts w:hint="eastAsia" w:ascii="宋体" w:hAnsi="宋体" w:eastAsia="宋体" w:cs="宋体"/>
                <w:bCs/>
                <w:color w:val="auto"/>
                <w:sz w:val="21"/>
                <w:szCs w:val="21"/>
                <w:highlight w:val="none"/>
              </w:rPr>
              <w:t>分。</w:t>
            </w:r>
          </w:p>
          <w:p w14:paraId="09698CB4">
            <w:pPr>
              <w:keepNext w:val="0"/>
              <w:keepLines w:val="0"/>
              <w:pageBreakBefore w:val="0"/>
              <w:widowControl w:val="0"/>
              <w:kinsoku/>
              <w:wordWrap w:val="0"/>
              <w:overflowPunct w:val="0"/>
              <w:topLinePunct w:val="0"/>
              <w:autoSpaceDE/>
              <w:autoSpaceDN/>
              <w:bidi w:val="0"/>
              <w:adjustRightInd/>
              <w:snapToGrid/>
              <w:spacing w:beforeAutospacing="0" w:afterAutospacing="0" w:line="480" w:lineRule="exact"/>
              <w:ind w:left="0" w:left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color w:val="auto"/>
                <w:sz w:val="21"/>
                <w:szCs w:val="21"/>
                <w:highlight w:val="none"/>
              </w:rPr>
              <w:t>注：未标注“▲”号的一般技术指标内容，投标人除如实填写《技术条款偏离表》外，还需按第五章 采购需求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采购需求一览表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中的要求提供技术支持资料，第五章 采购需求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采购需求一览表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中未要求的以偏离表</w:t>
            </w:r>
            <w:r>
              <w:rPr>
                <w:rFonts w:hint="eastAsia" w:ascii="宋体" w:hAnsi="宋体" w:eastAsia="宋体" w:cs="宋体"/>
                <w:color w:val="auto"/>
                <w:sz w:val="21"/>
                <w:szCs w:val="21"/>
                <w:highlight w:val="none"/>
                <w:lang w:val="en-US" w:eastAsia="zh-CN"/>
              </w:rPr>
              <w:t>要求</w:t>
            </w:r>
            <w:r>
              <w:rPr>
                <w:rFonts w:hint="eastAsia" w:ascii="宋体" w:hAnsi="宋体" w:eastAsia="宋体" w:cs="宋体"/>
                <w:color w:val="auto"/>
                <w:sz w:val="21"/>
                <w:szCs w:val="21"/>
                <w:highlight w:val="none"/>
              </w:rPr>
              <w:t>为准。</w:t>
            </w:r>
          </w:p>
        </w:tc>
      </w:tr>
      <w:tr w14:paraId="58829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jc w:val="center"/>
        </w:trPr>
        <w:tc>
          <w:tcPr>
            <w:tcW w:w="810" w:type="dxa"/>
            <w:vMerge w:val="continue"/>
            <w:vAlign w:val="center"/>
          </w:tcPr>
          <w:p w14:paraId="790DC719">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auto"/>
                <w:szCs w:val="21"/>
                <w:highlight w:val="none"/>
              </w:rPr>
            </w:pPr>
          </w:p>
        </w:tc>
        <w:tc>
          <w:tcPr>
            <w:tcW w:w="836" w:type="dxa"/>
            <w:vMerge w:val="continue"/>
            <w:vAlign w:val="center"/>
          </w:tcPr>
          <w:p w14:paraId="120E6895">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auto"/>
                <w:szCs w:val="21"/>
                <w:highlight w:val="none"/>
              </w:rPr>
            </w:pPr>
          </w:p>
        </w:tc>
        <w:tc>
          <w:tcPr>
            <w:tcW w:w="2242" w:type="dxa"/>
            <w:vMerge w:val="continue"/>
            <w:vAlign w:val="center"/>
          </w:tcPr>
          <w:p w14:paraId="6B90DD57">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auto"/>
                <w:szCs w:val="21"/>
                <w:highlight w:val="none"/>
              </w:rPr>
            </w:pPr>
          </w:p>
        </w:tc>
        <w:tc>
          <w:tcPr>
            <w:tcW w:w="5506" w:type="dxa"/>
            <w:vAlign w:val="center"/>
          </w:tcPr>
          <w:p w14:paraId="38234847">
            <w:pPr>
              <w:autoSpaceDE w:val="0"/>
              <w:adjustRightInd w:val="0"/>
              <w:snapToGrid w:val="0"/>
              <w:spacing w:line="360" w:lineRule="auto"/>
              <w:rPr>
                <w:rFonts w:hint="eastAsia" w:ascii="宋体" w:hAnsi="宋体" w:eastAsia="宋体" w:cs="宋体"/>
                <w:color w:val="auto"/>
                <w:kern w:val="0"/>
                <w:szCs w:val="21"/>
                <w:highlight w:val="none"/>
                <w:lang w:bidi="ar"/>
              </w:rPr>
            </w:pPr>
            <w:r>
              <w:rPr>
                <w:rFonts w:hint="eastAsia" w:ascii="宋体" w:hAnsi="宋体" w:eastAsia="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2</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Cs w:val="21"/>
                <w:highlight w:val="none"/>
              </w:rPr>
              <w:t>项目实施方案评审评分（满分</w:t>
            </w:r>
            <w:r>
              <w:rPr>
                <w:rFonts w:hint="eastAsia" w:ascii="宋体" w:hAnsi="宋体" w:cs="宋体"/>
                <w:b/>
                <w:bCs/>
                <w:color w:val="auto"/>
                <w:szCs w:val="21"/>
                <w:highlight w:val="none"/>
                <w:lang w:val="en-US" w:eastAsia="zh-CN"/>
              </w:rPr>
              <w:t>12</w:t>
            </w:r>
            <w:r>
              <w:rPr>
                <w:rFonts w:hint="eastAsia" w:ascii="宋体" w:hAnsi="宋体" w:eastAsia="宋体" w:cs="宋体"/>
                <w:b/>
                <w:bCs/>
                <w:color w:val="auto"/>
                <w:szCs w:val="21"/>
                <w:highlight w:val="none"/>
              </w:rPr>
              <w:t>分）</w:t>
            </w:r>
          </w:p>
          <w:p w14:paraId="3CED10EE">
            <w:pPr>
              <w:autoSpaceDE w:val="0"/>
              <w:adjustRightInd w:val="0"/>
              <w:snapToGrid w:val="0"/>
              <w:spacing w:line="360" w:lineRule="auto"/>
              <w:rPr>
                <w:rFonts w:hint="eastAsia" w:ascii="宋体" w:hAnsi="宋体" w:eastAsia="宋体" w:cs="宋体"/>
                <w:bCs/>
                <w:color w:val="auto"/>
                <w:szCs w:val="21"/>
                <w:highlight w:val="none"/>
              </w:rPr>
            </w:pPr>
            <w:r>
              <w:rPr>
                <w:rFonts w:hint="eastAsia" w:ascii="宋体" w:hAnsi="宋体" w:eastAsia="宋体" w:cs="宋体"/>
                <w:color w:val="auto"/>
                <w:kern w:val="0"/>
                <w:szCs w:val="21"/>
                <w:highlight w:val="none"/>
                <w:lang w:bidi="ar"/>
              </w:rPr>
              <w:t>投标人需根据本项目实际情况及采购需求并结合自身情况，提供项目实施方案，包括：①重点难点分析；②供货及安装</w:t>
            </w:r>
            <w:r>
              <w:rPr>
                <w:rFonts w:hint="eastAsia" w:ascii="宋体" w:hAnsi="宋体" w:cs="宋体"/>
                <w:color w:val="auto"/>
                <w:kern w:val="0"/>
                <w:szCs w:val="21"/>
                <w:highlight w:val="none"/>
                <w:lang w:val="en-US" w:eastAsia="zh-CN" w:bidi="ar"/>
              </w:rPr>
              <w:t>调试</w:t>
            </w:r>
            <w:r>
              <w:rPr>
                <w:rFonts w:hint="eastAsia" w:ascii="宋体" w:hAnsi="宋体" w:eastAsia="宋体" w:cs="宋体"/>
                <w:color w:val="auto"/>
                <w:kern w:val="0"/>
                <w:szCs w:val="21"/>
                <w:highlight w:val="none"/>
                <w:lang w:bidi="ar"/>
              </w:rPr>
              <w:t>方案；③时间进度计划方案；④交付及验收方案</w:t>
            </w:r>
            <w:r>
              <w:rPr>
                <w:rFonts w:hint="eastAsia" w:ascii="宋体" w:hAnsi="宋体" w:eastAsia="宋体" w:cs="宋体"/>
                <w:bCs/>
                <w:color w:val="auto"/>
                <w:szCs w:val="21"/>
                <w:highlight w:val="none"/>
              </w:rPr>
              <w:t>，共</w:t>
            </w:r>
            <w:r>
              <w:rPr>
                <w:rFonts w:hint="eastAsia" w:ascii="宋体" w:hAnsi="宋体" w:cs="宋体"/>
                <w:bCs/>
                <w:color w:val="auto"/>
                <w:szCs w:val="21"/>
                <w:highlight w:val="none"/>
                <w:lang w:val="en-US" w:eastAsia="zh-CN"/>
              </w:rPr>
              <w:t>4</w:t>
            </w:r>
            <w:r>
              <w:rPr>
                <w:rFonts w:hint="eastAsia" w:ascii="宋体" w:hAnsi="宋体" w:eastAsia="宋体" w:cs="宋体"/>
                <w:bCs/>
                <w:color w:val="auto"/>
                <w:szCs w:val="21"/>
                <w:highlight w:val="none"/>
              </w:rPr>
              <w:t>项内容；</w:t>
            </w:r>
          </w:p>
          <w:p w14:paraId="43759801">
            <w:pPr>
              <w:autoSpaceDE w:val="0"/>
              <w:adjustRightInd w:val="0"/>
              <w:snapToGrid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以上</w:t>
            </w:r>
            <w:r>
              <w:rPr>
                <w:rFonts w:hint="eastAsia" w:ascii="宋体" w:hAnsi="宋体" w:cs="宋体"/>
                <w:bCs/>
                <w:color w:val="auto"/>
                <w:szCs w:val="21"/>
                <w:highlight w:val="none"/>
                <w:lang w:val="en-US" w:eastAsia="zh-CN"/>
              </w:rPr>
              <w:t>4</w:t>
            </w:r>
            <w:r>
              <w:rPr>
                <w:rFonts w:hint="eastAsia" w:ascii="宋体" w:hAnsi="宋体" w:eastAsia="宋体" w:cs="宋体"/>
                <w:bCs/>
                <w:color w:val="auto"/>
                <w:szCs w:val="21"/>
                <w:highlight w:val="none"/>
              </w:rPr>
              <w:t>项内容，经评标委员会评审，各项内容均与项目实际情况吻合、有具体详细的阐述，内容清楚明了、表述规范、含义准确；方案从实际出发，切合项目需求，符合项目特点；</w:t>
            </w:r>
            <w:r>
              <w:rPr>
                <w:rFonts w:hint="eastAsia" w:ascii="宋体" w:hAnsi="宋体" w:eastAsia="宋体" w:cs="宋体"/>
                <w:bCs/>
                <w:color w:val="auto"/>
                <w:szCs w:val="21"/>
                <w:highlight w:val="none"/>
                <w:lang w:val="en-US" w:eastAsia="zh-CN"/>
              </w:rPr>
              <w:t>实施</w:t>
            </w:r>
            <w:r>
              <w:rPr>
                <w:rFonts w:hint="eastAsia" w:ascii="宋体" w:hAnsi="宋体" w:eastAsia="宋体" w:cs="宋体"/>
                <w:bCs/>
                <w:color w:val="auto"/>
                <w:szCs w:val="21"/>
                <w:highlight w:val="none"/>
              </w:rPr>
              <w:t>措施科学，安排得当，能有效落地执行和操作，保障项目高质量履约，实现采购目标；完全符合采购人实际需求的</w:t>
            </w:r>
            <w:r>
              <w:rPr>
                <w:rFonts w:hint="eastAsia" w:ascii="宋体" w:hAnsi="宋体" w:eastAsia="宋体" w:cs="宋体"/>
                <w:b/>
                <w:bCs w:val="0"/>
                <w:color w:val="auto"/>
                <w:szCs w:val="21"/>
                <w:highlight w:val="none"/>
              </w:rPr>
              <w:t>得</w:t>
            </w:r>
            <w:r>
              <w:rPr>
                <w:rFonts w:hint="eastAsia" w:ascii="宋体" w:hAnsi="宋体" w:cs="宋体"/>
                <w:b/>
                <w:bCs w:val="0"/>
                <w:color w:val="auto"/>
                <w:szCs w:val="21"/>
                <w:highlight w:val="none"/>
                <w:lang w:val="en-US" w:eastAsia="zh-CN"/>
              </w:rPr>
              <w:t>12</w:t>
            </w:r>
            <w:r>
              <w:rPr>
                <w:rFonts w:hint="eastAsia" w:ascii="宋体" w:hAnsi="宋体" w:eastAsia="宋体" w:cs="宋体"/>
                <w:b/>
                <w:bCs w:val="0"/>
                <w:color w:val="auto"/>
                <w:szCs w:val="21"/>
                <w:highlight w:val="none"/>
              </w:rPr>
              <w:t>分</w:t>
            </w:r>
            <w:r>
              <w:rPr>
                <w:rFonts w:hint="eastAsia" w:ascii="宋体" w:hAnsi="宋体" w:eastAsia="宋体" w:cs="宋体"/>
                <w:bCs/>
                <w:color w:val="auto"/>
                <w:szCs w:val="21"/>
                <w:highlight w:val="none"/>
              </w:rPr>
              <w:t>；经评标委员会评审，发现存在缺项或每有一项内容无法执行、难以满足采购人实际需求的</w:t>
            </w:r>
            <w:r>
              <w:rPr>
                <w:rFonts w:hint="eastAsia" w:ascii="宋体" w:hAnsi="宋体" w:eastAsia="宋体" w:cs="宋体"/>
                <w:b/>
                <w:bCs w:val="0"/>
                <w:color w:val="auto"/>
                <w:szCs w:val="21"/>
                <w:highlight w:val="none"/>
              </w:rPr>
              <w:t>扣</w:t>
            </w:r>
            <w:r>
              <w:rPr>
                <w:rFonts w:hint="eastAsia" w:ascii="宋体" w:hAnsi="宋体" w:cs="宋体"/>
                <w:b/>
                <w:bCs w:val="0"/>
                <w:color w:val="auto"/>
                <w:szCs w:val="21"/>
                <w:highlight w:val="none"/>
                <w:lang w:val="en-US" w:eastAsia="zh-CN"/>
              </w:rPr>
              <w:t>3</w:t>
            </w:r>
            <w:r>
              <w:rPr>
                <w:rFonts w:hint="eastAsia" w:ascii="宋体" w:hAnsi="宋体" w:eastAsia="宋体" w:cs="宋体"/>
                <w:b/>
                <w:bCs w:val="0"/>
                <w:color w:val="auto"/>
                <w:szCs w:val="21"/>
                <w:highlight w:val="none"/>
              </w:rPr>
              <w:t>分</w:t>
            </w:r>
            <w:r>
              <w:rPr>
                <w:rFonts w:hint="eastAsia" w:ascii="宋体" w:hAnsi="宋体" w:eastAsia="宋体" w:cs="宋体"/>
                <w:bCs/>
                <w:color w:val="auto"/>
                <w:szCs w:val="21"/>
                <w:highlight w:val="none"/>
              </w:rPr>
              <w:t>；各项内容中每有一处存在不足的</w:t>
            </w:r>
            <w:r>
              <w:rPr>
                <w:rFonts w:hint="eastAsia" w:ascii="宋体" w:hAnsi="宋体" w:eastAsia="宋体" w:cs="宋体"/>
                <w:b/>
                <w:bCs w:val="0"/>
                <w:color w:val="auto"/>
                <w:szCs w:val="21"/>
                <w:highlight w:val="none"/>
              </w:rPr>
              <w:t>扣</w:t>
            </w:r>
            <w:r>
              <w:rPr>
                <w:rFonts w:hint="eastAsia" w:ascii="宋体" w:hAnsi="宋体" w:cs="宋体"/>
                <w:b/>
                <w:bCs w:val="0"/>
                <w:color w:val="auto"/>
                <w:szCs w:val="21"/>
                <w:highlight w:val="none"/>
                <w:lang w:val="en-US" w:eastAsia="zh-CN"/>
              </w:rPr>
              <w:t>1.5</w:t>
            </w:r>
            <w:r>
              <w:rPr>
                <w:rFonts w:hint="eastAsia" w:ascii="宋体" w:hAnsi="宋体" w:eastAsia="宋体" w:cs="宋体"/>
                <w:b/>
                <w:bCs w:val="0"/>
                <w:color w:val="auto"/>
                <w:szCs w:val="21"/>
                <w:highlight w:val="none"/>
              </w:rPr>
              <w:t>分</w:t>
            </w:r>
            <w:r>
              <w:rPr>
                <w:rFonts w:hint="eastAsia" w:ascii="宋体" w:hAnsi="宋体" w:eastAsia="宋体" w:cs="宋体"/>
                <w:bCs/>
                <w:color w:val="auto"/>
                <w:szCs w:val="21"/>
                <w:highlight w:val="none"/>
              </w:rPr>
              <w:t>。</w:t>
            </w:r>
          </w:p>
          <w:p w14:paraId="74743536">
            <w:pPr>
              <w:keepLines w:val="0"/>
              <w:pageBreakBefore w:val="0"/>
              <w:kinsoku/>
              <w:wordWrap/>
              <w:overflowPunct/>
              <w:topLinePunct w:val="0"/>
              <w:autoSpaceDE/>
              <w:autoSpaceDN/>
              <w:bidi w:val="0"/>
              <w:adjustRightInd/>
              <w:snapToGrid/>
              <w:spacing w:beforeAutospacing="0" w:afterAutospacing="0" w:line="440" w:lineRule="exact"/>
              <w:ind w:left="0" w:leftChars="0"/>
              <w:textAlignment w:val="auto"/>
              <w:rPr>
                <w:rFonts w:hint="eastAsia" w:ascii="宋体" w:hAnsi="宋体" w:eastAsia="宋体" w:cs="宋体"/>
                <w:b w:val="0"/>
                <w:bCs/>
                <w:color w:val="auto"/>
                <w:szCs w:val="21"/>
                <w:highlight w:val="none"/>
                <w:lang w:val="en-US" w:eastAsia="zh-CN"/>
              </w:rPr>
            </w:pPr>
            <w:r>
              <w:rPr>
                <w:rFonts w:hint="eastAsia" w:ascii="宋体" w:hAnsi="宋体" w:eastAsia="宋体" w:cs="宋体"/>
                <w:b/>
                <w:bCs w:val="0"/>
                <w:color w:val="auto"/>
                <w:szCs w:val="21"/>
                <w:highlight w:val="none"/>
              </w:rPr>
              <w:t>注：不足是指：</w:t>
            </w:r>
            <w:r>
              <w:rPr>
                <w:rFonts w:hint="eastAsia" w:ascii="宋体" w:hAnsi="宋体" w:eastAsia="宋体" w:cs="宋体"/>
                <w:bCs/>
                <w:color w:val="auto"/>
                <w:szCs w:val="21"/>
                <w:highlight w:val="none"/>
              </w:rPr>
              <w:t>相关方案及措施内容生搬硬造，阐述存在逻辑错误，前后矛盾；涉及内容无重点，未能体现出本项目的特点或与实际需求不完全相符；对相关承诺及措施内容的关键要求没有详细说明、相关方案内容不明确、表述不清晰或不完善或不能保障项目履约等任意一处类似缺陷或瑕疵。</w:t>
            </w:r>
          </w:p>
        </w:tc>
      </w:tr>
      <w:tr w14:paraId="159BB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810" w:type="dxa"/>
            <w:vMerge w:val="continue"/>
            <w:vAlign w:val="center"/>
          </w:tcPr>
          <w:p w14:paraId="6BD5CD32">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auto"/>
                <w:szCs w:val="21"/>
                <w:highlight w:val="none"/>
              </w:rPr>
            </w:pPr>
          </w:p>
        </w:tc>
        <w:tc>
          <w:tcPr>
            <w:tcW w:w="836" w:type="dxa"/>
            <w:vMerge w:val="continue"/>
            <w:vAlign w:val="center"/>
          </w:tcPr>
          <w:p w14:paraId="76D4A7E9">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auto"/>
                <w:szCs w:val="21"/>
                <w:highlight w:val="none"/>
              </w:rPr>
            </w:pPr>
          </w:p>
        </w:tc>
        <w:tc>
          <w:tcPr>
            <w:tcW w:w="2242" w:type="dxa"/>
            <w:vMerge w:val="continue"/>
            <w:vAlign w:val="center"/>
          </w:tcPr>
          <w:p w14:paraId="2D6778E4">
            <w:pPr>
              <w:keepNext/>
              <w:keepLines w:val="0"/>
              <w:pageBreakBefore w:val="0"/>
              <w:kinsoku/>
              <w:topLinePunct w:val="0"/>
              <w:autoSpaceDE/>
              <w:autoSpaceDN/>
              <w:bidi w:val="0"/>
              <w:snapToGrid/>
              <w:spacing w:beforeAutospacing="0" w:afterAutospacing="0" w:line="480" w:lineRule="exact"/>
              <w:ind w:left="0" w:leftChars="0"/>
              <w:jc w:val="both"/>
              <w:textAlignment w:val="auto"/>
              <w:rPr>
                <w:rFonts w:hint="eastAsia" w:ascii="宋体" w:hAnsi="宋体" w:eastAsia="宋体" w:cs="宋体"/>
                <w:color w:val="auto"/>
                <w:szCs w:val="21"/>
                <w:highlight w:val="none"/>
              </w:rPr>
            </w:pPr>
          </w:p>
        </w:tc>
        <w:tc>
          <w:tcPr>
            <w:tcW w:w="5506" w:type="dxa"/>
            <w:vAlign w:val="top"/>
          </w:tcPr>
          <w:p w14:paraId="7DEF7400">
            <w:pPr>
              <w:adjustRightInd w:val="0"/>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3</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质量保证措施及承诺评审评分（满分</w:t>
            </w:r>
            <w:r>
              <w:rPr>
                <w:rFonts w:hint="eastAsia" w:ascii="宋体" w:hAnsi="宋体" w:cs="宋体"/>
                <w:b/>
                <w:bCs/>
                <w:color w:val="auto"/>
                <w:szCs w:val="21"/>
                <w:highlight w:val="none"/>
                <w:lang w:val="en-US" w:eastAsia="zh-CN"/>
              </w:rPr>
              <w:t>9</w:t>
            </w:r>
            <w:r>
              <w:rPr>
                <w:rFonts w:hint="eastAsia" w:ascii="宋体" w:hAnsi="宋体" w:eastAsia="宋体" w:cs="宋体"/>
                <w:b/>
                <w:bCs/>
                <w:color w:val="auto"/>
                <w:szCs w:val="21"/>
                <w:highlight w:val="none"/>
              </w:rPr>
              <w:t>分）</w:t>
            </w:r>
          </w:p>
          <w:p w14:paraId="2AB3DB92">
            <w:pPr>
              <w:pStyle w:val="41"/>
              <w:adjustRightInd w:val="0"/>
              <w:snapToGrid w:val="0"/>
              <w:spacing w:before="0" w:beforeAutospacing="0" w:after="0" w:afterAutospacing="0" w:line="360" w:lineRule="auto"/>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投标人需根据本项目实际情况及采购需求并结合自身情况，提供质量保证措施及承诺，包括：①质量管控保障体系；</w:t>
            </w:r>
            <w:r>
              <w:rPr>
                <w:rFonts w:hint="eastAsia" w:cs="宋体"/>
                <w:color w:val="auto"/>
                <w:sz w:val="21"/>
                <w:szCs w:val="21"/>
                <w:highlight w:val="none"/>
                <w:lang w:val="en-US" w:eastAsia="zh-CN"/>
              </w:rPr>
              <w:t>②</w:t>
            </w:r>
            <w:r>
              <w:rPr>
                <w:rFonts w:hint="eastAsia" w:ascii="宋体" w:hAnsi="宋体" w:eastAsia="宋体" w:cs="宋体"/>
                <w:color w:val="auto"/>
                <w:sz w:val="21"/>
                <w:szCs w:val="21"/>
                <w:highlight w:val="none"/>
              </w:rPr>
              <w:t>质量问题解决措施；</w:t>
            </w:r>
            <w:r>
              <w:rPr>
                <w:rFonts w:hint="eastAsia" w:cs="宋体"/>
                <w:color w:val="auto"/>
                <w:sz w:val="21"/>
                <w:szCs w:val="21"/>
                <w:highlight w:val="none"/>
                <w:lang w:val="en-US" w:eastAsia="zh-CN"/>
              </w:rPr>
              <w:t>③</w:t>
            </w:r>
            <w:r>
              <w:rPr>
                <w:rFonts w:hint="eastAsia" w:ascii="宋体" w:hAnsi="宋体" w:eastAsia="宋体" w:cs="宋体"/>
                <w:color w:val="auto"/>
                <w:sz w:val="21"/>
                <w:szCs w:val="21"/>
                <w:highlight w:val="none"/>
              </w:rPr>
              <w:t>违约处罚措施及承诺，共</w:t>
            </w: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rPr>
              <w:t>项内容；</w:t>
            </w:r>
          </w:p>
          <w:p w14:paraId="623BB4F7">
            <w:pPr>
              <w:pStyle w:val="41"/>
              <w:adjustRightInd w:val="0"/>
              <w:snapToGrid w:val="0"/>
              <w:spacing w:before="0" w:beforeAutospacing="0" w:after="0" w:afterAutospacing="0" w:line="360" w:lineRule="auto"/>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w:t>
            </w: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rPr>
              <w:t>项内容，经评标委员会评审，各项内容均与项目实际情况吻合、有具体详细的阐述，内容清楚明了、表述规范、含义准确；方案从实际出发，切合项目需求，符合项目特点；服务措施科学，安排得当，能有效落地执行和操作，保障项目高质量履约，实现采购目标；完全符合采购人实际需求的</w:t>
            </w:r>
            <w:r>
              <w:rPr>
                <w:rFonts w:hint="eastAsia" w:ascii="宋体" w:hAnsi="宋体" w:eastAsia="宋体" w:cs="宋体"/>
                <w:b/>
                <w:bCs/>
                <w:color w:val="auto"/>
                <w:sz w:val="21"/>
                <w:szCs w:val="21"/>
                <w:highlight w:val="none"/>
              </w:rPr>
              <w:t>得</w:t>
            </w:r>
            <w:r>
              <w:rPr>
                <w:rFonts w:hint="eastAsia" w:cs="宋体"/>
                <w:b/>
                <w:bCs/>
                <w:color w:val="auto"/>
                <w:sz w:val="21"/>
                <w:szCs w:val="21"/>
                <w:highlight w:val="none"/>
                <w:lang w:val="en-US" w:eastAsia="zh-CN"/>
              </w:rPr>
              <w:t>9</w:t>
            </w:r>
            <w:r>
              <w:rPr>
                <w:rFonts w:hint="eastAsia" w:ascii="宋体" w:hAnsi="宋体" w:eastAsia="宋体" w:cs="宋体"/>
                <w:b/>
                <w:bCs/>
                <w:color w:val="auto"/>
                <w:sz w:val="21"/>
                <w:szCs w:val="21"/>
                <w:highlight w:val="none"/>
              </w:rPr>
              <w:t>分</w:t>
            </w:r>
            <w:r>
              <w:rPr>
                <w:rFonts w:hint="eastAsia" w:ascii="宋体" w:hAnsi="宋体" w:eastAsia="宋体" w:cs="宋体"/>
                <w:color w:val="auto"/>
                <w:sz w:val="21"/>
                <w:szCs w:val="21"/>
                <w:highlight w:val="none"/>
              </w:rPr>
              <w:t>；经评标委员会评审，发现存在缺项或每有一项内容无法执行、难以满足采购人实际需求的</w:t>
            </w:r>
            <w:r>
              <w:rPr>
                <w:rFonts w:hint="eastAsia" w:ascii="宋体" w:hAnsi="宋体" w:eastAsia="宋体" w:cs="宋体"/>
                <w:b/>
                <w:bCs/>
                <w:color w:val="auto"/>
                <w:sz w:val="21"/>
                <w:szCs w:val="21"/>
                <w:highlight w:val="none"/>
              </w:rPr>
              <w:t>扣</w:t>
            </w:r>
            <w:r>
              <w:rPr>
                <w:rFonts w:hint="eastAsia" w:cs="宋体"/>
                <w:b/>
                <w:bCs/>
                <w:color w:val="auto"/>
                <w:sz w:val="21"/>
                <w:szCs w:val="21"/>
                <w:highlight w:val="none"/>
                <w:lang w:val="en-US" w:eastAsia="zh-CN"/>
              </w:rPr>
              <w:t>3</w:t>
            </w:r>
            <w:r>
              <w:rPr>
                <w:rFonts w:hint="eastAsia" w:ascii="宋体" w:hAnsi="宋体" w:eastAsia="宋体" w:cs="宋体"/>
                <w:b/>
                <w:bCs/>
                <w:color w:val="auto"/>
                <w:sz w:val="21"/>
                <w:szCs w:val="21"/>
                <w:highlight w:val="none"/>
              </w:rPr>
              <w:t>分；</w:t>
            </w:r>
            <w:r>
              <w:rPr>
                <w:rFonts w:hint="eastAsia" w:ascii="宋体" w:hAnsi="宋体" w:eastAsia="宋体" w:cs="宋体"/>
                <w:color w:val="auto"/>
                <w:sz w:val="21"/>
                <w:szCs w:val="21"/>
                <w:highlight w:val="none"/>
              </w:rPr>
              <w:t>各项内容中每有一处存在不足的</w:t>
            </w:r>
            <w:r>
              <w:rPr>
                <w:rFonts w:hint="eastAsia" w:ascii="宋体" w:hAnsi="宋体" w:eastAsia="宋体" w:cs="宋体"/>
                <w:b/>
                <w:bCs/>
                <w:color w:val="auto"/>
                <w:sz w:val="21"/>
                <w:szCs w:val="21"/>
                <w:highlight w:val="none"/>
              </w:rPr>
              <w:t>扣</w:t>
            </w:r>
            <w:r>
              <w:rPr>
                <w:rFonts w:hint="eastAsia" w:cs="宋体"/>
                <w:b/>
                <w:bCs/>
                <w:color w:val="auto"/>
                <w:sz w:val="21"/>
                <w:szCs w:val="21"/>
                <w:highlight w:val="none"/>
                <w:lang w:val="en-US" w:eastAsia="zh-CN"/>
              </w:rPr>
              <w:t>1.5</w:t>
            </w:r>
            <w:r>
              <w:rPr>
                <w:rFonts w:hint="eastAsia" w:ascii="宋体" w:hAnsi="宋体" w:eastAsia="宋体" w:cs="宋体"/>
                <w:b/>
                <w:bCs/>
                <w:color w:val="auto"/>
                <w:sz w:val="21"/>
                <w:szCs w:val="21"/>
                <w:highlight w:val="none"/>
              </w:rPr>
              <w:t>分</w:t>
            </w:r>
            <w:r>
              <w:rPr>
                <w:rFonts w:hint="eastAsia" w:ascii="宋体" w:hAnsi="宋体" w:eastAsia="宋体" w:cs="宋体"/>
                <w:color w:val="auto"/>
                <w:sz w:val="21"/>
                <w:szCs w:val="21"/>
                <w:highlight w:val="none"/>
              </w:rPr>
              <w:t>。</w:t>
            </w:r>
          </w:p>
          <w:p w14:paraId="5203C940">
            <w:pPr>
              <w:keepNext w:val="0"/>
              <w:keepLines w:val="0"/>
              <w:pageBreakBefore w:val="0"/>
              <w:widowControl w:val="0"/>
              <w:kinsoku/>
              <w:wordWrap w:val="0"/>
              <w:overflowPunct w:val="0"/>
              <w:topLinePunct w:val="0"/>
              <w:autoSpaceDE/>
              <w:autoSpaceDN/>
              <w:bidi w:val="0"/>
              <w:adjustRightInd/>
              <w:snapToGrid/>
              <w:spacing w:beforeAutospacing="0" w:afterAutospacing="0" w:line="480" w:lineRule="exact"/>
              <w:ind w:left="0" w:leftChars="0"/>
              <w:textAlignment w:val="auto"/>
              <w:rPr>
                <w:rFonts w:hint="eastAsia" w:ascii="宋体" w:hAnsi="宋体" w:eastAsia="宋体" w:cs="宋体"/>
                <w:b w:val="0"/>
                <w:bCs/>
                <w:color w:val="auto"/>
                <w:szCs w:val="21"/>
                <w:highlight w:val="none"/>
                <w:lang w:val="en-US" w:eastAsia="zh-CN"/>
              </w:rPr>
            </w:pPr>
            <w:r>
              <w:rPr>
                <w:rFonts w:hint="eastAsia" w:ascii="宋体" w:hAnsi="宋体" w:eastAsia="宋体" w:cs="宋体"/>
                <w:color w:val="auto"/>
                <w:szCs w:val="21"/>
                <w:highlight w:val="none"/>
              </w:rPr>
              <w:t>注：不足是指：相关方案及措施内容生搬硬造，阐述存在逻辑错误，前后矛盾；涉及内容无重点，未能体现出本项目的特点或与实际需求不完全相符；对相关承诺及措施内容的关键要求没有详细说明、相关方案内容不明确、表述不清晰或不完善或不能保障项目履约等任意一处类似缺陷或瑕疵。</w:t>
            </w:r>
          </w:p>
        </w:tc>
      </w:tr>
      <w:tr w14:paraId="70360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2" w:hRule="atLeast"/>
          <w:jc w:val="center"/>
        </w:trPr>
        <w:tc>
          <w:tcPr>
            <w:tcW w:w="810" w:type="dxa"/>
            <w:vMerge w:val="continue"/>
            <w:vAlign w:val="center"/>
          </w:tcPr>
          <w:p w14:paraId="1D875BDA">
            <w:pPr>
              <w:keepLines w:val="0"/>
              <w:pageBreakBefore w:val="0"/>
              <w:kinsoku/>
              <w:wordWrap/>
              <w:overflowPunct/>
              <w:topLinePunct w:val="0"/>
              <w:autoSpaceDE/>
              <w:autoSpaceDN/>
              <w:bidi w:val="0"/>
              <w:adjustRightInd/>
              <w:snapToGrid/>
              <w:spacing w:beforeAutospacing="0" w:afterAutospacing="0" w:line="440" w:lineRule="exact"/>
              <w:ind w:left="0" w:leftChars="0"/>
              <w:textAlignment w:val="auto"/>
            </w:pPr>
          </w:p>
        </w:tc>
        <w:tc>
          <w:tcPr>
            <w:tcW w:w="836" w:type="dxa"/>
            <w:vMerge w:val="continue"/>
            <w:vAlign w:val="center"/>
          </w:tcPr>
          <w:p w14:paraId="4F09570E">
            <w:pPr>
              <w:keepLines w:val="0"/>
              <w:pageBreakBefore w:val="0"/>
              <w:kinsoku/>
              <w:wordWrap/>
              <w:overflowPunct/>
              <w:topLinePunct w:val="0"/>
              <w:autoSpaceDE/>
              <w:autoSpaceDN/>
              <w:bidi w:val="0"/>
              <w:adjustRightInd/>
              <w:snapToGrid/>
              <w:spacing w:beforeAutospacing="0" w:afterAutospacing="0" w:line="440" w:lineRule="exact"/>
              <w:ind w:left="0" w:leftChars="0"/>
              <w:textAlignment w:val="auto"/>
            </w:pPr>
          </w:p>
        </w:tc>
        <w:tc>
          <w:tcPr>
            <w:tcW w:w="2242" w:type="dxa"/>
            <w:vMerge w:val="continue"/>
            <w:vAlign w:val="center"/>
          </w:tcPr>
          <w:p w14:paraId="320675B1">
            <w:pPr>
              <w:keepLines w:val="0"/>
              <w:pageBreakBefore w:val="0"/>
              <w:kinsoku/>
              <w:wordWrap/>
              <w:overflowPunct/>
              <w:topLinePunct w:val="0"/>
              <w:autoSpaceDE/>
              <w:autoSpaceDN/>
              <w:bidi w:val="0"/>
              <w:adjustRightInd/>
              <w:snapToGrid/>
              <w:spacing w:beforeAutospacing="0" w:afterAutospacing="0" w:line="440" w:lineRule="exact"/>
              <w:ind w:left="0" w:leftChars="0"/>
              <w:textAlignment w:val="auto"/>
            </w:pPr>
          </w:p>
        </w:tc>
        <w:tc>
          <w:tcPr>
            <w:tcW w:w="5506" w:type="dxa"/>
            <w:vAlign w:val="top"/>
          </w:tcPr>
          <w:p w14:paraId="5F7A29E2">
            <w:pPr>
              <w:adjustRightInd w:val="0"/>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4</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售后服务方案评审评分（满分</w:t>
            </w:r>
            <w:r>
              <w:rPr>
                <w:rFonts w:hint="eastAsia" w:ascii="宋体" w:hAnsi="宋体" w:cs="宋体"/>
                <w:b/>
                <w:bCs/>
                <w:color w:val="auto"/>
                <w:szCs w:val="21"/>
                <w:highlight w:val="none"/>
                <w:lang w:val="en-US" w:eastAsia="zh-CN"/>
              </w:rPr>
              <w:t>9</w:t>
            </w:r>
            <w:r>
              <w:rPr>
                <w:rFonts w:hint="eastAsia" w:ascii="宋体" w:hAnsi="宋体" w:eastAsia="宋体" w:cs="宋体"/>
                <w:b/>
                <w:bCs/>
                <w:color w:val="auto"/>
                <w:szCs w:val="21"/>
                <w:highlight w:val="none"/>
              </w:rPr>
              <w:t>分）</w:t>
            </w:r>
          </w:p>
          <w:p w14:paraId="7AEDA903">
            <w:pPr>
              <w:pStyle w:val="41"/>
              <w:adjustRightInd w:val="0"/>
              <w:snapToGrid w:val="0"/>
              <w:spacing w:before="0" w:beforeAutospacing="0" w:after="0" w:afterAutospacing="0" w:line="360" w:lineRule="auto"/>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投标人需根据本项目实际情况及采购需求并结合自身情况，提供售后服务方案，包括：①售后响应时间；②维修保养；③跟踪回访，共3项内容；</w:t>
            </w:r>
          </w:p>
          <w:p w14:paraId="7B5EC073">
            <w:pPr>
              <w:pStyle w:val="41"/>
              <w:adjustRightInd w:val="0"/>
              <w:snapToGrid w:val="0"/>
              <w:spacing w:before="0" w:beforeAutospacing="0" w:after="0" w:afterAutospacing="0" w:line="360" w:lineRule="auto"/>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3项内容，经评标委员会评审，各项内容均与项目实际情况吻合、有具体详细的阐述，内容清楚明了、表述规范、含义准确；方案从实际出发，切合项目需求，符合项目特点；服务措施科学，安排得当，能有效落地执行和操作，保障项目高质量履约，实现采购目标；完全符合采购人实际需求的</w:t>
            </w:r>
            <w:r>
              <w:rPr>
                <w:rFonts w:hint="eastAsia" w:ascii="宋体" w:hAnsi="宋体" w:eastAsia="宋体" w:cs="宋体"/>
                <w:b/>
                <w:bCs/>
                <w:color w:val="auto"/>
                <w:sz w:val="21"/>
                <w:szCs w:val="21"/>
                <w:highlight w:val="none"/>
              </w:rPr>
              <w:t>得</w:t>
            </w:r>
            <w:r>
              <w:rPr>
                <w:rFonts w:hint="eastAsia" w:cs="宋体"/>
                <w:b/>
                <w:bCs/>
                <w:color w:val="auto"/>
                <w:sz w:val="21"/>
                <w:szCs w:val="21"/>
                <w:highlight w:val="none"/>
                <w:lang w:val="en-US" w:eastAsia="zh-CN"/>
              </w:rPr>
              <w:t>9</w:t>
            </w:r>
            <w:r>
              <w:rPr>
                <w:rFonts w:hint="eastAsia" w:ascii="宋体" w:hAnsi="宋体" w:eastAsia="宋体" w:cs="宋体"/>
                <w:b/>
                <w:bCs/>
                <w:color w:val="auto"/>
                <w:sz w:val="21"/>
                <w:szCs w:val="21"/>
                <w:highlight w:val="none"/>
              </w:rPr>
              <w:t>分</w:t>
            </w:r>
            <w:r>
              <w:rPr>
                <w:rFonts w:hint="eastAsia" w:ascii="宋体" w:hAnsi="宋体" w:eastAsia="宋体" w:cs="宋体"/>
                <w:color w:val="auto"/>
                <w:sz w:val="21"/>
                <w:szCs w:val="21"/>
                <w:highlight w:val="none"/>
              </w:rPr>
              <w:t>；经评标委员会评审，发现存在缺项或每有一项内容无法执行、难以满足采购人实际需求的</w:t>
            </w:r>
            <w:r>
              <w:rPr>
                <w:rFonts w:hint="eastAsia" w:ascii="宋体" w:hAnsi="宋体" w:eastAsia="宋体" w:cs="宋体"/>
                <w:b/>
                <w:bCs/>
                <w:color w:val="auto"/>
                <w:sz w:val="21"/>
                <w:szCs w:val="21"/>
                <w:highlight w:val="none"/>
              </w:rPr>
              <w:t>扣</w:t>
            </w:r>
            <w:r>
              <w:rPr>
                <w:rFonts w:hint="eastAsia" w:cs="宋体"/>
                <w:b/>
                <w:bCs/>
                <w:color w:val="auto"/>
                <w:sz w:val="21"/>
                <w:szCs w:val="21"/>
                <w:highlight w:val="none"/>
                <w:lang w:val="en-US" w:eastAsia="zh-CN"/>
              </w:rPr>
              <w:t>3</w:t>
            </w:r>
            <w:r>
              <w:rPr>
                <w:rFonts w:hint="eastAsia" w:ascii="宋体" w:hAnsi="宋体" w:eastAsia="宋体" w:cs="宋体"/>
                <w:b/>
                <w:bCs/>
                <w:color w:val="auto"/>
                <w:sz w:val="21"/>
                <w:szCs w:val="21"/>
                <w:highlight w:val="none"/>
              </w:rPr>
              <w:t>分</w:t>
            </w:r>
            <w:r>
              <w:rPr>
                <w:rFonts w:hint="eastAsia" w:ascii="宋体" w:hAnsi="宋体" w:eastAsia="宋体" w:cs="宋体"/>
                <w:color w:val="auto"/>
                <w:sz w:val="21"/>
                <w:szCs w:val="21"/>
                <w:highlight w:val="none"/>
              </w:rPr>
              <w:t>；各项内容中每有一处存在不足的</w:t>
            </w:r>
            <w:r>
              <w:rPr>
                <w:rFonts w:hint="eastAsia" w:ascii="宋体" w:hAnsi="宋体" w:eastAsia="宋体" w:cs="宋体"/>
                <w:b/>
                <w:bCs/>
                <w:color w:val="auto"/>
                <w:sz w:val="21"/>
                <w:szCs w:val="21"/>
                <w:highlight w:val="none"/>
              </w:rPr>
              <w:t>扣</w:t>
            </w:r>
            <w:r>
              <w:rPr>
                <w:rFonts w:hint="eastAsia" w:cs="宋体"/>
                <w:b/>
                <w:bCs/>
                <w:color w:val="auto"/>
                <w:sz w:val="21"/>
                <w:szCs w:val="21"/>
                <w:highlight w:val="none"/>
                <w:lang w:val="en-US" w:eastAsia="zh-CN"/>
              </w:rPr>
              <w:t>1.5</w:t>
            </w:r>
            <w:r>
              <w:rPr>
                <w:rFonts w:hint="eastAsia" w:ascii="宋体" w:hAnsi="宋体" w:eastAsia="宋体" w:cs="宋体"/>
                <w:b/>
                <w:bCs/>
                <w:color w:val="auto"/>
                <w:sz w:val="21"/>
                <w:szCs w:val="21"/>
                <w:highlight w:val="none"/>
              </w:rPr>
              <w:t>分</w:t>
            </w:r>
            <w:r>
              <w:rPr>
                <w:rFonts w:hint="eastAsia" w:ascii="宋体" w:hAnsi="宋体" w:eastAsia="宋体" w:cs="宋体"/>
                <w:color w:val="auto"/>
                <w:sz w:val="21"/>
                <w:szCs w:val="21"/>
                <w:highlight w:val="none"/>
              </w:rPr>
              <w:t>。</w:t>
            </w:r>
          </w:p>
          <w:p w14:paraId="30DE59F3">
            <w:pPr>
              <w:keepLines w:val="0"/>
              <w:pageBreakBefore w:val="0"/>
              <w:kinsoku/>
              <w:wordWrap/>
              <w:overflowPunct/>
              <w:topLinePunct w:val="0"/>
              <w:autoSpaceDE/>
              <w:autoSpaceDN/>
              <w:bidi w:val="0"/>
              <w:adjustRightInd/>
              <w:snapToGrid/>
              <w:spacing w:beforeAutospacing="0" w:afterAutospacing="0" w:line="440" w:lineRule="exact"/>
              <w:ind w:left="0" w:leftChars="0"/>
              <w:textAlignment w:val="auto"/>
              <w:rPr>
                <w:rFonts w:hint="eastAsia" w:ascii="宋体" w:hAnsi="宋体" w:eastAsia="宋体" w:cs="宋体"/>
                <w:b w:val="0"/>
                <w:bCs/>
                <w:color w:val="auto"/>
                <w:szCs w:val="21"/>
                <w:highlight w:val="none"/>
                <w:lang w:val="en-US" w:eastAsia="zh-CN"/>
              </w:rPr>
            </w:pPr>
            <w:r>
              <w:rPr>
                <w:rFonts w:hint="eastAsia" w:ascii="宋体" w:hAnsi="宋体" w:eastAsia="宋体" w:cs="宋体"/>
                <w:color w:val="auto"/>
                <w:szCs w:val="21"/>
                <w:highlight w:val="none"/>
              </w:rPr>
              <w:t>注：不足是指：相关方案及措施内容生搬硬造，阐述存在逻辑错误，前后矛盾；涉及内容无重点，未能体现出本项目的特点或与实际需求不完全相符；对相关承诺及措施内容的关键要求没有详细说明、相关方案内容不明确、表述不清晰或不完善或不能保障项目履约等任意一处类似缺陷或瑕疵。</w:t>
            </w:r>
          </w:p>
        </w:tc>
      </w:tr>
      <w:bookmarkEnd w:id="9"/>
    </w:tbl>
    <w:p w14:paraId="2A818873">
      <w:pPr>
        <w:pStyle w:val="22"/>
        <w:tabs>
          <w:tab w:val="left" w:pos="2472"/>
        </w:tabs>
        <w:spacing w:line="360" w:lineRule="auto"/>
        <w:rPr>
          <w:rFonts w:hAnsi="宋体" w:cs="宋体"/>
          <w:highlight w:val="none"/>
        </w:rPr>
      </w:pPr>
      <w:r>
        <w:rPr>
          <w:rFonts w:hint="eastAsia" w:hAnsi="宋体" w:cs="宋体"/>
          <w:b/>
          <w:bCs/>
          <w:sz w:val="24"/>
          <w:highlight w:val="none"/>
        </w:rPr>
        <w:t>1.评标方法：</w:t>
      </w:r>
    </w:p>
    <w:p w14:paraId="465C7154">
      <w:pPr>
        <w:spacing w:line="360" w:lineRule="auto"/>
        <w:jc w:val="left"/>
        <w:rPr>
          <w:rFonts w:ascii="宋体" w:hAnsi="宋体" w:cs="宋体"/>
          <w:szCs w:val="21"/>
          <w:highlight w:val="none"/>
        </w:rPr>
      </w:pPr>
      <w:r>
        <w:rPr>
          <w:rFonts w:hint="eastAsia" w:ascii="宋体" w:hAnsi="宋体" w:cs="宋体"/>
          <w:b/>
          <w:szCs w:val="21"/>
          <w:highlight w:val="none"/>
        </w:rPr>
        <w:t>1.1本次评标采用综合评分法。</w:t>
      </w:r>
      <w:r>
        <w:rPr>
          <w:rFonts w:hint="eastAsia" w:ascii="宋体" w:hAnsi="宋体" w:cs="宋体"/>
          <w:szCs w:val="21"/>
          <w:highlight w:val="none"/>
        </w:rPr>
        <w:t>评标委员会对满足招标文件实质性要求的投标文件，按照本章前附表规定的评分标准进行打分，并按上述评标总得分计算公式计算评标总得分，按评标总得分由高到低的顺序推荐中标候选人排序；评标总得分相等时，按投标报价由低到高顺序排序；</w:t>
      </w:r>
    </w:p>
    <w:p w14:paraId="63747D47">
      <w:pPr>
        <w:pStyle w:val="22"/>
        <w:tabs>
          <w:tab w:val="left" w:pos="2472"/>
        </w:tabs>
        <w:spacing w:line="360" w:lineRule="auto"/>
        <w:rPr>
          <w:rFonts w:hAnsi="宋体" w:cs="宋体"/>
          <w:b/>
          <w:bCs/>
          <w:sz w:val="24"/>
          <w:highlight w:val="none"/>
        </w:rPr>
      </w:pPr>
      <w:r>
        <w:rPr>
          <w:rFonts w:hint="eastAsia" w:hAnsi="宋体" w:cs="宋体"/>
          <w:b/>
          <w:bCs/>
          <w:sz w:val="24"/>
          <w:highlight w:val="none"/>
        </w:rPr>
        <w:t>2.评审程序和标准</w:t>
      </w:r>
    </w:p>
    <w:p w14:paraId="06F6FDDD">
      <w:pPr>
        <w:spacing w:line="360" w:lineRule="auto"/>
        <w:jc w:val="left"/>
        <w:rPr>
          <w:rFonts w:ascii="宋体" w:hAnsi="宋体" w:cs="宋体"/>
          <w:b/>
          <w:szCs w:val="21"/>
          <w:highlight w:val="none"/>
        </w:rPr>
      </w:pPr>
      <w:r>
        <w:rPr>
          <w:rFonts w:hint="eastAsia" w:ascii="宋体" w:hAnsi="宋体" w:cs="宋体"/>
          <w:b/>
          <w:szCs w:val="21"/>
          <w:highlight w:val="none"/>
        </w:rPr>
        <w:t>2.1符合性审查</w:t>
      </w:r>
    </w:p>
    <w:p w14:paraId="4C75BE6F">
      <w:pPr>
        <w:spacing w:line="360" w:lineRule="auto"/>
        <w:jc w:val="left"/>
        <w:rPr>
          <w:rFonts w:ascii="宋体" w:hAnsi="宋体" w:cs="宋体"/>
          <w:szCs w:val="21"/>
          <w:highlight w:val="none"/>
        </w:rPr>
      </w:pPr>
      <w:r>
        <w:rPr>
          <w:rFonts w:hint="eastAsia" w:ascii="宋体" w:hAnsi="宋体" w:cs="宋体"/>
          <w:szCs w:val="21"/>
          <w:highlight w:val="none"/>
        </w:rPr>
        <w:t>2.1.1评标委员会依据招标文件的规定，对符合资格的投标人的投标文件进行符合性审查（具体详见《评标方法前附表》），以确定其是否满足招标文件的实质性要求。</w:t>
      </w:r>
    </w:p>
    <w:p w14:paraId="5C17762C">
      <w:pPr>
        <w:spacing w:line="360" w:lineRule="auto"/>
        <w:jc w:val="left"/>
        <w:rPr>
          <w:rFonts w:ascii="宋体" w:hAnsi="宋体" w:cs="宋体"/>
          <w:szCs w:val="21"/>
          <w:highlight w:val="none"/>
        </w:rPr>
      </w:pPr>
      <w:r>
        <w:rPr>
          <w:rFonts w:hint="eastAsia" w:ascii="宋体" w:hAnsi="宋体" w:cs="宋体"/>
          <w:szCs w:val="21"/>
          <w:highlight w:val="none"/>
        </w:rPr>
        <w:t>2.1.2符合性审查内容及标准：详见招标文件第七章《评标方法》“评标方法前附表2.1符合性审查”，经审查有一项不符合的，该投标文件按无效投标处理。</w:t>
      </w:r>
    </w:p>
    <w:p w14:paraId="32C3C9DE">
      <w:pPr>
        <w:spacing w:line="360" w:lineRule="auto"/>
        <w:jc w:val="left"/>
        <w:rPr>
          <w:rFonts w:hint="eastAsia" w:ascii="宋体" w:hAnsi="宋体" w:cs="宋体"/>
          <w:b/>
          <w:szCs w:val="21"/>
          <w:highlight w:val="none"/>
        </w:rPr>
      </w:pPr>
      <w:r>
        <w:rPr>
          <w:rFonts w:hint="eastAsia" w:ascii="宋体" w:hAnsi="宋体" w:cs="宋体"/>
          <w:b/>
          <w:szCs w:val="21"/>
          <w:highlight w:val="none"/>
        </w:rPr>
        <w:t>2.2评标方法和标准</w:t>
      </w:r>
    </w:p>
    <w:p w14:paraId="773A7F11">
      <w:pPr>
        <w:spacing w:line="360" w:lineRule="auto"/>
        <w:jc w:val="left"/>
        <w:rPr>
          <w:rFonts w:hint="eastAsia" w:ascii="宋体" w:hAnsi="宋体" w:cs="宋体"/>
          <w:szCs w:val="21"/>
          <w:highlight w:val="none"/>
        </w:rPr>
      </w:pPr>
      <w:r>
        <w:rPr>
          <w:rFonts w:hint="eastAsia" w:ascii="宋体" w:hAnsi="宋体" w:cs="宋体"/>
          <w:szCs w:val="21"/>
          <w:highlight w:val="none"/>
        </w:rPr>
        <w:t>2.2.1评标委员会按照招标文件中规定的评标方法和标准，对符合性审查合格的投标文件进行商务和技术评估，综合比较与评价。招标文件中没有规定的评标方法和标准，不作为评标依据。</w:t>
      </w:r>
    </w:p>
    <w:p w14:paraId="33D4872C">
      <w:pPr>
        <w:spacing w:line="360" w:lineRule="auto"/>
        <w:jc w:val="left"/>
        <w:rPr>
          <w:rFonts w:hint="eastAsia" w:ascii="宋体" w:hAnsi="宋体" w:cs="宋体"/>
          <w:szCs w:val="21"/>
          <w:highlight w:val="none"/>
        </w:rPr>
      </w:pPr>
      <w:r>
        <w:rPr>
          <w:rFonts w:hint="eastAsia" w:ascii="宋体" w:hAnsi="宋体" w:cs="宋体"/>
          <w:szCs w:val="21"/>
          <w:highlight w:val="none"/>
        </w:rPr>
        <w:t>2.2.2投标报价得分F1：按本章《评标方法前附表》的规定对投标报价进行计算并得出F1得分；</w:t>
      </w:r>
    </w:p>
    <w:p w14:paraId="4CCF8A3C">
      <w:pPr>
        <w:spacing w:line="360" w:lineRule="auto"/>
        <w:jc w:val="left"/>
        <w:rPr>
          <w:rFonts w:hint="eastAsia" w:ascii="宋体" w:hAnsi="宋体" w:cs="宋体"/>
          <w:szCs w:val="21"/>
          <w:highlight w:val="none"/>
        </w:rPr>
      </w:pPr>
      <w:r>
        <w:rPr>
          <w:rFonts w:hint="eastAsia" w:ascii="宋体" w:hAnsi="宋体" w:cs="宋体"/>
          <w:szCs w:val="21"/>
          <w:highlight w:val="none"/>
        </w:rPr>
        <w:t>2.2.3技术</w:t>
      </w:r>
      <w:r>
        <w:rPr>
          <w:rFonts w:hint="eastAsia" w:ascii="宋体" w:hAnsi="宋体" w:cs="宋体"/>
          <w:szCs w:val="21"/>
          <w:highlight w:val="none"/>
          <w:lang w:val="en-US" w:eastAsia="zh-CN"/>
        </w:rPr>
        <w:t>商务</w:t>
      </w:r>
      <w:r>
        <w:rPr>
          <w:rFonts w:hint="eastAsia" w:ascii="宋体" w:hAnsi="宋体" w:cs="宋体"/>
          <w:szCs w:val="21"/>
          <w:highlight w:val="none"/>
        </w:rPr>
        <w:t>部分得分F2：按本章《评标方法前附表》的规定对技术部分评分并计算出F2汇总得分</w:t>
      </w:r>
    </w:p>
    <w:p w14:paraId="30A93A92">
      <w:pPr>
        <w:spacing w:line="360" w:lineRule="auto"/>
        <w:jc w:val="left"/>
        <w:rPr>
          <w:rFonts w:hint="eastAsia" w:ascii="宋体" w:hAnsi="宋体" w:cs="宋体"/>
          <w:szCs w:val="21"/>
          <w:highlight w:val="none"/>
        </w:rPr>
      </w:pPr>
      <w:r>
        <w:rPr>
          <w:rFonts w:hint="eastAsia" w:ascii="宋体" w:hAnsi="宋体" w:cs="宋体"/>
          <w:szCs w:val="21"/>
          <w:highlight w:val="none"/>
        </w:rPr>
        <w:t>2.2.</w:t>
      </w:r>
      <w:r>
        <w:rPr>
          <w:rFonts w:hint="eastAsia" w:ascii="宋体" w:hAnsi="宋体" w:cs="宋体"/>
          <w:szCs w:val="21"/>
          <w:highlight w:val="none"/>
          <w:lang w:val="en-US" w:eastAsia="zh-CN"/>
        </w:rPr>
        <w:t>4</w:t>
      </w:r>
      <w:r>
        <w:rPr>
          <w:rFonts w:hint="eastAsia" w:ascii="宋体" w:hAnsi="宋体" w:cs="宋体"/>
          <w:szCs w:val="21"/>
          <w:highlight w:val="none"/>
        </w:rPr>
        <w:t>评标总得分：按本章《评标方法前附表》的规定计算评标总得分。</w:t>
      </w:r>
    </w:p>
    <w:p w14:paraId="7404163C">
      <w:pPr>
        <w:spacing w:line="360" w:lineRule="auto"/>
        <w:jc w:val="left"/>
        <w:rPr>
          <w:rFonts w:hint="eastAsia" w:ascii="宋体" w:hAnsi="宋体" w:cs="宋体"/>
          <w:szCs w:val="21"/>
          <w:highlight w:val="none"/>
        </w:rPr>
      </w:pPr>
      <w:r>
        <w:rPr>
          <w:rFonts w:hint="eastAsia" w:ascii="宋体" w:hAnsi="宋体" w:cs="宋体"/>
          <w:szCs w:val="21"/>
          <w:highlight w:val="none"/>
        </w:rPr>
        <w:t>2.3评标委员会启动异常低价</w:t>
      </w:r>
      <w:r>
        <w:rPr>
          <w:rFonts w:hint="eastAsia" w:ascii="宋体" w:hAnsi="宋体" w:cs="宋体"/>
          <w:szCs w:val="21"/>
          <w:highlight w:val="none"/>
          <w:lang w:eastAsia="zh-CN"/>
        </w:rPr>
        <w:t>投标</w:t>
      </w:r>
      <w:r>
        <w:rPr>
          <w:rFonts w:hint="eastAsia" w:ascii="宋体" w:hAnsi="宋体" w:cs="宋体"/>
          <w:szCs w:val="21"/>
          <w:highlight w:val="none"/>
        </w:rPr>
        <w:t>审查后，应当要求相关</w:t>
      </w:r>
      <w:r>
        <w:rPr>
          <w:rFonts w:hint="eastAsia" w:ascii="宋体" w:hAnsi="宋体" w:cs="宋体"/>
          <w:szCs w:val="21"/>
          <w:highlight w:val="none"/>
          <w:lang w:eastAsia="zh-CN"/>
        </w:rPr>
        <w:t>投标人</w:t>
      </w:r>
      <w:r>
        <w:rPr>
          <w:rFonts w:hint="eastAsia" w:ascii="宋体" w:hAnsi="宋体" w:cs="宋体"/>
          <w:szCs w:val="21"/>
          <w:highlight w:val="none"/>
        </w:rPr>
        <w:t>在评审现场合理的时间内对</w:t>
      </w:r>
      <w:r>
        <w:rPr>
          <w:rFonts w:hint="eastAsia" w:ascii="宋体" w:hAnsi="宋体" w:cs="宋体"/>
          <w:szCs w:val="21"/>
          <w:highlight w:val="none"/>
          <w:lang w:eastAsia="zh-CN"/>
        </w:rPr>
        <w:t>投标</w:t>
      </w:r>
      <w:r>
        <w:rPr>
          <w:rFonts w:hint="eastAsia" w:ascii="宋体" w:hAnsi="宋体" w:cs="宋体"/>
          <w:szCs w:val="21"/>
          <w:highlight w:val="none"/>
        </w:rPr>
        <w:t>价格作出解释，提供项目具体成本测算等与报价合理性相关的书面说明及必要的证明材料，包括但不限于原材料成本、人工成本、制造费用等，给予相关</w:t>
      </w:r>
      <w:r>
        <w:rPr>
          <w:rFonts w:hint="eastAsia" w:ascii="宋体" w:hAnsi="宋体" w:cs="宋体"/>
          <w:szCs w:val="21"/>
          <w:highlight w:val="none"/>
          <w:lang w:eastAsia="zh-CN"/>
        </w:rPr>
        <w:t>投标人</w:t>
      </w:r>
      <w:r>
        <w:rPr>
          <w:rFonts w:hint="eastAsia" w:ascii="宋体" w:hAnsi="宋体" w:cs="宋体"/>
          <w:szCs w:val="21"/>
          <w:highlight w:val="none"/>
        </w:rPr>
        <w:t>的合理时间一般不少于30分钟。其中，属于本项目招标文件中关于异常低价</w:t>
      </w:r>
      <w:r>
        <w:rPr>
          <w:rFonts w:hint="eastAsia" w:ascii="宋体" w:hAnsi="宋体" w:cs="宋体"/>
          <w:szCs w:val="21"/>
          <w:highlight w:val="none"/>
          <w:lang w:eastAsia="zh-CN"/>
        </w:rPr>
        <w:t>投标</w:t>
      </w:r>
      <w:r>
        <w:rPr>
          <w:rFonts w:hint="eastAsia" w:ascii="宋体" w:hAnsi="宋体" w:cs="宋体"/>
          <w:szCs w:val="21"/>
          <w:highlight w:val="none"/>
        </w:rPr>
        <w:t>程序中第</w:t>
      </w:r>
      <w:r>
        <w:rPr>
          <w:rFonts w:hint="eastAsia" w:ascii="宋体" w:hAnsi="宋体" w:cs="宋体"/>
          <w:szCs w:val="21"/>
          <w:highlight w:val="none"/>
          <w:lang w:eastAsia="zh-CN"/>
        </w:rPr>
        <w:t>（</w:t>
      </w:r>
      <w:r>
        <w:rPr>
          <w:rFonts w:hint="eastAsia" w:ascii="宋体" w:hAnsi="宋体" w:cs="宋体"/>
          <w:szCs w:val="21"/>
          <w:highlight w:val="none"/>
          <w:lang w:val="en-US" w:eastAsia="zh-CN"/>
        </w:rPr>
        <w:t>3</w:t>
      </w:r>
      <w:r>
        <w:rPr>
          <w:rFonts w:hint="eastAsia" w:ascii="宋体" w:hAnsi="宋体" w:cs="宋体"/>
          <w:szCs w:val="21"/>
          <w:highlight w:val="none"/>
          <w:lang w:eastAsia="zh-CN"/>
        </w:rPr>
        <w:t>）</w:t>
      </w:r>
      <w:r>
        <w:rPr>
          <w:rFonts w:hint="eastAsia" w:ascii="宋体" w:hAnsi="宋体" w:cs="宋体"/>
          <w:szCs w:val="21"/>
          <w:highlight w:val="none"/>
        </w:rPr>
        <w:t>项情形，</w:t>
      </w:r>
      <w:r>
        <w:rPr>
          <w:rFonts w:hint="eastAsia" w:ascii="宋体" w:hAnsi="宋体" w:cs="宋体"/>
          <w:szCs w:val="21"/>
          <w:highlight w:val="none"/>
          <w:lang w:eastAsia="zh-CN"/>
        </w:rPr>
        <w:t>投标人</w:t>
      </w:r>
      <w:r>
        <w:rPr>
          <w:rFonts w:hint="eastAsia" w:ascii="宋体" w:hAnsi="宋体" w:cs="宋体"/>
          <w:szCs w:val="21"/>
          <w:highlight w:val="none"/>
        </w:rPr>
        <w:t>已随</w:t>
      </w:r>
      <w:r>
        <w:rPr>
          <w:rFonts w:hint="eastAsia" w:ascii="宋体" w:hAnsi="宋体" w:cs="宋体"/>
          <w:szCs w:val="21"/>
          <w:highlight w:val="none"/>
          <w:lang w:eastAsia="zh-CN"/>
        </w:rPr>
        <w:t>投标</w:t>
      </w:r>
      <w:r>
        <w:rPr>
          <w:rFonts w:hint="eastAsia" w:ascii="宋体" w:hAnsi="宋体" w:cs="宋体"/>
          <w:szCs w:val="21"/>
          <w:highlight w:val="none"/>
        </w:rPr>
        <w:t>文件一并提交相关书面说明及必要的证明材料的，在评审现场可不再重复提交。评标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szCs w:val="21"/>
          <w:highlight w:val="none"/>
          <w:lang w:eastAsia="zh-CN"/>
        </w:rPr>
        <w:t>投标</w:t>
      </w:r>
      <w:r>
        <w:rPr>
          <w:rFonts w:hint="eastAsia" w:ascii="宋体" w:hAnsi="宋体" w:cs="宋体"/>
          <w:szCs w:val="21"/>
          <w:highlight w:val="none"/>
          <w:lang w:val="en-US" w:eastAsia="zh-CN"/>
        </w:rPr>
        <w:t>人</w:t>
      </w:r>
      <w:r>
        <w:rPr>
          <w:rFonts w:hint="eastAsia" w:ascii="宋体" w:hAnsi="宋体" w:cs="宋体"/>
          <w:szCs w:val="21"/>
          <w:highlight w:val="none"/>
        </w:rPr>
        <w:t>不能提供书面说明、证明材料，或者提供的书面说明、证明材料不能证明其报价合理性的，评标委员会应当将其作为无效投标处理。</w:t>
      </w:r>
    </w:p>
    <w:p w14:paraId="45D43321">
      <w:pPr>
        <w:spacing w:line="360" w:lineRule="auto"/>
        <w:jc w:val="left"/>
        <w:rPr>
          <w:rFonts w:hint="eastAsia" w:ascii="宋体" w:hAnsi="宋体" w:cs="宋体"/>
          <w:szCs w:val="21"/>
          <w:highlight w:val="none"/>
        </w:rPr>
      </w:pPr>
      <w:r>
        <w:rPr>
          <w:rFonts w:hint="eastAsia" w:ascii="宋体" w:hAnsi="宋体" w:cs="宋体"/>
          <w:szCs w:val="21"/>
          <w:highlight w:val="none"/>
        </w:rPr>
        <w:t>2.4对投标人的价格分等客观评分项的评分应当一致，对其他需要借助专业知识评判的主观评分项，应当严格按照评分细则公正评分。</w:t>
      </w:r>
    </w:p>
    <w:p w14:paraId="6573E4E9">
      <w:pPr>
        <w:spacing w:line="360" w:lineRule="auto"/>
        <w:jc w:val="left"/>
        <w:rPr>
          <w:rFonts w:hint="eastAsia" w:ascii="宋体" w:hAnsi="宋体" w:cs="宋体"/>
          <w:szCs w:val="21"/>
          <w:highlight w:val="none"/>
        </w:rPr>
      </w:pPr>
      <w:r>
        <w:rPr>
          <w:rFonts w:hint="eastAsia" w:ascii="宋体" w:hAnsi="宋体" w:cs="宋体"/>
          <w:szCs w:val="21"/>
          <w:highlight w:val="none"/>
        </w:rPr>
        <w:t>2.5</w:t>
      </w:r>
      <w:r>
        <w:rPr>
          <w:rFonts w:hint="eastAsia" w:ascii="宋体" w:hAnsi="宋体" w:cs="宋体"/>
          <w:szCs w:val="21"/>
          <w:highlight w:val="none"/>
          <w:lang w:eastAsia="zh-CN"/>
        </w:rPr>
        <w:t>技术部分（F2）</w:t>
      </w:r>
      <w:r>
        <w:rPr>
          <w:rFonts w:hint="eastAsia" w:ascii="宋体" w:hAnsi="宋体" w:cs="宋体"/>
          <w:szCs w:val="21"/>
          <w:highlight w:val="none"/>
        </w:rPr>
        <w:t>由评标委员会各成员独立对每个投标人的投标文件进行评价，并汇总每个投标人的得分。投标人各项评分因素得分为该项因素评标委员会各成员汇总得分的算术平均值（保留小数点后两位），小数点后第三位“四舍五入”。</w:t>
      </w:r>
    </w:p>
    <w:p w14:paraId="53F02EF1">
      <w:pPr>
        <w:spacing w:line="360" w:lineRule="auto"/>
        <w:jc w:val="left"/>
        <w:rPr>
          <w:rFonts w:ascii="宋体" w:hAnsi="宋体" w:cs="宋体"/>
          <w:szCs w:val="21"/>
          <w:highlight w:val="none"/>
        </w:rPr>
      </w:pPr>
      <w:r>
        <w:rPr>
          <w:rFonts w:hint="eastAsia" w:ascii="宋体" w:hAnsi="宋体" w:cs="宋体"/>
          <w:szCs w:val="21"/>
          <w:highlight w:val="none"/>
        </w:rPr>
        <w:t>2.6评标委员会成员要依法独立评审，并对评审意见承担个人责任。</w:t>
      </w:r>
    </w:p>
    <w:p w14:paraId="654F0E47">
      <w:pPr>
        <w:pStyle w:val="22"/>
        <w:tabs>
          <w:tab w:val="left" w:pos="2472"/>
        </w:tabs>
        <w:spacing w:line="360" w:lineRule="auto"/>
        <w:rPr>
          <w:rFonts w:hAnsi="宋体" w:cs="宋体"/>
          <w:b/>
          <w:bCs/>
          <w:sz w:val="24"/>
          <w:highlight w:val="none"/>
        </w:rPr>
      </w:pPr>
      <w:r>
        <w:rPr>
          <w:rFonts w:hint="eastAsia" w:hAnsi="宋体" w:cs="宋体"/>
          <w:b/>
          <w:bCs/>
          <w:sz w:val="24"/>
          <w:highlight w:val="none"/>
        </w:rPr>
        <w:t xml:space="preserve">3.投标文件的澄清、说明或者补正 </w:t>
      </w:r>
    </w:p>
    <w:p w14:paraId="24E3A552">
      <w:pPr>
        <w:spacing w:line="360" w:lineRule="auto"/>
        <w:jc w:val="left"/>
        <w:rPr>
          <w:rFonts w:ascii="宋体" w:hAnsi="宋体" w:cs="宋体"/>
          <w:szCs w:val="21"/>
          <w:highlight w:val="none"/>
        </w:rPr>
      </w:pPr>
      <w:r>
        <w:rPr>
          <w:rFonts w:hint="eastAsia" w:ascii="宋体" w:hAnsi="宋体" w:cs="宋体"/>
          <w:szCs w:val="21"/>
          <w:highlight w:val="none"/>
        </w:rPr>
        <w:t>3.1投标文件中出现含义不明确、同类问题表述不一致或者有明显文字和计算错误的内容，评标委员会将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14:paraId="4C49F801">
      <w:pPr>
        <w:spacing w:line="360" w:lineRule="auto"/>
        <w:jc w:val="left"/>
        <w:rPr>
          <w:rFonts w:ascii="宋体" w:hAnsi="宋体" w:cs="宋体"/>
          <w:szCs w:val="21"/>
          <w:highlight w:val="none"/>
        </w:rPr>
      </w:pPr>
      <w:r>
        <w:rPr>
          <w:rFonts w:hint="eastAsia" w:ascii="宋体" w:hAnsi="宋体" w:cs="宋体"/>
          <w:szCs w:val="21"/>
          <w:highlight w:val="none"/>
        </w:rPr>
        <w:t>3.2评标委员会不接受投标人主动提出的澄清、说明或者补正。</w:t>
      </w:r>
    </w:p>
    <w:p w14:paraId="4CBC2790">
      <w:pPr>
        <w:spacing w:line="360" w:lineRule="auto"/>
        <w:jc w:val="left"/>
        <w:rPr>
          <w:rFonts w:ascii="宋体" w:hAnsi="宋体" w:cs="宋体"/>
          <w:szCs w:val="21"/>
          <w:highlight w:val="none"/>
        </w:rPr>
      </w:pPr>
      <w:r>
        <w:rPr>
          <w:rFonts w:hint="eastAsia" w:ascii="宋体" w:hAnsi="宋体" w:cs="宋体"/>
          <w:szCs w:val="21"/>
          <w:highlight w:val="none"/>
        </w:rPr>
        <w:t>3.3 评标委员会对投标人提交的澄清、说明或者补正有疑问的，可以要求投标人进一步澄清、说明或者补正。</w:t>
      </w:r>
    </w:p>
    <w:p w14:paraId="69469A0C">
      <w:pPr>
        <w:pStyle w:val="22"/>
        <w:tabs>
          <w:tab w:val="left" w:pos="2472"/>
        </w:tabs>
        <w:spacing w:line="360" w:lineRule="auto"/>
        <w:rPr>
          <w:rFonts w:hAnsi="宋体" w:cs="宋体"/>
          <w:b/>
          <w:bCs/>
          <w:sz w:val="24"/>
          <w:highlight w:val="none"/>
        </w:rPr>
      </w:pPr>
      <w:r>
        <w:rPr>
          <w:rFonts w:hint="eastAsia" w:hAnsi="宋体" w:cs="宋体"/>
          <w:b/>
          <w:bCs/>
          <w:sz w:val="24"/>
          <w:highlight w:val="none"/>
        </w:rPr>
        <w:t>4.评标结果</w:t>
      </w:r>
    </w:p>
    <w:p w14:paraId="5490BD49">
      <w:pPr>
        <w:spacing w:line="360" w:lineRule="auto"/>
        <w:jc w:val="left"/>
        <w:rPr>
          <w:rFonts w:ascii="宋体" w:hAnsi="宋体" w:cs="宋体"/>
          <w:szCs w:val="21"/>
          <w:highlight w:val="none"/>
        </w:rPr>
      </w:pPr>
      <w:r>
        <w:rPr>
          <w:rFonts w:hint="eastAsia" w:ascii="宋体" w:hAnsi="宋体" w:cs="宋体"/>
          <w:szCs w:val="21"/>
          <w:highlight w:val="none"/>
        </w:rPr>
        <w:t>4.1提供相同品牌产品且通过资格审查、符合性审查的不同投标人参加同一合同项下投标的，按一家投标人计算，评审后得分最高的同品牌投标人获得中标人推荐资格；评审得分相同的，由评标委员会按照授权齐全、资格合格且报价最低或最有利于采购人利益的方式确定一个投标人获得中标人推荐资格。</w:t>
      </w:r>
    </w:p>
    <w:p w14:paraId="4FBA8E2F">
      <w:pPr>
        <w:spacing w:line="360" w:lineRule="auto"/>
        <w:jc w:val="left"/>
        <w:rPr>
          <w:rFonts w:ascii="宋体" w:hAnsi="宋体" w:cs="宋体"/>
          <w:szCs w:val="21"/>
          <w:highlight w:val="none"/>
        </w:rPr>
      </w:pPr>
      <w:r>
        <w:rPr>
          <w:rFonts w:hint="eastAsia" w:ascii="宋体" w:hAnsi="宋体" w:cs="宋体"/>
          <w:szCs w:val="21"/>
          <w:highlight w:val="none"/>
        </w:rPr>
        <w:t>4.2非单一产品采购项目，采购人根据采购项目技术构成、产品价格比重等确定核心产品，投标人提供的核心产品品牌相同的，按前款规定处理。</w:t>
      </w:r>
    </w:p>
    <w:p w14:paraId="42ED73CC">
      <w:pPr>
        <w:spacing w:line="360" w:lineRule="auto"/>
        <w:jc w:val="left"/>
        <w:rPr>
          <w:rFonts w:ascii="宋体" w:hAnsi="宋体" w:cs="宋体"/>
          <w:szCs w:val="21"/>
          <w:highlight w:val="none"/>
        </w:rPr>
      </w:pPr>
      <w:r>
        <w:rPr>
          <w:rFonts w:hint="eastAsia" w:ascii="宋体" w:hAnsi="宋体" w:cs="宋体"/>
          <w:szCs w:val="21"/>
          <w:highlight w:val="none"/>
        </w:rPr>
        <w:t>4.3投标文件满足招标文件全部实质性要求，且按照评审因素的量化指标评审得分最高的投标人将会被推荐为排名第一的中标候选人。</w:t>
      </w:r>
    </w:p>
    <w:p w14:paraId="2A8020F8">
      <w:pPr>
        <w:spacing w:line="360" w:lineRule="auto"/>
        <w:jc w:val="left"/>
        <w:rPr>
          <w:rFonts w:ascii="宋体" w:hAnsi="宋体" w:cs="宋体"/>
          <w:szCs w:val="21"/>
          <w:highlight w:val="none"/>
        </w:rPr>
      </w:pPr>
      <w:r>
        <w:rPr>
          <w:rFonts w:hint="eastAsia" w:ascii="宋体" w:hAnsi="宋体" w:cs="宋体"/>
          <w:szCs w:val="21"/>
          <w:highlight w:val="none"/>
        </w:rPr>
        <w:t>4.4评标委员会按评标总得分由高到低顺序推荐中标候选人，评标总得分相等时，按投标报价由低到高顺序排序，</w:t>
      </w:r>
      <w:r>
        <w:rPr>
          <w:rFonts w:hint="eastAsia" w:ascii="宋体" w:hAnsi="宋体" w:cs="宋体"/>
          <w:kern w:val="0"/>
          <w:szCs w:val="21"/>
          <w:highlight w:val="none"/>
        </w:rPr>
        <w:t>得分且投标报价相同的并列，</w:t>
      </w:r>
      <w:r>
        <w:rPr>
          <w:rFonts w:hint="eastAsia" w:ascii="宋体" w:hAnsi="宋体" w:cs="宋体"/>
          <w:szCs w:val="21"/>
          <w:highlight w:val="none"/>
        </w:rPr>
        <w:t>并提出书面评标报告。</w:t>
      </w:r>
    </w:p>
    <w:p w14:paraId="107D84FE">
      <w:pPr>
        <w:spacing w:line="360" w:lineRule="auto"/>
        <w:jc w:val="left"/>
        <w:rPr>
          <w:rFonts w:ascii="宋体" w:hAnsi="宋体" w:cs="宋体"/>
          <w:szCs w:val="21"/>
          <w:highlight w:val="none"/>
        </w:rPr>
      </w:pPr>
      <w:r>
        <w:rPr>
          <w:rFonts w:hint="eastAsia" w:ascii="宋体" w:hAnsi="宋体" w:cs="宋体"/>
          <w:szCs w:val="21"/>
          <w:highlight w:val="none"/>
        </w:rPr>
        <w:t>4.5评标委员会根据全体评标成员签字的原始评标记录和评标结果编写评标报告。</w:t>
      </w:r>
    </w:p>
    <w:p w14:paraId="3A63AEE9">
      <w:pPr>
        <w:spacing w:line="360" w:lineRule="auto"/>
        <w:jc w:val="left"/>
        <w:rPr>
          <w:rFonts w:ascii="宋体" w:hAnsi="宋体" w:cs="宋体"/>
          <w:szCs w:val="21"/>
          <w:highlight w:val="none"/>
        </w:rPr>
      </w:pPr>
      <w:r>
        <w:rPr>
          <w:rFonts w:hint="eastAsia" w:ascii="宋体" w:hAnsi="宋体" w:cs="宋体"/>
          <w:szCs w:val="21"/>
          <w:highlight w:val="none"/>
        </w:rPr>
        <w:t>4.6评标委员会成员对需要共同认定的事项存在争议的，应当按照少数服从多数的原则作出结论。持不同意见的评标委员会成员应当在评标报告上签署不同意见及理由，否则视为同意评标报告。</w:t>
      </w:r>
    </w:p>
    <w:p w14:paraId="6677CE88">
      <w:pPr>
        <w:spacing w:line="360" w:lineRule="auto"/>
        <w:jc w:val="left"/>
        <w:rPr>
          <w:rFonts w:ascii="宋体" w:hAnsi="宋体" w:cs="宋体"/>
          <w:szCs w:val="21"/>
          <w:highlight w:val="none"/>
        </w:rPr>
      </w:pPr>
      <w:r>
        <w:rPr>
          <w:rFonts w:hint="eastAsia" w:ascii="宋体" w:hAnsi="宋体" w:cs="宋体"/>
          <w:szCs w:val="21"/>
          <w:highlight w:val="none"/>
        </w:rPr>
        <w:t>4.7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6319E3E1">
      <w:pPr>
        <w:outlineLvl w:val="9"/>
        <w:rPr>
          <w:rFonts w:hint="eastAsia" w:ascii="宋体" w:hAnsi="宋体" w:eastAsia="宋体" w:cs="宋体"/>
          <w:color w:val="auto"/>
          <w:szCs w:val="21"/>
          <w:highlight w:val="none"/>
        </w:rPr>
      </w:pPr>
    </w:p>
    <w:sectPr>
      <w:pgSz w:w="12240" w:h="15840"/>
      <w:pgMar w:top="1440" w:right="1803" w:bottom="1440" w:left="1803" w:header="567" w:footer="567" w:gutter="0"/>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entury Gothic">
    <w:panose1 w:val="020B0502020202020204"/>
    <w:charset w:val="00"/>
    <w:family w:val="swiss"/>
    <w:pitch w:val="default"/>
    <w:sig w:usb0="00000287"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新宋体">
    <w:panose1 w:val="02010609030101010101"/>
    <w:charset w:val="86"/>
    <w:family w:val="modern"/>
    <w:pitch w:val="default"/>
    <w:sig w:usb0="00000203" w:usb1="288F0000" w:usb2="00000006"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金山简黑体">
    <w:altName w:val="宋体"/>
    <w:panose1 w:val="00000000000000000000"/>
    <w:charset w:val="00"/>
    <w:family w:val="auto"/>
    <w:pitch w:val="default"/>
    <w:sig w:usb0="00000000" w:usb1="00000000" w:usb2="00000000" w:usb3="00000000" w:csb0="00040001" w:csb1="00000000"/>
  </w:font>
  <w:font w:name="Cambria Math">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200247B" w:usb2="00000009" w:usb3="00000000" w:csb0="200001FF" w:csb1="00000000"/>
  </w:font>
  <w:font w:name="方正小标宋_GBK">
    <w:panose1 w:val="02000000000000000000"/>
    <w:charset w:val="86"/>
    <w:family w:val="auto"/>
    <w:pitch w:val="default"/>
    <w:sig w:usb0="A00002BF" w:usb1="38CF7CFA" w:usb2="00082016" w:usb3="00000000" w:csb0="00040001" w:csb1="00000000"/>
  </w:font>
  <w:font w:name="Arial Narrow">
    <w:panose1 w:val="020B0606020202030204"/>
    <w:charset w:val="00"/>
    <w:family w:val="swiss"/>
    <w:pitch w:val="default"/>
    <w:sig w:usb0="00000287" w:usb1="00000800" w:usb2="00000000" w:usb3="00000000" w:csb0="2000009F" w:csb1="DFD7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15D34">
    <w:pPr>
      <w:pStyle w:val="27"/>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EB486">
    <w:pPr>
      <w:pStyle w:val="27"/>
      <w:jc w:val="righ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0934CF">
                          <w:pPr>
                            <w:pStyle w:val="2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10934CF">
                    <w:pPr>
                      <w:pStyle w:val="27"/>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EDECC">
    <w:pPr>
      <w:spacing w:line="183" w:lineRule="auto"/>
      <w:ind w:left="4379"/>
      <w:jc w:val="right"/>
      <w:rPr>
        <w:rFonts w:cs="宋体"/>
        <w:sz w:val="14"/>
        <w:szCs w:val="14"/>
      </w:rPr>
    </w:pPr>
    <w:r>
      <w:pict>
        <v:shape id="文本框 71" o:spid="_x0000_s4097"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">
          <v:path/>
          <v:fill on="f" focussize="0,0"/>
          <v:stroke on="f" weight="0.5pt"/>
          <v:imagedata o:title=""/>
          <o:lock v:ext="edit"/>
          <v:textbox inset="0mm,0mm,0mm,0mm" style="mso-fit-shape-to-text:t;">
            <w:txbxContent>
              <w:p w14:paraId="2ACCCC17">
                <w:pPr>
                  <w:pStyle w:val="27"/>
                </w:pPr>
                <w:r>
                  <w:fldChar w:fldCharType="begin"/>
                </w:r>
                <w:r>
                  <w:instrText xml:space="preserve"> PAGE  \* MERGEFORMAT </w:instrText>
                </w:r>
                <w:r>
                  <w:fldChar w:fldCharType="separate"/>
                </w:r>
                <w:r>
                  <w:t>117</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ACA987">
    <w:pPr>
      <w:pStyle w:val="28"/>
      <w:rPr>
        <w:rFonts w:hint="default"/>
        <w:sz w:val="18"/>
        <w:szCs w:val="18"/>
        <w:lang w:val="en-US"/>
      </w:rPr>
    </w:pPr>
    <w:r>
      <w:rPr>
        <w:rFonts w:hint="eastAsia" w:ascii="Arial" w:hAnsi="Arial" w:cs="Arial"/>
        <w:color w:val="333333"/>
        <w:sz w:val="18"/>
        <w:szCs w:val="18"/>
        <w:shd w:val="clear" w:color="auto" w:fill="FFFFFF"/>
        <w:lang w:eastAsia="zh-CN"/>
      </w:rPr>
      <w:t>怒江职业技术学院建筑材料智能检测实训基地建设项目</w:t>
    </w:r>
    <w:r>
      <w:rPr>
        <w:rFonts w:hint="eastAsia" w:ascii="Arial" w:hAnsi="Arial" w:cs="Arial"/>
        <w:color w:val="333333"/>
        <w:sz w:val="18"/>
        <w:szCs w:val="18"/>
        <w:shd w:val="clear" w:color="auto" w:fill="FFFFFF"/>
        <w:lang w:val="en-US" w:eastAsia="zh-CN"/>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060BB9"/>
    <w:multiLevelType w:val="singleLevel"/>
    <w:tmpl w:val="A6060BB9"/>
    <w:lvl w:ilvl="0" w:tentative="0">
      <w:start w:val="4"/>
      <w:numFmt w:val="chineseCounting"/>
      <w:suff w:val="nothing"/>
      <w:lvlText w:val="%1、"/>
      <w:lvlJc w:val="left"/>
      <w:rPr>
        <w:rFonts w:hint="eastAsia"/>
        <w:b/>
        <w:bCs/>
        <w:sz w:val="28"/>
        <w:szCs w:val="28"/>
      </w:rPr>
    </w:lvl>
  </w:abstractNum>
  <w:abstractNum w:abstractNumId="1">
    <w:nsid w:val="0315620E"/>
    <w:multiLevelType w:val="multilevel"/>
    <w:tmpl w:val="0315620E"/>
    <w:lvl w:ilvl="0" w:tentative="0">
      <w:start w:val="1"/>
      <w:numFmt w:val="decimal"/>
      <w:pStyle w:val="436"/>
      <w:lvlText w:val="%1"/>
      <w:lvlJc w:val="left"/>
      <w:pPr>
        <w:tabs>
          <w:tab w:val="left" w:pos="360"/>
        </w:tabs>
        <w:ind w:left="284" w:hanging="284"/>
      </w:pPr>
      <w:rPr>
        <w:rFonts w:hint="default" w:ascii="Times New Roman" w:hAnsi="Times New Roman"/>
        <w:b/>
        <w:i w:val="0"/>
        <w:sz w:val="28"/>
      </w:rPr>
    </w:lvl>
    <w:lvl w:ilvl="1" w:tentative="0">
      <w:start w:val="1"/>
      <w:numFmt w:val="decimal"/>
      <w:pStyle w:val="453"/>
      <w:lvlText w:val="%1.%2"/>
      <w:lvlJc w:val="left"/>
      <w:pPr>
        <w:tabs>
          <w:tab w:val="left" w:pos="596"/>
        </w:tabs>
        <w:ind w:left="596" w:hanging="596"/>
      </w:pPr>
      <w:rPr>
        <w:rFonts w:hint="default" w:ascii="Times New Roman" w:hAnsi="Times New Roman"/>
        <w:b/>
        <w:i w:val="0"/>
        <w:sz w:val="28"/>
      </w:rPr>
    </w:lvl>
    <w:lvl w:ilvl="2" w:tentative="0">
      <w:start w:val="1"/>
      <w:numFmt w:val="decimal"/>
      <w:pStyle w:val="440"/>
      <w:lvlText w:val="%1.%2.%3"/>
      <w:lvlJc w:val="left"/>
      <w:pPr>
        <w:tabs>
          <w:tab w:val="left" w:pos="1588"/>
        </w:tabs>
        <w:ind w:left="1588" w:hanging="737"/>
      </w:pPr>
      <w:rPr>
        <w:rFonts w:hint="default" w:ascii="Times New Roman" w:hAnsi="Times New Roman"/>
        <w:b/>
        <w:i w:val="0"/>
        <w:sz w:val="24"/>
      </w:rPr>
    </w:lvl>
    <w:lvl w:ilvl="3" w:tentative="0">
      <w:start w:val="1"/>
      <w:numFmt w:val="decimal"/>
      <w:pStyle w:val="439"/>
      <w:lvlText w:val="%1.%2.%3.%4"/>
      <w:lvlJc w:val="left"/>
      <w:pPr>
        <w:tabs>
          <w:tab w:val="left" w:pos="2155"/>
        </w:tabs>
        <w:ind w:left="2155" w:hanging="1078"/>
      </w:pPr>
      <w:rPr>
        <w:rFonts w:hint="default" w:ascii="Arial" w:hAnsi="Arial"/>
        <w:b w:val="0"/>
        <w:i w:val="0"/>
        <w:sz w:val="24"/>
      </w:rPr>
    </w:lvl>
    <w:lvl w:ilvl="4" w:tentative="0">
      <w:start w:val="1"/>
      <w:numFmt w:val="decimal"/>
      <w:pStyle w:val="438"/>
      <w:lvlText w:val="%1.%2.%3.%4.%5"/>
      <w:lvlJc w:val="left"/>
      <w:pPr>
        <w:tabs>
          <w:tab w:val="left" w:pos="3141"/>
        </w:tabs>
        <w:ind w:left="2551" w:hanging="850"/>
      </w:pPr>
      <w:rPr>
        <w:rFonts w:hint="eastAsia"/>
      </w:rPr>
    </w:lvl>
    <w:lvl w:ilvl="5" w:tentative="0">
      <w:start w:val="1"/>
      <w:numFmt w:val="decimal"/>
      <w:pStyle w:val="452"/>
      <w:lvlText w:val="%1.%2.%3.%4.%5.%6"/>
      <w:lvlJc w:val="left"/>
      <w:pPr>
        <w:tabs>
          <w:tab w:val="left" w:pos="3566"/>
        </w:tabs>
        <w:ind w:left="3260" w:hanging="1134"/>
      </w:pPr>
      <w:rPr>
        <w:rFonts w:hint="eastAsia"/>
      </w:rPr>
    </w:lvl>
    <w:lvl w:ilvl="6" w:tentative="0">
      <w:start w:val="1"/>
      <w:numFmt w:val="decimal"/>
      <w:pStyle w:val="451"/>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2">
    <w:nsid w:val="097907D7"/>
    <w:multiLevelType w:val="multilevel"/>
    <w:tmpl w:val="097907D7"/>
    <w:lvl w:ilvl="0" w:tentative="0">
      <w:start w:val="1"/>
      <w:numFmt w:val="decimal"/>
      <w:pStyle w:val="306"/>
      <w:lvlText w:val="(%1)"/>
      <w:lvlJc w:val="left"/>
      <w:pPr>
        <w:tabs>
          <w:tab w:val="left" w:pos="8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14AE7DE2"/>
    <w:multiLevelType w:val="singleLevel"/>
    <w:tmpl w:val="14AE7DE2"/>
    <w:lvl w:ilvl="0" w:tentative="0">
      <w:start w:val="1"/>
      <w:numFmt w:val="decimal"/>
      <w:pStyle w:val="12"/>
      <w:lvlText w:val="%1."/>
      <w:lvlJc w:val="left"/>
      <w:pPr>
        <w:tabs>
          <w:tab w:val="left" w:pos="360"/>
        </w:tabs>
        <w:ind w:left="360" w:hanging="360"/>
      </w:pPr>
    </w:lvl>
  </w:abstractNum>
  <w:abstractNum w:abstractNumId="4">
    <w:nsid w:val="1B500F07"/>
    <w:multiLevelType w:val="multilevel"/>
    <w:tmpl w:val="1B500F07"/>
    <w:lvl w:ilvl="0" w:tentative="0">
      <w:start w:val="1"/>
      <w:numFmt w:val="chineseCounting"/>
      <w:lvlText w:val="%1."/>
      <w:lvlJc w:val="left"/>
      <w:pPr>
        <w:ind w:left="432" w:hanging="432"/>
      </w:pPr>
      <w:rPr>
        <w:rFonts w:hint="eastAsia" w:ascii="宋体" w:hAnsi="宋体" w:eastAsia="宋体" w:cs="宋体"/>
      </w:rPr>
    </w:lvl>
    <w:lvl w:ilvl="1" w:tentative="0">
      <w:start w:val="1"/>
      <w:numFmt w:val="decimal"/>
      <w:isLgl/>
      <w:lvlText w:val="%1.%2."/>
      <w:lvlJc w:val="left"/>
      <w:pPr>
        <w:ind w:left="575" w:hanging="575"/>
      </w:pPr>
      <w:rPr>
        <w:rFonts w:hint="eastAsia" w:ascii="宋体" w:hAnsi="宋体" w:eastAsia="宋体" w:cs="宋体"/>
      </w:rPr>
    </w:lvl>
    <w:lvl w:ilvl="2" w:tentative="0">
      <w:start w:val="1"/>
      <w:numFmt w:val="decimal"/>
      <w:isLgl/>
      <w:lvlText w:val="%1.%2.%3."/>
      <w:lvlJc w:val="left"/>
      <w:pPr>
        <w:ind w:left="720" w:hanging="720"/>
      </w:pPr>
      <w:rPr>
        <w:rFonts w:hint="eastAsia" w:ascii="宋体" w:hAnsi="宋体" w:eastAsia="宋体" w:cs="宋体"/>
      </w:rPr>
    </w:lvl>
    <w:lvl w:ilvl="3" w:tentative="0">
      <w:start w:val="1"/>
      <w:numFmt w:val="decimal"/>
      <w:isLgl/>
      <w:lvlText w:val="%1.%2.%3.%4."/>
      <w:lvlJc w:val="left"/>
      <w:pPr>
        <w:ind w:left="864" w:hanging="864"/>
      </w:pPr>
      <w:rPr>
        <w:rFonts w:hint="eastAsia" w:ascii="宋体" w:hAnsi="宋体" w:eastAsia="宋体" w:cs="宋体"/>
      </w:rPr>
    </w:lvl>
    <w:lvl w:ilvl="4" w:tentative="0">
      <w:start w:val="1"/>
      <w:numFmt w:val="decimal"/>
      <w:isLgl/>
      <w:lvlText w:val="%1.%2.%3.%4.%5."/>
      <w:lvlJc w:val="left"/>
      <w:pPr>
        <w:ind w:left="1008" w:hanging="1008"/>
      </w:pPr>
      <w:rPr>
        <w:rFonts w:hint="eastAsia" w:ascii="宋体" w:hAnsi="宋体" w:eastAsia="宋体" w:cs="宋体"/>
      </w:rPr>
    </w:lvl>
    <w:lvl w:ilvl="5" w:tentative="0">
      <w:start w:val="1"/>
      <w:numFmt w:val="decimal"/>
      <w:isLgl/>
      <w:lvlText w:val="%1.%2.%3.%4.%5.%6."/>
      <w:lvlJc w:val="left"/>
      <w:pPr>
        <w:ind w:left="1151" w:hanging="1151"/>
      </w:pPr>
      <w:rPr>
        <w:rFonts w:hint="eastAsia" w:ascii="宋体" w:hAnsi="宋体" w:eastAsia="宋体" w:cs="宋体"/>
      </w:rPr>
    </w:lvl>
    <w:lvl w:ilvl="6" w:tentative="0">
      <w:start w:val="1"/>
      <w:numFmt w:val="decimal"/>
      <w:pStyle w:val="8"/>
      <w:isLgl/>
      <w:lvlText w:val="%1.%2.%3.%4.%5.%6.%7."/>
      <w:lvlJc w:val="left"/>
      <w:pPr>
        <w:ind w:left="1296" w:hanging="1296"/>
      </w:pPr>
      <w:rPr>
        <w:rFonts w:hint="eastAsia" w:ascii="宋体" w:hAnsi="宋体" w:eastAsia="宋体" w:cs="宋体"/>
      </w:rPr>
    </w:lvl>
    <w:lvl w:ilvl="7" w:tentative="0">
      <w:start w:val="1"/>
      <w:numFmt w:val="decimal"/>
      <w:pStyle w:val="9"/>
      <w:isLgl/>
      <w:lvlText w:val="%1.%2.%3.%4.%5.%6.%7.%8."/>
      <w:lvlJc w:val="left"/>
      <w:pPr>
        <w:ind w:left="1440" w:hanging="1440"/>
      </w:pPr>
      <w:rPr>
        <w:rFonts w:hint="eastAsia" w:ascii="宋体" w:hAnsi="宋体" w:eastAsia="宋体" w:cs="宋体"/>
      </w:rPr>
    </w:lvl>
    <w:lvl w:ilvl="8" w:tentative="0">
      <w:start w:val="1"/>
      <w:numFmt w:val="decimal"/>
      <w:pStyle w:val="10"/>
      <w:isLgl/>
      <w:lvlText w:val="%1.%2.%3.%4.%5.%6.%7.%8.%9."/>
      <w:lvlJc w:val="left"/>
      <w:pPr>
        <w:ind w:left="1583" w:hanging="1583"/>
      </w:pPr>
      <w:rPr>
        <w:rFonts w:hint="eastAsia" w:ascii="宋体" w:hAnsi="宋体" w:eastAsia="宋体" w:cs="宋体"/>
      </w:rPr>
    </w:lvl>
  </w:abstractNum>
  <w:abstractNum w:abstractNumId="5">
    <w:nsid w:val="63852405"/>
    <w:multiLevelType w:val="multilevel"/>
    <w:tmpl w:val="63852405"/>
    <w:lvl w:ilvl="0" w:tentative="0">
      <w:start w:val="1"/>
      <w:numFmt w:val="decimal"/>
      <w:pStyle w:val="381"/>
      <w:lvlText w:val="%1."/>
      <w:lvlJc w:val="left"/>
      <w:pPr>
        <w:tabs>
          <w:tab w:val="left" w:pos="779"/>
        </w:tabs>
        <w:ind w:left="779" w:hanging="420"/>
      </w:pPr>
    </w:lvl>
    <w:lvl w:ilvl="1" w:tentative="0">
      <w:start w:val="1"/>
      <w:numFmt w:val="lowerLetter"/>
      <w:lvlText w:val="%2)"/>
      <w:lvlJc w:val="left"/>
      <w:pPr>
        <w:tabs>
          <w:tab w:val="left" w:pos="1199"/>
        </w:tabs>
        <w:ind w:left="1199" w:hanging="420"/>
      </w:pPr>
    </w:lvl>
    <w:lvl w:ilvl="2" w:tentative="0">
      <w:start w:val="1"/>
      <w:numFmt w:val="lowerRoman"/>
      <w:lvlText w:val="%3."/>
      <w:lvlJc w:val="right"/>
      <w:pPr>
        <w:tabs>
          <w:tab w:val="left" w:pos="1619"/>
        </w:tabs>
        <w:ind w:left="1619" w:hanging="420"/>
      </w:pPr>
    </w:lvl>
    <w:lvl w:ilvl="3" w:tentative="0">
      <w:start w:val="1"/>
      <w:numFmt w:val="decimal"/>
      <w:lvlText w:val="%4."/>
      <w:lvlJc w:val="left"/>
      <w:pPr>
        <w:tabs>
          <w:tab w:val="left" w:pos="2039"/>
        </w:tabs>
        <w:ind w:left="2039" w:hanging="420"/>
      </w:pPr>
    </w:lvl>
    <w:lvl w:ilvl="4" w:tentative="0">
      <w:start w:val="1"/>
      <w:numFmt w:val="lowerLetter"/>
      <w:lvlText w:val="%5)"/>
      <w:lvlJc w:val="left"/>
      <w:pPr>
        <w:tabs>
          <w:tab w:val="left" w:pos="2459"/>
        </w:tabs>
        <w:ind w:left="2459" w:hanging="420"/>
      </w:pPr>
    </w:lvl>
    <w:lvl w:ilvl="5" w:tentative="0">
      <w:start w:val="1"/>
      <w:numFmt w:val="lowerRoman"/>
      <w:lvlText w:val="%6."/>
      <w:lvlJc w:val="right"/>
      <w:pPr>
        <w:tabs>
          <w:tab w:val="left" w:pos="2879"/>
        </w:tabs>
        <w:ind w:left="2879" w:hanging="420"/>
      </w:pPr>
    </w:lvl>
    <w:lvl w:ilvl="6" w:tentative="0">
      <w:start w:val="1"/>
      <w:numFmt w:val="decimal"/>
      <w:lvlText w:val="%7."/>
      <w:lvlJc w:val="left"/>
      <w:pPr>
        <w:tabs>
          <w:tab w:val="left" w:pos="3299"/>
        </w:tabs>
        <w:ind w:left="3299" w:hanging="420"/>
      </w:pPr>
    </w:lvl>
    <w:lvl w:ilvl="7" w:tentative="0">
      <w:start w:val="1"/>
      <w:numFmt w:val="lowerLetter"/>
      <w:lvlText w:val="%8)"/>
      <w:lvlJc w:val="left"/>
      <w:pPr>
        <w:tabs>
          <w:tab w:val="left" w:pos="3719"/>
        </w:tabs>
        <w:ind w:left="3719" w:hanging="420"/>
      </w:pPr>
    </w:lvl>
    <w:lvl w:ilvl="8" w:tentative="0">
      <w:start w:val="1"/>
      <w:numFmt w:val="lowerRoman"/>
      <w:lvlText w:val="%9."/>
      <w:lvlJc w:val="right"/>
      <w:pPr>
        <w:tabs>
          <w:tab w:val="left" w:pos="4139"/>
        </w:tabs>
        <w:ind w:left="4139" w:hanging="420"/>
      </w:pPr>
    </w:lvl>
  </w:abstractNum>
  <w:num w:numId="1">
    <w:abstractNumId w:val="4"/>
  </w:num>
  <w:num w:numId="2">
    <w:abstractNumId w:val="3"/>
  </w:num>
  <w:num w:numId="3">
    <w:abstractNumId w:val="2"/>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hideSpellingErrors/>
  <w:documentProtection w:enforcement="0"/>
  <w:defaultTabStop w:val="424"/>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3,4"/>
    </o:shapelayout>
  </w:hdrShapeDefaults>
  <w:compat>
    <w:spaceForUL/>
    <w:balanceSingleByteDoubleByteWidth/>
    <w:doNotLeaveBackslashAlon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 w:name="KSO_WPS_MARK_KEY" w:val="720c598d-300e-48de-ad77-f67f82e13312"/>
  </w:docVars>
  <w:rsids>
    <w:rsidRoot w:val="00A21078"/>
    <w:rsid w:val="000001DD"/>
    <w:rsid w:val="00000416"/>
    <w:rsid w:val="000007C7"/>
    <w:rsid w:val="00001193"/>
    <w:rsid w:val="000012D0"/>
    <w:rsid w:val="00001932"/>
    <w:rsid w:val="00002418"/>
    <w:rsid w:val="0000241B"/>
    <w:rsid w:val="000026CF"/>
    <w:rsid w:val="00002713"/>
    <w:rsid w:val="0000291B"/>
    <w:rsid w:val="00002AF6"/>
    <w:rsid w:val="00002B38"/>
    <w:rsid w:val="00002CC3"/>
    <w:rsid w:val="00002DAF"/>
    <w:rsid w:val="000030C1"/>
    <w:rsid w:val="00003394"/>
    <w:rsid w:val="00003547"/>
    <w:rsid w:val="00003FD6"/>
    <w:rsid w:val="0000405C"/>
    <w:rsid w:val="00004374"/>
    <w:rsid w:val="00004EAB"/>
    <w:rsid w:val="00004EFD"/>
    <w:rsid w:val="00005479"/>
    <w:rsid w:val="000054BE"/>
    <w:rsid w:val="00005A2B"/>
    <w:rsid w:val="000062FE"/>
    <w:rsid w:val="00006587"/>
    <w:rsid w:val="000067DF"/>
    <w:rsid w:val="00006963"/>
    <w:rsid w:val="00007097"/>
    <w:rsid w:val="00007211"/>
    <w:rsid w:val="000072A0"/>
    <w:rsid w:val="00007A2A"/>
    <w:rsid w:val="00007E1B"/>
    <w:rsid w:val="00007F83"/>
    <w:rsid w:val="00010154"/>
    <w:rsid w:val="000101A8"/>
    <w:rsid w:val="000105AA"/>
    <w:rsid w:val="00010641"/>
    <w:rsid w:val="000107A4"/>
    <w:rsid w:val="000111B4"/>
    <w:rsid w:val="0001131E"/>
    <w:rsid w:val="000123A6"/>
    <w:rsid w:val="000129F1"/>
    <w:rsid w:val="00012F3D"/>
    <w:rsid w:val="00013089"/>
    <w:rsid w:val="00013235"/>
    <w:rsid w:val="000134D5"/>
    <w:rsid w:val="00013E6F"/>
    <w:rsid w:val="00014087"/>
    <w:rsid w:val="000141BE"/>
    <w:rsid w:val="00014307"/>
    <w:rsid w:val="0001480F"/>
    <w:rsid w:val="000156B4"/>
    <w:rsid w:val="0001575F"/>
    <w:rsid w:val="000159BF"/>
    <w:rsid w:val="000161EB"/>
    <w:rsid w:val="000162CB"/>
    <w:rsid w:val="000163E7"/>
    <w:rsid w:val="00016724"/>
    <w:rsid w:val="00016892"/>
    <w:rsid w:val="0001690F"/>
    <w:rsid w:val="00016A8C"/>
    <w:rsid w:val="00016B3A"/>
    <w:rsid w:val="00016CB0"/>
    <w:rsid w:val="00016EBB"/>
    <w:rsid w:val="000170F3"/>
    <w:rsid w:val="000173C8"/>
    <w:rsid w:val="00017BE9"/>
    <w:rsid w:val="00017C95"/>
    <w:rsid w:val="00017E2C"/>
    <w:rsid w:val="00017FDA"/>
    <w:rsid w:val="000202DF"/>
    <w:rsid w:val="000207FD"/>
    <w:rsid w:val="00020BD0"/>
    <w:rsid w:val="00020F88"/>
    <w:rsid w:val="0002140F"/>
    <w:rsid w:val="00021A39"/>
    <w:rsid w:val="00021B69"/>
    <w:rsid w:val="00021B8C"/>
    <w:rsid w:val="00021DD3"/>
    <w:rsid w:val="00021EC5"/>
    <w:rsid w:val="0002297D"/>
    <w:rsid w:val="00022F5E"/>
    <w:rsid w:val="00023146"/>
    <w:rsid w:val="00024837"/>
    <w:rsid w:val="00025194"/>
    <w:rsid w:val="000253D2"/>
    <w:rsid w:val="0002557B"/>
    <w:rsid w:val="000258E1"/>
    <w:rsid w:val="00025E3B"/>
    <w:rsid w:val="00026470"/>
    <w:rsid w:val="0002648E"/>
    <w:rsid w:val="000273FE"/>
    <w:rsid w:val="000274D9"/>
    <w:rsid w:val="000274E3"/>
    <w:rsid w:val="000277E1"/>
    <w:rsid w:val="00030D67"/>
    <w:rsid w:val="00030E86"/>
    <w:rsid w:val="00031014"/>
    <w:rsid w:val="000313A4"/>
    <w:rsid w:val="00031453"/>
    <w:rsid w:val="00031AB7"/>
    <w:rsid w:val="00031B31"/>
    <w:rsid w:val="000320AF"/>
    <w:rsid w:val="00032A6B"/>
    <w:rsid w:val="00032B7D"/>
    <w:rsid w:val="00032B8C"/>
    <w:rsid w:val="00033506"/>
    <w:rsid w:val="000343CA"/>
    <w:rsid w:val="0003443D"/>
    <w:rsid w:val="00034746"/>
    <w:rsid w:val="00034A12"/>
    <w:rsid w:val="00034E42"/>
    <w:rsid w:val="0003521E"/>
    <w:rsid w:val="00035937"/>
    <w:rsid w:val="00035F18"/>
    <w:rsid w:val="000361EA"/>
    <w:rsid w:val="00036355"/>
    <w:rsid w:val="00036537"/>
    <w:rsid w:val="00037D44"/>
    <w:rsid w:val="0004067B"/>
    <w:rsid w:val="00040B0F"/>
    <w:rsid w:val="00040DF3"/>
    <w:rsid w:val="00040FFB"/>
    <w:rsid w:val="00041180"/>
    <w:rsid w:val="000413B7"/>
    <w:rsid w:val="00041A62"/>
    <w:rsid w:val="00041C3B"/>
    <w:rsid w:val="00041F03"/>
    <w:rsid w:val="0004218D"/>
    <w:rsid w:val="000421B3"/>
    <w:rsid w:val="000421E6"/>
    <w:rsid w:val="000422F0"/>
    <w:rsid w:val="00042498"/>
    <w:rsid w:val="0004267B"/>
    <w:rsid w:val="00042A69"/>
    <w:rsid w:val="00042E3D"/>
    <w:rsid w:val="00042FFA"/>
    <w:rsid w:val="000430D5"/>
    <w:rsid w:val="00043169"/>
    <w:rsid w:val="0004346B"/>
    <w:rsid w:val="000436A7"/>
    <w:rsid w:val="00043998"/>
    <w:rsid w:val="00043B3F"/>
    <w:rsid w:val="00043FF3"/>
    <w:rsid w:val="000450DA"/>
    <w:rsid w:val="00045E5D"/>
    <w:rsid w:val="00045F72"/>
    <w:rsid w:val="00046B40"/>
    <w:rsid w:val="00046CDE"/>
    <w:rsid w:val="00046F86"/>
    <w:rsid w:val="00047F83"/>
    <w:rsid w:val="00050840"/>
    <w:rsid w:val="00050AD7"/>
    <w:rsid w:val="00050DD5"/>
    <w:rsid w:val="00050EA2"/>
    <w:rsid w:val="0005148F"/>
    <w:rsid w:val="00051742"/>
    <w:rsid w:val="00051E14"/>
    <w:rsid w:val="00051E2B"/>
    <w:rsid w:val="0005226D"/>
    <w:rsid w:val="00052290"/>
    <w:rsid w:val="00052436"/>
    <w:rsid w:val="00052BAA"/>
    <w:rsid w:val="00052BAF"/>
    <w:rsid w:val="000530B8"/>
    <w:rsid w:val="00053223"/>
    <w:rsid w:val="000540E8"/>
    <w:rsid w:val="00054319"/>
    <w:rsid w:val="0005452A"/>
    <w:rsid w:val="000548E1"/>
    <w:rsid w:val="000553D1"/>
    <w:rsid w:val="00055893"/>
    <w:rsid w:val="000559E2"/>
    <w:rsid w:val="00055CA8"/>
    <w:rsid w:val="00055D2D"/>
    <w:rsid w:val="000562B9"/>
    <w:rsid w:val="0005650D"/>
    <w:rsid w:val="0005687F"/>
    <w:rsid w:val="00057031"/>
    <w:rsid w:val="00057281"/>
    <w:rsid w:val="00057EE7"/>
    <w:rsid w:val="00057FB5"/>
    <w:rsid w:val="00060901"/>
    <w:rsid w:val="000609A0"/>
    <w:rsid w:val="000609A9"/>
    <w:rsid w:val="000611F0"/>
    <w:rsid w:val="000613E7"/>
    <w:rsid w:val="00061672"/>
    <w:rsid w:val="00061682"/>
    <w:rsid w:val="00061775"/>
    <w:rsid w:val="00061BE0"/>
    <w:rsid w:val="00061E2C"/>
    <w:rsid w:val="00061EBC"/>
    <w:rsid w:val="0006234B"/>
    <w:rsid w:val="0006298A"/>
    <w:rsid w:val="00062A4C"/>
    <w:rsid w:val="0006303A"/>
    <w:rsid w:val="00063327"/>
    <w:rsid w:val="00063782"/>
    <w:rsid w:val="00063788"/>
    <w:rsid w:val="00064455"/>
    <w:rsid w:val="00064B5D"/>
    <w:rsid w:val="00065399"/>
    <w:rsid w:val="000659E4"/>
    <w:rsid w:val="00065B5E"/>
    <w:rsid w:val="00066082"/>
    <w:rsid w:val="00066088"/>
    <w:rsid w:val="000664A0"/>
    <w:rsid w:val="000664AA"/>
    <w:rsid w:val="0007041C"/>
    <w:rsid w:val="000704E8"/>
    <w:rsid w:val="000708B1"/>
    <w:rsid w:val="00070960"/>
    <w:rsid w:val="00070D56"/>
    <w:rsid w:val="0007105D"/>
    <w:rsid w:val="0007142B"/>
    <w:rsid w:val="00071B90"/>
    <w:rsid w:val="00071D5E"/>
    <w:rsid w:val="00072333"/>
    <w:rsid w:val="0007268E"/>
    <w:rsid w:val="0007273A"/>
    <w:rsid w:val="0007290C"/>
    <w:rsid w:val="00072912"/>
    <w:rsid w:val="00072A96"/>
    <w:rsid w:val="00072AEC"/>
    <w:rsid w:val="0007302B"/>
    <w:rsid w:val="00073369"/>
    <w:rsid w:val="00073597"/>
    <w:rsid w:val="00073731"/>
    <w:rsid w:val="000738C3"/>
    <w:rsid w:val="00073A3C"/>
    <w:rsid w:val="00073A91"/>
    <w:rsid w:val="00073BD5"/>
    <w:rsid w:val="00073BF5"/>
    <w:rsid w:val="00073D63"/>
    <w:rsid w:val="0007439D"/>
    <w:rsid w:val="00074548"/>
    <w:rsid w:val="000746CA"/>
    <w:rsid w:val="000747DA"/>
    <w:rsid w:val="00074B25"/>
    <w:rsid w:val="0007526C"/>
    <w:rsid w:val="000753B5"/>
    <w:rsid w:val="00075CA6"/>
    <w:rsid w:val="00075D47"/>
    <w:rsid w:val="00075E0D"/>
    <w:rsid w:val="00075EF7"/>
    <w:rsid w:val="00076444"/>
    <w:rsid w:val="0007646A"/>
    <w:rsid w:val="000765CB"/>
    <w:rsid w:val="0007675A"/>
    <w:rsid w:val="00076B83"/>
    <w:rsid w:val="000770A3"/>
    <w:rsid w:val="000771D0"/>
    <w:rsid w:val="00077249"/>
    <w:rsid w:val="00077676"/>
    <w:rsid w:val="000778CD"/>
    <w:rsid w:val="000779EE"/>
    <w:rsid w:val="00077A59"/>
    <w:rsid w:val="00077AB7"/>
    <w:rsid w:val="00077BF9"/>
    <w:rsid w:val="00077F2B"/>
    <w:rsid w:val="000803D4"/>
    <w:rsid w:val="0008086C"/>
    <w:rsid w:val="000809A0"/>
    <w:rsid w:val="00081818"/>
    <w:rsid w:val="00081BB1"/>
    <w:rsid w:val="000825C6"/>
    <w:rsid w:val="0008261F"/>
    <w:rsid w:val="00082A86"/>
    <w:rsid w:val="00082AF6"/>
    <w:rsid w:val="00082CB4"/>
    <w:rsid w:val="00082F73"/>
    <w:rsid w:val="000839DC"/>
    <w:rsid w:val="000844D7"/>
    <w:rsid w:val="00084B40"/>
    <w:rsid w:val="00085163"/>
    <w:rsid w:val="000859AC"/>
    <w:rsid w:val="00085B35"/>
    <w:rsid w:val="00085C13"/>
    <w:rsid w:val="00086438"/>
    <w:rsid w:val="000865B4"/>
    <w:rsid w:val="00087335"/>
    <w:rsid w:val="000873F4"/>
    <w:rsid w:val="000874C1"/>
    <w:rsid w:val="000875A1"/>
    <w:rsid w:val="00087819"/>
    <w:rsid w:val="00087A6D"/>
    <w:rsid w:val="00087B28"/>
    <w:rsid w:val="00087B59"/>
    <w:rsid w:val="000902BA"/>
    <w:rsid w:val="0009073F"/>
    <w:rsid w:val="00090ABB"/>
    <w:rsid w:val="00090FDF"/>
    <w:rsid w:val="00091180"/>
    <w:rsid w:val="00091226"/>
    <w:rsid w:val="000915B9"/>
    <w:rsid w:val="000918E6"/>
    <w:rsid w:val="00091AB0"/>
    <w:rsid w:val="000921EE"/>
    <w:rsid w:val="00092605"/>
    <w:rsid w:val="00092616"/>
    <w:rsid w:val="00092D6A"/>
    <w:rsid w:val="00092D8D"/>
    <w:rsid w:val="0009306E"/>
    <w:rsid w:val="000934BB"/>
    <w:rsid w:val="000936DE"/>
    <w:rsid w:val="00093CB8"/>
    <w:rsid w:val="00094070"/>
    <w:rsid w:val="0009464C"/>
    <w:rsid w:val="00094BBB"/>
    <w:rsid w:val="00094C7C"/>
    <w:rsid w:val="000955DB"/>
    <w:rsid w:val="0009570B"/>
    <w:rsid w:val="00095B23"/>
    <w:rsid w:val="00095C42"/>
    <w:rsid w:val="00095DBB"/>
    <w:rsid w:val="00096065"/>
    <w:rsid w:val="000965B8"/>
    <w:rsid w:val="00096603"/>
    <w:rsid w:val="000967EB"/>
    <w:rsid w:val="00096E5E"/>
    <w:rsid w:val="00096E66"/>
    <w:rsid w:val="00097142"/>
    <w:rsid w:val="000971C5"/>
    <w:rsid w:val="000974FB"/>
    <w:rsid w:val="0009793C"/>
    <w:rsid w:val="00097D16"/>
    <w:rsid w:val="000A03C8"/>
    <w:rsid w:val="000A0C07"/>
    <w:rsid w:val="000A1714"/>
    <w:rsid w:val="000A1A89"/>
    <w:rsid w:val="000A1B2E"/>
    <w:rsid w:val="000A1B7E"/>
    <w:rsid w:val="000A1DC2"/>
    <w:rsid w:val="000A1FA1"/>
    <w:rsid w:val="000A2880"/>
    <w:rsid w:val="000A2C52"/>
    <w:rsid w:val="000A33FA"/>
    <w:rsid w:val="000A37C8"/>
    <w:rsid w:val="000A3C44"/>
    <w:rsid w:val="000A3C50"/>
    <w:rsid w:val="000A47DF"/>
    <w:rsid w:val="000A481C"/>
    <w:rsid w:val="000A4859"/>
    <w:rsid w:val="000A51A7"/>
    <w:rsid w:val="000A5386"/>
    <w:rsid w:val="000A5472"/>
    <w:rsid w:val="000A558D"/>
    <w:rsid w:val="000A561B"/>
    <w:rsid w:val="000A5FB9"/>
    <w:rsid w:val="000A60BA"/>
    <w:rsid w:val="000A614E"/>
    <w:rsid w:val="000A615B"/>
    <w:rsid w:val="000A67B9"/>
    <w:rsid w:val="000A6804"/>
    <w:rsid w:val="000A6A24"/>
    <w:rsid w:val="000A6B83"/>
    <w:rsid w:val="000A6D64"/>
    <w:rsid w:val="000A6FDA"/>
    <w:rsid w:val="000A6FFB"/>
    <w:rsid w:val="000A7450"/>
    <w:rsid w:val="000A769F"/>
    <w:rsid w:val="000A78BA"/>
    <w:rsid w:val="000A7BB1"/>
    <w:rsid w:val="000A7BF4"/>
    <w:rsid w:val="000A7CF0"/>
    <w:rsid w:val="000A7DB3"/>
    <w:rsid w:val="000A7EB4"/>
    <w:rsid w:val="000B0F93"/>
    <w:rsid w:val="000B171F"/>
    <w:rsid w:val="000B1A70"/>
    <w:rsid w:val="000B1C18"/>
    <w:rsid w:val="000B29FD"/>
    <w:rsid w:val="000B2B6A"/>
    <w:rsid w:val="000B3328"/>
    <w:rsid w:val="000B3741"/>
    <w:rsid w:val="000B3A83"/>
    <w:rsid w:val="000B3D96"/>
    <w:rsid w:val="000B3EDD"/>
    <w:rsid w:val="000B44F9"/>
    <w:rsid w:val="000B45F2"/>
    <w:rsid w:val="000B4897"/>
    <w:rsid w:val="000B4976"/>
    <w:rsid w:val="000B4A65"/>
    <w:rsid w:val="000B504E"/>
    <w:rsid w:val="000B53CA"/>
    <w:rsid w:val="000B5915"/>
    <w:rsid w:val="000B6177"/>
    <w:rsid w:val="000B6CE1"/>
    <w:rsid w:val="000B7564"/>
    <w:rsid w:val="000B7873"/>
    <w:rsid w:val="000B7965"/>
    <w:rsid w:val="000C0183"/>
    <w:rsid w:val="000C034D"/>
    <w:rsid w:val="000C0514"/>
    <w:rsid w:val="000C1550"/>
    <w:rsid w:val="000C16B5"/>
    <w:rsid w:val="000C1F8E"/>
    <w:rsid w:val="000C20E3"/>
    <w:rsid w:val="000C2298"/>
    <w:rsid w:val="000C2405"/>
    <w:rsid w:val="000C2916"/>
    <w:rsid w:val="000C2C1A"/>
    <w:rsid w:val="000C2F86"/>
    <w:rsid w:val="000C314C"/>
    <w:rsid w:val="000C33D3"/>
    <w:rsid w:val="000C3475"/>
    <w:rsid w:val="000C3A7A"/>
    <w:rsid w:val="000C3BC1"/>
    <w:rsid w:val="000C3CF3"/>
    <w:rsid w:val="000C3F13"/>
    <w:rsid w:val="000C3F3B"/>
    <w:rsid w:val="000C4EDC"/>
    <w:rsid w:val="000C5410"/>
    <w:rsid w:val="000C554D"/>
    <w:rsid w:val="000C571B"/>
    <w:rsid w:val="000C5D65"/>
    <w:rsid w:val="000C5D9D"/>
    <w:rsid w:val="000C5EF0"/>
    <w:rsid w:val="000C61B0"/>
    <w:rsid w:val="000C62E2"/>
    <w:rsid w:val="000C6A38"/>
    <w:rsid w:val="000C6E53"/>
    <w:rsid w:val="000C7124"/>
    <w:rsid w:val="000C715D"/>
    <w:rsid w:val="000C7404"/>
    <w:rsid w:val="000C75E7"/>
    <w:rsid w:val="000D0525"/>
    <w:rsid w:val="000D0EC7"/>
    <w:rsid w:val="000D0ED8"/>
    <w:rsid w:val="000D125D"/>
    <w:rsid w:val="000D16AB"/>
    <w:rsid w:val="000D172F"/>
    <w:rsid w:val="000D226F"/>
    <w:rsid w:val="000D27FB"/>
    <w:rsid w:val="000D2872"/>
    <w:rsid w:val="000D2E79"/>
    <w:rsid w:val="000D2F32"/>
    <w:rsid w:val="000D306F"/>
    <w:rsid w:val="000D3248"/>
    <w:rsid w:val="000D47CB"/>
    <w:rsid w:val="000D48C8"/>
    <w:rsid w:val="000D4C4A"/>
    <w:rsid w:val="000D5478"/>
    <w:rsid w:val="000D55C7"/>
    <w:rsid w:val="000D563F"/>
    <w:rsid w:val="000D57BE"/>
    <w:rsid w:val="000D5A02"/>
    <w:rsid w:val="000D5D91"/>
    <w:rsid w:val="000D60DD"/>
    <w:rsid w:val="000D612B"/>
    <w:rsid w:val="000D612C"/>
    <w:rsid w:val="000D6371"/>
    <w:rsid w:val="000D63CF"/>
    <w:rsid w:val="000D68DA"/>
    <w:rsid w:val="000D6D3B"/>
    <w:rsid w:val="000D6E63"/>
    <w:rsid w:val="000D6E86"/>
    <w:rsid w:val="000D6E92"/>
    <w:rsid w:val="000D7187"/>
    <w:rsid w:val="000D782E"/>
    <w:rsid w:val="000D784C"/>
    <w:rsid w:val="000D7D53"/>
    <w:rsid w:val="000E0452"/>
    <w:rsid w:val="000E0B0A"/>
    <w:rsid w:val="000E0D8D"/>
    <w:rsid w:val="000E0E5C"/>
    <w:rsid w:val="000E0F20"/>
    <w:rsid w:val="000E131B"/>
    <w:rsid w:val="000E1687"/>
    <w:rsid w:val="000E199E"/>
    <w:rsid w:val="000E1CD9"/>
    <w:rsid w:val="000E203B"/>
    <w:rsid w:val="000E213D"/>
    <w:rsid w:val="000E313C"/>
    <w:rsid w:val="000E4677"/>
    <w:rsid w:val="000E482A"/>
    <w:rsid w:val="000E5349"/>
    <w:rsid w:val="000E545A"/>
    <w:rsid w:val="000E5B62"/>
    <w:rsid w:val="000E5BF2"/>
    <w:rsid w:val="000E60A7"/>
    <w:rsid w:val="000E7548"/>
    <w:rsid w:val="000E7B0A"/>
    <w:rsid w:val="000F0112"/>
    <w:rsid w:val="000F030A"/>
    <w:rsid w:val="000F09A2"/>
    <w:rsid w:val="000F0A90"/>
    <w:rsid w:val="000F0AB3"/>
    <w:rsid w:val="000F0BEC"/>
    <w:rsid w:val="000F13B3"/>
    <w:rsid w:val="000F16C0"/>
    <w:rsid w:val="000F180B"/>
    <w:rsid w:val="000F226E"/>
    <w:rsid w:val="000F24D0"/>
    <w:rsid w:val="000F303D"/>
    <w:rsid w:val="000F3053"/>
    <w:rsid w:val="000F350B"/>
    <w:rsid w:val="000F3776"/>
    <w:rsid w:val="000F3BCD"/>
    <w:rsid w:val="000F3D67"/>
    <w:rsid w:val="000F40CD"/>
    <w:rsid w:val="000F42A3"/>
    <w:rsid w:val="000F452B"/>
    <w:rsid w:val="000F47D9"/>
    <w:rsid w:val="000F48EF"/>
    <w:rsid w:val="000F4C18"/>
    <w:rsid w:val="000F57B2"/>
    <w:rsid w:val="000F5E28"/>
    <w:rsid w:val="000F5F6F"/>
    <w:rsid w:val="000F6247"/>
    <w:rsid w:val="000F63AE"/>
    <w:rsid w:val="000F6950"/>
    <w:rsid w:val="000F6C46"/>
    <w:rsid w:val="000F6DD8"/>
    <w:rsid w:val="000F6DEE"/>
    <w:rsid w:val="000F6EF1"/>
    <w:rsid w:val="000F744F"/>
    <w:rsid w:val="000F74FB"/>
    <w:rsid w:val="000F7865"/>
    <w:rsid w:val="000F7BBA"/>
    <w:rsid w:val="000F7C20"/>
    <w:rsid w:val="0010042B"/>
    <w:rsid w:val="00100577"/>
    <w:rsid w:val="0010087A"/>
    <w:rsid w:val="00100E7A"/>
    <w:rsid w:val="00100F3D"/>
    <w:rsid w:val="00101336"/>
    <w:rsid w:val="00101542"/>
    <w:rsid w:val="001018F8"/>
    <w:rsid w:val="00101B2D"/>
    <w:rsid w:val="00101C23"/>
    <w:rsid w:val="00101E4F"/>
    <w:rsid w:val="001020AE"/>
    <w:rsid w:val="0010278B"/>
    <w:rsid w:val="0010285C"/>
    <w:rsid w:val="001029E7"/>
    <w:rsid w:val="00102B8F"/>
    <w:rsid w:val="00103265"/>
    <w:rsid w:val="00103400"/>
    <w:rsid w:val="001034CA"/>
    <w:rsid w:val="0010364F"/>
    <w:rsid w:val="0010366D"/>
    <w:rsid w:val="00103CC5"/>
    <w:rsid w:val="00103E0F"/>
    <w:rsid w:val="00103F2A"/>
    <w:rsid w:val="00104009"/>
    <w:rsid w:val="00104850"/>
    <w:rsid w:val="00104983"/>
    <w:rsid w:val="00105AE5"/>
    <w:rsid w:val="00105D31"/>
    <w:rsid w:val="00105D7C"/>
    <w:rsid w:val="00106231"/>
    <w:rsid w:val="00106D72"/>
    <w:rsid w:val="00106DEC"/>
    <w:rsid w:val="00106EC9"/>
    <w:rsid w:val="00107796"/>
    <w:rsid w:val="00107C9F"/>
    <w:rsid w:val="00107E48"/>
    <w:rsid w:val="00110334"/>
    <w:rsid w:val="001104EF"/>
    <w:rsid w:val="00110B44"/>
    <w:rsid w:val="0011141D"/>
    <w:rsid w:val="00111B37"/>
    <w:rsid w:val="00111E0A"/>
    <w:rsid w:val="00111F12"/>
    <w:rsid w:val="0011216F"/>
    <w:rsid w:val="001128DD"/>
    <w:rsid w:val="00112B14"/>
    <w:rsid w:val="00112F38"/>
    <w:rsid w:val="00113BCC"/>
    <w:rsid w:val="00113F47"/>
    <w:rsid w:val="00114520"/>
    <w:rsid w:val="0011485F"/>
    <w:rsid w:val="00114C77"/>
    <w:rsid w:val="00114E06"/>
    <w:rsid w:val="001157E4"/>
    <w:rsid w:val="00115802"/>
    <w:rsid w:val="00115D63"/>
    <w:rsid w:val="00115F05"/>
    <w:rsid w:val="00116821"/>
    <w:rsid w:val="00116C62"/>
    <w:rsid w:val="00116F8A"/>
    <w:rsid w:val="00117883"/>
    <w:rsid w:val="00117B44"/>
    <w:rsid w:val="00117BF0"/>
    <w:rsid w:val="00117CBB"/>
    <w:rsid w:val="0012009A"/>
    <w:rsid w:val="0012036E"/>
    <w:rsid w:val="001203DD"/>
    <w:rsid w:val="00120873"/>
    <w:rsid w:val="00120995"/>
    <w:rsid w:val="001210CD"/>
    <w:rsid w:val="001212CF"/>
    <w:rsid w:val="00121709"/>
    <w:rsid w:val="0012173D"/>
    <w:rsid w:val="00121877"/>
    <w:rsid w:val="00121D94"/>
    <w:rsid w:val="00122907"/>
    <w:rsid w:val="00122AB2"/>
    <w:rsid w:val="00122BDB"/>
    <w:rsid w:val="00122C80"/>
    <w:rsid w:val="00122DDB"/>
    <w:rsid w:val="001233B3"/>
    <w:rsid w:val="00123531"/>
    <w:rsid w:val="0012356E"/>
    <w:rsid w:val="00123B62"/>
    <w:rsid w:val="00123D62"/>
    <w:rsid w:val="00124243"/>
    <w:rsid w:val="001246EC"/>
    <w:rsid w:val="0012472D"/>
    <w:rsid w:val="00124810"/>
    <w:rsid w:val="00124B99"/>
    <w:rsid w:val="0012504B"/>
    <w:rsid w:val="0012509F"/>
    <w:rsid w:val="001251F4"/>
    <w:rsid w:val="00125708"/>
    <w:rsid w:val="00125756"/>
    <w:rsid w:val="00125971"/>
    <w:rsid w:val="00125B78"/>
    <w:rsid w:val="00125B7B"/>
    <w:rsid w:val="00125EC7"/>
    <w:rsid w:val="00125F73"/>
    <w:rsid w:val="001261D9"/>
    <w:rsid w:val="0012621F"/>
    <w:rsid w:val="00126AB0"/>
    <w:rsid w:val="00126D0C"/>
    <w:rsid w:val="00126F18"/>
    <w:rsid w:val="0012723B"/>
    <w:rsid w:val="0012778E"/>
    <w:rsid w:val="001279CA"/>
    <w:rsid w:val="00127CEC"/>
    <w:rsid w:val="00127CED"/>
    <w:rsid w:val="00127E84"/>
    <w:rsid w:val="00127F49"/>
    <w:rsid w:val="00130256"/>
    <w:rsid w:val="00130571"/>
    <w:rsid w:val="00131DA9"/>
    <w:rsid w:val="00131EC2"/>
    <w:rsid w:val="00131F9F"/>
    <w:rsid w:val="001320ED"/>
    <w:rsid w:val="00132B9C"/>
    <w:rsid w:val="00132BD5"/>
    <w:rsid w:val="0013319F"/>
    <w:rsid w:val="00133449"/>
    <w:rsid w:val="001341F7"/>
    <w:rsid w:val="00134827"/>
    <w:rsid w:val="00134B04"/>
    <w:rsid w:val="001350B4"/>
    <w:rsid w:val="0013580A"/>
    <w:rsid w:val="00135A7C"/>
    <w:rsid w:val="00135F16"/>
    <w:rsid w:val="0013609E"/>
    <w:rsid w:val="00136754"/>
    <w:rsid w:val="0013696C"/>
    <w:rsid w:val="00136AE4"/>
    <w:rsid w:val="00136C0B"/>
    <w:rsid w:val="00136D32"/>
    <w:rsid w:val="00137774"/>
    <w:rsid w:val="00137994"/>
    <w:rsid w:val="00137E64"/>
    <w:rsid w:val="00140256"/>
    <w:rsid w:val="0014040D"/>
    <w:rsid w:val="00141382"/>
    <w:rsid w:val="0014146E"/>
    <w:rsid w:val="00141629"/>
    <w:rsid w:val="00142044"/>
    <w:rsid w:val="001420D7"/>
    <w:rsid w:val="0014229D"/>
    <w:rsid w:val="00142C47"/>
    <w:rsid w:val="00143168"/>
    <w:rsid w:val="001435A9"/>
    <w:rsid w:val="00143901"/>
    <w:rsid w:val="00143E51"/>
    <w:rsid w:val="00144125"/>
    <w:rsid w:val="00144215"/>
    <w:rsid w:val="001443EA"/>
    <w:rsid w:val="00144AE2"/>
    <w:rsid w:val="00144C4D"/>
    <w:rsid w:val="00144E1C"/>
    <w:rsid w:val="00144EBF"/>
    <w:rsid w:val="00145112"/>
    <w:rsid w:val="001462B6"/>
    <w:rsid w:val="001465AB"/>
    <w:rsid w:val="0014661E"/>
    <w:rsid w:val="0014677E"/>
    <w:rsid w:val="00146B2F"/>
    <w:rsid w:val="00146D1E"/>
    <w:rsid w:val="00146D29"/>
    <w:rsid w:val="00146E8B"/>
    <w:rsid w:val="0014785E"/>
    <w:rsid w:val="00147D40"/>
    <w:rsid w:val="001501A9"/>
    <w:rsid w:val="001504D7"/>
    <w:rsid w:val="0015098B"/>
    <w:rsid w:val="00150C1A"/>
    <w:rsid w:val="00150C8E"/>
    <w:rsid w:val="001512E5"/>
    <w:rsid w:val="00151D3E"/>
    <w:rsid w:val="00151DB0"/>
    <w:rsid w:val="00151EC8"/>
    <w:rsid w:val="0015213D"/>
    <w:rsid w:val="001521DD"/>
    <w:rsid w:val="001521FE"/>
    <w:rsid w:val="001522C2"/>
    <w:rsid w:val="001523DF"/>
    <w:rsid w:val="0015290A"/>
    <w:rsid w:val="001529F8"/>
    <w:rsid w:val="00152ACF"/>
    <w:rsid w:val="00152C40"/>
    <w:rsid w:val="001533A5"/>
    <w:rsid w:val="00153466"/>
    <w:rsid w:val="001534B3"/>
    <w:rsid w:val="0015351D"/>
    <w:rsid w:val="00153884"/>
    <w:rsid w:val="001538A3"/>
    <w:rsid w:val="00153906"/>
    <w:rsid w:val="00153C9D"/>
    <w:rsid w:val="0015460E"/>
    <w:rsid w:val="00154666"/>
    <w:rsid w:val="00154760"/>
    <w:rsid w:val="00154E81"/>
    <w:rsid w:val="0015534F"/>
    <w:rsid w:val="001555F9"/>
    <w:rsid w:val="00155DF7"/>
    <w:rsid w:val="00155E75"/>
    <w:rsid w:val="00155EDE"/>
    <w:rsid w:val="00156B9B"/>
    <w:rsid w:val="001572F2"/>
    <w:rsid w:val="00157ECD"/>
    <w:rsid w:val="0016095C"/>
    <w:rsid w:val="00160E34"/>
    <w:rsid w:val="00160FC7"/>
    <w:rsid w:val="0016101A"/>
    <w:rsid w:val="00161082"/>
    <w:rsid w:val="00161182"/>
    <w:rsid w:val="0016147C"/>
    <w:rsid w:val="00161844"/>
    <w:rsid w:val="001619E9"/>
    <w:rsid w:val="00161C98"/>
    <w:rsid w:val="00162364"/>
    <w:rsid w:val="00162787"/>
    <w:rsid w:val="00162A49"/>
    <w:rsid w:val="00162B24"/>
    <w:rsid w:val="00162BB3"/>
    <w:rsid w:val="00162F61"/>
    <w:rsid w:val="00163668"/>
    <w:rsid w:val="00163A9C"/>
    <w:rsid w:val="00163DB3"/>
    <w:rsid w:val="001642A1"/>
    <w:rsid w:val="0016458A"/>
    <w:rsid w:val="00164A48"/>
    <w:rsid w:val="00164F51"/>
    <w:rsid w:val="00165890"/>
    <w:rsid w:val="00165A32"/>
    <w:rsid w:val="001661CD"/>
    <w:rsid w:val="00166252"/>
    <w:rsid w:val="0016659D"/>
    <w:rsid w:val="00166B51"/>
    <w:rsid w:val="00166C76"/>
    <w:rsid w:val="001678CD"/>
    <w:rsid w:val="00167E63"/>
    <w:rsid w:val="0017004F"/>
    <w:rsid w:val="0017050E"/>
    <w:rsid w:val="0017051C"/>
    <w:rsid w:val="00170789"/>
    <w:rsid w:val="001709AF"/>
    <w:rsid w:val="00170F41"/>
    <w:rsid w:val="00171121"/>
    <w:rsid w:val="001714C8"/>
    <w:rsid w:val="001714E5"/>
    <w:rsid w:val="00171FE3"/>
    <w:rsid w:val="0017250D"/>
    <w:rsid w:val="0017292B"/>
    <w:rsid w:val="00172A27"/>
    <w:rsid w:val="00173408"/>
    <w:rsid w:val="00173DAB"/>
    <w:rsid w:val="00173E4D"/>
    <w:rsid w:val="00174B18"/>
    <w:rsid w:val="00174B6B"/>
    <w:rsid w:val="00174DB0"/>
    <w:rsid w:val="00174FDD"/>
    <w:rsid w:val="00175056"/>
    <w:rsid w:val="00175532"/>
    <w:rsid w:val="00175EC8"/>
    <w:rsid w:val="001764DB"/>
    <w:rsid w:val="00176628"/>
    <w:rsid w:val="001768E9"/>
    <w:rsid w:val="001769E4"/>
    <w:rsid w:val="00176D99"/>
    <w:rsid w:val="00177676"/>
    <w:rsid w:val="0017774A"/>
    <w:rsid w:val="00177AAD"/>
    <w:rsid w:val="00177B7C"/>
    <w:rsid w:val="001804D9"/>
    <w:rsid w:val="001812F4"/>
    <w:rsid w:val="00181409"/>
    <w:rsid w:val="00181622"/>
    <w:rsid w:val="00181DA7"/>
    <w:rsid w:val="00181DE5"/>
    <w:rsid w:val="00181E98"/>
    <w:rsid w:val="001834A1"/>
    <w:rsid w:val="00183717"/>
    <w:rsid w:val="001839ED"/>
    <w:rsid w:val="00183CE1"/>
    <w:rsid w:val="00183D92"/>
    <w:rsid w:val="001843B6"/>
    <w:rsid w:val="001844D4"/>
    <w:rsid w:val="00184510"/>
    <w:rsid w:val="00184639"/>
    <w:rsid w:val="00184BBA"/>
    <w:rsid w:val="00184CC5"/>
    <w:rsid w:val="0018510C"/>
    <w:rsid w:val="00185129"/>
    <w:rsid w:val="00185157"/>
    <w:rsid w:val="001861F2"/>
    <w:rsid w:val="0018639E"/>
    <w:rsid w:val="001867AE"/>
    <w:rsid w:val="00186D12"/>
    <w:rsid w:val="00186F86"/>
    <w:rsid w:val="00187119"/>
    <w:rsid w:val="0018712A"/>
    <w:rsid w:val="00187389"/>
    <w:rsid w:val="0018773F"/>
    <w:rsid w:val="00187A06"/>
    <w:rsid w:val="00187A0A"/>
    <w:rsid w:val="00187B65"/>
    <w:rsid w:val="00187BF7"/>
    <w:rsid w:val="00187C37"/>
    <w:rsid w:val="00187D6F"/>
    <w:rsid w:val="0019099F"/>
    <w:rsid w:val="00190AF7"/>
    <w:rsid w:val="00190B72"/>
    <w:rsid w:val="00190F22"/>
    <w:rsid w:val="00191076"/>
    <w:rsid w:val="0019112D"/>
    <w:rsid w:val="00191463"/>
    <w:rsid w:val="00191CB1"/>
    <w:rsid w:val="0019248B"/>
    <w:rsid w:val="001926C5"/>
    <w:rsid w:val="00192973"/>
    <w:rsid w:val="00193135"/>
    <w:rsid w:val="00193459"/>
    <w:rsid w:val="0019369F"/>
    <w:rsid w:val="00194EAD"/>
    <w:rsid w:val="0019520B"/>
    <w:rsid w:val="00195385"/>
    <w:rsid w:val="001954A8"/>
    <w:rsid w:val="001957AC"/>
    <w:rsid w:val="0019682C"/>
    <w:rsid w:val="00196CB3"/>
    <w:rsid w:val="00196DB9"/>
    <w:rsid w:val="0019719C"/>
    <w:rsid w:val="00197558"/>
    <w:rsid w:val="00197C02"/>
    <w:rsid w:val="00197E5E"/>
    <w:rsid w:val="00197FBD"/>
    <w:rsid w:val="001A0151"/>
    <w:rsid w:val="001A01A0"/>
    <w:rsid w:val="001A071B"/>
    <w:rsid w:val="001A0729"/>
    <w:rsid w:val="001A0890"/>
    <w:rsid w:val="001A0BD3"/>
    <w:rsid w:val="001A0BDD"/>
    <w:rsid w:val="001A0C8D"/>
    <w:rsid w:val="001A0D1F"/>
    <w:rsid w:val="001A0FF8"/>
    <w:rsid w:val="001A1300"/>
    <w:rsid w:val="001A1857"/>
    <w:rsid w:val="001A1908"/>
    <w:rsid w:val="001A19B9"/>
    <w:rsid w:val="001A1E4C"/>
    <w:rsid w:val="001A259A"/>
    <w:rsid w:val="001A2784"/>
    <w:rsid w:val="001A2BBA"/>
    <w:rsid w:val="001A2C68"/>
    <w:rsid w:val="001A3CEE"/>
    <w:rsid w:val="001A3D85"/>
    <w:rsid w:val="001A406B"/>
    <w:rsid w:val="001A4BAA"/>
    <w:rsid w:val="001A4CAA"/>
    <w:rsid w:val="001A4D00"/>
    <w:rsid w:val="001A4D34"/>
    <w:rsid w:val="001A4DFA"/>
    <w:rsid w:val="001A568E"/>
    <w:rsid w:val="001A58A2"/>
    <w:rsid w:val="001A5970"/>
    <w:rsid w:val="001A5DB6"/>
    <w:rsid w:val="001A5F51"/>
    <w:rsid w:val="001A5FE4"/>
    <w:rsid w:val="001A668C"/>
    <w:rsid w:val="001A66CD"/>
    <w:rsid w:val="001A6D48"/>
    <w:rsid w:val="001A6DEC"/>
    <w:rsid w:val="001A6F05"/>
    <w:rsid w:val="001A6F36"/>
    <w:rsid w:val="001A7005"/>
    <w:rsid w:val="001A71F7"/>
    <w:rsid w:val="001A74F8"/>
    <w:rsid w:val="001A7519"/>
    <w:rsid w:val="001A76F4"/>
    <w:rsid w:val="001A7791"/>
    <w:rsid w:val="001A7C68"/>
    <w:rsid w:val="001A7CF8"/>
    <w:rsid w:val="001B0243"/>
    <w:rsid w:val="001B07CE"/>
    <w:rsid w:val="001B0B76"/>
    <w:rsid w:val="001B0C0D"/>
    <w:rsid w:val="001B1037"/>
    <w:rsid w:val="001B1681"/>
    <w:rsid w:val="001B16C8"/>
    <w:rsid w:val="001B1771"/>
    <w:rsid w:val="001B1A25"/>
    <w:rsid w:val="001B2041"/>
    <w:rsid w:val="001B21E5"/>
    <w:rsid w:val="001B2738"/>
    <w:rsid w:val="001B27F3"/>
    <w:rsid w:val="001B2FF7"/>
    <w:rsid w:val="001B3446"/>
    <w:rsid w:val="001B36CD"/>
    <w:rsid w:val="001B38D6"/>
    <w:rsid w:val="001B38FB"/>
    <w:rsid w:val="001B3CFC"/>
    <w:rsid w:val="001B4184"/>
    <w:rsid w:val="001B4628"/>
    <w:rsid w:val="001B4767"/>
    <w:rsid w:val="001B48A0"/>
    <w:rsid w:val="001B501A"/>
    <w:rsid w:val="001B5081"/>
    <w:rsid w:val="001B5373"/>
    <w:rsid w:val="001B5433"/>
    <w:rsid w:val="001B5C8D"/>
    <w:rsid w:val="001B5CB8"/>
    <w:rsid w:val="001B5E2D"/>
    <w:rsid w:val="001B65BE"/>
    <w:rsid w:val="001B7397"/>
    <w:rsid w:val="001B78A4"/>
    <w:rsid w:val="001B7A6E"/>
    <w:rsid w:val="001B7E4A"/>
    <w:rsid w:val="001B7F0B"/>
    <w:rsid w:val="001C0025"/>
    <w:rsid w:val="001C06D6"/>
    <w:rsid w:val="001C082C"/>
    <w:rsid w:val="001C0AD0"/>
    <w:rsid w:val="001C0C05"/>
    <w:rsid w:val="001C0D8E"/>
    <w:rsid w:val="001C111F"/>
    <w:rsid w:val="001C114D"/>
    <w:rsid w:val="001C1380"/>
    <w:rsid w:val="001C1616"/>
    <w:rsid w:val="001C169D"/>
    <w:rsid w:val="001C1B0E"/>
    <w:rsid w:val="001C1C72"/>
    <w:rsid w:val="001C1F7C"/>
    <w:rsid w:val="001C2038"/>
    <w:rsid w:val="001C20DA"/>
    <w:rsid w:val="001C26F0"/>
    <w:rsid w:val="001C2E09"/>
    <w:rsid w:val="001C2F2C"/>
    <w:rsid w:val="001C3050"/>
    <w:rsid w:val="001C30A8"/>
    <w:rsid w:val="001C350F"/>
    <w:rsid w:val="001C3B2C"/>
    <w:rsid w:val="001C3E17"/>
    <w:rsid w:val="001C412A"/>
    <w:rsid w:val="001C4299"/>
    <w:rsid w:val="001C45B5"/>
    <w:rsid w:val="001C4613"/>
    <w:rsid w:val="001C4915"/>
    <w:rsid w:val="001C57A1"/>
    <w:rsid w:val="001C5F51"/>
    <w:rsid w:val="001C5FAE"/>
    <w:rsid w:val="001C6385"/>
    <w:rsid w:val="001C6470"/>
    <w:rsid w:val="001C6773"/>
    <w:rsid w:val="001C6FCF"/>
    <w:rsid w:val="001C7197"/>
    <w:rsid w:val="001C729A"/>
    <w:rsid w:val="001C7E87"/>
    <w:rsid w:val="001D0733"/>
    <w:rsid w:val="001D0776"/>
    <w:rsid w:val="001D12B3"/>
    <w:rsid w:val="001D175D"/>
    <w:rsid w:val="001D2EA8"/>
    <w:rsid w:val="001D3494"/>
    <w:rsid w:val="001D38A4"/>
    <w:rsid w:val="001D3E70"/>
    <w:rsid w:val="001D3FB6"/>
    <w:rsid w:val="001D42AF"/>
    <w:rsid w:val="001D43E5"/>
    <w:rsid w:val="001D4434"/>
    <w:rsid w:val="001D46B7"/>
    <w:rsid w:val="001D49B6"/>
    <w:rsid w:val="001D4C09"/>
    <w:rsid w:val="001D4D81"/>
    <w:rsid w:val="001D4F00"/>
    <w:rsid w:val="001D5101"/>
    <w:rsid w:val="001D5150"/>
    <w:rsid w:val="001D605D"/>
    <w:rsid w:val="001D6AE9"/>
    <w:rsid w:val="001D6F07"/>
    <w:rsid w:val="001D7501"/>
    <w:rsid w:val="001D75B1"/>
    <w:rsid w:val="001E0002"/>
    <w:rsid w:val="001E06C8"/>
    <w:rsid w:val="001E0A44"/>
    <w:rsid w:val="001E0EB4"/>
    <w:rsid w:val="001E162C"/>
    <w:rsid w:val="001E1A7D"/>
    <w:rsid w:val="001E1C8E"/>
    <w:rsid w:val="001E217B"/>
    <w:rsid w:val="001E21FD"/>
    <w:rsid w:val="001E2451"/>
    <w:rsid w:val="001E2487"/>
    <w:rsid w:val="001E2844"/>
    <w:rsid w:val="001E2A5A"/>
    <w:rsid w:val="001E2B45"/>
    <w:rsid w:val="001E2D8E"/>
    <w:rsid w:val="001E30EC"/>
    <w:rsid w:val="001E3AA0"/>
    <w:rsid w:val="001E4C25"/>
    <w:rsid w:val="001E5099"/>
    <w:rsid w:val="001E5148"/>
    <w:rsid w:val="001E526F"/>
    <w:rsid w:val="001E538E"/>
    <w:rsid w:val="001E5594"/>
    <w:rsid w:val="001E567E"/>
    <w:rsid w:val="001E5800"/>
    <w:rsid w:val="001E5C44"/>
    <w:rsid w:val="001E5C8C"/>
    <w:rsid w:val="001E68DF"/>
    <w:rsid w:val="001E6981"/>
    <w:rsid w:val="001E6BF7"/>
    <w:rsid w:val="001E7260"/>
    <w:rsid w:val="001E7488"/>
    <w:rsid w:val="001E7F78"/>
    <w:rsid w:val="001E7F85"/>
    <w:rsid w:val="001F07E3"/>
    <w:rsid w:val="001F0E1C"/>
    <w:rsid w:val="001F0F11"/>
    <w:rsid w:val="001F1112"/>
    <w:rsid w:val="001F1152"/>
    <w:rsid w:val="001F16A1"/>
    <w:rsid w:val="001F21D0"/>
    <w:rsid w:val="001F2722"/>
    <w:rsid w:val="001F2794"/>
    <w:rsid w:val="001F2B3B"/>
    <w:rsid w:val="001F2D98"/>
    <w:rsid w:val="001F33C2"/>
    <w:rsid w:val="001F33E0"/>
    <w:rsid w:val="001F36AD"/>
    <w:rsid w:val="001F3846"/>
    <w:rsid w:val="001F4149"/>
    <w:rsid w:val="001F45E0"/>
    <w:rsid w:val="001F45ED"/>
    <w:rsid w:val="001F465F"/>
    <w:rsid w:val="001F47AE"/>
    <w:rsid w:val="001F4AB3"/>
    <w:rsid w:val="001F4AE5"/>
    <w:rsid w:val="001F4B16"/>
    <w:rsid w:val="001F4B43"/>
    <w:rsid w:val="001F4D5F"/>
    <w:rsid w:val="001F4F7F"/>
    <w:rsid w:val="001F4FDA"/>
    <w:rsid w:val="001F6954"/>
    <w:rsid w:val="001F6BFD"/>
    <w:rsid w:val="001F75BA"/>
    <w:rsid w:val="001F76A8"/>
    <w:rsid w:val="001F785E"/>
    <w:rsid w:val="001F7BD0"/>
    <w:rsid w:val="001F7D03"/>
    <w:rsid w:val="002006C1"/>
    <w:rsid w:val="00200C5F"/>
    <w:rsid w:val="00200D02"/>
    <w:rsid w:val="002014AE"/>
    <w:rsid w:val="002014FA"/>
    <w:rsid w:val="002017DD"/>
    <w:rsid w:val="00201D94"/>
    <w:rsid w:val="00201ED3"/>
    <w:rsid w:val="00202311"/>
    <w:rsid w:val="002027A3"/>
    <w:rsid w:val="00202B5B"/>
    <w:rsid w:val="00203833"/>
    <w:rsid w:val="00203881"/>
    <w:rsid w:val="002038E8"/>
    <w:rsid w:val="00203BD6"/>
    <w:rsid w:val="0020433B"/>
    <w:rsid w:val="00204354"/>
    <w:rsid w:val="00204690"/>
    <w:rsid w:val="00204A78"/>
    <w:rsid w:val="00204C34"/>
    <w:rsid w:val="00204CC8"/>
    <w:rsid w:val="0020511C"/>
    <w:rsid w:val="0020511E"/>
    <w:rsid w:val="00205190"/>
    <w:rsid w:val="00205C56"/>
    <w:rsid w:val="00206105"/>
    <w:rsid w:val="00206146"/>
    <w:rsid w:val="00206344"/>
    <w:rsid w:val="002066B5"/>
    <w:rsid w:val="0020718F"/>
    <w:rsid w:val="00207500"/>
    <w:rsid w:val="002075A2"/>
    <w:rsid w:val="002078B4"/>
    <w:rsid w:val="002103F9"/>
    <w:rsid w:val="00210407"/>
    <w:rsid w:val="002107D5"/>
    <w:rsid w:val="0021097F"/>
    <w:rsid w:val="002126EE"/>
    <w:rsid w:val="00212F5B"/>
    <w:rsid w:val="00212F91"/>
    <w:rsid w:val="0021346F"/>
    <w:rsid w:val="00213504"/>
    <w:rsid w:val="002140D5"/>
    <w:rsid w:val="0021424F"/>
    <w:rsid w:val="0021455B"/>
    <w:rsid w:val="002145AC"/>
    <w:rsid w:val="0021464C"/>
    <w:rsid w:val="00214BF5"/>
    <w:rsid w:val="00214C4D"/>
    <w:rsid w:val="0021511B"/>
    <w:rsid w:val="00215325"/>
    <w:rsid w:val="00215644"/>
    <w:rsid w:val="0021591C"/>
    <w:rsid w:val="00215C6C"/>
    <w:rsid w:val="00215EDA"/>
    <w:rsid w:val="0021628F"/>
    <w:rsid w:val="002162BF"/>
    <w:rsid w:val="002166CC"/>
    <w:rsid w:val="002167B3"/>
    <w:rsid w:val="00216C4D"/>
    <w:rsid w:val="00216E2B"/>
    <w:rsid w:val="002175B1"/>
    <w:rsid w:val="002176EA"/>
    <w:rsid w:val="00220059"/>
    <w:rsid w:val="00220487"/>
    <w:rsid w:val="00220992"/>
    <w:rsid w:val="0022099F"/>
    <w:rsid w:val="00220A1A"/>
    <w:rsid w:val="002210FF"/>
    <w:rsid w:val="00221211"/>
    <w:rsid w:val="00221432"/>
    <w:rsid w:val="00221D17"/>
    <w:rsid w:val="00222274"/>
    <w:rsid w:val="002227CE"/>
    <w:rsid w:val="00222BA5"/>
    <w:rsid w:val="002231A3"/>
    <w:rsid w:val="0022329E"/>
    <w:rsid w:val="002233E6"/>
    <w:rsid w:val="002233ED"/>
    <w:rsid w:val="00223776"/>
    <w:rsid w:val="002237B5"/>
    <w:rsid w:val="00223AF7"/>
    <w:rsid w:val="00223F45"/>
    <w:rsid w:val="00224AD8"/>
    <w:rsid w:val="0022518C"/>
    <w:rsid w:val="002257FC"/>
    <w:rsid w:val="00225838"/>
    <w:rsid w:val="00225B5B"/>
    <w:rsid w:val="00225D4A"/>
    <w:rsid w:val="00225E53"/>
    <w:rsid w:val="00225EED"/>
    <w:rsid w:val="00226473"/>
    <w:rsid w:val="002265DF"/>
    <w:rsid w:val="002271B7"/>
    <w:rsid w:val="002275CF"/>
    <w:rsid w:val="0022788E"/>
    <w:rsid w:val="00227D11"/>
    <w:rsid w:val="00230534"/>
    <w:rsid w:val="00230CFB"/>
    <w:rsid w:val="00230E4F"/>
    <w:rsid w:val="002312BB"/>
    <w:rsid w:val="002314F1"/>
    <w:rsid w:val="002315C1"/>
    <w:rsid w:val="0023165E"/>
    <w:rsid w:val="00231709"/>
    <w:rsid w:val="00231AAB"/>
    <w:rsid w:val="00231EB5"/>
    <w:rsid w:val="00232389"/>
    <w:rsid w:val="00232420"/>
    <w:rsid w:val="0023247D"/>
    <w:rsid w:val="002325FE"/>
    <w:rsid w:val="002327C0"/>
    <w:rsid w:val="00232B9B"/>
    <w:rsid w:val="00232BB0"/>
    <w:rsid w:val="00232D01"/>
    <w:rsid w:val="00232E59"/>
    <w:rsid w:val="00232EE3"/>
    <w:rsid w:val="00232F36"/>
    <w:rsid w:val="00232F4B"/>
    <w:rsid w:val="002333C6"/>
    <w:rsid w:val="002333C9"/>
    <w:rsid w:val="00233432"/>
    <w:rsid w:val="0023352F"/>
    <w:rsid w:val="00233972"/>
    <w:rsid w:val="00233BEC"/>
    <w:rsid w:val="00233E37"/>
    <w:rsid w:val="00233F47"/>
    <w:rsid w:val="002345DF"/>
    <w:rsid w:val="002347E7"/>
    <w:rsid w:val="00234D4E"/>
    <w:rsid w:val="00234D6E"/>
    <w:rsid w:val="00234FC5"/>
    <w:rsid w:val="00235757"/>
    <w:rsid w:val="00236554"/>
    <w:rsid w:val="002368E0"/>
    <w:rsid w:val="00236CE8"/>
    <w:rsid w:val="0023715B"/>
    <w:rsid w:val="00237207"/>
    <w:rsid w:val="002373BF"/>
    <w:rsid w:val="00237F26"/>
    <w:rsid w:val="00237FD1"/>
    <w:rsid w:val="002407FD"/>
    <w:rsid w:val="00240EC2"/>
    <w:rsid w:val="002411E8"/>
    <w:rsid w:val="0024134F"/>
    <w:rsid w:val="00241ACE"/>
    <w:rsid w:val="002420E0"/>
    <w:rsid w:val="002424E0"/>
    <w:rsid w:val="002431EF"/>
    <w:rsid w:val="00243B50"/>
    <w:rsid w:val="00243D25"/>
    <w:rsid w:val="00243D67"/>
    <w:rsid w:val="00243EDF"/>
    <w:rsid w:val="00244035"/>
    <w:rsid w:val="0024425A"/>
    <w:rsid w:val="002443C3"/>
    <w:rsid w:val="002446EE"/>
    <w:rsid w:val="00244CA8"/>
    <w:rsid w:val="00244CED"/>
    <w:rsid w:val="00244F02"/>
    <w:rsid w:val="0024544B"/>
    <w:rsid w:val="00245927"/>
    <w:rsid w:val="0024618E"/>
    <w:rsid w:val="0024622E"/>
    <w:rsid w:val="00246432"/>
    <w:rsid w:val="00246522"/>
    <w:rsid w:val="00246C42"/>
    <w:rsid w:val="00246DD3"/>
    <w:rsid w:val="00247879"/>
    <w:rsid w:val="00247AD2"/>
    <w:rsid w:val="00247CFD"/>
    <w:rsid w:val="00247F4B"/>
    <w:rsid w:val="002503EC"/>
    <w:rsid w:val="002503F0"/>
    <w:rsid w:val="00250912"/>
    <w:rsid w:val="00250A10"/>
    <w:rsid w:val="00250CE6"/>
    <w:rsid w:val="00250DE7"/>
    <w:rsid w:val="0025180F"/>
    <w:rsid w:val="00251B11"/>
    <w:rsid w:val="00251B9B"/>
    <w:rsid w:val="00252357"/>
    <w:rsid w:val="00252891"/>
    <w:rsid w:val="00252AD5"/>
    <w:rsid w:val="00252CDB"/>
    <w:rsid w:val="00252CE5"/>
    <w:rsid w:val="00253340"/>
    <w:rsid w:val="002535C7"/>
    <w:rsid w:val="00253D68"/>
    <w:rsid w:val="0025474D"/>
    <w:rsid w:val="00254B23"/>
    <w:rsid w:val="00254DDC"/>
    <w:rsid w:val="00255684"/>
    <w:rsid w:val="002557FF"/>
    <w:rsid w:val="002564F3"/>
    <w:rsid w:val="00256557"/>
    <w:rsid w:val="002568AE"/>
    <w:rsid w:val="00256D9E"/>
    <w:rsid w:val="00257096"/>
    <w:rsid w:val="0025783C"/>
    <w:rsid w:val="002579C3"/>
    <w:rsid w:val="00260126"/>
    <w:rsid w:val="0026014B"/>
    <w:rsid w:val="0026075B"/>
    <w:rsid w:val="002614E5"/>
    <w:rsid w:val="002618D5"/>
    <w:rsid w:val="00261A4B"/>
    <w:rsid w:val="00261AF4"/>
    <w:rsid w:val="00261DF9"/>
    <w:rsid w:val="00261FB8"/>
    <w:rsid w:val="00262388"/>
    <w:rsid w:val="002624E3"/>
    <w:rsid w:val="002627EB"/>
    <w:rsid w:val="00262F39"/>
    <w:rsid w:val="00263919"/>
    <w:rsid w:val="00263A2A"/>
    <w:rsid w:val="00263B5F"/>
    <w:rsid w:val="00263B6C"/>
    <w:rsid w:val="0026446E"/>
    <w:rsid w:val="00264583"/>
    <w:rsid w:val="002646DA"/>
    <w:rsid w:val="002649D4"/>
    <w:rsid w:val="00264ED8"/>
    <w:rsid w:val="0026563C"/>
    <w:rsid w:val="00265A1A"/>
    <w:rsid w:val="00265A27"/>
    <w:rsid w:val="00265A6B"/>
    <w:rsid w:val="002660D7"/>
    <w:rsid w:val="00266394"/>
    <w:rsid w:val="00266672"/>
    <w:rsid w:val="002669F5"/>
    <w:rsid w:val="00266D67"/>
    <w:rsid w:val="00266DB9"/>
    <w:rsid w:val="00266DD9"/>
    <w:rsid w:val="0026740B"/>
    <w:rsid w:val="0026797D"/>
    <w:rsid w:val="00267B7D"/>
    <w:rsid w:val="0027042A"/>
    <w:rsid w:val="002706BD"/>
    <w:rsid w:val="0027075D"/>
    <w:rsid w:val="00270972"/>
    <w:rsid w:val="00271289"/>
    <w:rsid w:val="00271474"/>
    <w:rsid w:val="0027156B"/>
    <w:rsid w:val="0027191C"/>
    <w:rsid w:val="00271E56"/>
    <w:rsid w:val="00272230"/>
    <w:rsid w:val="00272B50"/>
    <w:rsid w:val="00272CA0"/>
    <w:rsid w:val="00272CE6"/>
    <w:rsid w:val="00272F21"/>
    <w:rsid w:val="00273437"/>
    <w:rsid w:val="0027343B"/>
    <w:rsid w:val="002739F9"/>
    <w:rsid w:val="00273F7D"/>
    <w:rsid w:val="00274312"/>
    <w:rsid w:val="002746FD"/>
    <w:rsid w:val="002749CE"/>
    <w:rsid w:val="00275410"/>
    <w:rsid w:val="002760AE"/>
    <w:rsid w:val="0027668F"/>
    <w:rsid w:val="00276DEF"/>
    <w:rsid w:val="00276F9B"/>
    <w:rsid w:val="00277080"/>
    <w:rsid w:val="0027739E"/>
    <w:rsid w:val="0027752C"/>
    <w:rsid w:val="002778F2"/>
    <w:rsid w:val="00277A27"/>
    <w:rsid w:val="00277E68"/>
    <w:rsid w:val="00277ECB"/>
    <w:rsid w:val="002800D7"/>
    <w:rsid w:val="002809AE"/>
    <w:rsid w:val="00280DE6"/>
    <w:rsid w:val="00280E45"/>
    <w:rsid w:val="00280FE5"/>
    <w:rsid w:val="002812BC"/>
    <w:rsid w:val="002818EA"/>
    <w:rsid w:val="00281DAC"/>
    <w:rsid w:val="00281FE1"/>
    <w:rsid w:val="00281FEF"/>
    <w:rsid w:val="00282679"/>
    <w:rsid w:val="00283045"/>
    <w:rsid w:val="00283181"/>
    <w:rsid w:val="00283507"/>
    <w:rsid w:val="00283538"/>
    <w:rsid w:val="00283C00"/>
    <w:rsid w:val="00284359"/>
    <w:rsid w:val="00284ED8"/>
    <w:rsid w:val="00285035"/>
    <w:rsid w:val="00285302"/>
    <w:rsid w:val="00285E55"/>
    <w:rsid w:val="002862FA"/>
    <w:rsid w:val="00286326"/>
    <w:rsid w:val="002863CB"/>
    <w:rsid w:val="002869A3"/>
    <w:rsid w:val="002871C8"/>
    <w:rsid w:val="002874EE"/>
    <w:rsid w:val="002879AE"/>
    <w:rsid w:val="00287C48"/>
    <w:rsid w:val="00287CA6"/>
    <w:rsid w:val="00287CF6"/>
    <w:rsid w:val="00287EF9"/>
    <w:rsid w:val="00290CDB"/>
    <w:rsid w:val="00291501"/>
    <w:rsid w:val="0029173A"/>
    <w:rsid w:val="00291967"/>
    <w:rsid w:val="00291EF2"/>
    <w:rsid w:val="00292638"/>
    <w:rsid w:val="00292BED"/>
    <w:rsid w:val="00292C33"/>
    <w:rsid w:val="002932EC"/>
    <w:rsid w:val="002933ED"/>
    <w:rsid w:val="00293413"/>
    <w:rsid w:val="00293A44"/>
    <w:rsid w:val="00293D7D"/>
    <w:rsid w:val="00293FFD"/>
    <w:rsid w:val="0029403F"/>
    <w:rsid w:val="0029414C"/>
    <w:rsid w:val="002943CC"/>
    <w:rsid w:val="00294518"/>
    <w:rsid w:val="00294A5C"/>
    <w:rsid w:val="002952DA"/>
    <w:rsid w:val="0029568C"/>
    <w:rsid w:val="00295EBB"/>
    <w:rsid w:val="00295FEF"/>
    <w:rsid w:val="0029630D"/>
    <w:rsid w:val="0029665F"/>
    <w:rsid w:val="00296707"/>
    <w:rsid w:val="002974C3"/>
    <w:rsid w:val="0029764C"/>
    <w:rsid w:val="0029779B"/>
    <w:rsid w:val="0029782E"/>
    <w:rsid w:val="00297F6F"/>
    <w:rsid w:val="002A0200"/>
    <w:rsid w:val="002A03E4"/>
    <w:rsid w:val="002A045C"/>
    <w:rsid w:val="002A04F3"/>
    <w:rsid w:val="002A063E"/>
    <w:rsid w:val="002A0E89"/>
    <w:rsid w:val="002A14A2"/>
    <w:rsid w:val="002A1A3D"/>
    <w:rsid w:val="002A1BA1"/>
    <w:rsid w:val="002A1CB9"/>
    <w:rsid w:val="002A1D9A"/>
    <w:rsid w:val="002A1E96"/>
    <w:rsid w:val="002A28E2"/>
    <w:rsid w:val="002A297C"/>
    <w:rsid w:val="002A2993"/>
    <w:rsid w:val="002A36C3"/>
    <w:rsid w:val="002A3DE8"/>
    <w:rsid w:val="002A3FA8"/>
    <w:rsid w:val="002A4060"/>
    <w:rsid w:val="002A490E"/>
    <w:rsid w:val="002A4A7B"/>
    <w:rsid w:val="002A4FE2"/>
    <w:rsid w:val="002A51D3"/>
    <w:rsid w:val="002A52BD"/>
    <w:rsid w:val="002A5929"/>
    <w:rsid w:val="002A5CCA"/>
    <w:rsid w:val="002A5DE7"/>
    <w:rsid w:val="002A5F37"/>
    <w:rsid w:val="002A6821"/>
    <w:rsid w:val="002A6A2A"/>
    <w:rsid w:val="002A6EEB"/>
    <w:rsid w:val="002A727C"/>
    <w:rsid w:val="002A72FE"/>
    <w:rsid w:val="002A77B2"/>
    <w:rsid w:val="002A7B8F"/>
    <w:rsid w:val="002A7CEF"/>
    <w:rsid w:val="002B0C34"/>
    <w:rsid w:val="002B1108"/>
    <w:rsid w:val="002B115E"/>
    <w:rsid w:val="002B17F3"/>
    <w:rsid w:val="002B1979"/>
    <w:rsid w:val="002B2291"/>
    <w:rsid w:val="002B2708"/>
    <w:rsid w:val="002B30B0"/>
    <w:rsid w:val="002B316E"/>
    <w:rsid w:val="002B35BD"/>
    <w:rsid w:val="002B3609"/>
    <w:rsid w:val="002B38E8"/>
    <w:rsid w:val="002B3A00"/>
    <w:rsid w:val="002B3A02"/>
    <w:rsid w:val="002B407E"/>
    <w:rsid w:val="002B40A6"/>
    <w:rsid w:val="002B425C"/>
    <w:rsid w:val="002B4378"/>
    <w:rsid w:val="002B47DC"/>
    <w:rsid w:val="002B4A64"/>
    <w:rsid w:val="002B4B35"/>
    <w:rsid w:val="002B515B"/>
    <w:rsid w:val="002B5547"/>
    <w:rsid w:val="002B5826"/>
    <w:rsid w:val="002B5947"/>
    <w:rsid w:val="002B6728"/>
    <w:rsid w:val="002B67C0"/>
    <w:rsid w:val="002B6B78"/>
    <w:rsid w:val="002B6D6F"/>
    <w:rsid w:val="002B7530"/>
    <w:rsid w:val="002B769A"/>
    <w:rsid w:val="002C07D5"/>
    <w:rsid w:val="002C0E5E"/>
    <w:rsid w:val="002C1558"/>
    <w:rsid w:val="002C17D0"/>
    <w:rsid w:val="002C19D5"/>
    <w:rsid w:val="002C1BA1"/>
    <w:rsid w:val="002C2847"/>
    <w:rsid w:val="002C2D79"/>
    <w:rsid w:val="002C3125"/>
    <w:rsid w:val="002C3150"/>
    <w:rsid w:val="002C31DB"/>
    <w:rsid w:val="002C3692"/>
    <w:rsid w:val="002C371C"/>
    <w:rsid w:val="002C39C4"/>
    <w:rsid w:val="002C3B5B"/>
    <w:rsid w:val="002C3E1C"/>
    <w:rsid w:val="002C44CE"/>
    <w:rsid w:val="002C4573"/>
    <w:rsid w:val="002C4849"/>
    <w:rsid w:val="002C49F0"/>
    <w:rsid w:val="002C4A51"/>
    <w:rsid w:val="002C4CEA"/>
    <w:rsid w:val="002C4D2C"/>
    <w:rsid w:val="002C50E4"/>
    <w:rsid w:val="002C5553"/>
    <w:rsid w:val="002C5733"/>
    <w:rsid w:val="002C57E3"/>
    <w:rsid w:val="002C5D9F"/>
    <w:rsid w:val="002C5F96"/>
    <w:rsid w:val="002C6162"/>
    <w:rsid w:val="002C6311"/>
    <w:rsid w:val="002C6316"/>
    <w:rsid w:val="002C64A3"/>
    <w:rsid w:val="002C65C3"/>
    <w:rsid w:val="002C6785"/>
    <w:rsid w:val="002C6903"/>
    <w:rsid w:val="002C69E5"/>
    <w:rsid w:val="002C6FC8"/>
    <w:rsid w:val="002C73BF"/>
    <w:rsid w:val="002C73E4"/>
    <w:rsid w:val="002C7839"/>
    <w:rsid w:val="002C78BE"/>
    <w:rsid w:val="002C7AA4"/>
    <w:rsid w:val="002D0241"/>
    <w:rsid w:val="002D02CE"/>
    <w:rsid w:val="002D03DB"/>
    <w:rsid w:val="002D04E9"/>
    <w:rsid w:val="002D0C43"/>
    <w:rsid w:val="002D0CD1"/>
    <w:rsid w:val="002D0CE3"/>
    <w:rsid w:val="002D1095"/>
    <w:rsid w:val="002D1759"/>
    <w:rsid w:val="002D20C1"/>
    <w:rsid w:val="002D22D9"/>
    <w:rsid w:val="002D26EF"/>
    <w:rsid w:val="002D2DA5"/>
    <w:rsid w:val="002D3034"/>
    <w:rsid w:val="002D310F"/>
    <w:rsid w:val="002D31DD"/>
    <w:rsid w:val="002D31E7"/>
    <w:rsid w:val="002D37BA"/>
    <w:rsid w:val="002D407C"/>
    <w:rsid w:val="002D432F"/>
    <w:rsid w:val="002D4394"/>
    <w:rsid w:val="002D43C5"/>
    <w:rsid w:val="002D4521"/>
    <w:rsid w:val="002D4F10"/>
    <w:rsid w:val="002D502B"/>
    <w:rsid w:val="002D545E"/>
    <w:rsid w:val="002D5A53"/>
    <w:rsid w:val="002D5D25"/>
    <w:rsid w:val="002D686F"/>
    <w:rsid w:val="002D68DE"/>
    <w:rsid w:val="002D69F0"/>
    <w:rsid w:val="002D6C15"/>
    <w:rsid w:val="002D6C48"/>
    <w:rsid w:val="002D7282"/>
    <w:rsid w:val="002D7662"/>
    <w:rsid w:val="002E0272"/>
    <w:rsid w:val="002E0E87"/>
    <w:rsid w:val="002E0F80"/>
    <w:rsid w:val="002E10B4"/>
    <w:rsid w:val="002E169C"/>
    <w:rsid w:val="002E17AC"/>
    <w:rsid w:val="002E1BEE"/>
    <w:rsid w:val="002E1CCA"/>
    <w:rsid w:val="002E1E94"/>
    <w:rsid w:val="002E23BF"/>
    <w:rsid w:val="002E23EC"/>
    <w:rsid w:val="002E2594"/>
    <w:rsid w:val="002E321A"/>
    <w:rsid w:val="002E42CA"/>
    <w:rsid w:val="002E4413"/>
    <w:rsid w:val="002E4BE6"/>
    <w:rsid w:val="002E5711"/>
    <w:rsid w:val="002E5B57"/>
    <w:rsid w:val="002E5C93"/>
    <w:rsid w:val="002E5F70"/>
    <w:rsid w:val="002E608F"/>
    <w:rsid w:val="002E62BA"/>
    <w:rsid w:val="002E6370"/>
    <w:rsid w:val="002E682A"/>
    <w:rsid w:val="002E6F28"/>
    <w:rsid w:val="002E753D"/>
    <w:rsid w:val="002E7817"/>
    <w:rsid w:val="002E7B88"/>
    <w:rsid w:val="002E7BBC"/>
    <w:rsid w:val="002F001C"/>
    <w:rsid w:val="002F02C8"/>
    <w:rsid w:val="002F0E0D"/>
    <w:rsid w:val="002F0E1B"/>
    <w:rsid w:val="002F116A"/>
    <w:rsid w:val="002F122E"/>
    <w:rsid w:val="002F1BA4"/>
    <w:rsid w:val="002F2095"/>
    <w:rsid w:val="002F2D66"/>
    <w:rsid w:val="002F2E07"/>
    <w:rsid w:val="002F2E39"/>
    <w:rsid w:val="002F2EBE"/>
    <w:rsid w:val="002F32A2"/>
    <w:rsid w:val="002F3D26"/>
    <w:rsid w:val="002F468C"/>
    <w:rsid w:val="002F472E"/>
    <w:rsid w:val="002F4B24"/>
    <w:rsid w:val="002F4FDA"/>
    <w:rsid w:val="002F4FE2"/>
    <w:rsid w:val="002F4FF7"/>
    <w:rsid w:val="002F5151"/>
    <w:rsid w:val="002F51C1"/>
    <w:rsid w:val="002F539C"/>
    <w:rsid w:val="002F54A7"/>
    <w:rsid w:val="002F5929"/>
    <w:rsid w:val="002F5B42"/>
    <w:rsid w:val="002F5DCC"/>
    <w:rsid w:val="002F619D"/>
    <w:rsid w:val="002F6633"/>
    <w:rsid w:val="002F6E04"/>
    <w:rsid w:val="002F6E5C"/>
    <w:rsid w:val="002F6E90"/>
    <w:rsid w:val="002F72C3"/>
    <w:rsid w:val="002F750E"/>
    <w:rsid w:val="002F7703"/>
    <w:rsid w:val="002F775A"/>
    <w:rsid w:val="003000E0"/>
    <w:rsid w:val="00300306"/>
    <w:rsid w:val="0030036C"/>
    <w:rsid w:val="003003DA"/>
    <w:rsid w:val="00300590"/>
    <w:rsid w:val="00300BA2"/>
    <w:rsid w:val="00300D76"/>
    <w:rsid w:val="00300DC6"/>
    <w:rsid w:val="00300DD0"/>
    <w:rsid w:val="00301AC5"/>
    <w:rsid w:val="00301FE7"/>
    <w:rsid w:val="00302135"/>
    <w:rsid w:val="00302686"/>
    <w:rsid w:val="00302920"/>
    <w:rsid w:val="00302BE1"/>
    <w:rsid w:val="00302C0B"/>
    <w:rsid w:val="003035F0"/>
    <w:rsid w:val="00303B1C"/>
    <w:rsid w:val="00303CC3"/>
    <w:rsid w:val="00303F76"/>
    <w:rsid w:val="003041C8"/>
    <w:rsid w:val="00304207"/>
    <w:rsid w:val="0030427E"/>
    <w:rsid w:val="00304F2C"/>
    <w:rsid w:val="00304FA8"/>
    <w:rsid w:val="00305476"/>
    <w:rsid w:val="0030547E"/>
    <w:rsid w:val="00305854"/>
    <w:rsid w:val="00305891"/>
    <w:rsid w:val="00305CEF"/>
    <w:rsid w:val="003061FD"/>
    <w:rsid w:val="0030621D"/>
    <w:rsid w:val="00306BC4"/>
    <w:rsid w:val="003074B6"/>
    <w:rsid w:val="00307780"/>
    <w:rsid w:val="003078E2"/>
    <w:rsid w:val="00307983"/>
    <w:rsid w:val="00307DA0"/>
    <w:rsid w:val="003102EF"/>
    <w:rsid w:val="003103EC"/>
    <w:rsid w:val="003105ED"/>
    <w:rsid w:val="00310795"/>
    <w:rsid w:val="00310864"/>
    <w:rsid w:val="00310D9A"/>
    <w:rsid w:val="00311403"/>
    <w:rsid w:val="003117AA"/>
    <w:rsid w:val="003118EC"/>
    <w:rsid w:val="003119FA"/>
    <w:rsid w:val="00311F14"/>
    <w:rsid w:val="00312475"/>
    <w:rsid w:val="003127F5"/>
    <w:rsid w:val="00312A89"/>
    <w:rsid w:val="00312EAE"/>
    <w:rsid w:val="00312EF9"/>
    <w:rsid w:val="003134E4"/>
    <w:rsid w:val="003136C0"/>
    <w:rsid w:val="0031388E"/>
    <w:rsid w:val="00313A68"/>
    <w:rsid w:val="00313A7E"/>
    <w:rsid w:val="00313C3D"/>
    <w:rsid w:val="00313FDA"/>
    <w:rsid w:val="00314118"/>
    <w:rsid w:val="003143A7"/>
    <w:rsid w:val="0031477F"/>
    <w:rsid w:val="00314ECF"/>
    <w:rsid w:val="0031557E"/>
    <w:rsid w:val="003158D2"/>
    <w:rsid w:val="00315E0A"/>
    <w:rsid w:val="00315E1A"/>
    <w:rsid w:val="00315F49"/>
    <w:rsid w:val="003162B9"/>
    <w:rsid w:val="00316D2E"/>
    <w:rsid w:val="003170C6"/>
    <w:rsid w:val="003175AB"/>
    <w:rsid w:val="003175E7"/>
    <w:rsid w:val="003175F1"/>
    <w:rsid w:val="00317997"/>
    <w:rsid w:val="00317B85"/>
    <w:rsid w:val="00317DF6"/>
    <w:rsid w:val="00317F7F"/>
    <w:rsid w:val="003204FA"/>
    <w:rsid w:val="0032069B"/>
    <w:rsid w:val="00320FA6"/>
    <w:rsid w:val="00320FD5"/>
    <w:rsid w:val="00320FF1"/>
    <w:rsid w:val="003213B1"/>
    <w:rsid w:val="00321520"/>
    <w:rsid w:val="003215AF"/>
    <w:rsid w:val="00321A56"/>
    <w:rsid w:val="00321B48"/>
    <w:rsid w:val="0032245C"/>
    <w:rsid w:val="0032256A"/>
    <w:rsid w:val="00322ACD"/>
    <w:rsid w:val="00322ADD"/>
    <w:rsid w:val="0032300A"/>
    <w:rsid w:val="00323076"/>
    <w:rsid w:val="0032325D"/>
    <w:rsid w:val="003233F0"/>
    <w:rsid w:val="0032352B"/>
    <w:rsid w:val="00323605"/>
    <w:rsid w:val="0032378C"/>
    <w:rsid w:val="003239CB"/>
    <w:rsid w:val="00323AE3"/>
    <w:rsid w:val="00323CFD"/>
    <w:rsid w:val="003241C5"/>
    <w:rsid w:val="00324515"/>
    <w:rsid w:val="00324B53"/>
    <w:rsid w:val="00324E32"/>
    <w:rsid w:val="00324F22"/>
    <w:rsid w:val="0032505F"/>
    <w:rsid w:val="00325B36"/>
    <w:rsid w:val="00325EAA"/>
    <w:rsid w:val="0032620F"/>
    <w:rsid w:val="0032671D"/>
    <w:rsid w:val="00326812"/>
    <w:rsid w:val="00326B25"/>
    <w:rsid w:val="00327230"/>
    <w:rsid w:val="003272A0"/>
    <w:rsid w:val="003273A2"/>
    <w:rsid w:val="00327475"/>
    <w:rsid w:val="00327549"/>
    <w:rsid w:val="00327578"/>
    <w:rsid w:val="00327666"/>
    <w:rsid w:val="00327A5D"/>
    <w:rsid w:val="00327E40"/>
    <w:rsid w:val="00330680"/>
    <w:rsid w:val="0033080C"/>
    <w:rsid w:val="00330D28"/>
    <w:rsid w:val="00330D88"/>
    <w:rsid w:val="00330E0B"/>
    <w:rsid w:val="00330E7D"/>
    <w:rsid w:val="00331361"/>
    <w:rsid w:val="003313AE"/>
    <w:rsid w:val="003314E0"/>
    <w:rsid w:val="00331ABD"/>
    <w:rsid w:val="00331BF0"/>
    <w:rsid w:val="003321DD"/>
    <w:rsid w:val="003322B4"/>
    <w:rsid w:val="003324C1"/>
    <w:rsid w:val="00332501"/>
    <w:rsid w:val="00332943"/>
    <w:rsid w:val="00332AF7"/>
    <w:rsid w:val="00332C02"/>
    <w:rsid w:val="00333526"/>
    <w:rsid w:val="00333A69"/>
    <w:rsid w:val="00333BE2"/>
    <w:rsid w:val="00334499"/>
    <w:rsid w:val="00334676"/>
    <w:rsid w:val="00334794"/>
    <w:rsid w:val="003349FB"/>
    <w:rsid w:val="00334E84"/>
    <w:rsid w:val="003360CE"/>
    <w:rsid w:val="00336209"/>
    <w:rsid w:val="00336F95"/>
    <w:rsid w:val="00337265"/>
    <w:rsid w:val="00337CA2"/>
    <w:rsid w:val="00340215"/>
    <w:rsid w:val="003403D7"/>
    <w:rsid w:val="0034078D"/>
    <w:rsid w:val="00341430"/>
    <w:rsid w:val="003414BD"/>
    <w:rsid w:val="00341B16"/>
    <w:rsid w:val="00341E91"/>
    <w:rsid w:val="003426AF"/>
    <w:rsid w:val="003428F1"/>
    <w:rsid w:val="003434C6"/>
    <w:rsid w:val="0034369E"/>
    <w:rsid w:val="00343A0A"/>
    <w:rsid w:val="00343A4A"/>
    <w:rsid w:val="003441E0"/>
    <w:rsid w:val="003442D2"/>
    <w:rsid w:val="00344611"/>
    <w:rsid w:val="0034464E"/>
    <w:rsid w:val="00345383"/>
    <w:rsid w:val="00345816"/>
    <w:rsid w:val="00345A7C"/>
    <w:rsid w:val="00345F13"/>
    <w:rsid w:val="003463B1"/>
    <w:rsid w:val="00346491"/>
    <w:rsid w:val="00346868"/>
    <w:rsid w:val="003478FE"/>
    <w:rsid w:val="00347E89"/>
    <w:rsid w:val="0035025F"/>
    <w:rsid w:val="003502D3"/>
    <w:rsid w:val="003504B9"/>
    <w:rsid w:val="0035080C"/>
    <w:rsid w:val="00350A1D"/>
    <w:rsid w:val="00350A49"/>
    <w:rsid w:val="00351522"/>
    <w:rsid w:val="00351BDA"/>
    <w:rsid w:val="00351E54"/>
    <w:rsid w:val="00352190"/>
    <w:rsid w:val="00352927"/>
    <w:rsid w:val="00352A59"/>
    <w:rsid w:val="00352E30"/>
    <w:rsid w:val="003531B2"/>
    <w:rsid w:val="00353397"/>
    <w:rsid w:val="003534BB"/>
    <w:rsid w:val="003535DF"/>
    <w:rsid w:val="00353694"/>
    <w:rsid w:val="00353B06"/>
    <w:rsid w:val="00353B83"/>
    <w:rsid w:val="00353E13"/>
    <w:rsid w:val="0035406C"/>
    <w:rsid w:val="003540C1"/>
    <w:rsid w:val="00354277"/>
    <w:rsid w:val="003550A5"/>
    <w:rsid w:val="0035529C"/>
    <w:rsid w:val="003553A8"/>
    <w:rsid w:val="00355A8C"/>
    <w:rsid w:val="00355E33"/>
    <w:rsid w:val="00355EFB"/>
    <w:rsid w:val="003561E4"/>
    <w:rsid w:val="0035629F"/>
    <w:rsid w:val="00356651"/>
    <w:rsid w:val="0035668C"/>
    <w:rsid w:val="00356A35"/>
    <w:rsid w:val="00356AA2"/>
    <w:rsid w:val="00356C6C"/>
    <w:rsid w:val="00356D69"/>
    <w:rsid w:val="00356F14"/>
    <w:rsid w:val="00356F21"/>
    <w:rsid w:val="0035707E"/>
    <w:rsid w:val="00357276"/>
    <w:rsid w:val="00357A28"/>
    <w:rsid w:val="00357B30"/>
    <w:rsid w:val="00357D98"/>
    <w:rsid w:val="00357E15"/>
    <w:rsid w:val="003600DB"/>
    <w:rsid w:val="00360175"/>
    <w:rsid w:val="003604E2"/>
    <w:rsid w:val="00360855"/>
    <w:rsid w:val="003614FA"/>
    <w:rsid w:val="0036157F"/>
    <w:rsid w:val="0036202B"/>
    <w:rsid w:val="0036205F"/>
    <w:rsid w:val="00362870"/>
    <w:rsid w:val="003629F3"/>
    <w:rsid w:val="00362B2E"/>
    <w:rsid w:val="00362E15"/>
    <w:rsid w:val="00362E7D"/>
    <w:rsid w:val="00363119"/>
    <w:rsid w:val="003631AA"/>
    <w:rsid w:val="00363D33"/>
    <w:rsid w:val="003640FC"/>
    <w:rsid w:val="003645BF"/>
    <w:rsid w:val="003646CB"/>
    <w:rsid w:val="00364A23"/>
    <w:rsid w:val="00364ACE"/>
    <w:rsid w:val="00364BF8"/>
    <w:rsid w:val="00365478"/>
    <w:rsid w:val="00365667"/>
    <w:rsid w:val="00365727"/>
    <w:rsid w:val="003657E0"/>
    <w:rsid w:val="00366034"/>
    <w:rsid w:val="0036654F"/>
    <w:rsid w:val="003667EE"/>
    <w:rsid w:val="00366842"/>
    <w:rsid w:val="00366965"/>
    <w:rsid w:val="00366A46"/>
    <w:rsid w:val="00366B2E"/>
    <w:rsid w:val="00366C2B"/>
    <w:rsid w:val="00366C4B"/>
    <w:rsid w:val="003671BC"/>
    <w:rsid w:val="003675F5"/>
    <w:rsid w:val="00367FFA"/>
    <w:rsid w:val="003705A3"/>
    <w:rsid w:val="00370EA5"/>
    <w:rsid w:val="00370EDB"/>
    <w:rsid w:val="00371617"/>
    <w:rsid w:val="00371971"/>
    <w:rsid w:val="00371E54"/>
    <w:rsid w:val="0037274D"/>
    <w:rsid w:val="00372B5E"/>
    <w:rsid w:val="00372D75"/>
    <w:rsid w:val="00373182"/>
    <w:rsid w:val="0037397F"/>
    <w:rsid w:val="00373A10"/>
    <w:rsid w:val="00374074"/>
    <w:rsid w:val="00374591"/>
    <w:rsid w:val="0037476B"/>
    <w:rsid w:val="00374AD4"/>
    <w:rsid w:val="00375235"/>
    <w:rsid w:val="0037576D"/>
    <w:rsid w:val="00375C0E"/>
    <w:rsid w:val="00375DFC"/>
    <w:rsid w:val="0037651C"/>
    <w:rsid w:val="00376C1D"/>
    <w:rsid w:val="00376E62"/>
    <w:rsid w:val="0037700F"/>
    <w:rsid w:val="003774AB"/>
    <w:rsid w:val="00377A8E"/>
    <w:rsid w:val="00377D97"/>
    <w:rsid w:val="00380070"/>
    <w:rsid w:val="00380945"/>
    <w:rsid w:val="00380A39"/>
    <w:rsid w:val="00380C96"/>
    <w:rsid w:val="00381513"/>
    <w:rsid w:val="003815F5"/>
    <w:rsid w:val="00381AB2"/>
    <w:rsid w:val="00381F5B"/>
    <w:rsid w:val="0038202E"/>
    <w:rsid w:val="00382371"/>
    <w:rsid w:val="003824BD"/>
    <w:rsid w:val="00382685"/>
    <w:rsid w:val="0038302E"/>
    <w:rsid w:val="00383B10"/>
    <w:rsid w:val="0038450C"/>
    <w:rsid w:val="00384B74"/>
    <w:rsid w:val="0038523F"/>
    <w:rsid w:val="003852D1"/>
    <w:rsid w:val="00385450"/>
    <w:rsid w:val="0038573E"/>
    <w:rsid w:val="00385B6C"/>
    <w:rsid w:val="00386540"/>
    <w:rsid w:val="00386577"/>
    <w:rsid w:val="00386787"/>
    <w:rsid w:val="003867BC"/>
    <w:rsid w:val="00386A4E"/>
    <w:rsid w:val="00387118"/>
    <w:rsid w:val="003878D9"/>
    <w:rsid w:val="003879B6"/>
    <w:rsid w:val="00387B2A"/>
    <w:rsid w:val="00387EE3"/>
    <w:rsid w:val="003902F6"/>
    <w:rsid w:val="0039075B"/>
    <w:rsid w:val="0039079A"/>
    <w:rsid w:val="003910A7"/>
    <w:rsid w:val="003916D5"/>
    <w:rsid w:val="00391AB3"/>
    <w:rsid w:val="00391C3D"/>
    <w:rsid w:val="00391E5D"/>
    <w:rsid w:val="00392208"/>
    <w:rsid w:val="00392353"/>
    <w:rsid w:val="00392565"/>
    <w:rsid w:val="00392B62"/>
    <w:rsid w:val="00392E3B"/>
    <w:rsid w:val="0039326C"/>
    <w:rsid w:val="0039424F"/>
    <w:rsid w:val="00394257"/>
    <w:rsid w:val="0039443A"/>
    <w:rsid w:val="00394AFD"/>
    <w:rsid w:val="00394D6F"/>
    <w:rsid w:val="00394EE8"/>
    <w:rsid w:val="00395585"/>
    <w:rsid w:val="00395988"/>
    <w:rsid w:val="00395A48"/>
    <w:rsid w:val="00395D41"/>
    <w:rsid w:val="00395DAE"/>
    <w:rsid w:val="00395F0B"/>
    <w:rsid w:val="00395F60"/>
    <w:rsid w:val="00395FD4"/>
    <w:rsid w:val="00395FF3"/>
    <w:rsid w:val="0039695C"/>
    <w:rsid w:val="00396A31"/>
    <w:rsid w:val="00396E4E"/>
    <w:rsid w:val="00396F5A"/>
    <w:rsid w:val="003977ED"/>
    <w:rsid w:val="00397C90"/>
    <w:rsid w:val="00397FB8"/>
    <w:rsid w:val="003A007C"/>
    <w:rsid w:val="003A0373"/>
    <w:rsid w:val="003A06C7"/>
    <w:rsid w:val="003A0839"/>
    <w:rsid w:val="003A0CCE"/>
    <w:rsid w:val="003A1A29"/>
    <w:rsid w:val="003A2057"/>
    <w:rsid w:val="003A226D"/>
    <w:rsid w:val="003A2422"/>
    <w:rsid w:val="003A2547"/>
    <w:rsid w:val="003A2AC4"/>
    <w:rsid w:val="003A3056"/>
    <w:rsid w:val="003A3335"/>
    <w:rsid w:val="003A3408"/>
    <w:rsid w:val="003A344E"/>
    <w:rsid w:val="003A39FA"/>
    <w:rsid w:val="003A3A5A"/>
    <w:rsid w:val="003A3A67"/>
    <w:rsid w:val="003A3EE6"/>
    <w:rsid w:val="003A40BC"/>
    <w:rsid w:val="003A4122"/>
    <w:rsid w:val="003A449E"/>
    <w:rsid w:val="003A44F5"/>
    <w:rsid w:val="003A4583"/>
    <w:rsid w:val="003A4A96"/>
    <w:rsid w:val="003A5066"/>
    <w:rsid w:val="003A507C"/>
    <w:rsid w:val="003A56FD"/>
    <w:rsid w:val="003A5A5F"/>
    <w:rsid w:val="003A5F4D"/>
    <w:rsid w:val="003A619C"/>
    <w:rsid w:val="003A6301"/>
    <w:rsid w:val="003A650F"/>
    <w:rsid w:val="003A668A"/>
    <w:rsid w:val="003A6825"/>
    <w:rsid w:val="003A7277"/>
    <w:rsid w:val="003A73C1"/>
    <w:rsid w:val="003A75AA"/>
    <w:rsid w:val="003A7D75"/>
    <w:rsid w:val="003A7F15"/>
    <w:rsid w:val="003B019D"/>
    <w:rsid w:val="003B01BE"/>
    <w:rsid w:val="003B038B"/>
    <w:rsid w:val="003B0DEF"/>
    <w:rsid w:val="003B0F28"/>
    <w:rsid w:val="003B1260"/>
    <w:rsid w:val="003B1622"/>
    <w:rsid w:val="003B1647"/>
    <w:rsid w:val="003B1974"/>
    <w:rsid w:val="003B1B4F"/>
    <w:rsid w:val="003B21AF"/>
    <w:rsid w:val="003B27A5"/>
    <w:rsid w:val="003B2A99"/>
    <w:rsid w:val="003B2FE7"/>
    <w:rsid w:val="003B337B"/>
    <w:rsid w:val="003B37DF"/>
    <w:rsid w:val="003B3A6B"/>
    <w:rsid w:val="003B4486"/>
    <w:rsid w:val="003B4863"/>
    <w:rsid w:val="003B4E3B"/>
    <w:rsid w:val="003B510B"/>
    <w:rsid w:val="003B5136"/>
    <w:rsid w:val="003B5435"/>
    <w:rsid w:val="003B5BD2"/>
    <w:rsid w:val="003B5C33"/>
    <w:rsid w:val="003B614A"/>
    <w:rsid w:val="003B654E"/>
    <w:rsid w:val="003B69A3"/>
    <w:rsid w:val="003B6A1F"/>
    <w:rsid w:val="003B6E18"/>
    <w:rsid w:val="003B7329"/>
    <w:rsid w:val="003B759C"/>
    <w:rsid w:val="003B75B5"/>
    <w:rsid w:val="003B766F"/>
    <w:rsid w:val="003B7838"/>
    <w:rsid w:val="003B79DB"/>
    <w:rsid w:val="003C0518"/>
    <w:rsid w:val="003C0677"/>
    <w:rsid w:val="003C07A0"/>
    <w:rsid w:val="003C0861"/>
    <w:rsid w:val="003C0891"/>
    <w:rsid w:val="003C0BC6"/>
    <w:rsid w:val="003C10D6"/>
    <w:rsid w:val="003C1E30"/>
    <w:rsid w:val="003C1EE2"/>
    <w:rsid w:val="003C2144"/>
    <w:rsid w:val="003C22C4"/>
    <w:rsid w:val="003C2C5C"/>
    <w:rsid w:val="003C2E6A"/>
    <w:rsid w:val="003C307E"/>
    <w:rsid w:val="003C3B91"/>
    <w:rsid w:val="003C4232"/>
    <w:rsid w:val="003C4869"/>
    <w:rsid w:val="003C4DE0"/>
    <w:rsid w:val="003C4F1E"/>
    <w:rsid w:val="003C50D6"/>
    <w:rsid w:val="003C549D"/>
    <w:rsid w:val="003C5D71"/>
    <w:rsid w:val="003C5E71"/>
    <w:rsid w:val="003C5F1A"/>
    <w:rsid w:val="003C603A"/>
    <w:rsid w:val="003C63E2"/>
    <w:rsid w:val="003C66E2"/>
    <w:rsid w:val="003C6769"/>
    <w:rsid w:val="003C6798"/>
    <w:rsid w:val="003C6818"/>
    <w:rsid w:val="003C6933"/>
    <w:rsid w:val="003C6F3A"/>
    <w:rsid w:val="003C7369"/>
    <w:rsid w:val="003C73C9"/>
    <w:rsid w:val="003C7B9A"/>
    <w:rsid w:val="003C7BC3"/>
    <w:rsid w:val="003C7D26"/>
    <w:rsid w:val="003C7D73"/>
    <w:rsid w:val="003D02E1"/>
    <w:rsid w:val="003D0302"/>
    <w:rsid w:val="003D0C04"/>
    <w:rsid w:val="003D1759"/>
    <w:rsid w:val="003D1E9D"/>
    <w:rsid w:val="003D2042"/>
    <w:rsid w:val="003D2191"/>
    <w:rsid w:val="003D21F2"/>
    <w:rsid w:val="003D2601"/>
    <w:rsid w:val="003D2901"/>
    <w:rsid w:val="003D3207"/>
    <w:rsid w:val="003D35C3"/>
    <w:rsid w:val="003D3DC9"/>
    <w:rsid w:val="003D40F9"/>
    <w:rsid w:val="003D41C8"/>
    <w:rsid w:val="003D439B"/>
    <w:rsid w:val="003D439C"/>
    <w:rsid w:val="003D43D1"/>
    <w:rsid w:val="003D54F0"/>
    <w:rsid w:val="003D5673"/>
    <w:rsid w:val="003D57D1"/>
    <w:rsid w:val="003D6651"/>
    <w:rsid w:val="003D67A2"/>
    <w:rsid w:val="003D6CCB"/>
    <w:rsid w:val="003D6ED8"/>
    <w:rsid w:val="003D7BA5"/>
    <w:rsid w:val="003D7DFC"/>
    <w:rsid w:val="003E02B4"/>
    <w:rsid w:val="003E06A0"/>
    <w:rsid w:val="003E076C"/>
    <w:rsid w:val="003E097D"/>
    <w:rsid w:val="003E0B97"/>
    <w:rsid w:val="003E0D87"/>
    <w:rsid w:val="003E0DE1"/>
    <w:rsid w:val="003E1006"/>
    <w:rsid w:val="003E1042"/>
    <w:rsid w:val="003E1319"/>
    <w:rsid w:val="003E1528"/>
    <w:rsid w:val="003E16A0"/>
    <w:rsid w:val="003E17E5"/>
    <w:rsid w:val="003E1E85"/>
    <w:rsid w:val="003E26AF"/>
    <w:rsid w:val="003E2C52"/>
    <w:rsid w:val="003E2C8B"/>
    <w:rsid w:val="003E2D71"/>
    <w:rsid w:val="003E2FDB"/>
    <w:rsid w:val="003E3706"/>
    <w:rsid w:val="003E37A1"/>
    <w:rsid w:val="003E3B08"/>
    <w:rsid w:val="003E3EB4"/>
    <w:rsid w:val="003E4D67"/>
    <w:rsid w:val="003E4DDB"/>
    <w:rsid w:val="003E52AD"/>
    <w:rsid w:val="003E539D"/>
    <w:rsid w:val="003E5862"/>
    <w:rsid w:val="003E5874"/>
    <w:rsid w:val="003E5B6D"/>
    <w:rsid w:val="003E5C50"/>
    <w:rsid w:val="003E5C5E"/>
    <w:rsid w:val="003E5D13"/>
    <w:rsid w:val="003E616E"/>
    <w:rsid w:val="003E6510"/>
    <w:rsid w:val="003E691B"/>
    <w:rsid w:val="003E6FA6"/>
    <w:rsid w:val="003E7465"/>
    <w:rsid w:val="003E7656"/>
    <w:rsid w:val="003E7765"/>
    <w:rsid w:val="003F072A"/>
    <w:rsid w:val="003F0BA7"/>
    <w:rsid w:val="003F0C96"/>
    <w:rsid w:val="003F0EA0"/>
    <w:rsid w:val="003F12D7"/>
    <w:rsid w:val="003F1364"/>
    <w:rsid w:val="003F1811"/>
    <w:rsid w:val="003F18D3"/>
    <w:rsid w:val="003F19CF"/>
    <w:rsid w:val="003F1D97"/>
    <w:rsid w:val="003F23EF"/>
    <w:rsid w:val="003F2697"/>
    <w:rsid w:val="003F2B18"/>
    <w:rsid w:val="003F2DE9"/>
    <w:rsid w:val="003F2E85"/>
    <w:rsid w:val="003F2EB5"/>
    <w:rsid w:val="003F309D"/>
    <w:rsid w:val="003F3530"/>
    <w:rsid w:val="003F370D"/>
    <w:rsid w:val="003F3A23"/>
    <w:rsid w:val="003F415C"/>
    <w:rsid w:val="003F45BD"/>
    <w:rsid w:val="003F4771"/>
    <w:rsid w:val="003F4A5E"/>
    <w:rsid w:val="003F513C"/>
    <w:rsid w:val="003F51A4"/>
    <w:rsid w:val="003F5222"/>
    <w:rsid w:val="003F5276"/>
    <w:rsid w:val="003F5612"/>
    <w:rsid w:val="003F5D5C"/>
    <w:rsid w:val="003F5F62"/>
    <w:rsid w:val="003F5FCA"/>
    <w:rsid w:val="003F62DD"/>
    <w:rsid w:val="003F6808"/>
    <w:rsid w:val="003F69B2"/>
    <w:rsid w:val="003F6B92"/>
    <w:rsid w:val="003F7017"/>
    <w:rsid w:val="003F7242"/>
    <w:rsid w:val="003F72FA"/>
    <w:rsid w:val="003F7466"/>
    <w:rsid w:val="003F74BE"/>
    <w:rsid w:val="003F7D86"/>
    <w:rsid w:val="003F7DE1"/>
    <w:rsid w:val="003F7F6C"/>
    <w:rsid w:val="004003AE"/>
    <w:rsid w:val="00400944"/>
    <w:rsid w:val="00400CC9"/>
    <w:rsid w:val="00400E29"/>
    <w:rsid w:val="00400FA5"/>
    <w:rsid w:val="004010DB"/>
    <w:rsid w:val="00401605"/>
    <w:rsid w:val="004019EA"/>
    <w:rsid w:val="00401B51"/>
    <w:rsid w:val="00401B8D"/>
    <w:rsid w:val="00401C11"/>
    <w:rsid w:val="00401C1C"/>
    <w:rsid w:val="00401E59"/>
    <w:rsid w:val="00401FDB"/>
    <w:rsid w:val="00402476"/>
    <w:rsid w:val="00402674"/>
    <w:rsid w:val="00402994"/>
    <w:rsid w:val="00402D62"/>
    <w:rsid w:val="00402FEC"/>
    <w:rsid w:val="00403544"/>
    <w:rsid w:val="004035F3"/>
    <w:rsid w:val="0040362B"/>
    <w:rsid w:val="0040368A"/>
    <w:rsid w:val="00403776"/>
    <w:rsid w:val="00403BE3"/>
    <w:rsid w:val="004040E9"/>
    <w:rsid w:val="00404DC9"/>
    <w:rsid w:val="00404EF4"/>
    <w:rsid w:val="00405301"/>
    <w:rsid w:val="00405D21"/>
    <w:rsid w:val="00405E54"/>
    <w:rsid w:val="00405FAE"/>
    <w:rsid w:val="004063D5"/>
    <w:rsid w:val="004072C6"/>
    <w:rsid w:val="00407321"/>
    <w:rsid w:val="0040732F"/>
    <w:rsid w:val="00407888"/>
    <w:rsid w:val="00407D53"/>
    <w:rsid w:val="00410CA0"/>
    <w:rsid w:val="00410CF6"/>
    <w:rsid w:val="00411125"/>
    <w:rsid w:val="004124F1"/>
    <w:rsid w:val="004126F3"/>
    <w:rsid w:val="00412A97"/>
    <w:rsid w:val="00412AA7"/>
    <w:rsid w:val="0041334C"/>
    <w:rsid w:val="004142A8"/>
    <w:rsid w:val="0041455A"/>
    <w:rsid w:val="00414591"/>
    <w:rsid w:val="00414B1A"/>
    <w:rsid w:val="00414D4D"/>
    <w:rsid w:val="00414DFD"/>
    <w:rsid w:val="00415B07"/>
    <w:rsid w:val="00415B5F"/>
    <w:rsid w:val="00415F68"/>
    <w:rsid w:val="00416846"/>
    <w:rsid w:val="004168C9"/>
    <w:rsid w:val="004172F2"/>
    <w:rsid w:val="00417582"/>
    <w:rsid w:val="00420045"/>
    <w:rsid w:val="0042018D"/>
    <w:rsid w:val="0042021D"/>
    <w:rsid w:val="00420445"/>
    <w:rsid w:val="00420E61"/>
    <w:rsid w:val="0042159A"/>
    <w:rsid w:val="00421E66"/>
    <w:rsid w:val="00421F09"/>
    <w:rsid w:val="004222BF"/>
    <w:rsid w:val="0042238B"/>
    <w:rsid w:val="004223E1"/>
    <w:rsid w:val="004226A7"/>
    <w:rsid w:val="00422AAA"/>
    <w:rsid w:val="0042339A"/>
    <w:rsid w:val="00423640"/>
    <w:rsid w:val="00423721"/>
    <w:rsid w:val="00423857"/>
    <w:rsid w:val="00423C66"/>
    <w:rsid w:val="00423D2C"/>
    <w:rsid w:val="00423DE5"/>
    <w:rsid w:val="00423E53"/>
    <w:rsid w:val="00423FF5"/>
    <w:rsid w:val="0042417E"/>
    <w:rsid w:val="0042436B"/>
    <w:rsid w:val="004243F8"/>
    <w:rsid w:val="004245E0"/>
    <w:rsid w:val="00424D01"/>
    <w:rsid w:val="00424D86"/>
    <w:rsid w:val="0042520C"/>
    <w:rsid w:val="004257D2"/>
    <w:rsid w:val="00425861"/>
    <w:rsid w:val="00425A31"/>
    <w:rsid w:val="00425B63"/>
    <w:rsid w:val="00425F81"/>
    <w:rsid w:val="00425FAC"/>
    <w:rsid w:val="00426304"/>
    <w:rsid w:val="00426328"/>
    <w:rsid w:val="00427177"/>
    <w:rsid w:val="004275BC"/>
    <w:rsid w:val="0042770F"/>
    <w:rsid w:val="004277D1"/>
    <w:rsid w:val="00427846"/>
    <w:rsid w:val="00427909"/>
    <w:rsid w:val="00427F1C"/>
    <w:rsid w:val="004300DE"/>
    <w:rsid w:val="004302DC"/>
    <w:rsid w:val="004304BD"/>
    <w:rsid w:val="004304E0"/>
    <w:rsid w:val="0043069D"/>
    <w:rsid w:val="004308F9"/>
    <w:rsid w:val="00430ABE"/>
    <w:rsid w:val="00430BD6"/>
    <w:rsid w:val="00430C37"/>
    <w:rsid w:val="00430C92"/>
    <w:rsid w:val="00430E17"/>
    <w:rsid w:val="00430F0F"/>
    <w:rsid w:val="004313AA"/>
    <w:rsid w:val="004317B6"/>
    <w:rsid w:val="00431A3F"/>
    <w:rsid w:val="00431F7D"/>
    <w:rsid w:val="004320E8"/>
    <w:rsid w:val="0043227B"/>
    <w:rsid w:val="00433739"/>
    <w:rsid w:val="004339A2"/>
    <w:rsid w:val="00433C6C"/>
    <w:rsid w:val="00433DFD"/>
    <w:rsid w:val="00433F58"/>
    <w:rsid w:val="004340AB"/>
    <w:rsid w:val="00434124"/>
    <w:rsid w:val="00434471"/>
    <w:rsid w:val="004349C3"/>
    <w:rsid w:val="0043500C"/>
    <w:rsid w:val="004353B5"/>
    <w:rsid w:val="0043567E"/>
    <w:rsid w:val="0043584D"/>
    <w:rsid w:val="004358F6"/>
    <w:rsid w:val="00435B4E"/>
    <w:rsid w:val="00435F2D"/>
    <w:rsid w:val="004361CF"/>
    <w:rsid w:val="00436311"/>
    <w:rsid w:val="00436571"/>
    <w:rsid w:val="00436716"/>
    <w:rsid w:val="00436F53"/>
    <w:rsid w:val="00436F76"/>
    <w:rsid w:val="00436FFE"/>
    <w:rsid w:val="004371B7"/>
    <w:rsid w:val="004371CC"/>
    <w:rsid w:val="004376A6"/>
    <w:rsid w:val="00437C77"/>
    <w:rsid w:val="00440332"/>
    <w:rsid w:val="004404B2"/>
    <w:rsid w:val="004409D5"/>
    <w:rsid w:val="00440B6A"/>
    <w:rsid w:val="00440F96"/>
    <w:rsid w:val="0044125A"/>
    <w:rsid w:val="004416EB"/>
    <w:rsid w:val="00441FA8"/>
    <w:rsid w:val="004420DD"/>
    <w:rsid w:val="00442717"/>
    <w:rsid w:val="00442AEB"/>
    <w:rsid w:val="00442AFC"/>
    <w:rsid w:val="00442D5A"/>
    <w:rsid w:val="00442E00"/>
    <w:rsid w:val="00442F62"/>
    <w:rsid w:val="00443184"/>
    <w:rsid w:val="004433A9"/>
    <w:rsid w:val="00443640"/>
    <w:rsid w:val="00443A2F"/>
    <w:rsid w:val="00443F44"/>
    <w:rsid w:val="00444050"/>
    <w:rsid w:val="00444340"/>
    <w:rsid w:val="00444485"/>
    <w:rsid w:val="004446B9"/>
    <w:rsid w:val="00444F23"/>
    <w:rsid w:val="00444F52"/>
    <w:rsid w:val="004450AA"/>
    <w:rsid w:val="0044584F"/>
    <w:rsid w:val="004462E3"/>
    <w:rsid w:val="00446A22"/>
    <w:rsid w:val="004473E5"/>
    <w:rsid w:val="0044797F"/>
    <w:rsid w:val="00447980"/>
    <w:rsid w:val="00447AD9"/>
    <w:rsid w:val="0045008A"/>
    <w:rsid w:val="00450294"/>
    <w:rsid w:val="0045043B"/>
    <w:rsid w:val="00451499"/>
    <w:rsid w:val="0045165B"/>
    <w:rsid w:val="004516CA"/>
    <w:rsid w:val="004518C4"/>
    <w:rsid w:val="0045282C"/>
    <w:rsid w:val="00452974"/>
    <w:rsid w:val="0045313A"/>
    <w:rsid w:val="00453811"/>
    <w:rsid w:val="00453F59"/>
    <w:rsid w:val="0045421D"/>
    <w:rsid w:val="004545E4"/>
    <w:rsid w:val="004546DE"/>
    <w:rsid w:val="0045477D"/>
    <w:rsid w:val="00454A77"/>
    <w:rsid w:val="00454E23"/>
    <w:rsid w:val="00454E2D"/>
    <w:rsid w:val="00454EC4"/>
    <w:rsid w:val="00454FAA"/>
    <w:rsid w:val="00455558"/>
    <w:rsid w:val="00456225"/>
    <w:rsid w:val="00456BBA"/>
    <w:rsid w:val="00456ED2"/>
    <w:rsid w:val="0045785F"/>
    <w:rsid w:val="00457D3E"/>
    <w:rsid w:val="004603A2"/>
    <w:rsid w:val="00460616"/>
    <w:rsid w:val="00460E94"/>
    <w:rsid w:val="00461006"/>
    <w:rsid w:val="004615DF"/>
    <w:rsid w:val="0046186F"/>
    <w:rsid w:val="004619D0"/>
    <w:rsid w:val="00461F92"/>
    <w:rsid w:val="00462277"/>
    <w:rsid w:val="00462730"/>
    <w:rsid w:val="00462A79"/>
    <w:rsid w:val="00462AB9"/>
    <w:rsid w:val="0046320A"/>
    <w:rsid w:val="00463B58"/>
    <w:rsid w:val="0046517F"/>
    <w:rsid w:val="00465574"/>
    <w:rsid w:val="00465595"/>
    <w:rsid w:val="0046599C"/>
    <w:rsid w:val="004659E1"/>
    <w:rsid w:val="00465A56"/>
    <w:rsid w:val="004662AA"/>
    <w:rsid w:val="00466465"/>
    <w:rsid w:val="004666AD"/>
    <w:rsid w:val="00466C6D"/>
    <w:rsid w:val="0046713A"/>
    <w:rsid w:val="00467398"/>
    <w:rsid w:val="00467402"/>
    <w:rsid w:val="004675F4"/>
    <w:rsid w:val="00467AD6"/>
    <w:rsid w:val="00470007"/>
    <w:rsid w:val="0047009E"/>
    <w:rsid w:val="00470384"/>
    <w:rsid w:val="004706BE"/>
    <w:rsid w:val="00470BE8"/>
    <w:rsid w:val="00470E49"/>
    <w:rsid w:val="00470E98"/>
    <w:rsid w:val="00471C9F"/>
    <w:rsid w:val="00471EC0"/>
    <w:rsid w:val="00472015"/>
    <w:rsid w:val="004723E8"/>
    <w:rsid w:val="0047243D"/>
    <w:rsid w:val="00472C5F"/>
    <w:rsid w:val="00473A14"/>
    <w:rsid w:val="004743F7"/>
    <w:rsid w:val="004752D8"/>
    <w:rsid w:val="004756B7"/>
    <w:rsid w:val="00475BFD"/>
    <w:rsid w:val="00475CB2"/>
    <w:rsid w:val="004760F0"/>
    <w:rsid w:val="004767A7"/>
    <w:rsid w:val="004769DE"/>
    <w:rsid w:val="00476BDD"/>
    <w:rsid w:val="00476FE0"/>
    <w:rsid w:val="00477020"/>
    <w:rsid w:val="004778BF"/>
    <w:rsid w:val="00477950"/>
    <w:rsid w:val="00477A67"/>
    <w:rsid w:val="00477A95"/>
    <w:rsid w:val="004801F7"/>
    <w:rsid w:val="00480261"/>
    <w:rsid w:val="0048085F"/>
    <w:rsid w:val="004808C2"/>
    <w:rsid w:val="00480BC6"/>
    <w:rsid w:val="00480CF4"/>
    <w:rsid w:val="00480D45"/>
    <w:rsid w:val="00480F1F"/>
    <w:rsid w:val="00480FCB"/>
    <w:rsid w:val="00481197"/>
    <w:rsid w:val="004812E8"/>
    <w:rsid w:val="004819D2"/>
    <w:rsid w:val="00481F1C"/>
    <w:rsid w:val="00482112"/>
    <w:rsid w:val="0048287A"/>
    <w:rsid w:val="00482968"/>
    <w:rsid w:val="00482D11"/>
    <w:rsid w:val="004832DC"/>
    <w:rsid w:val="00483314"/>
    <w:rsid w:val="00483380"/>
    <w:rsid w:val="00483409"/>
    <w:rsid w:val="00483519"/>
    <w:rsid w:val="00483685"/>
    <w:rsid w:val="0048377F"/>
    <w:rsid w:val="00483914"/>
    <w:rsid w:val="0048391D"/>
    <w:rsid w:val="00483E13"/>
    <w:rsid w:val="00484925"/>
    <w:rsid w:val="004849BC"/>
    <w:rsid w:val="00484D7D"/>
    <w:rsid w:val="00484EFB"/>
    <w:rsid w:val="0048547E"/>
    <w:rsid w:val="004854C9"/>
    <w:rsid w:val="00485926"/>
    <w:rsid w:val="00485A03"/>
    <w:rsid w:val="00485DD2"/>
    <w:rsid w:val="00485FFA"/>
    <w:rsid w:val="00486132"/>
    <w:rsid w:val="00486211"/>
    <w:rsid w:val="004862BF"/>
    <w:rsid w:val="00486A1E"/>
    <w:rsid w:val="00486E0F"/>
    <w:rsid w:val="0048774D"/>
    <w:rsid w:val="004879A0"/>
    <w:rsid w:val="004900AF"/>
    <w:rsid w:val="0049026B"/>
    <w:rsid w:val="0049041E"/>
    <w:rsid w:val="004908AE"/>
    <w:rsid w:val="00490A17"/>
    <w:rsid w:val="00490C7A"/>
    <w:rsid w:val="00490D05"/>
    <w:rsid w:val="00490D96"/>
    <w:rsid w:val="00490E11"/>
    <w:rsid w:val="00490E62"/>
    <w:rsid w:val="00491049"/>
    <w:rsid w:val="004910B5"/>
    <w:rsid w:val="0049172C"/>
    <w:rsid w:val="00491965"/>
    <w:rsid w:val="00491E72"/>
    <w:rsid w:val="00492062"/>
    <w:rsid w:val="004921A8"/>
    <w:rsid w:val="004923CF"/>
    <w:rsid w:val="00492448"/>
    <w:rsid w:val="00492474"/>
    <w:rsid w:val="00492B70"/>
    <w:rsid w:val="00492E6B"/>
    <w:rsid w:val="00493289"/>
    <w:rsid w:val="004932AD"/>
    <w:rsid w:val="004937C6"/>
    <w:rsid w:val="004944E7"/>
    <w:rsid w:val="0049471A"/>
    <w:rsid w:val="004947E7"/>
    <w:rsid w:val="004949C6"/>
    <w:rsid w:val="00494F53"/>
    <w:rsid w:val="00495005"/>
    <w:rsid w:val="00495232"/>
    <w:rsid w:val="00495618"/>
    <w:rsid w:val="00495889"/>
    <w:rsid w:val="00495A2E"/>
    <w:rsid w:val="00495B56"/>
    <w:rsid w:val="00495CC8"/>
    <w:rsid w:val="00496049"/>
    <w:rsid w:val="0049629F"/>
    <w:rsid w:val="00496497"/>
    <w:rsid w:val="0049658A"/>
    <w:rsid w:val="004969D3"/>
    <w:rsid w:val="00496A53"/>
    <w:rsid w:val="00496E9D"/>
    <w:rsid w:val="004A003C"/>
    <w:rsid w:val="004A0301"/>
    <w:rsid w:val="004A0359"/>
    <w:rsid w:val="004A09B2"/>
    <w:rsid w:val="004A0BF6"/>
    <w:rsid w:val="004A0D16"/>
    <w:rsid w:val="004A1152"/>
    <w:rsid w:val="004A11EB"/>
    <w:rsid w:val="004A12BA"/>
    <w:rsid w:val="004A1EFF"/>
    <w:rsid w:val="004A217F"/>
    <w:rsid w:val="004A2297"/>
    <w:rsid w:val="004A2402"/>
    <w:rsid w:val="004A2C28"/>
    <w:rsid w:val="004A2FBC"/>
    <w:rsid w:val="004A32CD"/>
    <w:rsid w:val="004A3315"/>
    <w:rsid w:val="004A3A61"/>
    <w:rsid w:val="004A3CA4"/>
    <w:rsid w:val="004A3D33"/>
    <w:rsid w:val="004A3E65"/>
    <w:rsid w:val="004A40F8"/>
    <w:rsid w:val="004A4DBB"/>
    <w:rsid w:val="004A5086"/>
    <w:rsid w:val="004A52D4"/>
    <w:rsid w:val="004A55C3"/>
    <w:rsid w:val="004A59E2"/>
    <w:rsid w:val="004A5A61"/>
    <w:rsid w:val="004A5AEC"/>
    <w:rsid w:val="004A5E7F"/>
    <w:rsid w:val="004A6276"/>
    <w:rsid w:val="004A6972"/>
    <w:rsid w:val="004A7851"/>
    <w:rsid w:val="004A78EB"/>
    <w:rsid w:val="004A7EC8"/>
    <w:rsid w:val="004A7F5D"/>
    <w:rsid w:val="004B00D2"/>
    <w:rsid w:val="004B086E"/>
    <w:rsid w:val="004B0C4E"/>
    <w:rsid w:val="004B0C6B"/>
    <w:rsid w:val="004B0F6A"/>
    <w:rsid w:val="004B16D0"/>
    <w:rsid w:val="004B1C4A"/>
    <w:rsid w:val="004B1F54"/>
    <w:rsid w:val="004B206F"/>
    <w:rsid w:val="004B224C"/>
    <w:rsid w:val="004B2406"/>
    <w:rsid w:val="004B2DEB"/>
    <w:rsid w:val="004B2EAB"/>
    <w:rsid w:val="004B3574"/>
    <w:rsid w:val="004B3A90"/>
    <w:rsid w:val="004B400F"/>
    <w:rsid w:val="004B448A"/>
    <w:rsid w:val="004B4699"/>
    <w:rsid w:val="004B4A2E"/>
    <w:rsid w:val="004B4CEA"/>
    <w:rsid w:val="004B4DDE"/>
    <w:rsid w:val="004B5787"/>
    <w:rsid w:val="004B59AC"/>
    <w:rsid w:val="004B5C02"/>
    <w:rsid w:val="004B6397"/>
    <w:rsid w:val="004B63F9"/>
    <w:rsid w:val="004B64F9"/>
    <w:rsid w:val="004B66E0"/>
    <w:rsid w:val="004B69B8"/>
    <w:rsid w:val="004B6CD9"/>
    <w:rsid w:val="004B6EAF"/>
    <w:rsid w:val="004B728C"/>
    <w:rsid w:val="004B792D"/>
    <w:rsid w:val="004B7B81"/>
    <w:rsid w:val="004C054A"/>
    <w:rsid w:val="004C0DF2"/>
    <w:rsid w:val="004C0F32"/>
    <w:rsid w:val="004C110C"/>
    <w:rsid w:val="004C125C"/>
    <w:rsid w:val="004C16CD"/>
    <w:rsid w:val="004C283E"/>
    <w:rsid w:val="004C2F56"/>
    <w:rsid w:val="004C33A1"/>
    <w:rsid w:val="004C385E"/>
    <w:rsid w:val="004C3A59"/>
    <w:rsid w:val="004C3DD9"/>
    <w:rsid w:val="004C4691"/>
    <w:rsid w:val="004C47BA"/>
    <w:rsid w:val="004C4867"/>
    <w:rsid w:val="004C4AEE"/>
    <w:rsid w:val="004C4BA9"/>
    <w:rsid w:val="004C4EEF"/>
    <w:rsid w:val="004C520A"/>
    <w:rsid w:val="004C5335"/>
    <w:rsid w:val="004C588E"/>
    <w:rsid w:val="004C59CA"/>
    <w:rsid w:val="004C5DB3"/>
    <w:rsid w:val="004C6625"/>
    <w:rsid w:val="004C66E0"/>
    <w:rsid w:val="004C6775"/>
    <w:rsid w:val="004C6D63"/>
    <w:rsid w:val="004C6DD7"/>
    <w:rsid w:val="004C6E6D"/>
    <w:rsid w:val="004C73DE"/>
    <w:rsid w:val="004C79AE"/>
    <w:rsid w:val="004C79FB"/>
    <w:rsid w:val="004C7A06"/>
    <w:rsid w:val="004C7BEE"/>
    <w:rsid w:val="004D0038"/>
    <w:rsid w:val="004D0D3B"/>
    <w:rsid w:val="004D1B52"/>
    <w:rsid w:val="004D1EC8"/>
    <w:rsid w:val="004D235A"/>
    <w:rsid w:val="004D248C"/>
    <w:rsid w:val="004D284D"/>
    <w:rsid w:val="004D2DC7"/>
    <w:rsid w:val="004D32B9"/>
    <w:rsid w:val="004D4013"/>
    <w:rsid w:val="004D401A"/>
    <w:rsid w:val="004D428E"/>
    <w:rsid w:val="004D4328"/>
    <w:rsid w:val="004D44E7"/>
    <w:rsid w:val="004D488B"/>
    <w:rsid w:val="004D529F"/>
    <w:rsid w:val="004D5335"/>
    <w:rsid w:val="004D53B7"/>
    <w:rsid w:val="004D53C4"/>
    <w:rsid w:val="004D546C"/>
    <w:rsid w:val="004D5A25"/>
    <w:rsid w:val="004D5D04"/>
    <w:rsid w:val="004D5EAA"/>
    <w:rsid w:val="004D6244"/>
    <w:rsid w:val="004D63C5"/>
    <w:rsid w:val="004D66BC"/>
    <w:rsid w:val="004D71FC"/>
    <w:rsid w:val="004D7C2D"/>
    <w:rsid w:val="004D7EF6"/>
    <w:rsid w:val="004E0026"/>
    <w:rsid w:val="004E016E"/>
    <w:rsid w:val="004E03AE"/>
    <w:rsid w:val="004E05BC"/>
    <w:rsid w:val="004E0892"/>
    <w:rsid w:val="004E1BA9"/>
    <w:rsid w:val="004E2B55"/>
    <w:rsid w:val="004E3978"/>
    <w:rsid w:val="004E3ADE"/>
    <w:rsid w:val="004E3F9D"/>
    <w:rsid w:val="004E4180"/>
    <w:rsid w:val="004E4500"/>
    <w:rsid w:val="004E450F"/>
    <w:rsid w:val="004E4BC3"/>
    <w:rsid w:val="004E4F66"/>
    <w:rsid w:val="004E545B"/>
    <w:rsid w:val="004E57BE"/>
    <w:rsid w:val="004E5AFA"/>
    <w:rsid w:val="004E5DFC"/>
    <w:rsid w:val="004E6299"/>
    <w:rsid w:val="004E6C44"/>
    <w:rsid w:val="004E6D03"/>
    <w:rsid w:val="004E6EDB"/>
    <w:rsid w:val="004E77A8"/>
    <w:rsid w:val="004E7935"/>
    <w:rsid w:val="004E7A88"/>
    <w:rsid w:val="004F15B9"/>
    <w:rsid w:val="004F1A44"/>
    <w:rsid w:val="004F2304"/>
    <w:rsid w:val="004F2349"/>
    <w:rsid w:val="004F23C4"/>
    <w:rsid w:val="004F2FF9"/>
    <w:rsid w:val="004F30E6"/>
    <w:rsid w:val="004F32ED"/>
    <w:rsid w:val="004F37C2"/>
    <w:rsid w:val="004F3891"/>
    <w:rsid w:val="004F39ED"/>
    <w:rsid w:val="004F3B6E"/>
    <w:rsid w:val="004F4164"/>
    <w:rsid w:val="004F427C"/>
    <w:rsid w:val="004F4C9D"/>
    <w:rsid w:val="004F4E0E"/>
    <w:rsid w:val="004F4E5B"/>
    <w:rsid w:val="004F4EA9"/>
    <w:rsid w:val="004F5751"/>
    <w:rsid w:val="004F5B5C"/>
    <w:rsid w:val="004F5B9F"/>
    <w:rsid w:val="004F5FBF"/>
    <w:rsid w:val="004F605E"/>
    <w:rsid w:val="004F613D"/>
    <w:rsid w:val="004F6190"/>
    <w:rsid w:val="004F63EA"/>
    <w:rsid w:val="004F643B"/>
    <w:rsid w:val="004F64A1"/>
    <w:rsid w:val="004F6523"/>
    <w:rsid w:val="004F69BA"/>
    <w:rsid w:val="004F6BF5"/>
    <w:rsid w:val="004F6E71"/>
    <w:rsid w:val="004F709A"/>
    <w:rsid w:val="004F71FE"/>
    <w:rsid w:val="004F7324"/>
    <w:rsid w:val="004F7734"/>
    <w:rsid w:val="00500283"/>
    <w:rsid w:val="00500A53"/>
    <w:rsid w:val="00500DBB"/>
    <w:rsid w:val="00500E61"/>
    <w:rsid w:val="00501C27"/>
    <w:rsid w:val="00501E93"/>
    <w:rsid w:val="0050225D"/>
    <w:rsid w:val="00502423"/>
    <w:rsid w:val="005024DA"/>
    <w:rsid w:val="00502B00"/>
    <w:rsid w:val="005033C2"/>
    <w:rsid w:val="005036FB"/>
    <w:rsid w:val="00503966"/>
    <w:rsid w:val="00503B1B"/>
    <w:rsid w:val="00505861"/>
    <w:rsid w:val="00505A12"/>
    <w:rsid w:val="00505D90"/>
    <w:rsid w:val="00505F2C"/>
    <w:rsid w:val="00505FE9"/>
    <w:rsid w:val="00506282"/>
    <w:rsid w:val="00506425"/>
    <w:rsid w:val="00506650"/>
    <w:rsid w:val="00506822"/>
    <w:rsid w:val="005069B1"/>
    <w:rsid w:val="00506C44"/>
    <w:rsid w:val="005070D1"/>
    <w:rsid w:val="0050724C"/>
    <w:rsid w:val="005073F1"/>
    <w:rsid w:val="00507583"/>
    <w:rsid w:val="00507F16"/>
    <w:rsid w:val="00507F42"/>
    <w:rsid w:val="0051011F"/>
    <w:rsid w:val="005102EC"/>
    <w:rsid w:val="00510CF1"/>
    <w:rsid w:val="00510DB9"/>
    <w:rsid w:val="005114C0"/>
    <w:rsid w:val="00511593"/>
    <w:rsid w:val="00511EC0"/>
    <w:rsid w:val="00511F7B"/>
    <w:rsid w:val="00511FBD"/>
    <w:rsid w:val="00512290"/>
    <w:rsid w:val="00512CA3"/>
    <w:rsid w:val="00512E55"/>
    <w:rsid w:val="00513AC0"/>
    <w:rsid w:val="00513D04"/>
    <w:rsid w:val="00514300"/>
    <w:rsid w:val="005143BB"/>
    <w:rsid w:val="005145BD"/>
    <w:rsid w:val="00514A90"/>
    <w:rsid w:val="00514B66"/>
    <w:rsid w:val="00514EDF"/>
    <w:rsid w:val="00515008"/>
    <w:rsid w:val="00515177"/>
    <w:rsid w:val="00515374"/>
    <w:rsid w:val="00515CA8"/>
    <w:rsid w:val="00516148"/>
    <w:rsid w:val="005163B4"/>
    <w:rsid w:val="005164F3"/>
    <w:rsid w:val="0051663D"/>
    <w:rsid w:val="00516AF9"/>
    <w:rsid w:val="00516FE8"/>
    <w:rsid w:val="005201DB"/>
    <w:rsid w:val="00520C8A"/>
    <w:rsid w:val="00521875"/>
    <w:rsid w:val="00521D8D"/>
    <w:rsid w:val="0052244D"/>
    <w:rsid w:val="00522941"/>
    <w:rsid w:val="005229E7"/>
    <w:rsid w:val="00522A54"/>
    <w:rsid w:val="00522D9E"/>
    <w:rsid w:val="00522F5D"/>
    <w:rsid w:val="0052309A"/>
    <w:rsid w:val="00523387"/>
    <w:rsid w:val="00523FEC"/>
    <w:rsid w:val="005244B1"/>
    <w:rsid w:val="00524E93"/>
    <w:rsid w:val="00525201"/>
    <w:rsid w:val="00525378"/>
    <w:rsid w:val="005255B4"/>
    <w:rsid w:val="005259FC"/>
    <w:rsid w:val="005264A0"/>
    <w:rsid w:val="005268C7"/>
    <w:rsid w:val="00526A22"/>
    <w:rsid w:val="00526AAE"/>
    <w:rsid w:val="00526B00"/>
    <w:rsid w:val="005270E8"/>
    <w:rsid w:val="005275C4"/>
    <w:rsid w:val="005277E8"/>
    <w:rsid w:val="0052795F"/>
    <w:rsid w:val="00527A3A"/>
    <w:rsid w:val="00527BF8"/>
    <w:rsid w:val="00527E0C"/>
    <w:rsid w:val="00530000"/>
    <w:rsid w:val="00530325"/>
    <w:rsid w:val="005306CC"/>
    <w:rsid w:val="00530846"/>
    <w:rsid w:val="00530AF5"/>
    <w:rsid w:val="00530C4D"/>
    <w:rsid w:val="005311CD"/>
    <w:rsid w:val="00531207"/>
    <w:rsid w:val="005316D1"/>
    <w:rsid w:val="00531870"/>
    <w:rsid w:val="00531A2B"/>
    <w:rsid w:val="00531D6C"/>
    <w:rsid w:val="00531EC2"/>
    <w:rsid w:val="00532158"/>
    <w:rsid w:val="0053228E"/>
    <w:rsid w:val="00532426"/>
    <w:rsid w:val="005328A5"/>
    <w:rsid w:val="00532B4C"/>
    <w:rsid w:val="00533143"/>
    <w:rsid w:val="005334B3"/>
    <w:rsid w:val="005335B4"/>
    <w:rsid w:val="005335E2"/>
    <w:rsid w:val="0053371A"/>
    <w:rsid w:val="005337B1"/>
    <w:rsid w:val="00533DAC"/>
    <w:rsid w:val="005340FF"/>
    <w:rsid w:val="00534273"/>
    <w:rsid w:val="00534398"/>
    <w:rsid w:val="005344EB"/>
    <w:rsid w:val="005344F5"/>
    <w:rsid w:val="005349FA"/>
    <w:rsid w:val="0053576A"/>
    <w:rsid w:val="00535AE7"/>
    <w:rsid w:val="00536105"/>
    <w:rsid w:val="00536700"/>
    <w:rsid w:val="00536786"/>
    <w:rsid w:val="005369F6"/>
    <w:rsid w:val="00536EDE"/>
    <w:rsid w:val="005371B1"/>
    <w:rsid w:val="005372EC"/>
    <w:rsid w:val="0053753B"/>
    <w:rsid w:val="005379B7"/>
    <w:rsid w:val="0054073F"/>
    <w:rsid w:val="005413D2"/>
    <w:rsid w:val="0054174F"/>
    <w:rsid w:val="00541875"/>
    <w:rsid w:val="00542120"/>
    <w:rsid w:val="0054252E"/>
    <w:rsid w:val="00542550"/>
    <w:rsid w:val="005426A6"/>
    <w:rsid w:val="00543157"/>
    <w:rsid w:val="005435DA"/>
    <w:rsid w:val="0054376B"/>
    <w:rsid w:val="0054383D"/>
    <w:rsid w:val="0054399A"/>
    <w:rsid w:val="00543B2D"/>
    <w:rsid w:val="00544188"/>
    <w:rsid w:val="0054463C"/>
    <w:rsid w:val="00544F32"/>
    <w:rsid w:val="00544FA1"/>
    <w:rsid w:val="005451BA"/>
    <w:rsid w:val="00545249"/>
    <w:rsid w:val="005452FA"/>
    <w:rsid w:val="005453A7"/>
    <w:rsid w:val="00545458"/>
    <w:rsid w:val="00546486"/>
    <w:rsid w:val="0054651C"/>
    <w:rsid w:val="00546914"/>
    <w:rsid w:val="00546F11"/>
    <w:rsid w:val="00547047"/>
    <w:rsid w:val="00547203"/>
    <w:rsid w:val="00547269"/>
    <w:rsid w:val="00547313"/>
    <w:rsid w:val="005477C7"/>
    <w:rsid w:val="005477E3"/>
    <w:rsid w:val="0054790F"/>
    <w:rsid w:val="00547935"/>
    <w:rsid w:val="00547A15"/>
    <w:rsid w:val="005501EE"/>
    <w:rsid w:val="005506C6"/>
    <w:rsid w:val="00550741"/>
    <w:rsid w:val="00550AB4"/>
    <w:rsid w:val="00550BD7"/>
    <w:rsid w:val="0055100C"/>
    <w:rsid w:val="005516F8"/>
    <w:rsid w:val="00551AB6"/>
    <w:rsid w:val="00552038"/>
    <w:rsid w:val="005529C5"/>
    <w:rsid w:val="00553419"/>
    <w:rsid w:val="00553A03"/>
    <w:rsid w:val="00553D4F"/>
    <w:rsid w:val="00553E02"/>
    <w:rsid w:val="00553EE3"/>
    <w:rsid w:val="00553F22"/>
    <w:rsid w:val="00554282"/>
    <w:rsid w:val="00554312"/>
    <w:rsid w:val="00554819"/>
    <w:rsid w:val="00554A70"/>
    <w:rsid w:val="0055514C"/>
    <w:rsid w:val="005552D5"/>
    <w:rsid w:val="005558FA"/>
    <w:rsid w:val="00555A3C"/>
    <w:rsid w:val="00555E51"/>
    <w:rsid w:val="00555F55"/>
    <w:rsid w:val="00557200"/>
    <w:rsid w:val="0055798E"/>
    <w:rsid w:val="005579DD"/>
    <w:rsid w:val="00557B64"/>
    <w:rsid w:val="005604AC"/>
    <w:rsid w:val="00560B27"/>
    <w:rsid w:val="00560D92"/>
    <w:rsid w:val="00560DAC"/>
    <w:rsid w:val="005612EF"/>
    <w:rsid w:val="0056135E"/>
    <w:rsid w:val="0056153F"/>
    <w:rsid w:val="0056209D"/>
    <w:rsid w:val="005626D6"/>
    <w:rsid w:val="005629AE"/>
    <w:rsid w:val="00562B17"/>
    <w:rsid w:val="00562B85"/>
    <w:rsid w:val="00562C7E"/>
    <w:rsid w:val="00563873"/>
    <w:rsid w:val="00564656"/>
    <w:rsid w:val="00564C6C"/>
    <w:rsid w:val="00564EB6"/>
    <w:rsid w:val="00565460"/>
    <w:rsid w:val="00565B67"/>
    <w:rsid w:val="00565DFB"/>
    <w:rsid w:val="00565E67"/>
    <w:rsid w:val="00566131"/>
    <w:rsid w:val="0056678A"/>
    <w:rsid w:val="00566821"/>
    <w:rsid w:val="00566E12"/>
    <w:rsid w:val="00567046"/>
    <w:rsid w:val="00567190"/>
    <w:rsid w:val="0056772A"/>
    <w:rsid w:val="00567DE6"/>
    <w:rsid w:val="00567F47"/>
    <w:rsid w:val="00570598"/>
    <w:rsid w:val="005705C8"/>
    <w:rsid w:val="00570D3E"/>
    <w:rsid w:val="00571121"/>
    <w:rsid w:val="005711FF"/>
    <w:rsid w:val="005713A6"/>
    <w:rsid w:val="005716E2"/>
    <w:rsid w:val="00571C49"/>
    <w:rsid w:val="0057273A"/>
    <w:rsid w:val="00572829"/>
    <w:rsid w:val="00572872"/>
    <w:rsid w:val="00572B86"/>
    <w:rsid w:val="00573558"/>
    <w:rsid w:val="00573730"/>
    <w:rsid w:val="0057469E"/>
    <w:rsid w:val="00574E5F"/>
    <w:rsid w:val="0057548B"/>
    <w:rsid w:val="005754BA"/>
    <w:rsid w:val="0057556F"/>
    <w:rsid w:val="0057563E"/>
    <w:rsid w:val="00575C7E"/>
    <w:rsid w:val="00576CC3"/>
    <w:rsid w:val="00576D37"/>
    <w:rsid w:val="00576DF5"/>
    <w:rsid w:val="0057709C"/>
    <w:rsid w:val="00577146"/>
    <w:rsid w:val="005772B7"/>
    <w:rsid w:val="00577A03"/>
    <w:rsid w:val="00577B09"/>
    <w:rsid w:val="00577DE9"/>
    <w:rsid w:val="005801DA"/>
    <w:rsid w:val="0058045F"/>
    <w:rsid w:val="005805A5"/>
    <w:rsid w:val="0058097F"/>
    <w:rsid w:val="00580ABD"/>
    <w:rsid w:val="00580BAC"/>
    <w:rsid w:val="005811DD"/>
    <w:rsid w:val="005819AB"/>
    <w:rsid w:val="00581D93"/>
    <w:rsid w:val="00581DC9"/>
    <w:rsid w:val="0058204C"/>
    <w:rsid w:val="00582417"/>
    <w:rsid w:val="0058258E"/>
    <w:rsid w:val="00582BC6"/>
    <w:rsid w:val="00582CD1"/>
    <w:rsid w:val="005836A7"/>
    <w:rsid w:val="00583776"/>
    <w:rsid w:val="00583B2B"/>
    <w:rsid w:val="00583BB0"/>
    <w:rsid w:val="00583C16"/>
    <w:rsid w:val="00583D1D"/>
    <w:rsid w:val="00584E00"/>
    <w:rsid w:val="00584E40"/>
    <w:rsid w:val="0058515F"/>
    <w:rsid w:val="005851D3"/>
    <w:rsid w:val="005852C2"/>
    <w:rsid w:val="005853E1"/>
    <w:rsid w:val="005855BB"/>
    <w:rsid w:val="0058564C"/>
    <w:rsid w:val="005856D9"/>
    <w:rsid w:val="005858F7"/>
    <w:rsid w:val="00585F5E"/>
    <w:rsid w:val="00586653"/>
    <w:rsid w:val="005869BF"/>
    <w:rsid w:val="00586A23"/>
    <w:rsid w:val="00586AB0"/>
    <w:rsid w:val="00586F6A"/>
    <w:rsid w:val="0058713B"/>
    <w:rsid w:val="00587544"/>
    <w:rsid w:val="00587800"/>
    <w:rsid w:val="00587C93"/>
    <w:rsid w:val="00587E9E"/>
    <w:rsid w:val="00590065"/>
    <w:rsid w:val="005907A1"/>
    <w:rsid w:val="0059127B"/>
    <w:rsid w:val="005915E1"/>
    <w:rsid w:val="0059171F"/>
    <w:rsid w:val="00591ABF"/>
    <w:rsid w:val="00591E17"/>
    <w:rsid w:val="00591E86"/>
    <w:rsid w:val="00592CD3"/>
    <w:rsid w:val="00592D60"/>
    <w:rsid w:val="00592FE9"/>
    <w:rsid w:val="00593D31"/>
    <w:rsid w:val="00593F3C"/>
    <w:rsid w:val="005940B3"/>
    <w:rsid w:val="005942BF"/>
    <w:rsid w:val="005942CF"/>
    <w:rsid w:val="00594C2C"/>
    <w:rsid w:val="00594E05"/>
    <w:rsid w:val="0059521C"/>
    <w:rsid w:val="0059559B"/>
    <w:rsid w:val="00595BA0"/>
    <w:rsid w:val="005969C9"/>
    <w:rsid w:val="00596EAA"/>
    <w:rsid w:val="00597373"/>
    <w:rsid w:val="005974C8"/>
    <w:rsid w:val="00597D54"/>
    <w:rsid w:val="00597E79"/>
    <w:rsid w:val="005A00F2"/>
    <w:rsid w:val="005A0740"/>
    <w:rsid w:val="005A0895"/>
    <w:rsid w:val="005A0CA3"/>
    <w:rsid w:val="005A0F90"/>
    <w:rsid w:val="005A143E"/>
    <w:rsid w:val="005A1790"/>
    <w:rsid w:val="005A1C27"/>
    <w:rsid w:val="005A264A"/>
    <w:rsid w:val="005A27AD"/>
    <w:rsid w:val="005A2ECD"/>
    <w:rsid w:val="005A361E"/>
    <w:rsid w:val="005A3622"/>
    <w:rsid w:val="005A36A4"/>
    <w:rsid w:val="005A3752"/>
    <w:rsid w:val="005A3AE7"/>
    <w:rsid w:val="005A3CED"/>
    <w:rsid w:val="005A3EEE"/>
    <w:rsid w:val="005A404A"/>
    <w:rsid w:val="005A439C"/>
    <w:rsid w:val="005A43CC"/>
    <w:rsid w:val="005A4DA2"/>
    <w:rsid w:val="005A5320"/>
    <w:rsid w:val="005A5336"/>
    <w:rsid w:val="005A6645"/>
    <w:rsid w:val="005A6957"/>
    <w:rsid w:val="005A6ADD"/>
    <w:rsid w:val="005A6B32"/>
    <w:rsid w:val="005A6D7D"/>
    <w:rsid w:val="005A7130"/>
    <w:rsid w:val="005A718E"/>
    <w:rsid w:val="005A72E6"/>
    <w:rsid w:val="005A74B0"/>
    <w:rsid w:val="005A77CB"/>
    <w:rsid w:val="005A79E1"/>
    <w:rsid w:val="005B0152"/>
    <w:rsid w:val="005B035D"/>
    <w:rsid w:val="005B047B"/>
    <w:rsid w:val="005B077F"/>
    <w:rsid w:val="005B0CC8"/>
    <w:rsid w:val="005B0DF4"/>
    <w:rsid w:val="005B0E8C"/>
    <w:rsid w:val="005B10C9"/>
    <w:rsid w:val="005B11C8"/>
    <w:rsid w:val="005B1591"/>
    <w:rsid w:val="005B19DF"/>
    <w:rsid w:val="005B1A9C"/>
    <w:rsid w:val="005B1A9D"/>
    <w:rsid w:val="005B1B66"/>
    <w:rsid w:val="005B1ECE"/>
    <w:rsid w:val="005B1EFA"/>
    <w:rsid w:val="005B23D5"/>
    <w:rsid w:val="005B25F4"/>
    <w:rsid w:val="005B29D4"/>
    <w:rsid w:val="005B2CE0"/>
    <w:rsid w:val="005B2E81"/>
    <w:rsid w:val="005B3044"/>
    <w:rsid w:val="005B30E0"/>
    <w:rsid w:val="005B3323"/>
    <w:rsid w:val="005B360C"/>
    <w:rsid w:val="005B4847"/>
    <w:rsid w:val="005B4C00"/>
    <w:rsid w:val="005B593B"/>
    <w:rsid w:val="005B5992"/>
    <w:rsid w:val="005B5E2B"/>
    <w:rsid w:val="005B6297"/>
    <w:rsid w:val="005B66BD"/>
    <w:rsid w:val="005B66D4"/>
    <w:rsid w:val="005B6909"/>
    <w:rsid w:val="005B6DD8"/>
    <w:rsid w:val="005B7367"/>
    <w:rsid w:val="005B77D6"/>
    <w:rsid w:val="005C00A3"/>
    <w:rsid w:val="005C0561"/>
    <w:rsid w:val="005C0590"/>
    <w:rsid w:val="005C12BB"/>
    <w:rsid w:val="005C19EC"/>
    <w:rsid w:val="005C1DF1"/>
    <w:rsid w:val="005C1EC8"/>
    <w:rsid w:val="005C1FC8"/>
    <w:rsid w:val="005C2FBF"/>
    <w:rsid w:val="005C3527"/>
    <w:rsid w:val="005C3605"/>
    <w:rsid w:val="005C3BA0"/>
    <w:rsid w:val="005C3C01"/>
    <w:rsid w:val="005C3CC5"/>
    <w:rsid w:val="005C3E08"/>
    <w:rsid w:val="005C423B"/>
    <w:rsid w:val="005C4493"/>
    <w:rsid w:val="005C474F"/>
    <w:rsid w:val="005C4D24"/>
    <w:rsid w:val="005C4EE9"/>
    <w:rsid w:val="005C542F"/>
    <w:rsid w:val="005C5685"/>
    <w:rsid w:val="005C6104"/>
    <w:rsid w:val="005C62C5"/>
    <w:rsid w:val="005C66FB"/>
    <w:rsid w:val="005C6AE9"/>
    <w:rsid w:val="005C6B2B"/>
    <w:rsid w:val="005C6E18"/>
    <w:rsid w:val="005C6E43"/>
    <w:rsid w:val="005C7118"/>
    <w:rsid w:val="005C7652"/>
    <w:rsid w:val="005C77D9"/>
    <w:rsid w:val="005C782E"/>
    <w:rsid w:val="005C7853"/>
    <w:rsid w:val="005C78B7"/>
    <w:rsid w:val="005C79E8"/>
    <w:rsid w:val="005D0818"/>
    <w:rsid w:val="005D0BE5"/>
    <w:rsid w:val="005D0E44"/>
    <w:rsid w:val="005D107A"/>
    <w:rsid w:val="005D1556"/>
    <w:rsid w:val="005D1871"/>
    <w:rsid w:val="005D19AA"/>
    <w:rsid w:val="005D21D5"/>
    <w:rsid w:val="005D23E4"/>
    <w:rsid w:val="005D2497"/>
    <w:rsid w:val="005D2F10"/>
    <w:rsid w:val="005D2FE1"/>
    <w:rsid w:val="005D3B71"/>
    <w:rsid w:val="005D42D4"/>
    <w:rsid w:val="005D443D"/>
    <w:rsid w:val="005D4504"/>
    <w:rsid w:val="005D45AC"/>
    <w:rsid w:val="005D4725"/>
    <w:rsid w:val="005D47D0"/>
    <w:rsid w:val="005D4B0C"/>
    <w:rsid w:val="005D4B29"/>
    <w:rsid w:val="005D5A15"/>
    <w:rsid w:val="005D5A59"/>
    <w:rsid w:val="005D5C98"/>
    <w:rsid w:val="005D6677"/>
    <w:rsid w:val="005D69FE"/>
    <w:rsid w:val="005D753B"/>
    <w:rsid w:val="005D7582"/>
    <w:rsid w:val="005D75FE"/>
    <w:rsid w:val="005D7C4B"/>
    <w:rsid w:val="005E01D1"/>
    <w:rsid w:val="005E054D"/>
    <w:rsid w:val="005E05CC"/>
    <w:rsid w:val="005E063D"/>
    <w:rsid w:val="005E0E7C"/>
    <w:rsid w:val="005E10A6"/>
    <w:rsid w:val="005E137D"/>
    <w:rsid w:val="005E1B34"/>
    <w:rsid w:val="005E1E1E"/>
    <w:rsid w:val="005E1F76"/>
    <w:rsid w:val="005E24F5"/>
    <w:rsid w:val="005E25AC"/>
    <w:rsid w:val="005E27A9"/>
    <w:rsid w:val="005E2814"/>
    <w:rsid w:val="005E2F7D"/>
    <w:rsid w:val="005E2FD2"/>
    <w:rsid w:val="005E30F0"/>
    <w:rsid w:val="005E413D"/>
    <w:rsid w:val="005E460E"/>
    <w:rsid w:val="005E514A"/>
    <w:rsid w:val="005E51AC"/>
    <w:rsid w:val="005E550F"/>
    <w:rsid w:val="005E560C"/>
    <w:rsid w:val="005E599C"/>
    <w:rsid w:val="005E5B1E"/>
    <w:rsid w:val="005E600D"/>
    <w:rsid w:val="005E6057"/>
    <w:rsid w:val="005E6941"/>
    <w:rsid w:val="005E6A2B"/>
    <w:rsid w:val="005E70D9"/>
    <w:rsid w:val="005E74C7"/>
    <w:rsid w:val="005E7CC7"/>
    <w:rsid w:val="005E7E49"/>
    <w:rsid w:val="005F049B"/>
    <w:rsid w:val="005F05A7"/>
    <w:rsid w:val="005F1096"/>
    <w:rsid w:val="005F1224"/>
    <w:rsid w:val="005F1329"/>
    <w:rsid w:val="005F17CE"/>
    <w:rsid w:val="005F1F1A"/>
    <w:rsid w:val="005F1F62"/>
    <w:rsid w:val="005F23D5"/>
    <w:rsid w:val="005F27CC"/>
    <w:rsid w:val="005F2C52"/>
    <w:rsid w:val="005F2D62"/>
    <w:rsid w:val="005F312E"/>
    <w:rsid w:val="005F35B7"/>
    <w:rsid w:val="005F3624"/>
    <w:rsid w:val="005F37FF"/>
    <w:rsid w:val="005F3A69"/>
    <w:rsid w:val="005F3A6A"/>
    <w:rsid w:val="005F3BD0"/>
    <w:rsid w:val="005F3CB8"/>
    <w:rsid w:val="005F3EEE"/>
    <w:rsid w:val="005F3F4D"/>
    <w:rsid w:val="005F3FB0"/>
    <w:rsid w:val="005F4037"/>
    <w:rsid w:val="005F468E"/>
    <w:rsid w:val="005F469A"/>
    <w:rsid w:val="005F4C1D"/>
    <w:rsid w:val="005F4C76"/>
    <w:rsid w:val="005F4C9A"/>
    <w:rsid w:val="005F4EA4"/>
    <w:rsid w:val="005F5217"/>
    <w:rsid w:val="005F521F"/>
    <w:rsid w:val="005F59BB"/>
    <w:rsid w:val="005F5B86"/>
    <w:rsid w:val="005F6239"/>
    <w:rsid w:val="005F65B3"/>
    <w:rsid w:val="005F661F"/>
    <w:rsid w:val="005F668A"/>
    <w:rsid w:val="005F67D4"/>
    <w:rsid w:val="005F68A9"/>
    <w:rsid w:val="005F6A7C"/>
    <w:rsid w:val="005F6D6A"/>
    <w:rsid w:val="005F6DC6"/>
    <w:rsid w:val="005F72A6"/>
    <w:rsid w:val="005F735B"/>
    <w:rsid w:val="005F7960"/>
    <w:rsid w:val="005F7B09"/>
    <w:rsid w:val="005F7C41"/>
    <w:rsid w:val="005F7F33"/>
    <w:rsid w:val="006007FF"/>
    <w:rsid w:val="00600CA3"/>
    <w:rsid w:val="00600F6A"/>
    <w:rsid w:val="0060146D"/>
    <w:rsid w:val="006018F9"/>
    <w:rsid w:val="00601921"/>
    <w:rsid w:val="00601DFA"/>
    <w:rsid w:val="00601F12"/>
    <w:rsid w:val="00602419"/>
    <w:rsid w:val="00602C23"/>
    <w:rsid w:val="00602D41"/>
    <w:rsid w:val="00602E0B"/>
    <w:rsid w:val="00602F06"/>
    <w:rsid w:val="00602FD9"/>
    <w:rsid w:val="00603583"/>
    <w:rsid w:val="006035CF"/>
    <w:rsid w:val="006039D1"/>
    <w:rsid w:val="00604193"/>
    <w:rsid w:val="006041F5"/>
    <w:rsid w:val="00604250"/>
    <w:rsid w:val="006045C1"/>
    <w:rsid w:val="00604FA0"/>
    <w:rsid w:val="0060502C"/>
    <w:rsid w:val="006060A7"/>
    <w:rsid w:val="006066CE"/>
    <w:rsid w:val="00606EF6"/>
    <w:rsid w:val="00607052"/>
    <w:rsid w:val="0060748C"/>
    <w:rsid w:val="006074BA"/>
    <w:rsid w:val="0060752C"/>
    <w:rsid w:val="0060784D"/>
    <w:rsid w:val="006079B6"/>
    <w:rsid w:val="00607A8F"/>
    <w:rsid w:val="00607E52"/>
    <w:rsid w:val="00610049"/>
    <w:rsid w:val="00610295"/>
    <w:rsid w:val="0061073D"/>
    <w:rsid w:val="00610BC3"/>
    <w:rsid w:val="00610F5A"/>
    <w:rsid w:val="006118FB"/>
    <w:rsid w:val="00611B6B"/>
    <w:rsid w:val="00611FB5"/>
    <w:rsid w:val="00612179"/>
    <w:rsid w:val="006121D3"/>
    <w:rsid w:val="006122E2"/>
    <w:rsid w:val="006125E4"/>
    <w:rsid w:val="00612C6B"/>
    <w:rsid w:val="006131DC"/>
    <w:rsid w:val="006133E3"/>
    <w:rsid w:val="0061374C"/>
    <w:rsid w:val="0061377D"/>
    <w:rsid w:val="006138E4"/>
    <w:rsid w:val="00613CE9"/>
    <w:rsid w:val="00614A9B"/>
    <w:rsid w:val="00615194"/>
    <w:rsid w:val="00615412"/>
    <w:rsid w:val="00615979"/>
    <w:rsid w:val="00615D52"/>
    <w:rsid w:val="00615D91"/>
    <w:rsid w:val="006168AE"/>
    <w:rsid w:val="00616A5C"/>
    <w:rsid w:val="00616C4B"/>
    <w:rsid w:val="00616D03"/>
    <w:rsid w:val="00616EA0"/>
    <w:rsid w:val="00616FAA"/>
    <w:rsid w:val="0061717D"/>
    <w:rsid w:val="0061775F"/>
    <w:rsid w:val="00617AC6"/>
    <w:rsid w:val="00617D1D"/>
    <w:rsid w:val="00617D49"/>
    <w:rsid w:val="00617DE3"/>
    <w:rsid w:val="00620164"/>
    <w:rsid w:val="006203A8"/>
    <w:rsid w:val="006207D4"/>
    <w:rsid w:val="00621AA8"/>
    <w:rsid w:val="00621AC1"/>
    <w:rsid w:val="00621D73"/>
    <w:rsid w:val="00621F65"/>
    <w:rsid w:val="006220A5"/>
    <w:rsid w:val="006223BC"/>
    <w:rsid w:val="00622DD0"/>
    <w:rsid w:val="0062318F"/>
    <w:rsid w:val="00623855"/>
    <w:rsid w:val="006239BC"/>
    <w:rsid w:val="00623CB7"/>
    <w:rsid w:val="00625403"/>
    <w:rsid w:val="00625447"/>
    <w:rsid w:val="00625520"/>
    <w:rsid w:val="00625611"/>
    <w:rsid w:val="00625789"/>
    <w:rsid w:val="00625F12"/>
    <w:rsid w:val="0062663B"/>
    <w:rsid w:val="00626D7E"/>
    <w:rsid w:val="00626E9E"/>
    <w:rsid w:val="00626EA3"/>
    <w:rsid w:val="006274E3"/>
    <w:rsid w:val="006279AD"/>
    <w:rsid w:val="00630BBE"/>
    <w:rsid w:val="006311E2"/>
    <w:rsid w:val="00631227"/>
    <w:rsid w:val="00631692"/>
    <w:rsid w:val="006319A9"/>
    <w:rsid w:val="00631A7D"/>
    <w:rsid w:val="00631AD8"/>
    <w:rsid w:val="00631B2E"/>
    <w:rsid w:val="00631F15"/>
    <w:rsid w:val="0063237F"/>
    <w:rsid w:val="00632418"/>
    <w:rsid w:val="006326DA"/>
    <w:rsid w:val="00632DFA"/>
    <w:rsid w:val="00632E61"/>
    <w:rsid w:val="00633161"/>
    <w:rsid w:val="006335FE"/>
    <w:rsid w:val="006336F4"/>
    <w:rsid w:val="00633BFB"/>
    <w:rsid w:val="00634888"/>
    <w:rsid w:val="00634A34"/>
    <w:rsid w:val="00634E50"/>
    <w:rsid w:val="006351B0"/>
    <w:rsid w:val="006352C4"/>
    <w:rsid w:val="00635B45"/>
    <w:rsid w:val="00635BA4"/>
    <w:rsid w:val="00635C1F"/>
    <w:rsid w:val="00635DAF"/>
    <w:rsid w:val="00635E05"/>
    <w:rsid w:val="00635FA7"/>
    <w:rsid w:val="0063611E"/>
    <w:rsid w:val="006362D9"/>
    <w:rsid w:val="006363E7"/>
    <w:rsid w:val="00636D0F"/>
    <w:rsid w:val="0063718C"/>
    <w:rsid w:val="00637316"/>
    <w:rsid w:val="0063734B"/>
    <w:rsid w:val="00637E42"/>
    <w:rsid w:val="00637FAC"/>
    <w:rsid w:val="006402A0"/>
    <w:rsid w:val="00640B5B"/>
    <w:rsid w:val="00640C15"/>
    <w:rsid w:val="006412DC"/>
    <w:rsid w:val="00641390"/>
    <w:rsid w:val="0064153A"/>
    <w:rsid w:val="00641CEC"/>
    <w:rsid w:val="0064205B"/>
    <w:rsid w:val="006421F8"/>
    <w:rsid w:val="00642290"/>
    <w:rsid w:val="00642639"/>
    <w:rsid w:val="006428E2"/>
    <w:rsid w:val="006429D9"/>
    <w:rsid w:val="00642B60"/>
    <w:rsid w:val="00642C2E"/>
    <w:rsid w:val="00642DF2"/>
    <w:rsid w:val="00643096"/>
    <w:rsid w:val="0064365C"/>
    <w:rsid w:val="006437B9"/>
    <w:rsid w:val="00643A1A"/>
    <w:rsid w:val="00643C36"/>
    <w:rsid w:val="006440D1"/>
    <w:rsid w:val="0064421D"/>
    <w:rsid w:val="00644683"/>
    <w:rsid w:val="006447B1"/>
    <w:rsid w:val="00644E0D"/>
    <w:rsid w:val="00645412"/>
    <w:rsid w:val="00645821"/>
    <w:rsid w:val="00645AF3"/>
    <w:rsid w:val="00646057"/>
    <w:rsid w:val="00646855"/>
    <w:rsid w:val="00646BBC"/>
    <w:rsid w:val="00646E7B"/>
    <w:rsid w:val="00647093"/>
    <w:rsid w:val="00647574"/>
    <w:rsid w:val="00647584"/>
    <w:rsid w:val="006476BA"/>
    <w:rsid w:val="00650149"/>
    <w:rsid w:val="006501CE"/>
    <w:rsid w:val="0065039D"/>
    <w:rsid w:val="00650B93"/>
    <w:rsid w:val="00650FCF"/>
    <w:rsid w:val="00651425"/>
    <w:rsid w:val="006518FA"/>
    <w:rsid w:val="00652278"/>
    <w:rsid w:val="0065229D"/>
    <w:rsid w:val="006522E3"/>
    <w:rsid w:val="00652328"/>
    <w:rsid w:val="006523B7"/>
    <w:rsid w:val="006523FA"/>
    <w:rsid w:val="0065261F"/>
    <w:rsid w:val="00652B02"/>
    <w:rsid w:val="00652B0E"/>
    <w:rsid w:val="00652CD7"/>
    <w:rsid w:val="0065357F"/>
    <w:rsid w:val="00653924"/>
    <w:rsid w:val="0065393C"/>
    <w:rsid w:val="00653B2C"/>
    <w:rsid w:val="00653BC3"/>
    <w:rsid w:val="00653C3A"/>
    <w:rsid w:val="00653D19"/>
    <w:rsid w:val="00653DA7"/>
    <w:rsid w:val="00653E45"/>
    <w:rsid w:val="00653F9B"/>
    <w:rsid w:val="0065405D"/>
    <w:rsid w:val="0065431A"/>
    <w:rsid w:val="006543D6"/>
    <w:rsid w:val="00654911"/>
    <w:rsid w:val="0065496B"/>
    <w:rsid w:val="00654CFE"/>
    <w:rsid w:val="0065526C"/>
    <w:rsid w:val="00655871"/>
    <w:rsid w:val="00655CB2"/>
    <w:rsid w:val="006560E3"/>
    <w:rsid w:val="00656903"/>
    <w:rsid w:val="00656EA5"/>
    <w:rsid w:val="00656F43"/>
    <w:rsid w:val="00657A45"/>
    <w:rsid w:val="0066055E"/>
    <w:rsid w:val="00660B83"/>
    <w:rsid w:val="00660C8D"/>
    <w:rsid w:val="006612CE"/>
    <w:rsid w:val="00661437"/>
    <w:rsid w:val="0066147A"/>
    <w:rsid w:val="0066169E"/>
    <w:rsid w:val="00661EE4"/>
    <w:rsid w:val="00661F0E"/>
    <w:rsid w:val="00661F71"/>
    <w:rsid w:val="0066222F"/>
    <w:rsid w:val="0066263E"/>
    <w:rsid w:val="006629B5"/>
    <w:rsid w:val="00663311"/>
    <w:rsid w:val="00663514"/>
    <w:rsid w:val="006648AF"/>
    <w:rsid w:val="00665635"/>
    <w:rsid w:val="0066578E"/>
    <w:rsid w:val="006658C5"/>
    <w:rsid w:val="00665908"/>
    <w:rsid w:val="00665B4B"/>
    <w:rsid w:val="00665B85"/>
    <w:rsid w:val="00666250"/>
    <w:rsid w:val="00666531"/>
    <w:rsid w:val="006665E6"/>
    <w:rsid w:val="006666D2"/>
    <w:rsid w:val="00666777"/>
    <w:rsid w:val="00666A8C"/>
    <w:rsid w:val="00666AC6"/>
    <w:rsid w:val="00666C03"/>
    <w:rsid w:val="00666DBE"/>
    <w:rsid w:val="00666EB9"/>
    <w:rsid w:val="00666F65"/>
    <w:rsid w:val="00666F6F"/>
    <w:rsid w:val="00667018"/>
    <w:rsid w:val="006670B7"/>
    <w:rsid w:val="00667332"/>
    <w:rsid w:val="00667E7C"/>
    <w:rsid w:val="00667F16"/>
    <w:rsid w:val="00667F6B"/>
    <w:rsid w:val="00670190"/>
    <w:rsid w:val="0067035F"/>
    <w:rsid w:val="0067070D"/>
    <w:rsid w:val="00670ADD"/>
    <w:rsid w:val="00670C5A"/>
    <w:rsid w:val="0067125A"/>
    <w:rsid w:val="006712A3"/>
    <w:rsid w:val="0067138F"/>
    <w:rsid w:val="0067149D"/>
    <w:rsid w:val="006714F6"/>
    <w:rsid w:val="00671638"/>
    <w:rsid w:val="006716CC"/>
    <w:rsid w:val="00671725"/>
    <w:rsid w:val="0067185A"/>
    <w:rsid w:val="00671CFF"/>
    <w:rsid w:val="00671DC6"/>
    <w:rsid w:val="006722AB"/>
    <w:rsid w:val="00672618"/>
    <w:rsid w:val="00672ED3"/>
    <w:rsid w:val="0067346F"/>
    <w:rsid w:val="006737B0"/>
    <w:rsid w:val="00673B51"/>
    <w:rsid w:val="00673FC4"/>
    <w:rsid w:val="00674597"/>
    <w:rsid w:val="006745EA"/>
    <w:rsid w:val="00674818"/>
    <w:rsid w:val="00674C86"/>
    <w:rsid w:val="0067517E"/>
    <w:rsid w:val="00675224"/>
    <w:rsid w:val="00675A93"/>
    <w:rsid w:val="00675DEF"/>
    <w:rsid w:val="006764D4"/>
    <w:rsid w:val="00676827"/>
    <w:rsid w:val="00676929"/>
    <w:rsid w:val="00676ACD"/>
    <w:rsid w:val="00676E07"/>
    <w:rsid w:val="0067751B"/>
    <w:rsid w:val="006779B2"/>
    <w:rsid w:val="00677C39"/>
    <w:rsid w:val="00677EAE"/>
    <w:rsid w:val="00680360"/>
    <w:rsid w:val="006812E2"/>
    <w:rsid w:val="0068135F"/>
    <w:rsid w:val="00681997"/>
    <w:rsid w:val="00681C38"/>
    <w:rsid w:val="00681D87"/>
    <w:rsid w:val="006823F4"/>
    <w:rsid w:val="00682649"/>
    <w:rsid w:val="00682775"/>
    <w:rsid w:val="00682815"/>
    <w:rsid w:val="00682D55"/>
    <w:rsid w:val="00682D91"/>
    <w:rsid w:val="00683283"/>
    <w:rsid w:val="0068354E"/>
    <w:rsid w:val="0068372A"/>
    <w:rsid w:val="00683B43"/>
    <w:rsid w:val="00683F9C"/>
    <w:rsid w:val="006842D0"/>
    <w:rsid w:val="006844B3"/>
    <w:rsid w:val="006846A3"/>
    <w:rsid w:val="006847CD"/>
    <w:rsid w:val="00684951"/>
    <w:rsid w:val="00684C20"/>
    <w:rsid w:val="00684D74"/>
    <w:rsid w:val="00684F0B"/>
    <w:rsid w:val="0068566C"/>
    <w:rsid w:val="006858B7"/>
    <w:rsid w:val="00685A18"/>
    <w:rsid w:val="00685AC3"/>
    <w:rsid w:val="00685CCB"/>
    <w:rsid w:val="00685F7E"/>
    <w:rsid w:val="00686077"/>
    <w:rsid w:val="00686786"/>
    <w:rsid w:val="00686DDF"/>
    <w:rsid w:val="00687378"/>
    <w:rsid w:val="006874D1"/>
    <w:rsid w:val="00687516"/>
    <w:rsid w:val="0068792A"/>
    <w:rsid w:val="00687FB5"/>
    <w:rsid w:val="00690420"/>
    <w:rsid w:val="0069083D"/>
    <w:rsid w:val="00690902"/>
    <w:rsid w:val="00690963"/>
    <w:rsid w:val="00690DDF"/>
    <w:rsid w:val="00690F1C"/>
    <w:rsid w:val="006913B1"/>
    <w:rsid w:val="00691C71"/>
    <w:rsid w:val="00691EE7"/>
    <w:rsid w:val="006920B8"/>
    <w:rsid w:val="006920BD"/>
    <w:rsid w:val="006920FA"/>
    <w:rsid w:val="00692772"/>
    <w:rsid w:val="00692899"/>
    <w:rsid w:val="00692909"/>
    <w:rsid w:val="00692C71"/>
    <w:rsid w:val="00693207"/>
    <w:rsid w:val="0069389F"/>
    <w:rsid w:val="00693B28"/>
    <w:rsid w:val="00693C08"/>
    <w:rsid w:val="00693C3A"/>
    <w:rsid w:val="00693E83"/>
    <w:rsid w:val="00694271"/>
    <w:rsid w:val="00694B7F"/>
    <w:rsid w:val="006950E7"/>
    <w:rsid w:val="006950F7"/>
    <w:rsid w:val="006953E6"/>
    <w:rsid w:val="006955D3"/>
    <w:rsid w:val="0069593A"/>
    <w:rsid w:val="006959D4"/>
    <w:rsid w:val="00695B3E"/>
    <w:rsid w:val="00695DE2"/>
    <w:rsid w:val="006961B9"/>
    <w:rsid w:val="006962A9"/>
    <w:rsid w:val="006963FB"/>
    <w:rsid w:val="0069656D"/>
    <w:rsid w:val="006967EE"/>
    <w:rsid w:val="00696F02"/>
    <w:rsid w:val="00697BF0"/>
    <w:rsid w:val="00697E1F"/>
    <w:rsid w:val="006A04E9"/>
    <w:rsid w:val="006A0912"/>
    <w:rsid w:val="006A0972"/>
    <w:rsid w:val="006A0DB5"/>
    <w:rsid w:val="006A1A02"/>
    <w:rsid w:val="006A1AD7"/>
    <w:rsid w:val="006A2199"/>
    <w:rsid w:val="006A231D"/>
    <w:rsid w:val="006A2592"/>
    <w:rsid w:val="006A263B"/>
    <w:rsid w:val="006A2751"/>
    <w:rsid w:val="006A2770"/>
    <w:rsid w:val="006A2855"/>
    <w:rsid w:val="006A320F"/>
    <w:rsid w:val="006A34EB"/>
    <w:rsid w:val="006A3D51"/>
    <w:rsid w:val="006A424C"/>
    <w:rsid w:val="006A4472"/>
    <w:rsid w:val="006A4B31"/>
    <w:rsid w:val="006A4F07"/>
    <w:rsid w:val="006A5287"/>
    <w:rsid w:val="006A5398"/>
    <w:rsid w:val="006A595E"/>
    <w:rsid w:val="006A59DD"/>
    <w:rsid w:val="006A5A4F"/>
    <w:rsid w:val="006A5C6B"/>
    <w:rsid w:val="006A6405"/>
    <w:rsid w:val="006A696B"/>
    <w:rsid w:val="006A6AB1"/>
    <w:rsid w:val="006A6B6A"/>
    <w:rsid w:val="006A72CB"/>
    <w:rsid w:val="006A7387"/>
    <w:rsid w:val="006A757C"/>
    <w:rsid w:val="006A765C"/>
    <w:rsid w:val="006A772B"/>
    <w:rsid w:val="006A77A2"/>
    <w:rsid w:val="006A7C56"/>
    <w:rsid w:val="006B05EC"/>
    <w:rsid w:val="006B0668"/>
    <w:rsid w:val="006B08BE"/>
    <w:rsid w:val="006B093E"/>
    <w:rsid w:val="006B0FC9"/>
    <w:rsid w:val="006B10E6"/>
    <w:rsid w:val="006B124C"/>
    <w:rsid w:val="006B139C"/>
    <w:rsid w:val="006B158B"/>
    <w:rsid w:val="006B1C82"/>
    <w:rsid w:val="006B1E86"/>
    <w:rsid w:val="006B216C"/>
    <w:rsid w:val="006B2267"/>
    <w:rsid w:val="006B22A9"/>
    <w:rsid w:val="006B22C7"/>
    <w:rsid w:val="006B2441"/>
    <w:rsid w:val="006B2804"/>
    <w:rsid w:val="006B2A95"/>
    <w:rsid w:val="006B2C1F"/>
    <w:rsid w:val="006B31FD"/>
    <w:rsid w:val="006B3EB8"/>
    <w:rsid w:val="006B3F92"/>
    <w:rsid w:val="006B45F1"/>
    <w:rsid w:val="006B46AE"/>
    <w:rsid w:val="006B4814"/>
    <w:rsid w:val="006B4B71"/>
    <w:rsid w:val="006B4D2E"/>
    <w:rsid w:val="006B5F51"/>
    <w:rsid w:val="006B623E"/>
    <w:rsid w:val="006B6633"/>
    <w:rsid w:val="006B6748"/>
    <w:rsid w:val="006B6F66"/>
    <w:rsid w:val="006B7192"/>
    <w:rsid w:val="006B7211"/>
    <w:rsid w:val="006B724A"/>
    <w:rsid w:val="006B7B42"/>
    <w:rsid w:val="006B7BD5"/>
    <w:rsid w:val="006C03C0"/>
    <w:rsid w:val="006C05F7"/>
    <w:rsid w:val="006C061B"/>
    <w:rsid w:val="006C07A1"/>
    <w:rsid w:val="006C0A1F"/>
    <w:rsid w:val="006C101B"/>
    <w:rsid w:val="006C14E0"/>
    <w:rsid w:val="006C16D9"/>
    <w:rsid w:val="006C1900"/>
    <w:rsid w:val="006C1C09"/>
    <w:rsid w:val="006C1E51"/>
    <w:rsid w:val="006C20F8"/>
    <w:rsid w:val="006C2323"/>
    <w:rsid w:val="006C2563"/>
    <w:rsid w:val="006C3CD5"/>
    <w:rsid w:val="006C3F76"/>
    <w:rsid w:val="006C3F83"/>
    <w:rsid w:val="006C46A0"/>
    <w:rsid w:val="006C4A8F"/>
    <w:rsid w:val="006C4D7C"/>
    <w:rsid w:val="006C4EB3"/>
    <w:rsid w:val="006C5088"/>
    <w:rsid w:val="006C50C3"/>
    <w:rsid w:val="006C5347"/>
    <w:rsid w:val="006C58CE"/>
    <w:rsid w:val="006C59DE"/>
    <w:rsid w:val="006C5D85"/>
    <w:rsid w:val="006C6077"/>
    <w:rsid w:val="006C63A2"/>
    <w:rsid w:val="006C6557"/>
    <w:rsid w:val="006C6B24"/>
    <w:rsid w:val="006C6EA3"/>
    <w:rsid w:val="006C6F4A"/>
    <w:rsid w:val="006C70EA"/>
    <w:rsid w:val="006C7598"/>
    <w:rsid w:val="006C76B4"/>
    <w:rsid w:val="006C778A"/>
    <w:rsid w:val="006C7867"/>
    <w:rsid w:val="006D038B"/>
    <w:rsid w:val="006D06F3"/>
    <w:rsid w:val="006D0B76"/>
    <w:rsid w:val="006D18C1"/>
    <w:rsid w:val="006D18D4"/>
    <w:rsid w:val="006D1FE5"/>
    <w:rsid w:val="006D278A"/>
    <w:rsid w:val="006D28B2"/>
    <w:rsid w:val="006D3E1E"/>
    <w:rsid w:val="006D3FD1"/>
    <w:rsid w:val="006D4C34"/>
    <w:rsid w:val="006D5F7F"/>
    <w:rsid w:val="006D61DA"/>
    <w:rsid w:val="006D633B"/>
    <w:rsid w:val="006D6465"/>
    <w:rsid w:val="006D6751"/>
    <w:rsid w:val="006D6753"/>
    <w:rsid w:val="006D7112"/>
    <w:rsid w:val="006D7270"/>
    <w:rsid w:val="006D73EC"/>
    <w:rsid w:val="006D79AA"/>
    <w:rsid w:val="006D7ABC"/>
    <w:rsid w:val="006D7B33"/>
    <w:rsid w:val="006D7B36"/>
    <w:rsid w:val="006D7D95"/>
    <w:rsid w:val="006D7DBA"/>
    <w:rsid w:val="006E00B7"/>
    <w:rsid w:val="006E01EB"/>
    <w:rsid w:val="006E0354"/>
    <w:rsid w:val="006E04D1"/>
    <w:rsid w:val="006E05B8"/>
    <w:rsid w:val="006E05C9"/>
    <w:rsid w:val="006E06B1"/>
    <w:rsid w:val="006E08C8"/>
    <w:rsid w:val="006E0957"/>
    <w:rsid w:val="006E10D9"/>
    <w:rsid w:val="006E187A"/>
    <w:rsid w:val="006E1FF6"/>
    <w:rsid w:val="006E2028"/>
    <w:rsid w:val="006E229B"/>
    <w:rsid w:val="006E2F30"/>
    <w:rsid w:val="006E32B1"/>
    <w:rsid w:val="006E340E"/>
    <w:rsid w:val="006E3738"/>
    <w:rsid w:val="006E3F8C"/>
    <w:rsid w:val="006E4368"/>
    <w:rsid w:val="006E4668"/>
    <w:rsid w:val="006E4ADB"/>
    <w:rsid w:val="006E5015"/>
    <w:rsid w:val="006E5A19"/>
    <w:rsid w:val="006E5F1E"/>
    <w:rsid w:val="006E5F5B"/>
    <w:rsid w:val="006E6532"/>
    <w:rsid w:val="006E6A82"/>
    <w:rsid w:val="006E725E"/>
    <w:rsid w:val="006E7E11"/>
    <w:rsid w:val="006F056D"/>
    <w:rsid w:val="006F09BF"/>
    <w:rsid w:val="006F0B9F"/>
    <w:rsid w:val="006F0E6F"/>
    <w:rsid w:val="006F11AF"/>
    <w:rsid w:val="006F15CA"/>
    <w:rsid w:val="006F25E7"/>
    <w:rsid w:val="006F293C"/>
    <w:rsid w:val="006F2E38"/>
    <w:rsid w:val="006F3433"/>
    <w:rsid w:val="006F3593"/>
    <w:rsid w:val="006F3B38"/>
    <w:rsid w:val="006F3E06"/>
    <w:rsid w:val="006F3F0E"/>
    <w:rsid w:val="006F45F8"/>
    <w:rsid w:val="006F4882"/>
    <w:rsid w:val="006F4B15"/>
    <w:rsid w:val="006F4CE4"/>
    <w:rsid w:val="006F5190"/>
    <w:rsid w:val="006F51A2"/>
    <w:rsid w:val="006F5272"/>
    <w:rsid w:val="006F54E5"/>
    <w:rsid w:val="006F56EE"/>
    <w:rsid w:val="006F56F0"/>
    <w:rsid w:val="006F5B09"/>
    <w:rsid w:val="006F6174"/>
    <w:rsid w:val="006F62A8"/>
    <w:rsid w:val="006F648B"/>
    <w:rsid w:val="006F684B"/>
    <w:rsid w:val="006F6C79"/>
    <w:rsid w:val="006F7110"/>
    <w:rsid w:val="006F7112"/>
    <w:rsid w:val="006F72C8"/>
    <w:rsid w:val="006F75D4"/>
    <w:rsid w:val="006F7BB6"/>
    <w:rsid w:val="0070051E"/>
    <w:rsid w:val="00700D64"/>
    <w:rsid w:val="00700D85"/>
    <w:rsid w:val="00700F90"/>
    <w:rsid w:val="0070100D"/>
    <w:rsid w:val="007014B0"/>
    <w:rsid w:val="00701E40"/>
    <w:rsid w:val="00702694"/>
    <w:rsid w:val="00702888"/>
    <w:rsid w:val="00702CB5"/>
    <w:rsid w:val="00702D2F"/>
    <w:rsid w:val="007032C4"/>
    <w:rsid w:val="00703307"/>
    <w:rsid w:val="00703383"/>
    <w:rsid w:val="0070469F"/>
    <w:rsid w:val="007051BE"/>
    <w:rsid w:val="00705476"/>
    <w:rsid w:val="0070567C"/>
    <w:rsid w:val="00705D4C"/>
    <w:rsid w:val="007063FA"/>
    <w:rsid w:val="00706653"/>
    <w:rsid w:val="00706774"/>
    <w:rsid w:val="0070688F"/>
    <w:rsid w:val="007069DA"/>
    <w:rsid w:val="00706B03"/>
    <w:rsid w:val="00706F15"/>
    <w:rsid w:val="0070732F"/>
    <w:rsid w:val="00707666"/>
    <w:rsid w:val="007077D4"/>
    <w:rsid w:val="00707DED"/>
    <w:rsid w:val="00707F31"/>
    <w:rsid w:val="0071059F"/>
    <w:rsid w:val="00710A06"/>
    <w:rsid w:val="0071129D"/>
    <w:rsid w:val="00711B13"/>
    <w:rsid w:val="00712183"/>
    <w:rsid w:val="00712488"/>
    <w:rsid w:val="00712561"/>
    <w:rsid w:val="00712651"/>
    <w:rsid w:val="00712CC0"/>
    <w:rsid w:val="00713C16"/>
    <w:rsid w:val="00713DB4"/>
    <w:rsid w:val="00713F4D"/>
    <w:rsid w:val="0071439C"/>
    <w:rsid w:val="0071455A"/>
    <w:rsid w:val="007146A4"/>
    <w:rsid w:val="00714990"/>
    <w:rsid w:val="00714D3D"/>
    <w:rsid w:val="00715312"/>
    <w:rsid w:val="00715B5B"/>
    <w:rsid w:val="00715BF2"/>
    <w:rsid w:val="0071610A"/>
    <w:rsid w:val="0071649C"/>
    <w:rsid w:val="007166A2"/>
    <w:rsid w:val="007166D0"/>
    <w:rsid w:val="007166E1"/>
    <w:rsid w:val="0071697E"/>
    <w:rsid w:val="007169DD"/>
    <w:rsid w:val="00716C13"/>
    <w:rsid w:val="00716C53"/>
    <w:rsid w:val="00716FD1"/>
    <w:rsid w:val="00717B62"/>
    <w:rsid w:val="00717EA8"/>
    <w:rsid w:val="00717F5F"/>
    <w:rsid w:val="0072016C"/>
    <w:rsid w:val="007201AD"/>
    <w:rsid w:val="00720295"/>
    <w:rsid w:val="0072077D"/>
    <w:rsid w:val="007207BB"/>
    <w:rsid w:val="00720882"/>
    <w:rsid w:val="0072147F"/>
    <w:rsid w:val="00721F15"/>
    <w:rsid w:val="00721FAD"/>
    <w:rsid w:val="0072235A"/>
    <w:rsid w:val="00722B28"/>
    <w:rsid w:val="00722C6E"/>
    <w:rsid w:val="00722FF3"/>
    <w:rsid w:val="0072392C"/>
    <w:rsid w:val="00723A27"/>
    <w:rsid w:val="00723A48"/>
    <w:rsid w:val="00723CBC"/>
    <w:rsid w:val="00723F9A"/>
    <w:rsid w:val="00724047"/>
    <w:rsid w:val="0072406D"/>
    <w:rsid w:val="0072407A"/>
    <w:rsid w:val="007240D2"/>
    <w:rsid w:val="007244C1"/>
    <w:rsid w:val="00725501"/>
    <w:rsid w:val="007255F1"/>
    <w:rsid w:val="00725E44"/>
    <w:rsid w:val="007269F9"/>
    <w:rsid w:val="00726A1F"/>
    <w:rsid w:val="0072749C"/>
    <w:rsid w:val="00727993"/>
    <w:rsid w:val="007279E3"/>
    <w:rsid w:val="007279FC"/>
    <w:rsid w:val="00727D50"/>
    <w:rsid w:val="00727E37"/>
    <w:rsid w:val="00727EA1"/>
    <w:rsid w:val="00727F04"/>
    <w:rsid w:val="00730058"/>
    <w:rsid w:val="007302B0"/>
    <w:rsid w:val="00730385"/>
    <w:rsid w:val="00730794"/>
    <w:rsid w:val="007309F5"/>
    <w:rsid w:val="00730CAF"/>
    <w:rsid w:val="00730E52"/>
    <w:rsid w:val="00731050"/>
    <w:rsid w:val="00731352"/>
    <w:rsid w:val="007318B3"/>
    <w:rsid w:val="00731A40"/>
    <w:rsid w:val="00731ABF"/>
    <w:rsid w:val="00731E03"/>
    <w:rsid w:val="00731EBE"/>
    <w:rsid w:val="00731EFC"/>
    <w:rsid w:val="007320A4"/>
    <w:rsid w:val="007328A7"/>
    <w:rsid w:val="007328AE"/>
    <w:rsid w:val="007329A2"/>
    <w:rsid w:val="00732D8B"/>
    <w:rsid w:val="00732E52"/>
    <w:rsid w:val="00733214"/>
    <w:rsid w:val="007334F7"/>
    <w:rsid w:val="00733B2E"/>
    <w:rsid w:val="00734089"/>
    <w:rsid w:val="007344FE"/>
    <w:rsid w:val="00734869"/>
    <w:rsid w:val="00734CD6"/>
    <w:rsid w:val="00734CDE"/>
    <w:rsid w:val="00734D80"/>
    <w:rsid w:val="00735982"/>
    <w:rsid w:val="00735A96"/>
    <w:rsid w:val="00735F25"/>
    <w:rsid w:val="007361A7"/>
    <w:rsid w:val="00736308"/>
    <w:rsid w:val="00736465"/>
    <w:rsid w:val="007368C0"/>
    <w:rsid w:val="00736D93"/>
    <w:rsid w:val="0073711D"/>
    <w:rsid w:val="00737454"/>
    <w:rsid w:val="0073785C"/>
    <w:rsid w:val="00737B4B"/>
    <w:rsid w:val="00737CC5"/>
    <w:rsid w:val="007407AF"/>
    <w:rsid w:val="00740A1B"/>
    <w:rsid w:val="00740CA4"/>
    <w:rsid w:val="007412F0"/>
    <w:rsid w:val="00741AA7"/>
    <w:rsid w:val="00741B51"/>
    <w:rsid w:val="00741D46"/>
    <w:rsid w:val="00742259"/>
    <w:rsid w:val="00742C0B"/>
    <w:rsid w:val="00742DBE"/>
    <w:rsid w:val="00742F7D"/>
    <w:rsid w:val="0074352D"/>
    <w:rsid w:val="007435DC"/>
    <w:rsid w:val="0074392C"/>
    <w:rsid w:val="00743CAA"/>
    <w:rsid w:val="00743D8C"/>
    <w:rsid w:val="00743E19"/>
    <w:rsid w:val="00744034"/>
    <w:rsid w:val="007446CB"/>
    <w:rsid w:val="0074472C"/>
    <w:rsid w:val="00745D4F"/>
    <w:rsid w:val="0074637F"/>
    <w:rsid w:val="007463FB"/>
    <w:rsid w:val="00746D5B"/>
    <w:rsid w:val="00746F04"/>
    <w:rsid w:val="0074742A"/>
    <w:rsid w:val="00747D69"/>
    <w:rsid w:val="0075007E"/>
    <w:rsid w:val="00750222"/>
    <w:rsid w:val="00750336"/>
    <w:rsid w:val="00750664"/>
    <w:rsid w:val="00750907"/>
    <w:rsid w:val="00750A5B"/>
    <w:rsid w:val="00750C9D"/>
    <w:rsid w:val="00751055"/>
    <w:rsid w:val="00751166"/>
    <w:rsid w:val="007513C6"/>
    <w:rsid w:val="00751749"/>
    <w:rsid w:val="00751AE1"/>
    <w:rsid w:val="007520DE"/>
    <w:rsid w:val="0075242E"/>
    <w:rsid w:val="0075244E"/>
    <w:rsid w:val="007525D0"/>
    <w:rsid w:val="007529F4"/>
    <w:rsid w:val="00752E84"/>
    <w:rsid w:val="00753D26"/>
    <w:rsid w:val="00753DE7"/>
    <w:rsid w:val="0075403A"/>
    <w:rsid w:val="007540AB"/>
    <w:rsid w:val="0075416D"/>
    <w:rsid w:val="007544D4"/>
    <w:rsid w:val="00754A82"/>
    <w:rsid w:val="00754C21"/>
    <w:rsid w:val="00754CA2"/>
    <w:rsid w:val="0075501D"/>
    <w:rsid w:val="00755688"/>
    <w:rsid w:val="0075573E"/>
    <w:rsid w:val="00755F05"/>
    <w:rsid w:val="007563A4"/>
    <w:rsid w:val="00756B6D"/>
    <w:rsid w:val="00756F9F"/>
    <w:rsid w:val="00757289"/>
    <w:rsid w:val="007572F6"/>
    <w:rsid w:val="00757608"/>
    <w:rsid w:val="007576B6"/>
    <w:rsid w:val="00757715"/>
    <w:rsid w:val="00760219"/>
    <w:rsid w:val="0076099F"/>
    <w:rsid w:val="00760A43"/>
    <w:rsid w:val="007610E3"/>
    <w:rsid w:val="00761321"/>
    <w:rsid w:val="007616C5"/>
    <w:rsid w:val="00761D47"/>
    <w:rsid w:val="00761E03"/>
    <w:rsid w:val="00761F5E"/>
    <w:rsid w:val="007621D8"/>
    <w:rsid w:val="00762611"/>
    <w:rsid w:val="00762B11"/>
    <w:rsid w:val="00762FCA"/>
    <w:rsid w:val="0076305C"/>
    <w:rsid w:val="00763133"/>
    <w:rsid w:val="0076345C"/>
    <w:rsid w:val="00763497"/>
    <w:rsid w:val="0076376A"/>
    <w:rsid w:val="007642B9"/>
    <w:rsid w:val="00764674"/>
    <w:rsid w:val="007648E1"/>
    <w:rsid w:val="00764D21"/>
    <w:rsid w:val="00764EB1"/>
    <w:rsid w:val="00765082"/>
    <w:rsid w:val="00765376"/>
    <w:rsid w:val="007654B5"/>
    <w:rsid w:val="00765830"/>
    <w:rsid w:val="00766705"/>
    <w:rsid w:val="00766AC7"/>
    <w:rsid w:val="00766B64"/>
    <w:rsid w:val="00766D32"/>
    <w:rsid w:val="007671E9"/>
    <w:rsid w:val="00767C85"/>
    <w:rsid w:val="007703FF"/>
    <w:rsid w:val="00770737"/>
    <w:rsid w:val="00770D7E"/>
    <w:rsid w:val="00771289"/>
    <w:rsid w:val="00772524"/>
    <w:rsid w:val="007728E2"/>
    <w:rsid w:val="00772F26"/>
    <w:rsid w:val="0077310E"/>
    <w:rsid w:val="007734B3"/>
    <w:rsid w:val="00773724"/>
    <w:rsid w:val="00773D8D"/>
    <w:rsid w:val="00773E29"/>
    <w:rsid w:val="00774438"/>
    <w:rsid w:val="007745D1"/>
    <w:rsid w:val="00774CFB"/>
    <w:rsid w:val="0077547A"/>
    <w:rsid w:val="00775532"/>
    <w:rsid w:val="00775846"/>
    <w:rsid w:val="00775C3F"/>
    <w:rsid w:val="0077621C"/>
    <w:rsid w:val="007766F9"/>
    <w:rsid w:val="007768E9"/>
    <w:rsid w:val="00776A68"/>
    <w:rsid w:val="00776B87"/>
    <w:rsid w:val="00777588"/>
    <w:rsid w:val="00777925"/>
    <w:rsid w:val="0077798C"/>
    <w:rsid w:val="007779F8"/>
    <w:rsid w:val="00777D9C"/>
    <w:rsid w:val="00780AB0"/>
    <w:rsid w:val="00780DC3"/>
    <w:rsid w:val="00781414"/>
    <w:rsid w:val="00781D7B"/>
    <w:rsid w:val="0078228E"/>
    <w:rsid w:val="00782B8C"/>
    <w:rsid w:val="00782BA3"/>
    <w:rsid w:val="00782DFC"/>
    <w:rsid w:val="0078375F"/>
    <w:rsid w:val="0078394C"/>
    <w:rsid w:val="007846AC"/>
    <w:rsid w:val="00784740"/>
    <w:rsid w:val="00784F0E"/>
    <w:rsid w:val="00785166"/>
    <w:rsid w:val="0078549F"/>
    <w:rsid w:val="0078570C"/>
    <w:rsid w:val="00785CE9"/>
    <w:rsid w:val="00785F6D"/>
    <w:rsid w:val="00786460"/>
    <w:rsid w:val="0078661B"/>
    <w:rsid w:val="00786713"/>
    <w:rsid w:val="007869F4"/>
    <w:rsid w:val="00786A25"/>
    <w:rsid w:val="00786A9B"/>
    <w:rsid w:val="00787582"/>
    <w:rsid w:val="00787F1B"/>
    <w:rsid w:val="007900BA"/>
    <w:rsid w:val="00790188"/>
    <w:rsid w:val="00790885"/>
    <w:rsid w:val="00790E25"/>
    <w:rsid w:val="00790EAB"/>
    <w:rsid w:val="0079125A"/>
    <w:rsid w:val="00791551"/>
    <w:rsid w:val="0079158F"/>
    <w:rsid w:val="007916AD"/>
    <w:rsid w:val="0079200B"/>
    <w:rsid w:val="0079228C"/>
    <w:rsid w:val="007925DE"/>
    <w:rsid w:val="00792C00"/>
    <w:rsid w:val="00792F67"/>
    <w:rsid w:val="0079315A"/>
    <w:rsid w:val="00793231"/>
    <w:rsid w:val="00793619"/>
    <w:rsid w:val="0079385B"/>
    <w:rsid w:val="00793B01"/>
    <w:rsid w:val="00793C60"/>
    <w:rsid w:val="00793D9A"/>
    <w:rsid w:val="00793FC0"/>
    <w:rsid w:val="00793FFE"/>
    <w:rsid w:val="0079441A"/>
    <w:rsid w:val="00794904"/>
    <w:rsid w:val="007949AF"/>
    <w:rsid w:val="00794BA8"/>
    <w:rsid w:val="00794BEE"/>
    <w:rsid w:val="00794E09"/>
    <w:rsid w:val="00794E4E"/>
    <w:rsid w:val="00795077"/>
    <w:rsid w:val="007950E3"/>
    <w:rsid w:val="0079540E"/>
    <w:rsid w:val="00795557"/>
    <w:rsid w:val="007958CE"/>
    <w:rsid w:val="007959C0"/>
    <w:rsid w:val="007962A7"/>
    <w:rsid w:val="0079653C"/>
    <w:rsid w:val="007967AC"/>
    <w:rsid w:val="00796C5C"/>
    <w:rsid w:val="00796D55"/>
    <w:rsid w:val="0079783D"/>
    <w:rsid w:val="00797A24"/>
    <w:rsid w:val="00797DE4"/>
    <w:rsid w:val="007A02C0"/>
    <w:rsid w:val="007A0612"/>
    <w:rsid w:val="007A0629"/>
    <w:rsid w:val="007A06DE"/>
    <w:rsid w:val="007A0F45"/>
    <w:rsid w:val="007A17A3"/>
    <w:rsid w:val="007A1812"/>
    <w:rsid w:val="007A1927"/>
    <w:rsid w:val="007A193C"/>
    <w:rsid w:val="007A20BB"/>
    <w:rsid w:val="007A2184"/>
    <w:rsid w:val="007A2275"/>
    <w:rsid w:val="007A288D"/>
    <w:rsid w:val="007A2A1D"/>
    <w:rsid w:val="007A2B2B"/>
    <w:rsid w:val="007A334C"/>
    <w:rsid w:val="007A33BC"/>
    <w:rsid w:val="007A3D26"/>
    <w:rsid w:val="007A3DD7"/>
    <w:rsid w:val="007A48EC"/>
    <w:rsid w:val="007A4A11"/>
    <w:rsid w:val="007A520B"/>
    <w:rsid w:val="007A554D"/>
    <w:rsid w:val="007A5832"/>
    <w:rsid w:val="007A5DD2"/>
    <w:rsid w:val="007A5DFB"/>
    <w:rsid w:val="007A5EF5"/>
    <w:rsid w:val="007A6788"/>
    <w:rsid w:val="007A6B71"/>
    <w:rsid w:val="007A6C32"/>
    <w:rsid w:val="007A72BE"/>
    <w:rsid w:val="007A73B7"/>
    <w:rsid w:val="007A758C"/>
    <w:rsid w:val="007A7758"/>
    <w:rsid w:val="007A7B2D"/>
    <w:rsid w:val="007A7B2F"/>
    <w:rsid w:val="007A7B5F"/>
    <w:rsid w:val="007B0001"/>
    <w:rsid w:val="007B0083"/>
    <w:rsid w:val="007B00C4"/>
    <w:rsid w:val="007B0101"/>
    <w:rsid w:val="007B01AA"/>
    <w:rsid w:val="007B01E6"/>
    <w:rsid w:val="007B0492"/>
    <w:rsid w:val="007B065A"/>
    <w:rsid w:val="007B0ADB"/>
    <w:rsid w:val="007B0CA4"/>
    <w:rsid w:val="007B12EA"/>
    <w:rsid w:val="007B13F2"/>
    <w:rsid w:val="007B1C57"/>
    <w:rsid w:val="007B1D0C"/>
    <w:rsid w:val="007B1D28"/>
    <w:rsid w:val="007B25AB"/>
    <w:rsid w:val="007B2D76"/>
    <w:rsid w:val="007B338C"/>
    <w:rsid w:val="007B33B1"/>
    <w:rsid w:val="007B357D"/>
    <w:rsid w:val="007B36BA"/>
    <w:rsid w:val="007B3930"/>
    <w:rsid w:val="007B3B3A"/>
    <w:rsid w:val="007B3C3E"/>
    <w:rsid w:val="007B3C46"/>
    <w:rsid w:val="007B3CA7"/>
    <w:rsid w:val="007B4940"/>
    <w:rsid w:val="007B4C9C"/>
    <w:rsid w:val="007B50DB"/>
    <w:rsid w:val="007B5458"/>
    <w:rsid w:val="007B5C04"/>
    <w:rsid w:val="007B63F7"/>
    <w:rsid w:val="007B6592"/>
    <w:rsid w:val="007B704C"/>
    <w:rsid w:val="007B7076"/>
    <w:rsid w:val="007B7555"/>
    <w:rsid w:val="007B7789"/>
    <w:rsid w:val="007B7790"/>
    <w:rsid w:val="007B7884"/>
    <w:rsid w:val="007B7AD1"/>
    <w:rsid w:val="007C0139"/>
    <w:rsid w:val="007C0154"/>
    <w:rsid w:val="007C01FB"/>
    <w:rsid w:val="007C0854"/>
    <w:rsid w:val="007C0868"/>
    <w:rsid w:val="007C0A28"/>
    <w:rsid w:val="007C0A9B"/>
    <w:rsid w:val="007C181E"/>
    <w:rsid w:val="007C1880"/>
    <w:rsid w:val="007C1954"/>
    <w:rsid w:val="007C1ADC"/>
    <w:rsid w:val="007C2C10"/>
    <w:rsid w:val="007C30CC"/>
    <w:rsid w:val="007C32AE"/>
    <w:rsid w:val="007C3A83"/>
    <w:rsid w:val="007C3E83"/>
    <w:rsid w:val="007C4273"/>
    <w:rsid w:val="007C4C16"/>
    <w:rsid w:val="007C4FA9"/>
    <w:rsid w:val="007C52B6"/>
    <w:rsid w:val="007C5736"/>
    <w:rsid w:val="007C5B46"/>
    <w:rsid w:val="007C63F2"/>
    <w:rsid w:val="007C63FA"/>
    <w:rsid w:val="007C664F"/>
    <w:rsid w:val="007C66E5"/>
    <w:rsid w:val="007C6741"/>
    <w:rsid w:val="007C67E2"/>
    <w:rsid w:val="007C6F9B"/>
    <w:rsid w:val="007C7216"/>
    <w:rsid w:val="007C736A"/>
    <w:rsid w:val="007C749C"/>
    <w:rsid w:val="007C7F87"/>
    <w:rsid w:val="007D008E"/>
    <w:rsid w:val="007D032F"/>
    <w:rsid w:val="007D079E"/>
    <w:rsid w:val="007D2251"/>
    <w:rsid w:val="007D2440"/>
    <w:rsid w:val="007D2474"/>
    <w:rsid w:val="007D2487"/>
    <w:rsid w:val="007D2D5E"/>
    <w:rsid w:val="007D2E18"/>
    <w:rsid w:val="007D2E6F"/>
    <w:rsid w:val="007D314F"/>
    <w:rsid w:val="007D35AE"/>
    <w:rsid w:val="007D3864"/>
    <w:rsid w:val="007D3B39"/>
    <w:rsid w:val="007D3F4D"/>
    <w:rsid w:val="007D4658"/>
    <w:rsid w:val="007D469A"/>
    <w:rsid w:val="007D4EDA"/>
    <w:rsid w:val="007D611F"/>
    <w:rsid w:val="007D61CA"/>
    <w:rsid w:val="007D64B0"/>
    <w:rsid w:val="007D6688"/>
    <w:rsid w:val="007D6B62"/>
    <w:rsid w:val="007D6BB3"/>
    <w:rsid w:val="007D73DA"/>
    <w:rsid w:val="007D7775"/>
    <w:rsid w:val="007D7852"/>
    <w:rsid w:val="007D788D"/>
    <w:rsid w:val="007D7D94"/>
    <w:rsid w:val="007E0AC6"/>
    <w:rsid w:val="007E1060"/>
    <w:rsid w:val="007E10EC"/>
    <w:rsid w:val="007E13A1"/>
    <w:rsid w:val="007E170D"/>
    <w:rsid w:val="007E1C16"/>
    <w:rsid w:val="007E2243"/>
    <w:rsid w:val="007E2618"/>
    <w:rsid w:val="007E27E0"/>
    <w:rsid w:val="007E2C8D"/>
    <w:rsid w:val="007E2EA3"/>
    <w:rsid w:val="007E3269"/>
    <w:rsid w:val="007E3DF4"/>
    <w:rsid w:val="007E3FF0"/>
    <w:rsid w:val="007E4519"/>
    <w:rsid w:val="007E4670"/>
    <w:rsid w:val="007E48E1"/>
    <w:rsid w:val="007E49AF"/>
    <w:rsid w:val="007E4B39"/>
    <w:rsid w:val="007E51BF"/>
    <w:rsid w:val="007E52EA"/>
    <w:rsid w:val="007E55A0"/>
    <w:rsid w:val="007E5C64"/>
    <w:rsid w:val="007E5FFA"/>
    <w:rsid w:val="007E61B7"/>
    <w:rsid w:val="007E66C9"/>
    <w:rsid w:val="007E698E"/>
    <w:rsid w:val="007E6FC8"/>
    <w:rsid w:val="007E72E1"/>
    <w:rsid w:val="007E731A"/>
    <w:rsid w:val="007E732E"/>
    <w:rsid w:val="007E74C1"/>
    <w:rsid w:val="007E77FF"/>
    <w:rsid w:val="007F0172"/>
    <w:rsid w:val="007F01D7"/>
    <w:rsid w:val="007F0377"/>
    <w:rsid w:val="007F0489"/>
    <w:rsid w:val="007F0639"/>
    <w:rsid w:val="007F07D5"/>
    <w:rsid w:val="007F0DAD"/>
    <w:rsid w:val="007F0FBA"/>
    <w:rsid w:val="007F0FEF"/>
    <w:rsid w:val="007F158D"/>
    <w:rsid w:val="007F1D17"/>
    <w:rsid w:val="007F2106"/>
    <w:rsid w:val="007F25EC"/>
    <w:rsid w:val="007F2C2C"/>
    <w:rsid w:val="007F300E"/>
    <w:rsid w:val="007F307A"/>
    <w:rsid w:val="007F30E1"/>
    <w:rsid w:val="007F3176"/>
    <w:rsid w:val="007F32EE"/>
    <w:rsid w:val="007F35E9"/>
    <w:rsid w:val="007F3819"/>
    <w:rsid w:val="007F3C6E"/>
    <w:rsid w:val="007F444D"/>
    <w:rsid w:val="007F47D9"/>
    <w:rsid w:val="007F492A"/>
    <w:rsid w:val="007F4CB5"/>
    <w:rsid w:val="007F4F87"/>
    <w:rsid w:val="007F515D"/>
    <w:rsid w:val="007F58F5"/>
    <w:rsid w:val="007F5C32"/>
    <w:rsid w:val="007F616D"/>
    <w:rsid w:val="007F6423"/>
    <w:rsid w:val="007F64E4"/>
    <w:rsid w:val="007F79EF"/>
    <w:rsid w:val="007F7DEF"/>
    <w:rsid w:val="007F7FFE"/>
    <w:rsid w:val="00800115"/>
    <w:rsid w:val="00800376"/>
    <w:rsid w:val="008006D2"/>
    <w:rsid w:val="00800DD2"/>
    <w:rsid w:val="00800F46"/>
    <w:rsid w:val="00801033"/>
    <w:rsid w:val="008013DE"/>
    <w:rsid w:val="00801570"/>
    <w:rsid w:val="00801C0B"/>
    <w:rsid w:val="008020FC"/>
    <w:rsid w:val="00802127"/>
    <w:rsid w:val="00802662"/>
    <w:rsid w:val="008027D7"/>
    <w:rsid w:val="0080287A"/>
    <w:rsid w:val="00802F09"/>
    <w:rsid w:val="00802F5A"/>
    <w:rsid w:val="00803562"/>
    <w:rsid w:val="00803B21"/>
    <w:rsid w:val="00803CA0"/>
    <w:rsid w:val="00803DA2"/>
    <w:rsid w:val="00803E98"/>
    <w:rsid w:val="00803F6E"/>
    <w:rsid w:val="00804048"/>
    <w:rsid w:val="008048D2"/>
    <w:rsid w:val="00804A01"/>
    <w:rsid w:val="00804B36"/>
    <w:rsid w:val="00804B55"/>
    <w:rsid w:val="00804CE4"/>
    <w:rsid w:val="0080588B"/>
    <w:rsid w:val="008058AF"/>
    <w:rsid w:val="00805FD7"/>
    <w:rsid w:val="00806119"/>
    <w:rsid w:val="0080693A"/>
    <w:rsid w:val="00806A7E"/>
    <w:rsid w:val="00806D8D"/>
    <w:rsid w:val="00807A22"/>
    <w:rsid w:val="00807EC1"/>
    <w:rsid w:val="0081021F"/>
    <w:rsid w:val="00810559"/>
    <w:rsid w:val="008105AD"/>
    <w:rsid w:val="008105B4"/>
    <w:rsid w:val="00810854"/>
    <w:rsid w:val="00810B10"/>
    <w:rsid w:val="00810CB4"/>
    <w:rsid w:val="0081121C"/>
    <w:rsid w:val="008115AA"/>
    <w:rsid w:val="00811684"/>
    <w:rsid w:val="00811A5E"/>
    <w:rsid w:val="00811CC9"/>
    <w:rsid w:val="00811DE9"/>
    <w:rsid w:val="00811ED6"/>
    <w:rsid w:val="00811FA5"/>
    <w:rsid w:val="00812225"/>
    <w:rsid w:val="00812402"/>
    <w:rsid w:val="008131D7"/>
    <w:rsid w:val="008138EC"/>
    <w:rsid w:val="00813AC4"/>
    <w:rsid w:val="00813D36"/>
    <w:rsid w:val="00813D56"/>
    <w:rsid w:val="00813EC4"/>
    <w:rsid w:val="00814211"/>
    <w:rsid w:val="00814362"/>
    <w:rsid w:val="0081439C"/>
    <w:rsid w:val="008146AA"/>
    <w:rsid w:val="00814854"/>
    <w:rsid w:val="00814ABE"/>
    <w:rsid w:val="00814DFF"/>
    <w:rsid w:val="00814F7F"/>
    <w:rsid w:val="00815286"/>
    <w:rsid w:val="00815884"/>
    <w:rsid w:val="00816399"/>
    <w:rsid w:val="00817068"/>
    <w:rsid w:val="0081726C"/>
    <w:rsid w:val="00817350"/>
    <w:rsid w:val="0081744A"/>
    <w:rsid w:val="0081745C"/>
    <w:rsid w:val="008174C8"/>
    <w:rsid w:val="008178C6"/>
    <w:rsid w:val="00817E07"/>
    <w:rsid w:val="00820AA3"/>
    <w:rsid w:val="00820F53"/>
    <w:rsid w:val="008211F8"/>
    <w:rsid w:val="008216FD"/>
    <w:rsid w:val="0082191D"/>
    <w:rsid w:val="00821BC9"/>
    <w:rsid w:val="00821FFA"/>
    <w:rsid w:val="00822370"/>
    <w:rsid w:val="0082290B"/>
    <w:rsid w:val="00822DF4"/>
    <w:rsid w:val="0082343F"/>
    <w:rsid w:val="008235DF"/>
    <w:rsid w:val="008237E8"/>
    <w:rsid w:val="00823B99"/>
    <w:rsid w:val="00824024"/>
    <w:rsid w:val="008240E6"/>
    <w:rsid w:val="00824183"/>
    <w:rsid w:val="008241B7"/>
    <w:rsid w:val="00824252"/>
    <w:rsid w:val="00824973"/>
    <w:rsid w:val="00824A82"/>
    <w:rsid w:val="00824ABA"/>
    <w:rsid w:val="00824B1F"/>
    <w:rsid w:val="00824F1A"/>
    <w:rsid w:val="00824F7C"/>
    <w:rsid w:val="00824FEB"/>
    <w:rsid w:val="00825159"/>
    <w:rsid w:val="008251EE"/>
    <w:rsid w:val="0082588B"/>
    <w:rsid w:val="00825A21"/>
    <w:rsid w:val="00825DAD"/>
    <w:rsid w:val="0082625A"/>
    <w:rsid w:val="00826A95"/>
    <w:rsid w:val="00826B9C"/>
    <w:rsid w:val="00826C51"/>
    <w:rsid w:val="00826E45"/>
    <w:rsid w:val="00826FD7"/>
    <w:rsid w:val="0082784F"/>
    <w:rsid w:val="00827B18"/>
    <w:rsid w:val="00827CE2"/>
    <w:rsid w:val="00830B78"/>
    <w:rsid w:val="00830C10"/>
    <w:rsid w:val="00830D62"/>
    <w:rsid w:val="008311D6"/>
    <w:rsid w:val="00831279"/>
    <w:rsid w:val="00831296"/>
    <w:rsid w:val="0083144D"/>
    <w:rsid w:val="00831782"/>
    <w:rsid w:val="00831E45"/>
    <w:rsid w:val="00831F4A"/>
    <w:rsid w:val="008320D0"/>
    <w:rsid w:val="008320D7"/>
    <w:rsid w:val="00832227"/>
    <w:rsid w:val="00832229"/>
    <w:rsid w:val="008322EF"/>
    <w:rsid w:val="008324F1"/>
    <w:rsid w:val="0083261E"/>
    <w:rsid w:val="0083281A"/>
    <w:rsid w:val="0083292B"/>
    <w:rsid w:val="00832C9D"/>
    <w:rsid w:val="008334D4"/>
    <w:rsid w:val="00833A6F"/>
    <w:rsid w:val="00833B4E"/>
    <w:rsid w:val="0083465F"/>
    <w:rsid w:val="00834697"/>
    <w:rsid w:val="008349CE"/>
    <w:rsid w:val="00834BBC"/>
    <w:rsid w:val="00834FC5"/>
    <w:rsid w:val="0083542A"/>
    <w:rsid w:val="00835635"/>
    <w:rsid w:val="008358A4"/>
    <w:rsid w:val="00835BBF"/>
    <w:rsid w:val="00836557"/>
    <w:rsid w:val="00836768"/>
    <w:rsid w:val="008368FD"/>
    <w:rsid w:val="00836D8E"/>
    <w:rsid w:val="00836E2D"/>
    <w:rsid w:val="0083700D"/>
    <w:rsid w:val="0083734F"/>
    <w:rsid w:val="008377EA"/>
    <w:rsid w:val="00837EA5"/>
    <w:rsid w:val="00837EDA"/>
    <w:rsid w:val="00837F95"/>
    <w:rsid w:val="00840009"/>
    <w:rsid w:val="0084031C"/>
    <w:rsid w:val="00840F5E"/>
    <w:rsid w:val="0084162E"/>
    <w:rsid w:val="008416C3"/>
    <w:rsid w:val="008418EC"/>
    <w:rsid w:val="00841A12"/>
    <w:rsid w:val="00842934"/>
    <w:rsid w:val="00842B77"/>
    <w:rsid w:val="00842D24"/>
    <w:rsid w:val="00842E68"/>
    <w:rsid w:val="00842EDA"/>
    <w:rsid w:val="00843725"/>
    <w:rsid w:val="00843B05"/>
    <w:rsid w:val="00843CEA"/>
    <w:rsid w:val="00844277"/>
    <w:rsid w:val="00844AF7"/>
    <w:rsid w:val="00844ED2"/>
    <w:rsid w:val="008450E2"/>
    <w:rsid w:val="008453D0"/>
    <w:rsid w:val="00845868"/>
    <w:rsid w:val="00845CF3"/>
    <w:rsid w:val="00845E9D"/>
    <w:rsid w:val="00845F94"/>
    <w:rsid w:val="00846411"/>
    <w:rsid w:val="00846618"/>
    <w:rsid w:val="00846787"/>
    <w:rsid w:val="00846F28"/>
    <w:rsid w:val="00846F62"/>
    <w:rsid w:val="008477F1"/>
    <w:rsid w:val="00847897"/>
    <w:rsid w:val="0085043C"/>
    <w:rsid w:val="008504E9"/>
    <w:rsid w:val="00850A1A"/>
    <w:rsid w:val="00850B89"/>
    <w:rsid w:val="00850C6B"/>
    <w:rsid w:val="00850FA1"/>
    <w:rsid w:val="00851649"/>
    <w:rsid w:val="00851BAC"/>
    <w:rsid w:val="00851D24"/>
    <w:rsid w:val="00852638"/>
    <w:rsid w:val="00852939"/>
    <w:rsid w:val="00852AB6"/>
    <w:rsid w:val="00852B5D"/>
    <w:rsid w:val="00852DAE"/>
    <w:rsid w:val="00853069"/>
    <w:rsid w:val="008530A1"/>
    <w:rsid w:val="008530CC"/>
    <w:rsid w:val="00853815"/>
    <w:rsid w:val="008538BE"/>
    <w:rsid w:val="00853BAF"/>
    <w:rsid w:val="00854452"/>
    <w:rsid w:val="00854F41"/>
    <w:rsid w:val="008558DF"/>
    <w:rsid w:val="00855C1B"/>
    <w:rsid w:val="00855CDD"/>
    <w:rsid w:val="008568A2"/>
    <w:rsid w:val="00856C78"/>
    <w:rsid w:val="008570A1"/>
    <w:rsid w:val="00857209"/>
    <w:rsid w:val="00857467"/>
    <w:rsid w:val="00857AEB"/>
    <w:rsid w:val="00857BFF"/>
    <w:rsid w:val="00857FAD"/>
    <w:rsid w:val="0086014C"/>
    <w:rsid w:val="008604F8"/>
    <w:rsid w:val="00860704"/>
    <w:rsid w:val="00861363"/>
    <w:rsid w:val="00861540"/>
    <w:rsid w:val="008615CE"/>
    <w:rsid w:val="00861E3F"/>
    <w:rsid w:val="00861FD6"/>
    <w:rsid w:val="00862519"/>
    <w:rsid w:val="0086282F"/>
    <w:rsid w:val="008628B5"/>
    <w:rsid w:val="00862CCE"/>
    <w:rsid w:val="00862DE3"/>
    <w:rsid w:val="00862F0A"/>
    <w:rsid w:val="0086301C"/>
    <w:rsid w:val="00863150"/>
    <w:rsid w:val="008631D4"/>
    <w:rsid w:val="0086350F"/>
    <w:rsid w:val="0086368A"/>
    <w:rsid w:val="0086393C"/>
    <w:rsid w:val="00864092"/>
    <w:rsid w:val="00864097"/>
    <w:rsid w:val="00865852"/>
    <w:rsid w:val="008659B8"/>
    <w:rsid w:val="00865F91"/>
    <w:rsid w:val="00866014"/>
    <w:rsid w:val="008661D3"/>
    <w:rsid w:val="008662BA"/>
    <w:rsid w:val="00866BD5"/>
    <w:rsid w:val="00866C6C"/>
    <w:rsid w:val="00867A73"/>
    <w:rsid w:val="00867B95"/>
    <w:rsid w:val="00867C15"/>
    <w:rsid w:val="00867E03"/>
    <w:rsid w:val="00870637"/>
    <w:rsid w:val="00870684"/>
    <w:rsid w:val="00870D5E"/>
    <w:rsid w:val="00871074"/>
    <w:rsid w:val="00871505"/>
    <w:rsid w:val="00871787"/>
    <w:rsid w:val="008717D9"/>
    <w:rsid w:val="00871C4E"/>
    <w:rsid w:val="00872903"/>
    <w:rsid w:val="00872A24"/>
    <w:rsid w:val="00872A95"/>
    <w:rsid w:val="00872C18"/>
    <w:rsid w:val="00872CF5"/>
    <w:rsid w:val="00872E22"/>
    <w:rsid w:val="00873475"/>
    <w:rsid w:val="0087368E"/>
    <w:rsid w:val="0087376D"/>
    <w:rsid w:val="00874430"/>
    <w:rsid w:val="0087445B"/>
    <w:rsid w:val="008744C3"/>
    <w:rsid w:val="00874630"/>
    <w:rsid w:val="00874B3C"/>
    <w:rsid w:val="00874ED9"/>
    <w:rsid w:val="008750C2"/>
    <w:rsid w:val="00875138"/>
    <w:rsid w:val="0087560D"/>
    <w:rsid w:val="00875871"/>
    <w:rsid w:val="00875ABD"/>
    <w:rsid w:val="00875F82"/>
    <w:rsid w:val="00876115"/>
    <w:rsid w:val="008761D8"/>
    <w:rsid w:val="0087661C"/>
    <w:rsid w:val="00876656"/>
    <w:rsid w:val="00876A67"/>
    <w:rsid w:val="00876D4B"/>
    <w:rsid w:val="008771EE"/>
    <w:rsid w:val="008771FE"/>
    <w:rsid w:val="008776CE"/>
    <w:rsid w:val="00877869"/>
    <w:rsid w:val="00877A23"/>
    <w:rsid w:val="00877B11"/>
    <w:rsid w:val="00880087"/>
    <w:rsid w:val="008809EA"/>
    <w:rsid w:val="00880A33"/>
    <w:rsid w:val="00881184"/>
    <w:rsid w:val="008814AD"/>
    <w:rsid w:val="008816E2"/>
    <w:rsid w:val="008818DF"/>
    <w:rsid w:val="008818ED"/>
    <w:rsid w:val="00881B66"/>
    <w:rsid w:val="0088201B"/>
    <w:rsid w:val="0088242E"/>
    <w:rsid w:val="008824F0"/>
    <w:rsid w:val="0088257F"/>
    <w:rsid w:val="008825E6"/>
    <w:rsid w:val="008828AC"/>
    <w:rsid w:val="00882AA8"/>
    <w:rsid w:val="00882CF8"/>
    <w:rsid w:val="00882F77"/>
    <w:rsid w:val="00883142"/>
    <w:rsid w:val="008835D6"/>
    <w:rsid w:val="0088374D"/>
    <w:rsid w:val="00883889"/>
    <w:rsid w:val="00883AE4"/>
    <w:rsid w:val="00883CFA"/>
    <w:rsid w:val="00883E8F"/>
    <w:rsid w:val="00883F7C"/>
    <w:rsid w:val="008842F8"/>
    <w:rsid w:val="0088460A"/>
    <w:rsid w:val="008848DA"/>
    <w:rsid w:val="008849B4"/>
    <w:rsid w:val="00884A89"/>
    <w:rsid w:val="00884AAF"/>
    <w:rsid w:val="00884BC4"/>
    <w:rsid w:val="00884BCE"/>
    <w:rsid w:val="00885B73"/>
    <w:rsid w:val="00885D03"/>
    <w:rsid w:val="00885EFE"/>
    <w:rsid w:val="00886615"/>
    <w:rsid w:val="00886AE8"/>
    <w:rsid w:val="00886FAE"/>
    <w:rsid w:val="008873CE"/>
    <w:rsid w:val="008874CF"/>
    <w:rsid w:val="00887E13"/>
    <w:rsid w:val="00890305"/>
    <w:rsid w:val="00890809"/>
    <w:rsid w:val="0089085F"/>
    <w:rsid w:val="00890D8F"/>
    <w:rsid w:val="00891059"/>
    <w:rsid w:val="008910CA"/>
    <w:rsid w:val="0089116B"/>
    <w:rsid w:val="008914F7"/>
    <w:rsid w:val="0089160A"/>
    <w:rsid w:val="008916E7"/>
    <w:rsid w:val="00891928"/>
    <w:rsid w:val="00891F6D"/>
    <w:rsid w:val="00892113"/>
    <w:rsid w:val="00892DB6"/>
    <w:rsid w:val="0089318E"/>
    <w:rsid w:val="00893CAA"/>
    <w:rsid w:val="00894184"/>
    <w:rsid w:val="00894340"/>
    <w:rsid w:val="00894B08"/>
    <w:rsid w:val="0089523C"/>
    <w:rsid w:val="00895E96"/>
    <w:rsid w:val="00896171"/>
    <w:rsid w:val="008964F1"/>
    <w:rsid w:val="00896840"/>
    <w:rsid w:val="00896BFC"/>
    <w:rsid w:val="00897735"/>
    <w:rsid w:val="00897C79"/>
    <w:rsid w:val="00897F90"/>
    <w:rsid w:val="008A00C3"/>
    <w:rsid w:val="008A0C90"/>
    <w:rsid w:val="008A1062"/>
    <w:rsid w:val="008A186D"/>
    <w:rsid w:val="008A197D"/>
    <w:rsid w:val="008A1A6E"/>
    <w:rsid w:val="008A1C7D"/>
    <w:rsid w:val="008A2132"/>
    <w:rsid w:val="008A245C"/>
    <w:rsid w:val="008A2902"/>
    <w:rsid w:val="008A2A9B"/>
    <w:rsid w:val="008A2FB9"/>
    <w:rsid w:val="008A317E"/>
    <w:rsid w:val="008A318F"/>
    <w:rsid w:val="008A344D"/>
    <w:rsid w:val="008A37DA"/>
    <w:rsid w:val="008A390E"/>
    <w:rsid w:val="008A3C3E"/>
    <w:rsid w:val="008A490D"/>
    <w:rsid w:val="008A49DD"/>
    <w:rsid w:val="008A4B08"/>
    <w:rsid w:val="008A4B71"/>
    <w:rsid w:val="008A4DCC"/>
    <w:rsid w:val="008A4E84"/>
    <w:rsid w:val="008A516D"/>
    <w:rsid w:val="008A523F"/>
    <w:rsid w:val="008A539A"/>
    <w:rsid w:val="008A5549"/>
    <w:rsid w:val="008A59AF"/>
    <w:rsid w:val="008A5B50"/>
    <w:rsid w:val="008A5BA0"/>
    <w:rsid w:val="008A5BF5"/>
    <w:rsid w:val="008A6547"/>
    <w:rsid w:val="008A666C"/>
    <w:rsid w:val="008A7337"/>
    <w:rsid w:val="008A762C"/>
    <w:rsid w:val="008A7FAE"/>
    <w:rsid w:val="008B06D4"/>
    <w:rsid w:val="008B090C"/>
    <w:rsid w:val="008B1DDF"/>
    <w:rsid w:val="008B1E35"/>
    <w:rsid w:val="008B1E59"/>
    <w:rsid w:val="008B1F31"/>
    <w:rsid w:val="008B26D4"/>
    <w:rsid w:val="008B2F18"/>
    <w:rsid w:val="008B318D"/>
    <w:rsid w:val="008B370D"/>
    <w:rsid w:val="008B3EA8"/>
    <w:rsid w:val="008B3F47"/>
    <w:rsid w:val="008B4367"/>
    <w:rsid w:val="008B43C5"/>
    <w:rsid w:val="008B5FC8"/>
    <w:rsid w:val="008B6037"/>
    <w:rsid w:val="008B60D0"/>
    <w:rsid w:val="008B6453"/>
    <w:rsid w:val="008B693D"/>
    <w:rsid w:val="008B6BB9"/>
    <w:rsid w:val="008B6EAD"/>
    <w:rsid w:val="008B738C"/>
    <w:rsid w:val="008B76F8"/>
    <w:rsid w:val="008B77C0"/>
    <w:rsid w:val="008B7AF6"/>
    <w:rsid w:val="008B7E5A"/>
    <w:rsid w:val="008B7F13"/>
    <w:rsid w:val="008B7F49"/>
    <w:rsid w:val="008C003A"/>
    <w:rsid w:val="008C0041"/>
    <w:rsid w:val="008C07D6"/>
    <w:rsid w:val="008C096C"/>
    <w:rsid w:val="008C0C71"/>
    <w:rsid w:val="008C1381"/>
    <w:rsid w:val="008C1515"/>
    <w:rsid w:val="008C162C"/>
    <w:rsid w:val="008C16C5"/>
    <w:rsid w:val="008C20DA"/>
    <w:rsid w:val="008C2747"/>
    <w:rsid w:val="008C2978"/>
    <w:rsid w:val="008C2FB6"/>
    <w:rsid w:val="008C2FE4"/>
    <w:rsid w:val="008C3B31"/>
    <w:rsid w:val="008C3BB3"/>
    <w:rsid w:val="008C42BB"/>
    <w:rsid w:val="008C4A94"/>
    <w:rsid w:val="008C4D6E"/>
    <w:rsid w:val="008C5140"/>
    <w:rsid w:val="008C53B1"/>
    <w:rsid w:val="008C556F"/>
    <w:rsid w:val="008C57C1"/>
    <w:rsid w:val="008C5B25"/>
    <w:rsid w:val="008C5BE9"/>
    <w:rsid w:val="008C5CC3"/>
    <w:rsid w:val="008C5DF2"/>
    <w:rsid w:val="008C5F9A"/>
    <w:rsid w:val="008C6844"/>
    <w:rsid w:val="008C686B"/>
    <w:rsid w:val="008C689E"/>
    <w:rsid w:val="008C6961"/>
    <w:rsid w:val="008C69F4"/>
    <w:rsid w:val="008C6BF7"/>
    <w:rsid w:val="008C6DE3"/>
    <w:rsid w:val="008C6E4B"/>
    <w:rsid w:val="008C6F1B"/>
    <w:rsid w:val="008C6F26"/>
    <w:rsid w:val="008C75B5"/>
    <w:rsid w:val="008C75C4"/>
    <w:rsid w:val="008C7624"/>
    <w:rsid w:val="008C76FE"/>
    <w:rsid w:val="008C7FF6"/>
    <w:rsid w:val="008D01D7"/>
    <w:rsid w:val="008D0524"/>
    <w:rsid w:val="008D0B26"/>
    <w:rsid w:val="008D0C31"/>
    <w:rsid w:val="008D0CF2"/>
    <w:rsid w:val="008D0D01"/>
    <w:rsid w:val="008D0FA5"/>
    <w:rsid w:val="008D10D1"/>
    <w:rsid w:val="008D12B1"/>
    <w:rsid w:val="008D1453"/>
    <w:rsid w:val="008D16C8"/>
    <w:rsid w:val="008D1E2E"/>
    <w:rsid w:val="008D1E33"/>
    <w:rsid w:val="008D1EBC"/>
    <w:rsid w:val="008D2523"/>
    <w:rsid w:val="008D2A15"/>
    <w:rsid w:val="008D2BEF"/>
    <w:rsid w:val="008D2F09"/>
    <w:rsid w:val="008D2FDF"/>
    <w:rsid w:val="008D3155"/>
    <w:rsid w:val="008D34A1"/>
    <w:rsid w:val="008D397F"/>
    <w:rsid w:val="008D3A46"/>
    <w:rsid w:val="008D4116"/>
    <w:rsid w:val="008D4233"/>
    <w:rsid w:val="008D439B"/>
    <w:rsid w:val="008D48D1"/>
    <w:rsid w:val="008D5148"/>
    <w:rsid w:val="008D5457"/>
    <w:rsid w:val="008D5857"/>
    <w:rsid w:val="008D5A85"/>
    <w:rsid w:val="008D5C05"/>
    <w:rsid w:val="008D5E4A"/>
    <w:rsid w:val="008D5F85"/>
    <w:rsid w:val="008D67E2"/>
    <w:rsid w:val="008D6E62"/>
    <w:rsid w:val="008D6F25"/>
    <w:rsid w:val="008D71D1"/>
    <w:rsid w:val="008D7381"/>
    <w:rsid w:val="008D795C"/>
    <w:rsid w:val="008D7BAC"/>
    <w:rsid w:val="008D7EEB"/>
    <w:rsid w:val="008D7FAA"/>
    <w:rsid w:val="008E0010"/>
    <w:rsid w:val="008E01FC"/>
    <w:rsid w:val="008E02B3"/>
    <w:rsid w:val="008E0467"/>
    <w:rsid w:val="008E065D"/>
    <w:rsid w:val="008E0816"/>
    <w:rsid w:val="008E0C69"/>
    <w:rsid w:val="008E0D4E"/>
    <w:rsid w:val="008E1313"/>
    <w:rsid w:val="008E1552"/>
    <w:rsid w:val="008E1706"/>
    <w:rsid w:val="008E20A7"/>
    <w:rsid w:val="008E2110"/>
    <w:rsid w:val="008E21D3"/>
    <w:rsid w:val="008E2A6D"/>
    <w:rsid w:val="008E2B8B"/>
    <w:rsid w:val="008E2F19"/>
    <w:rsid w:val="008E2F82"/>
    <w:rsid w:val="008E3040"/>
    <w:rsid w:val="008E311F"/>
    <w:rsid w:val="008E3168"/>
    <w:rsid w:val="008E3794"/>
    <w:rsid w:val="008E3AEF"/>
    <w:rsid w:val="008E3F18"/>
    <w:rsid w:val="008E45E5"/>
    <w:rsid w:val="008E48CC"/>
    <w:rsid w:val="008E4BB5"/>
    <w:rsid w:val="008E4E30"/>
    <w:rsid w:val="008E4E58"/>
    <w:rsid w:val="008E559B"/>
    <w:rsid w:val="008E5BBA"/>
    <w:rsid w:val="008E5CC5"/>
    <w:rsid w:val="008E6033"/>
    <w:rsid w:val="008E6174"/>
    <w:rsid w:val="008E6211"/>
    <w:rsid w:val="008E642E"/>
    <w:rsid w:val="008E6947"/>
    <w:rsid w:val="008E6D81"/>
    <w:rsid w:val="008E71CD"/>
    <w:rsid w:val="008E7587"/>
    <w:rsid w:val="008E7606"/>
    <w:rsid w:val="008E780E"/>
    <w:rsid w:val="008E7984"/>
    <w:rsid w:val="008E7C43"/>
    <w:rsid w:val="008E7EF8"/>
    <w:rsid w:val="008F0033"/>
    <w:rsid w:val="008F0332"/>
    <w:rsid w:val="008F0501"/>
    <w:rsid w:val="008F08FB"/>
    <w:rsid w:val="008F0AAE"/>
    <w:rsid w:val="008F1A62"/>
    <w:rsid w:val="008F1CCC"/>
    <w:rsid w:val="008F267B"/>
    <w:rsid w:val="008F2900"/>
    <w:rsid w:val="008F2962"/>
    <w:rsid w:val="008F2DDF"/>
    <w:rsid w:val="008F2F43"/>
    <w:rsid w:val="008F3235"/>
    <w:rsid w:val="008F37F4"/>
    <w:rsid w:val="008F3BFF"/>
    <w:rsid w:val="008F3E33"/>
    <w:rsid w:val="008F3F8F"/>
    <w:rsid w:val="008F4015"/>
    <w:rsid w:val="008F41E1"/>
    <w:rsid w:val="008F42A9"/>
    <w:rsid w:val="008F4507"/>
    <w:rsid w:val="008F4598"/>
    <w:rsid w:val="008F46E1"/>
    <w:rsid w:val="008F4E6D"/>
    <w:rsid w:val="008F4F75"/>
    <w:rsid w:val="008F51EB"/>
    <w:rsid w:val="008F5AE1"/>
    <w:rsid w:val="008F5ED2"/>
    <w:rsid w:val="008F603F"/>
    <w:rsid w:val="008F6133"/>
    <w:rsid w:val="008F64CB"/>
    <w:rsid w:val="008F6718"/>
    <w:rsid w:val="008F7591"/>
    <w:rsid w:val="008F7869"/>
    <w:rsid w:val="00900092"/>
    <w:rsid w:val="009009C4"/>
    <w:rsid w:val="00900B02"/>
    <w:rsid w:val="00900E19"/>
    <w:rsid w:val="00900E91"/>
    <w:rsid w:val="00901089"/>
    <w:rsid w:val="00901790"/>
    <w:rsid w:val="009018A9"/>
    <w:rsid w:val="0090199C"/>
    <w:rsid w:val="00901A3D"/>
    <w:rsid w:val="00901DB9"/>
    <w:rsid w:val="00901EED"/>
    <w:rsid w:val="00902063"/>
    <w:rsid w:val="0090210A"/>
    <w:rsid w:val="0090222E"/>
    <w:rsid w:val="009026C2"/>
    <w:rsid w:val="00902956"/>
    <w:rsid w:val="00902A84"/>
    <w:rsid w:val="00902DA3"/>
    <w:rsid w:val="009031B8"/>
    <w:rsid w:val="00903E94"/>
    <w:rsid w:val="0090458E"/>
    <w:rsid w:val="009045B9"/>
    <w:rsid w:val="0090516F"/>
    <w:rsid w:val="00905CEF"/>
    <w:rsid w:val="00905F34"/>
    <w:rsid w:val="00905F82"/>
    <w:rsid w:val="009064F8"/>
    <w:rsid w:val="00906B63"/>
    <w:rsid w:val="009073A9"/>
    <w:rsid w:val="009075A8"/>
    <w:rsid w:val="009078AB"/>
    <w:rsid w:val="00907944"/>
    <w:rsid w:val="009079C2"/>
    <w:rsid w:val="009101B1"/>
    <w:rsid w:val="0091088D"/>
    <w:rsid w:val="009113A6"/>
    <w:rsid w:val="0091141F"/>
    <w:rsid w:val="00911884"/>
    <w:rsid w:val="009118AD"/>
    <w:rsid w:val="00911C29"/>
    <w:rsid w:val="00912072"/>
    <w:rsid w:val="00912415"/>
    <w:rsid w:val="009124BD"/>
    <w:rsid w:val="009124E2"/>
    <w:rsid w:val="0091259B"/>
    <w:rsid w:val="009125BD"/>
    <w:rsid w:val="009135F1"/>
    <w:rsid w:val="00913E79"/>
    <w:rsid w:val="0091412F"/>
    <w:rsid w:val="00914224"/>
    <w:rsid w:val="009147C7"/>
    <w:rsid w:val="00914878"/>
    <w:rsid w:val="009152E4"/>
    <w:rsid w:val="0091545E"/>
    <w:rsid w:val="0091556A"/>
    <w:rsid w:val="00915689"/>
    <w:rsid w:val="0091568A"/>
    <w:rsid w:val="00915803"/>
    <w:rsid w:val="00915BD5"/>
    <w:rsid w:val="00915C31"/>
    <w:rsid w:val="009160E5"/>
    <w:rsid w:val="0091640B"/>
    <w:rsid w:val="009166AA"/>
    <w:rsid w:val="009166B6"/>
    <w:rsid w:val="009168A0"/>
    <w:rsid w:val="00916E54"/>
    <w:rsid w:val="00916F0A"/>
    <w:rsid w:val="00917305"/>
    <w:rsid w:val="009175B9"/>
    <w:rsid w:val="0091766F"/>
    <w:rsid w:val="00917756"/>
    <w:rsid w:val="00917BE8"/>
    <w:rsid w:val="00917DF6"/>
    <w:rsid w:val="0092057F"/>
    <w:rsid w:val="0092079C"/>
    <w:rsid w:val="00920817"/>
    <w:rsid w:val="009209F7"/>
    <w:rsid w:val="00920B6B"/>
    <w:rsid w:val="00921333"/>
    <w:rsid w:val="00921496"/>
    <w:rsid w:val="0092192C"/>
    <w:rsid w:val="00921AF7"/>
    <w:rsid w:val="00921B46"/>
    <w:rsid w:val="00921CF5"/>
    <w:rsid w:val="00921E3B"/>
    <w:rsid w:val="00922D99"/>
    <w:rsid w:val="00923106"/>
    <w:rsid w:val="00923219"/>
    <w:rsid w:val="009232F0"/>
    <w:rsid w:val="00923951"/>
    <w:rsid w:val="00923C89"/>
    <w:rsid w:val="00923D8D"/>
    <w:rsid w:val="0092438C"/>
    <w:rsid w:val="00924A86"/>
    <w:rsid w:val="00924B83"/>
    <w:rsid w:val="00924ED7"/>
    <w:rsid w:val="00925046"/>
    <w:rsid w:val="00925082"/>
    <w:rsid w:val="00925168"/>
    <w:rsid w:val="00925314"/>
    <w:rsid w:val="00925362"/>
    <w:rsid w:val="009257EE"/>
    <w:rsid w:val="00925A8E"/>
    <w:rsid w:val="00926081"/>
    <w:rsid w:val="0092609A"/>
    <w:rsid w:val="0092641B"/>
    <w:rsid w:val="009264B2"/>
    <w:rsid w:val="00926F93"/>
    <w:rsid w:val="0092739C"/>
    <w:rsid w:val="009274BC"/>
    <w:rsid w:val="009278D4"/>
    <w:rsid w:val="009279E6"/>
    <w:rsid w:val="00927B64"/>
    <w:rsid w:val="00927C24"/>
    <w:rsid w:val="00927E8D"/>
    <w:rsid w:val="00927F31"/>
    <w:rsid w:val="0093022E"/>
    <w:rsid w:val="009304FC"/>
    <w:rsid w:val="009306EF"/>
    <w:rsid w:val="00931567"/>
    <w:rsid w:val="009327DE"/>
    <w:rsid w:val="00932DA9"/>
    <w:rsid w:val="00933192"/>
    <w:rsid w:val="00933428"/>
    <w:rsid w:val="0093363A"/>
    <w:rsid w:val="00933728"/>
    <w:rsid w:val="00934192"/>
    <w:rsid w:val="0093437E"/>
    <w:rsid w:val="009343A4"/>
    <w:rsid w:val="00934C09"/>
    <w:rsid w:val="00934D97"/>
    <w:rsid w:val="009351BB"/>
    <w:rsid w:val="009351C1"/>
    <w:rsid w:val="00935AF8"/>
    <w:rsid w:val="00935CDF"/>
    <w:rsid w:val="00935FD3"/>
    <w:rsid w:val="00936222"/>
    <w:rsid w:val="00936413"/>
    <w:rsid w:val="00936466"/>
    <w:rsid w:val="00936FB1"/>
    <w:rsid w:val="00937005"/>
    <w:rsid w:val="00937190"/>
    <w:rsid w:val="0093772D"/>
    <w:rsid w:val="00937844"/>
    <w:rsid w:val="00937A54"/>
    <w:rsid w:val="00937AE1"/>
    <w:rsid w:val="00940326"/>
    <w:rsid w:val="009406F9"/>
    <w:rsid w:val="009407BB"/>
    <w:rsid w:val="00940DC8"/>
    <w:rsid w:val="009412F0"/>
    <w:rsid w:val="009412FD"/>
    <w:rsid w:val="00941405"/>
    <w:rsid w:val="009418FD"/>
    <w:rsid w:val="00941DE9"/>
    <w:rsid w:val="009426E9"/>
    <w:rsid w:val="00942AC8"/>
    <w:rsid w:val="00942DA1"/>
    <w:rsid w:val="0094388D"/>
    <w:rsid w:val="0094419C"/>
    <w:rsid w:val="0094428C"/>
    <w:rsid w:val="00944357"/>
    <w:rsid w:val="009450B3"/>
    <w:rsid w:val="0094546D"/>
    <w:rsid w:val="009454B4"/>
    <w:rsid w:val="0094564F"/>
    <w:rsid w:val="00945868"/>
    <w:rsid w:val="009460E9"/>
    <w:rsid w:val="0094700A"/>
    <w:rsid w:val="0094722B"/>
    <w:rsid w:val="009472B1"/>
    <w:rsid w:val="009475A5"/>
    <w:rsid w:val="009479AC"/>
    <w:rsid w:val="009509C2"/>
    <w:rsid w:val="00950B2F"/>
    <w:rsid w:val="00951262"/>
    <w:rsid w:val="00951A17"/>
    <w:rsid w:val="00951E6F"/>
    <w:rsid w:val="00951EB2"/>
    <w:rsid w:val="00952DF6"/>
    <w:rsid w:val="00953D6D"/>
    <w:rsid w:val="00954149"/>
    <w:rsid w:val="00954424"/>
    <w:rsid w:val="009544B3"/>
    <w:rsid w:val="00955743"/>
    <w:rsid w:val="00955CD6"/>
    <w:rsid w:val="00955EEA"/>
    <w:rsid w:val="0095639B"/>
    <w:rsid w:val="0095644E"/>
    <w:rsid w:val="00956B3A"/>
    <w:rsid w:val="00957ADF"/>
    <w:rsid w:val="009601C1"/>
    <w:rsid w:val="0096035C"/>
    <w:rsid w:val="009606DD"/>
    <w:rsid w:val="009607F2"/>
    <w:rsid w:val="00960C21"/>
    <w:rsid w:val="00960E42"/>
    <w:rsid w:val="00961B63"/>
    <w:rsid w:val="009622A8"/>
    <w:rsid w:val="00962474"/>
    <w:rsid w:val="00962B6D"/>
    <w:rsid w:val="00962EC1"/>
    <w:rsid w:val="00963310"/>
    <w:rsid w:val="009635C9"/>
    <w:rsid w:val="00963D47"/>
    <w:rsid w:val="00963E68"/>
    <w:rsid w:val="009648B0"/>
    <w:rsid w:val="00965B5C"/>
    <w:rsid w:val="00966262"/>
    <w:rsid w:val="009667F5"/>
    <w:rsid w:val="00966F41"/>
    <w:rsid w:val="009676C4"/>
    <w:rsid w:val="00967825"/>
    <w:rsid w:val="00967CCE"/>
    <w:rsid w:val="0097095F"/>
    <w:rsid w:val="00971EF7"/>
    <w:rsid w:val="009720D8"/>
    <w:rsid w:val="00972896"/>
    <w:rsid w:val="009728AC"/>
    <w:rsid w:val="00972EF9"/>
    <w:rsid w:val="009732C2"/>
    <w:rsid w:val="00973AD0"/>
    <w:rsid w:val="00973B0E"/>
    <w:rsid w:val="00973D01"/>
    <w:rsid w:val="009741EF"/>
    <w:rsid w:val="0097421C"/>
    <w:rsid w:val="00974721"/>
    <w:rsid w:val="0097497A"/>
    <w:rsid w:val="00974B75"/>
    <w:rsid w:val="00974D64"/>
    <w:rsid w:val="009755B0"/>
    <w:rsid w:val="00975B05"/>
    <w:rsid w:val="00975F8B"/>
    <w:rsid w:val="009765F1"/>
    <w:rsid w:val="009766F8"/>
    <w:rsid w:val="00976BEF"/>
    <w:rsid w:val="00976C58"/>
    <w:rsid w:val="00976CC0"/>
    <w:rsid w:val="00976F76"/>
    <w:rsid w:val="0097724F"/>
    <w:rsid w:val="009773C6"/>
    <w:rsid w:val="009774DB"/>
    <w:rsid w:val="00977E14"/>
    <w:rsid w:val="0098026B"/>
    <w:rsid w:val="00980373"/>
    <w:rsid w:val="0098056A"/>
    <w:rsid w:val="0098061D"/>
    <w:rsid w:val="00980885"/>
    <w:rsid w:val="00980B96"/>
    <w:rsid w:val="00981417"/>
    <w:rsid w:val="00981452"/>
    <w:rsid w:val="009815D4"/>
    <w:rsid w:val="00981826"/>
    <w:rsid w:val="00981904"/>
    <w:rsid w:val="00981A86"/>
    <w:rsid w:val="00981C0A"/>
    <w:rsid w:val="00982023"/>
    <w:rsid w:val="00982ECA"/>
    <w:rsid w:val="009831A7"/>
    <w:rsid w:val="0098366E"/>
    <w:rsid w:val="0098368A"/>
    <w:rsid w:val="00983A56"/>
    <w:rsid w:val="0098426C"/>
    <w:rsid w:val="009842F1"/>
    <w:rsid w:val="0098432B"/>
    <w:rsid w:val="00984862"/>
    <w:rsid w:val="00984940"/>
    <w:rsid w:val="0098495C"/>
    <w:rsid w:val="00984AD9"/>
    <w:rsid w:val="00984B89"/>
    <w:rsid w:val="00985366"/>
    <w:rsid w:val="009857A5"/>
    <w:rsid w:val="00985C80"/>
    <w:rsid w:val="009861A6"/>
    <w:rsid w:val="009862D1"/>
    <w:rsid w:val="00986475"/>
    <w:rsid w:val="009866A5"/>
    <w:rsid w:val="009867F7"/>
    <w:rsid w:val="009869A6"/>
    <w:rsid w:val="00986A13"/>
    <w:rsid w:val="00986AD8"/>
    <w:rsid w:val="00986CAA"/>
    <w:rsid w:val="00986E66"/>
    <w:rsid w:val="0098790E"/>
    <w:rsid w:val="00987976"/>
    <w:rsid w:val="00990791"/>
    <w:rsid w:val="009910EC"/>
    <w:rsid w:val="00991549"/>
    <w:rsid w:val="009916E1"/>
    <w:rsid w:val="009919F8"/>
    <w:rsid w:val="00991B84"/>
    <w:rsid w:val="00991F64"/>
    <w:rsid w:val="0099207D"/>
    <w:rsid w:val="0099225F"/>
    <w:rsid w:val="00992579"/>
    <w:rsid w:val="0099261A"/>
    <w:rsid w:val="009926E1"/>
    <w:rsid w:val="009928FD"/>
    <w:rsid w:val="00992A7F"/>
    <w:rsid w:val="00992B7E"/>
    <w:rsid w:val="009931F5"/>
    <w:rsid w:val="009932C9"/>
    <w:rsid w:val="0099338E"/>
    <w:rsid w:val="0099349F"/>
    <w:rsid w:val="009935AD"/>
    <w:rsid w:val="0099365C"/>
    <w:rsid w:val="009942CF"/>
    <w:rsid w:val="009947DA"/>
    <w:rsid w:val="00994E8A"/>
    <w:rsid w:val="009952E4"/>
    <w:rsid w:val="009955ED"/>
    <w:rsid w:val="00995A96"/>
    <w:rsid w:val="009960E8"/>
    <w:rsid w:val="0099654D"/>
    <w:rsid w:val="00997295"/>
    <w:rsid w:val="009975EF"/>
    <w:rsid w:val="00997C52"/>
    <w:rsid w:val="009A00FB"/>
    <w:rsid w:val="009A04E9"/>
    <w:rsid w:val="009A05EB"/>
    <w:rsid w:val="009A0721"/>
    <w:rsid w:val="009A07CF"/>
    <w:rsid w:val="009A0984"/>
    <w:rsid w:val="009A0AB2"/>
    <w:rsid w:val="009A0C6E"/>
    <w:rsid w:val="009A1B2F"/>
    <w:rsid w:val="009A1B65"/>
    <w:rsid w:val="009A1BA4"/>
    <w:rsid w:val="009A1FC0"/>
    <w:rsid w:val="009A2357"/>
    <w:rsid w:val="009A28A5"/>
    <w:rsid w:val="009A29DF"/>
    <w:rsid w:val="009A2E09"/>
    <w:rsid w:val="009A2F2B"/>
    <w:rsid w:val="009A34C5"/>
    <w:rsid w:val="009A3785"/>
    <w:rsid w:val="009A37A3"/>
    <w:rsid w:val="009A39AB"/>
    <w:rsid w:val="009A3E5C"/>
    <w:rsid w:val="009A3EFE"/>
    <w:rsid w:val="009A3F21"/>
    <w:rsid w:val="009A4066"/>
    <w:rsid w:val="009A4524"/>
    <w:rsid w:val="009A469C"/>
    <w:rsid w:val="009A4898"/>
    <w:rsid w:val="009A4FC3"/>
    <w:rsid w:val="009A563D"/>
    <w:rsid w:val="009A5CF7"/>
    <w:rsid w:val="009A5D90"/>
    <w:rsid w:val="009A600A"/>
    <w:rsid w:val="009A7827"/>
    <w:rsid w:val="009A7910"/>
    <w:rsid w:val="009A7D86"/>
    <w:rsid w:val="009B07B1"/>
    <w:rsid w:val="009B07C1"/>
    <w:rsid w:val="009B0A77"/>
    <w:rsid w:val="009B0AB3"/>
    <w:rsid w:val="009B10A7"/>
    <w:rsid w:val="009B12A3"/>
    <w:rsid w:val="009B1846"/>
    <w:rsid w:val="009B188F"/>
    <w:rsid w:val="009B1E61"/>
    <w:rsid w:val="009B1EFE"/>
    <w:rsid w:val="009B1F85"/>
    <w:rsid w:val="009B2299"/>
    <w:rsid w:val="009B22A8"/>
    <w:rsid w:val="009B2ACE"/>
    <w:rsid w:val="009B2B6B"/>
    <w:rsid w:val="009B2BD5"/>
    <w:rsid w:val="009B335B"/>
    <w:rsid w:val="009B34EF"/>
    <w:rsid w:val="009B37CE"/>
    <w:rsid w:val="009B3892"/>
    <w:rsid w:val="009B39BA"/>
    <w:rsid w:val="009B3EFF"/>
    <w:rsid w:val="009B3F07"/>
    <w:rsid w:val="009B4247"/>
    <w:rsid w:val="009B42C9"/>
    <w:rsid w:val="009B4740"/>
    <w:rsid w:val="009B4918"/>
    <w:rsid w:val="009B4A39"/>
    <w:rsid w:val="009B4FFB"/>
    <w:rsid w:val="009B532D"/>
    <w:rsid w:val="009B58AF"/>
    <w:rsid w:val="009B5BB2"/>
    <w:rsid w:val="009B6583"/>
    <w:rsid w:val="009B6BB8"/>
    <w:rsid w:val="009B6E4B"/>
    <w:rsid w:val="009B7933"/>
    <w:rsid w:val="009C0284"/>
    <w:rsid w:val="009C0332"/>
    <w:rsid w:val="009C07E9"/>
    <w:rsid w:val="009C1323"/>
    <w:rsid w:val="009C1616"/>
    <w:rsid w:val="009C2474"/>
    <w:rsid w:val="009C29FE"/>
    <w:rsid w:val="009C2A18"/>
    <w:rsid w:val="009C2F26"/>
    <w:rsid w:val="009C2FF7"/>
    <w:rsid w:val="009C3075"/>
    <w:rsid w:val="009C313F"/>
    <w:rsid w:val="009C35EC"/>
    <w:rsid w:val="009C384C"/>
    <w:rsid w:val="009C3EA1"/>
    <w:rsid w:val="009C40C3"/>
    <w:rsid w:val="009C4136"/>
    <w:rsid w:val="009C4206"/>
    <w:rsid w:val="009C46F2"/>
    <w:rsid w:val="009C4756"/>
    <w:rsid w:val="009C47D2"/>
    <w:rsid w:val="009C4D48"/>
    <w:rsid w:val="009C57C3"/>
    <w:rsid w:val="009C5BB8"/>
    <w:rsid w:val="009C5F16"/>
    <w:rsid w:val="009C636F"/>
    <w:rsid w:val="009C66F3"/>
    <w:rsid w:val="009C6B2D"/>
    <w:rsid w:val="009C6C64"/>
    <w:rsid w:val="009C6C91"/>
    <w:rsid w:val="009C70CA"/>
    <w:rsid w:val="009C71B6"/>
    <w:rsid w:val="009C72DE"/>
    <w:rsid w:val="009C7518"/>
    <w:rsid w:val="009C75BD"/>
    <w:rsid w:val="009C7AD6"/>
    <w:rsid w:val="009D00FC"/>
    <w:rsid w:val="009D0266"/>
    <w:rsid w:val="009D03CD"/>
    <w:rsid w:val="009D06B0"/>
    <w:rsid w:val="009D088C"/>
    <w:rsid w:val="009D0B95"/>
    <w:rsid w:val="009D0CBF"/>
    <w:rsid w:val="009D0DAA"/>
    <w:rsid w:val="009D0DC9"/>
    <w:rsid w:val="009D1991"/>
    <w:rsid w:val="009D19D4"/>
    <w:rsid w:val="009D228C"/>
    <w:rsid w:val="009D258E"/>
    <w:rsid w:val="009D2E88"/>
    <w:rsid w:val="009D32FA"/>
    <w:rsid w:val="009D3563"/>
    <w:rsid w:val="009D3754"/>
    <w:rsid w:val="009D3E88"/>
    <w:rsid w:val="009D3F35"/>
    <w:rsid w:val="009D3FFD"/>
    <w:rsid w:val="009D4422"/>
    <w:rsid w:val="009D47BD"/>
    <w:rsid w:val="009D485A"/>
    <w:rsid w:val="009D5072"/>
    <w:rsid w:val="009D5096"/>
    <w:rsid w:val="009D55AD"/>
    <w:rsid w:val="009D58E1"/>
    <w:rsid w:val="009D590E"/>
    <w:rsid w:val="009D5CDD"/>
    <w:rsid w:val="009D5FC4"/>
    <w:rsid w:val="009D6706"/>
    <w:rsid w:val="009D6802"/>
    <w:rsid w:val="009D6B79"/>
    <w:rsid w:val="009D6E11"/>
    <w:rsid w:val="009D7539"/>
    <w:rsid w:val="009D7F68"/>
    <w:rsid w:val="009E07B4"/>
    <w:rsid w:val="009E08F9"/>
    <w:rsid w:val="009E0FA2"/>
    <w:rsid w:val="009E12C1"/>
    <w:rsid w:val="009E1AC6"/>
    <w:rsid w:val="009E1BDF"/>
    <w:rsid w:val="009E1FC2"/>
    <w:rsid w:val="009E239B"/>
    <w:rsid w:val="009E260E"/>
    <w:rsid w:val="009E2DB0"/>
    <w:rsid w:val="009E2DB4"/>
    <w:rsid w:val="009E2E21"/>
    <w:rsid w:val="009E2E24"/>
    <w:rsid w:val="009E35DD"/>
    <w:rsid w:val="009E36A2"/>
    <w:rsid w:val="009E3B10"/>
    <w:rsid w:val="009E3CC8"/>
    <w:rsid w:val="009E461D"/>
    <w:rsid w:val="009E48B0"/>
    <w:rsid w:val="009E4C04"/>
    <w:rsid w:val="009E5605"/>
    <w:rsid w:val="009E5778"/>
    <w:rsid w:val="009E581E"/>
    <w:rsid w:val="009E5916"/>
    <w:rsid w:val="009E5C46"/>
    <w:rsid w:val="009E5CE5"/>
    <w:rsid w:val="009E635D"/>
    <w:rsid w:val="009E6BE7"/>
    <w:rsid w:val="009E6E06"/>
    <w:rsid w:val="009E6EA8"/>
    <w:rsid w:val="009E76D8"/>
    <w:rsid w:val="009E7A9D"/>
    <w:rsid w:val="009E7B3E"/>
    <w:rsid w:val="009E7D2A"/>
    <w:rsid w:val="009F0F56"/>
    <w:rsid w:val="009F13E4"/>
    <w:rsid w:val="009F1425"/>
    <w:rsid w:val="009F1476"/>
    <w:rsid w:val="009F171A"/>
    <w:rsid w:val="009F1B0D"/>
    <w:rsid w:val="009F1E2C"/>
    <w:rsid w:val="009F1FDF"/>
    <w:rsid w:val="009F2503"/>
    <w:rsid w:val="009F28F3"/>
    <w:rsid w:val="009F2A8F"/>
    <w:rsid w:val="009F2BD4"/>
    <w:rsid w:val="009F2E69"/>
    <w:rsid w:val="009F32DF"/>
    <w:rsid w:val="009F33CB"/>
    <w:rsid w:val="009F356A"/>
    <w:rsid w:val="009F36CB"/>
    <w:rsid w:val="009F3748"/>
    <w:rsid w:val="009F387C"/>
    <w:rsid w:val="009F3961"/>
    <w:rsid w:val="009F3A78"/>
    <w:rsid w:val="009F3B3E"/>
    <w:rsid w:val="009F3BC2"/>
    <w:rsid w:val="009F3C17"/>
    <w:rsid w:val="009F3FE3"/>
    <w:rsid w:val="009F414D"/>
    <w:rsid w:val="009F46CC"/>
    <w:rsid w:val="009F48C1"/>
    <w:rsid w:val="009F495C"/>
    <w:rsid w:val="009F4A81"/>
    <w:rsid w:val="009F4CDF"/>
    <w:rsid w:val="009F4D5A"/>
    <w:rsid w:val="009F57FC"/>
    <w:rsid w:val="009F59EC"/>
    <w:rsid w:val="009F61F9"/>
    <w:rsid w:val="009F6C95"/>
    <w:rsid w:val="009F6ECC"/>
    <w:rsid w:val="009F71BF"/>
    <w:rsid w:val="009F79DC"/>
    <w:rsid w:val="009F7E70"/>
    <w:rsid w:val="00A00764"/>
    <w:rsid w:val="00A01195"/>
    <w:rsid w:val="00A01850"/>
    <w:rsid w:val="00A01DA9"/>
    <w:rsid w:val="00A01E4E"/>
    <w:rsid w:val="00A021E9"/>
    <w:rsid w:val="00A02656"/>
    <w:rsid w:val="00A02816"/>
    <w:rsid w:val="00A0291E"/>
    <w:rsid w:val="00A02B69"/>
    <w:rsid w:val="00A02C95"/>
    <w:rsid w:val="00A02D19"/>
    <w:rsid w:val="00A030F4"/>
    <w:rsid w:val="00A03107"/>
    <w:rsid w:val="00A0399A"/>
    <w:rsid w:val="00A03A76"/>
    <w:rsid w:val="00A047DD"/>
    <w:rsid w:val="00A05543"/>
    <w:rsid w:val="00A0571F"/>
    <w:rsid w:val="00A05728"/>
    <w:rsid w:val="00A057B9"/>
    <w:rsid w:val="00A05A1C"/>
    <w:rsid w:val="00A05BE8"/>
    <w:rsid w:val="00A05F5F"/>
    <w:rsid w:val="00A064AB"/>
    <w:rsid w:val="00A1019B"/>
    <w:rsid w:val="00A103BC"/>
    <w:rsid w:val="00A107A6"/>
    <w:rsid w:val="00A10CE2"/>
    <w:rsid w:val="00A11A4D"/>
    <w:rsid w:val="00A11EED"/>
    <w:rsid w:val="00A121F1"/>
    <w:rsid w:val="00A126C8"/>
    <w:rsid w:val="00A12837"/>
    <w:rsid w:val="00A12C4E"/>
    <w:rsid w:val="00A13551"/>
    <w:rsid w:val="00A13582"/>
    <w:rsid w:val="00A137D6"/>
    <w:rsid w:val="00A13CAB"/>
    <w:rsid w:val="00A1428A"/>
    <w:rsid w:val="00A1456F"/>
    <w:rsid w:val="00A148F1"/>
    <w:rsid w:val="00A14D2E"/>
    <w:rsid w:val="00A152EB"/>
    <w:rsid w:val="00A15391"/>
    <w:rsid w:val="00A15C7E"/>
    <w:rsid w:val="00A16366"/>
    <w:rsid w:val="00A164A0"/>
    <w:rsid w:val="00A164C2"/>
    <w:rsid w:val="00A16CFB"/>
    <w:rsid w:val="00A16DB1"/>
    <w:rsid w:val="00A17330"/>
    <w:rsid w:val="00A176E2"/>
    <w:rsid w:val="00A20004"/>
    <w:rsid w:val="00A20317"/>
    <w:rsid w:val="00A2046D"/>
    <w:rsid w:val="00A20DB8"/>
    <w:rsid w:val="00A21078"/>
    <w:rsid w:val="00A21445"/>
    <w:rsid w:val="00A21543"/>
    <w:rsid w:val="00A21719"/>
    <w:rsid w:val="00A2193B"/>
    <w:rsid w:val="00A21A65"/>
    <w:rsid w:val="00A21AFB"/>
    <w:rsid w:val="00A21E47"/>
    <w:rsid w:val="00A2268F"/>
    <w:rsid w:val="00A22801"/>
    <w:rsid w:val="00A22A6C"/>
    <w:rsid w:val="00A22C47"/>
    <w:rsid w:val="00A22D0B"/>
    <w:rsid w:val="00A22DA8"/>
    <w:rsid w:val="00A22E48"/>
    <w:rsid w:val="00A22FBF"/>
    <w:rsid w:val="00A23963"/>
    <w:rsid w:val="00A23D26"/>
    <w:rsid w:val="00A24183"/>
    <w:rsid w:val="00A241EC"/>
    <w:rsid w:val="00A246B4"/>
    <w:rsid w:val="00A25569"/>
    <w:rsid w:val="00A25D9F"/>
    <w:rsid w:val="00A25DEC"/>
    <w:rsid w:val="00A2637A"/>
    <w:rsid w:val="00A263AE"/>
    <w:rsid w:val="00A26571"/>
    <w:rsid w:val="00A26C15"/>
    <w:rsid w:val="00A270BE"/>
    <w:rsid w:val="00A27317"/>
    <w:rsid w:val="00A27462"/>
    <w:rsid w:val="00A27A88"/>
    <w:rsid w:val="00A27E68"/>
    <w:rsid w:val="00A3023A"/>
    <w:rsid w:val="00A304D5"/>
    <w:rsid w:val="00A30641"/>
    <w:rsid w:val="00A309FC"/>
    <w:rsid w:val="00A31006"/>
    <w:rsid w:val="00A3147D"/>
    <w:rsid w:val="00A315D1"/>
    <w:rsid w:val="00A317A3"/>
    <w:rsid w:val="00A319A0"/>
    <w:rsid w:val="00A31A88"/>
    <w:rsid w:val="00A31F29"/>
    <w:rsid w:val="00A326E0"/>
    <w:rsid w:val="00A32A97"/>
    <w:rsid w:val="00A32FD7"/>
    <w:rsid w:val="00A334DB"/>
    <w:rsid w:val="00A335FC"/>
    <w:rsid w:val="00A3360B"/>
    <w:rsid w:val="00A33727"/>
    <w:rsid w:val="00A33996"/>
    <w:rsid w:val="00A33BC5"/>
    <w:rsid w:val="00A347CF"/>
    <w:rsid w:val="00A34D0F"/>
    <w:rsid w:val="00A34FBB"/>
    <w:rsid w:val="00A359FC"/>
    <w:rsid w:val="00A35DDB"/>
    <w:rsid w:val="00A36213"/>
    <w:rsid w:val="00A36852"/>
    <w:rsid w:val="00A36B09"/>
    <w:rsid w:val="00A3707C"/>
    <w:rsid w:val="00A37223"/>
    <w:rsid w:val="00A37487"/>
    <w:rsid w:val="00A406E3"/>
    <w:rsid w:val="00A408AB"/>
    <w:rsid w:val="00A40DB8"/>
    <w:rsid w:val="00A40F71"/>
    <w:rsid w:val="00A41178"/>
    <w:rsid w:val="00A41528"/>
    <w:rsid w:val="00A41610"/>
    <w:rsid w:val="00A41752"/>
    <w:rsid w:val="00A41A05"/>
    <w:rsid w:val="00A41BCE"/>
    <w:rsid w:val="00A41D3B"/>
    <w:rsid w:val="00A421FA"/>
    <w:rsid w:val="00A42461"/>
    <w:rsid w:val="00A42B17"/>
    <w:rsid w:val="00A42BF2"/>
    <w:rsid w:val="00A4321F"/>
    <w:rsid w:val="00A4342B"/>
    <w:rsid w:val="00A43795"/>
    <w:rsid w:val="00A438A1"/>
    <w:rsid w:val="00A43A53"/>
    <w:rsid w:val="00A43BAF"/>
    <w:rsid w:val="00A43E91"/>
    <w:rsid w:val="00A43F01"/>
    <w:rsid w:val="00A43F9D"/>
    <w:rsid w:val="00A43F9F"/>
    <w:rsid w:val="00A44001"/>
    <w:rsid w:val="00A449FC"/>
    <w:rsid w:val="00A454E6"/>
    <w:rsid w:val="00A456E1"/>
    <w:rsid w:val="00A45A43"/>
    <w:rsid w:val="00A45A6B"/>
    <w:rsid w:val="00A45ECD"/>
    <w:rsid w:val="00A45F5C"/>
    <w:rsid w:val="00A46295"/>
    <w:rsid w:val="00A4641B"/>
    <w:rsid w:val="00A464CC"/>
    <w:rsid w:val="00A46AB6"/>
    <w:rsid w:val="00A46C65"/>
    <w:rsid w:val="00A46FBD"/>
    <w:rsid w:val="00A4707A"/>
    <w:rsid w:val="00A47889"/>
    <w:rsid w:val="00A47B30"/>
    <w:rsid w:val="00A47ED0"/>
    <w:rsid w:val="00A50136"/>
    <w:rsid w:val="00A504B1"/>
    <w:rsid w:val="00A5064D"/>
    <w:rsid w:val="00A507D5"/>
    <w:rsid w:val="00A509B8"/>
    <w:rsid w:val="00A50B2C"/>
    <w:rsid w:val="00A5131C"/>
    <w:rsid w:val="00A51507"/>
    <w:rsid w:val="00A51596"/>
    <w:rsid w:val="00A515A5"/>
    <w:rsid w:val="00A5167E"/>
    <w:rsid w:val="00A51E44"/>
    <w:rsid w:val="00A51F21"/>
    <w:rsid w:val="00A52A9A"/>
    <w:rsid w:val="00A530C1"/>
    <w:rsid w:val="00A53497"/>
    <w:rsid w:val="00A5364B"/>
    <w:rsid w:val="00A53AB8"/>
    <w:rsid w:val="00A53D20"/>
    <w:rsid w:val="00A53E9A"/>
    <w:rsid w:val="00A54229"/>
    <w:rsid w:val="00A5425F"/>
    <w:rsid w:val="00A548A8"/>
    <w:rsid w:val="00A54C62"/>
    <w:rsid w:val="00A54E35"/>
    <w:rsid w:val="00A54FD8"/>
    <w:rsid w:val="00A5573F"/>
    <w:rsid w:val="00A55845"/>
    <w:rsid w:val="00A55CE0"/>
    <w:rsid w:val="00A56196"/>
    <w:rsid w:val="00A56461"/>
    <w:rsid w:val="00A5647E"/>
    <w:rsid w:val="00A56601"/>
    <w:rsid w:val="00A56706"/>
    <w:rsid w:val="00A56D07"/>
    <w:rsid w:val="00A56E86"/>
    <w:rsid w:val="00A56F3A"/>
    <w:rsid w:val="00A5728A"/>
    <w:rsid w:val="00A578DA"/>
    <w:rsid w:val="00A57B43"/>
    <w:rsid w:val="00A57FFA"/>
    <w:rsid w:val="00A60249"/>
    <w:rsid w:val="00A60269"/>
    <w:rsid w:val="00A60494"/>
    <w:rsid w:val="00A6051D"/>
    <w:rsid w:val="00A609E7"/>
    <w:rsid w:val="00A61305"/>
    <w:rsid w:val="00A61B1A"/>
    <w:rsid w:val="00A6215C"/>
    <w:rsid w:val="00A622C3"/>
    <w:rsid w:val="00A630C2"/>
    <w:rsid w:val="00A63565"/>
    <w:rsid w:val="00A6391A"/>
    <w:rsid w:val="00A63CA4"/>
    <w:rsid w:val="00A6491D"/>
    <w:rsid w:val="00A649F8"/>
    <w:rsid w:val="00A64A2B"/>
    <w:rsid w:val="00A64AF4"/>
    <w:rsid w:val="00A64D6A"/>
    <w:rsid w:val="00A65112"/>
    <w:rsid w:val="00A65205"/>
    <w:rsid w:val="00A65636"/>
    <w:rsid w:val="00A657DA"/>
    <w:rsid w:val="00A65BDA"/>
    <w:rsid w:val="00A663E8"/>
    <w:rsid w:val="00A6649B"/>
    <w:rsid w:val="00A667EA"/>
    <w:rsid w:val="00A67314"/>
    <w:rsid w:val="00A675A6"/>
    <w:rsid w:val="00A678C4"/>
    <w:rsid w:val="00A67BDB"/>
    <w:rsid w:val="00A7027B"/>
    <w:rsid w:val="00A702A2"/>
    <w:rsid w:val="00A70433"/>
    <w:rsid w:val="00A706C1"/>
    <w:rsid w:val="00A70BAA"/>
    <w:rsid w:val="00A70F12"/>
    <w:rsid w:val="00A710C1"/>
    <w:rsid w:val="00A7114F"/>
    <w:rsid w:val="00A71DD1"/>
    <w:rsid w:val="00A71E95"/>
    <w:rsid w:val="00A72169"/>
    <w:rsid w:val="00A72461"/>
    <w:rsid w:val="00A7265B"/>
    <w:rsid w:val="00A72A83"/>
    <w:rsid w:val="00A72CCC"/>
    <w:rsid w:val="00A72FDF"/>
    <w:rsid w:val="00A73086"/>
    <w:rsid w:val="00A73494"/>
    <w:rsid w:val="00A737E4"/>
    <w:rsid w:val="00A73FB3"/>
    <w:rsid w:val="00A74337"/>
    <w:rsid w:val="00A749AD"/>
    <w:rsid w:val="00A74EAC"/>
    <w:rsid w:val="00A74F98"/>
    <w:rsid w:val="00A75200"/>
    <w:rsid w:val="00A75415"/>
    <w:rsid w:val="00A7557A"/>
    <w:rsid w:val="00A75656"/>
    <w:rsid w:val="00A75719"/>
    <w:rsid w:val="00A75727"/>
    <w:rsid w:val="00A75824"/>
    <w:rsid w:val="00A75901"/>
    <w:rsid w:val="00A75EC1"/>
    <w:rsid w:val="00A773A7"/>
    <w:rsid w:val="00A7748D"/>
    <w:rsid w:val="00A777CF"/>
    <w:rsid w:val="00A778DD"/>
    <w:rsid w:val="00A77C2F"/>
    <w:rsid w:val="00A800BF"/>
    <w:rsid w:val="00A801D8"/>
    <w:rsid w:val="00A802EE"/>
    <w:rsid w:val="00A80D21"/>
    <w:rsid w:val="00A80E33"/>
    <w:rsid w:val="00A80E39"/>
    <w:rsid w:val="00A80FEA"/>
    <w:rsid w:val="00A810D1"/>
    <w:rsid w:val="00A8138A"/>
    <w:rsid w:val="00A813E1"/>
    <w:rsid w:val="00A81BD7"/>
    <w:rsid w:val="00A81D7C"/>
    <w:rsid w:val="00A81E67"/>
    <w:rsid w:val="00A82064"/>
    <w:rsid w:val="00A82525"/>
    <w:rsid w:val="00A829DE"/>
    <w:rsid w:val="00A83B10"/>
    <w:rsid w:val="00A83C87"/>
    <w:rsid w:val="00A83CA2"/>
    <w:rsid w:val="00A83F90"/>
    <w:rsid w:val="00A848E1"/>
    <w:rsid w:val="00A8499D"/>
    <w:rsid w:val="00A852AC"/>
    <w:rsid w:val="00A854C2"/>
    <w:rsid w:val="00A85846"/>
    <w:rsid w:val="00A858A1"/>
    <w:rsid w:val="00A8631D"/>
    <w:rsid w:val="00A86B6E"/>
    <w:rsid w:val="00A8742F"/>
    <w:rsid w:val="00A87A48"/>
    <w:rsid w:val="00A87D58"/>
    <w:rsid w:val="00A87E5B"/>
    <w:rsid w:val="00A87FB9"/>
    <w:rsid w:val="00A903BA"/>
    <w:rsid w:val="00A9105F"/>
    <w:rsid w:val="00A91A90"/>
    <w:rsid w:val="00A91DD2"/>
    <w:rsid w:val="00A91E77"/>
    <w:rsid w:val="00A92154"/>
    <w:rsid w:val="00A9225F"/>
    <w:rsid w:val="00A9238F"/>
    <w:rsid w:val="00A92688"/>
    <w:rsid w:val="00A92D26"/>
    <w:rsid w:val="00A92D8A"/>
    <w:rsid w:val="00A9341E"/>
    <w:rsid w:val="00A93E13"/>
    <w:rsid w:val="00A93F23"/>
    <w:rsid w:val="00A943B9"/>
    <w:rsid w:val="00A94A55"/>
    <w:rsid w:val="00A94D27"/>
    <w:rsid w:val="00A95502"/>
    <w:rsid w:val="00A959E2"/>
    <w:rsid w:val="00A95CB3"/>
    <w:rsid w:val="00A9604D"/>
    <w:rsid w:val="00A96701"/>
    <w:rsid w:val="00A96ABC"/>
    <w:rsid w:val="00A96CE5"/>
    <w:rsid w:val="00A96CF5"/>
    <w:rsid w:val="00A97166"/>
    <w:rsid w:val="00A97216"/>
    <w:rsid w:val="00A9725A"/>
    <w:rsid w:val="00A97675"/>
    <w:rsid w:val="00A978A8"/>
    <w:rsid w:val="00A97D07"/>
    <w:rsid w:val="00A97D10"/>
    <w:rsid w:val="00A97E39"/>
    <w:rsid w:val="00A97E96"/>
    <w:rsid w:val="00AA05C4"/>
    <w:rsid w:val="00AA0BDD"/>
    <w:rsid w:val="00AA0BFA"/>
    <w:rsid w:val="00AA0EF3"/>
    <w:rsid w:val="00AA1645"/>
    <w:rsid w:val="00AA246E"/>
    <w:rsid w:val="00AA2C98"/>
    <w:rsid w:val="00AA2E8D"/>
    <w:rsid w:val="00AA31BA"/>
    <w:rsid w:val="00AA3CD5"/>
    <w:rsid w:val="00AA40E1"/>
    <w:rsid w:val="00AA4224"/>
    <w:rsid w:val="00AA4A12"/>
    <w:rsid w:val="00AA4AC2"/>
    <w:rsid w:val="00AA5128"/>
    <w:rsid w:val="00AA5726"/>
    <w:rsid w:val="00AA5A65"/>
    <w:rsid w:val="00AA5BDB"/>
    <w:rsid w:val="00AA5D60"/>
    <w:rsid w:val="00AA60DE"/>
    <w:rsid w:val="00AA6231"/>
    <w:rsid w:val="00AA63A0"/>
    <w:rsid w:val="00AA63F2"/>
    <w:rsid w:val="00AA6609"/>
    <w:rsid w:val="00AA6674"/>
    <w:rsid w:val="00AA75DC"/>
    <w:rsid w:val="00AA7A4B"/>
    <w:rsid w:val="00AA7DE1"/>
    <w:rsid w:val="00AA7DE7"/>
    <w:rsid w:val="00AA7EFF"/>
    <w:rsid w:val="00AA7F0B"/>
    <w:rsid w:val="00AA7FCA"/>
    <w:rsid w:val="00AB012D"/>
    <w:rsid w:val="00AB04BE"/>
    <w:rsid w:val="00AB0509"/>
    <w:rsid w:val="00AB06C6"/>
    <w:rsid w:val="00AB097A"/>
    <w:rsid w:val="00AB0AD3"/>
    <w:rsid w:val="00AB0C6A"/>
    <w:rsid w:val="00AB0CF5"/>
    <w:rsid w:val="00AB10EB"/>
    <w:rsid w:val="00AB1210"/>
    <w:rsid w:val="00AB13FA"/>
    <w:rsid w:val="00AB1540"/>
    <w:rsid w:val="00AB17DB"/>
    <w:rsid w:val="00AB1B2B"/>
    <w:rsid w:val="00AB1D13"/>
    <w:rsid w:val="00AB1EDA"/>
    <w:rsid w:val="00AB2685"/>
    <w:rsid w:val="00AB2CFF"/>
    <w:rsid w:val="00AB2D4D"/>
    <w:rsid w:val="00AB2F12"/>
    <w:rsid w:val="00AB2F9A"/>
    <w:rsid w:val="00AB3132"/>
    <w:rsid w:val="00AB3A24"/>
    <w:rsid w:val="00AB3D25"/>
    <w:rsid w:val="00AB465F"/>
    <w:rsid w:val="00AB491D"/>
    <w:rsid w:val="00AB4A1D"/>
    <w:rsid w:val="00AB4D8F"/>
    <w:rsid w:val="00AB50EF"/>
    <w:rsid w:val="00AB53A7"/>
    <w:rsid w:val="00AB57B0"/>
    <w:rsid w:val="00AB58B8"/>
    <w:rsid w:val="00AB5E5E"/>
    <w:rsid w:val="00AB6080"/>
    <w:rsid w:val="00AB63E6"/>
    <w:rsid w:val="00AB6CF8"/>
    <w:rsid w:val="00AB6F32"/>
    <w:rsid w:val="00AB6FA0"/>
    <w:rsid w:val="00AB70C8"/>
    <w:rsid w:val="00AB7BC5"/>
    <w:rsid w:val="00AC06C1"/>
    <w:rsid w:val="00AC091F"/>
    <w:rsid w:val="00AC105E"/>
    <w:rsid w:val="00AC11CC"/>
    <w:rsid w:val="00AC136A"/>
    <w:rsid w:val="00AC168A"/>
    <w:rsid w:val="00AC1707"/>
    <w:rsid w:val="00AC17B3"/>
    <w:rsid w:val="00AC199D"/>
    <w:rsid w:val="00AC1BA6"/>
    <w:rsid w:val="00AC1ED7"/>
    <w:rsid w:val="00AC1FB9"/>
    <w:rsid w:val="00AC1FDD"/>
    <w:rsid w:val="00AC210E"/>
    <w:rsid w:val="00AC21B6"/>
    <w:rsid w:val="00AC2332"/>
    <w:rsid w:val="00AC318B"/>
    <w:rsid w:val="00AC38C3"/>
    <w:rsid w:val="00AC3ADB"/>
    <w:rsid w:val="00AC45ED"/>
    <w:rsid w:val="00AC47ED"/>
    <w:rsid w:val="00AC4B83"/>
    <w:rsid w:val="00AC5218"/>
    <w:rsid w:val="00AC5303"/>
    <w:rsid w:val="00AC54D3"/>
    <w:rsid w:val="00AC573C"/>
    <w:rsid w:val="00AC58F8"/>
    <w:rsid w:val="00AC5C5A"/>
    <w:rsid w:val="00AC614B"/>
    <w:rsid w:val="00AC73BF"/>
    <w:rsid w:val="00AC788E"/>
    <w:rsid w:val="00AD01DC"/>
    <w:rsid w:val="00AD0DE9"/>
    <w:rsid w:val="00AD0E5D"/>
    <w:rsid w:val="00AD0EC3"/>
    <w:rsid w:val="00AD10BF"/>
    <w:rsid w:val="00AD1385"/>
    <w:rsid w:val="00AD149A"/>
    <w:rsid w:val="00AD1585"/>
    <w:rsid w:val="00AD1A97"/>
    <w:rsid w:val="00AD1B73"/>
    <w:rsid w:val="00AD1FBA"/>
    <w:rsid w:val="00AD2221"/>
    <w:rsid w:val="00AD23B8"/>
    <w:rsid w:val="00AD3388"/>
    <w:rsid w:val="00AD3A38"/>
    <w:rsid w:val="00AD3BB8"/>
    <w:rsid w:val="00AD3BE6"/>
    <w:rsid w:val="00AD3E91"/>
    <w:rsid w:val="00AD3F09"/>
    <w:rsid w:val="00AD42CC"/>
    <w:rsid w:val="00AD43E8"/>
    <w:rsid w:val="00AD494C"/>
    <w:rsid w:val="00AD4ED2"/>
    <w:rsid w:val="00AD603F"/>
    <w:rsid w:val="00AD607E"/>
    <w:rsid w:val="00AD61F7"/>
    <w:rsid w:val="00AD62C6"/>
    <w:rsid w:val="00AD63E4"/>
    <w:rsid w:val="00AD681E"/>
    <w:rsid w:val="00AD6A2A"/>
    <w:rsid w:val="00AD6F93"/>
    <w:rsid w:val="00AD7484"/>
    <w:rsid w:val="00AD7689"/>
    <w:rsid w:val="00AE0097"/>
    <w:rsid w:val="00AE01F3"/>
    <w:rsid w:val="00AE03B6"/>
    <w:rsid w:val="00AE046A"/>
    <w:rsid w:val="00AE069B"/>
    <w:rsid w:val="00AE17A8"/>
    <w:rsid w:val="00AE1874"/>
    <w:rsid w:val="00AE1B54"/>
    <w:rsid w:val="00AE1EBB"/>
    <w:rsid w:val="00AE1F03"/>
    <w:rsid w:val="00AE208E"/>
    <w:rsid w:val="00AE20AF"/>
    <w:rsid w:val="00AE267B"/>
    <w:rsid w:val="00AE29DC"/>
    <w:rsid w:val="00AE2C1A"/>
    <w:rsid w:val="00AE2CF1"/>
    <w:rsid w:val="00AE2EC9"/>
    <w:rsid w:val="00AE2EFB"/>
    <w:rsid w:val="00AE330C"/>
    <w:rsid w:val="00AE4366"/>
    <w:rsid w:val="00AE449B"/>
    <w:rsid w:val="00AE45F5"/>
    <w:rsid w:val="00AE46DA"/>
    <w:rsid w:val="00AE4865"/>
    <w:rsid w:val="00AE4AA9"/>
    <w:rsid w:val="00AE500A"/>
    <w:rsid w:val="00AE5295"/>
    <w:rsid w:val="00AE58E3"/>
    <w:rsid w:val="00AE5FCC"/>
    <w:rsid w:val="00AE6784"/>
    <w:rsid w:val="00AE6AD5"/>
    <w:rsid w:val="00AE6D66"/>
    <w:rsid w:val="00AF061C"/>
    <w:rsid w:val="00AF07AA"/>
    <w:rsid w:val="00AF08AA"/>
    <w:rsid w:val="00AF0C21"/>
    <w:rsid w:val="00AF11B6"/>
    <w:rsid w:val="00AF11CD"/>
    <w:rsid w:val="00AF1648"/>
    <w:rsid w:val="00AF16CE"/>
    <w:rsid w:val="00AF16CF"/>
    <w:rsid w:val="00AF184F"/>
    <w:rsid w:val="00AF19E5"/>
    <w:rsid w:val="00AF2947"/>
    <w:rsid w:val="00AF2B3D"/>
    <w:rsid w:val="00AF2C48"/>
    <w:rsid w:val="00AF308F"/>
    <w:rsid w:val="00AF333B"/>
    <w:rsid w:val="00AF367E"/>
    <w:rsid w:val="00AF3A52"/>
    <w:rsid w:val="00AF3F4C"/>
    <w:rsid w:val="00AF45E0"/>
    <w:rsid w:val="00AF47F6"/>
    <w:rsid w:val="00AF481F"/>
    <w:rsid w:val="00AF482C"/>
    <w:rsid w:val="00AF4D9D"/>
    <w:rsid w:val="00AF4DFF"/>
    <w:rsid w:val="00AF50EE"/>
    <w:rsid w:val="00AF51EF"/>
    <w:rsid w:val="00AF5281"/>
    <w:rsid w:val="00AF52B1"/>
    <w:rsid w:val="00AF5540"/>
    <w:rsid w:val="00AF5A89"/>
    <w:rsid w:val="00AF5C1B"/>
    <w:rsid w:val="00AF5DFE"/>
    <w:rsid w:val="00AF5EA5"/>
    <w:rsid w:val="00AF6601"/>
    <w:rsid w:val="00AF690F"/>
    <w:rsid w:val="00AF7283"/>
    <w:rsid w:val="00AF780D"/>
    <w:rsid w:val="00AF7FD7"/>
    <w:rsid w:val="00B0043D"/>
    <w:rsid w:val="00B00AD0"/>
    <w:rsid w:val="00B00BF1"/>
    <w:rsid w:val="00B00E07"/>
    <w:rsid w:val="00B00F12"/>
    <w:rsid w:val="00B01582"/>
    <w:rsid w:val="00B01672"/>
    <w:rsid w:val="00B018DB"/>
    <w:rsid w:val="00B01EF8"/>
    <w:rsid w:val="00B02012"/>
    <w:rsid w:val="00B02372"/>
    <w:rsid w:val="00B024AA"/>
    <w:rsid w:val="00B0257D"/>
    <w:rsid w:val="00B02804"/>
    <w:rsid w:val="00B02902"/>
    <w:rsid w:val="00B02C2C"/>
    <w:rsid w:val="00B031E4"/>
    <w:rsid w:val="00B03814"/>
    <w:rsid w:val="00B03877"/>
    <w:rsid w:val="00B03ABB"/>
    <w:rsid w:val="00B03C88"/>
    <w:rsid w:val="00B03CCA"/>
    <w:rsid w:val="00B0426C"/>
    <w:rsid w:val="00B046A2"/>
    <w:rsid w:val="00B04753"/>
    <w:rsid w:val="00B04940"/>
    <w:rsid w:val="00B04AF8"/>
    <w:rsid w:val="00B04BE2"/>
    <w:rsid w:val="00B057CE"/>
    <w:rsid w:val="00B057FD"/>
    <w:rsid w:val="00B05B4F"/>
    <w:rsid w:val="00B05C27"/>
    <w:rsid w:val="00B05FEB"/>
    <w:rsid w:val="00B06053"/>
    <w:rsid w:val="00B06312"/>
    <w:rsid w:val="00B06B83"/>
    <w:rsid w:val="00B0790C"/>
    <w:rsid w:val="00B10363"/>
    <w:rsid w:val="00B10B23"/>
    <w:rsid w:val="00B10FC1"/>
    <w:rsid w:val="00B11406"/>
    <w:rsid w:val="00B11D00"/>
    <w:rsid w:val="00B11EBE"/>
    <w:rsid w:val="00B11F0B"/>
    <w:rsid w:val="00B131C1"/>
    <w:rsid w:val="00B13303"/>
    <w:rsid w:val="00B134E6"/>
    <w:rsid w:val="00B13519"/>
    <w:rsid w:val="00B13587"/>
    <w:rsid w:val="00B13DEF"/>
    <w:rsid w:val="00B13E93"/>
    <w:rsid w:val="00B13F6F"/>
    <w:rsid w:val="00B144D4"/>
    <w:rsid w:val="00B14552"/>
    <w:rsid w:val="00B14654"/>
    <w:rsid w:val="00B14691"/>
    <w:rsid w:val="00B1473D"/>
    <w:rsid w:val="00B14E5D"/>
    <w:rsid w:val="00B1500A"/>
    <w:rsid w:val="00B15343"/>
    <w:rsid w:val="00B1582C"/>
    <w:rsid w:val="00B15A8F"/>
    <w:rsid w:val="00B15A97"/>
    <w:rsid w:val="00B15C7D"/>
    <w:rsid w:val="00B15CEC"/>
    <w:rsid w:val="00B16270"/>
    <w:rsid w:val="00B162A5"/>
    <w:rsid w:val="00B162B2"/>
    <w:rsid w:val="00B16A41"/>
    <w:rsid w:val="00B16C4D"/>
    <w:rsid w:val="00B16C6B"/>
    <w:rsid w:val="00B16E43"/>
    <w:rsid w:val="00B1715E"/>
    <w:rsid w:val="00B17162"/>
    <w:rsid w:val="00B17644"/>
    <w:rsid w:val="00B17EBD"/>
    <w:rsid w:val="00B17F82"/>
    <w:rsid w:val="00B20444"/>
    <w:rsid w:val="00B2071E"/>
    <w:rsid w:val="00B21B7C"/>
    <w:rsid w:val="00B22908"/>
    <w:rsid w:val="00B22C35"/>
    <w:rsid w:val="00B22CE4"/>
    <w:rsid w:val="00B22FCB"/>
    <w:rsid w:val="00B23032"/>
    <w:rsid w:val="00B2373A"/>
    <w:rsid w:val="00B23C24"/>
    <w:rsid w:val="00B23F62"/>
    <w:rsid w:val="00B244E5"/>
    <w:rsid w:val="00B24506"/>
    <w:rsid w:val="00B24AE5"/>
    <w:rsid w:val="00B24CBE"/>
    <w:rsid w:val="00B2577D"/>
    <w:rsid w:val="00B26411"/>
    <w:rsid w:val="00B26504"/>
    <w:rsid w:val="00B26835"/>
    <w:rsid w:val="00B26911"/>
    <w:rsid w:val="00B26A9F"/>
    <w:rsid w:val="00B26E5B"/>
    <w:rsid w:val="00B27293"/>
    <w:rsid w:val="00B272E0"/>
    <w:rsid w:val="00B276F1"/>
    <w:rsid w:val="00B277E0"/>
    <w:rsid w:val="00B27869"/>
    <w:rsid w:val="00B27A6A"/>
    <w:rsid w:val="00B27F49"/>
    <w:rsid w:val="00B301B5"/>
    <w:rsid w:val="00B3026D"/>
    <w:rsid w:val="00B302D7"/>
    <w:rsid w:val="00B302F2"/>
    <w:rsid w:val="00B3039E"/>
    <w:rsid w:val="00B307DE"/>
    <w:rsid w:val="00B30DB1"/>
    <w:rsid w:val="00B31131"/>
    <w:rsid w:val="00B31713"/>
    <w:rsid w:val="00B319B3"/>
    <w:rsid w:val="00B31B48"/>
    <w:rsid w:val="00B31CD7"/>
    <w:rsid w:val="00B31DC1"/>
    <w:rsid w:val="00B31FE4"/>
    <w:rsid w:val="00B321DA"/>
    <w:rsid w:val="00B32C24"/>
    <w:rsid w:val="00B32E81"/>
    <w:rsid w:val="00B33574"/>
    <w:rsid w:val="00B3367F"/>
    <w:rsid w:val="00B337B9"/>
    <w:rsid w:val="00B33E9E"/>
    <w:rsid w:val="00B3487A"/>
    <w:rsid w:val="00B34A7D"/>
    <w:rsid w:val="00B34F59"/>
    <w:rsid w:val="00B34FFF"/>
    <w:rsid w:val="00B35156"/>
    <w:rsid w:val="00B35207"/>
    <w:rsid w:val="00B35296"/>
    <w:rsid w:val="00B356D0"/>
    <w:rsid w:val="00B35B47"/>
    <w:rsid w:val="00B35C55"/>
    <w:rsid w:val="00B367EE"/>
    <w:rsid w:val="00B36A13"/>
    <w:rsid w:val="00B36CFD"/>
    <w:rsid w:val="00B37579"/>
    <w:rsid w:val="00B37895"/>
    <w:rsid w:val="00B379D9"/>
    <w:rsid w:val="00B37E47"/>
    <w:rsid w:val="00B37E90"/>
    <w:rsid w:val="00B37EBD"/>
    <w:rsid w:val="00B37EF0"/>
    <w:rsid w:val="00B40196"/>
    <w:rsid w:val="00B40A2F"/>
    <w:rsid w:val="00B41970"/>
    <w:rsid w:val="00B41A26"/>
    <w:rsid w:val="00B41AF6"/>
    <w:rsid w:val="00B41C1E"/>
    <w:rsid w:val="00B41C77"/>
    <w:rsid w:val="00B421D1"/>
    <w:rsid w:val="00B428BD"/>
    <w:rsid w:val="00B42DFF"/>
    <w:rsid w:val="00B43193"/>
    <w:rsid w:val="00B43823"/>
    <w:rsid w:val="00B43D10"/>
    <w:rsid w:val="00B43FFE"/>
    <w:rsid w:val="00B44666"/>
    <w:rsid w:val="00B4468A"/>
    <w:rsid w:val="00B4477A"/>
    <w:rsid w:val="00B44EF7"/>
    <w:rsid w:val="00B451C6"/>
    <w:rsid w:val="00B455CB"/>
    <w:rsid w:val="00B4578B"/>
    <w:rsid w:val="00B45810"/>
    <w:rsid w:val="00B45C90"/>
    <w:rsid w:val="00B45DCD"/>
    <w:rsid w:val="00B462A8"/>
    <w:rsid w:val="00B464E5"/>
    <w:rsid w:val="00B46547"/>
    <w:rsid w:val="00B465A4"/>
    <w:rsid w:val="00B4678B"/>
    <w:rsid w:val="00B47734"/>
    <w:rsid w:val="00B5008B"/>
    <w:rsid w:val="00B500FB"/>
    <w:rsid w:val="00B504F2"/>
    <w:rsid w:val="00B50707"/>
    <w:rsid w:val="00B50939"/>
    <w:rsid w:val="00B50A6C"/>
    <w:rsid w:val="00B50D47"/>
    <w:rsid w:val="00B515F3"/>
    <w:rsid w:val="00B51CAE"/>
    <w:rsid w:val="00B51E9D"/>
    <w:rsid w:val="00B521B7"/>
    <w:rsid w:val="00B5230F"/>
    <w:rsid w:val="00B52499"/>
    <w:rsid w:val="00B5273C"/>
    <w:rsid w:val="00B528FE"/>
    <w:rsid w:val="00B529DA"/>
    <w:rsid w:val="00B52B81"/>
    <w:rsid w:val="00B52E7F"/>
    <w:rsid w:val="00B530FF"/>
    <w:rsid w:val="00B531D7"/>
    <w:rsid w:val="00B533F5"/>
    <w:rsid w:val="00B53889"/>
    <w:rsid w:val="00B538F7"/>
    <w:rsid w:val="00B53C06"/>
    <w:rsid w:val="00B54A64"/>
    <w:rsid w:val="00B551B8"/>
    <w:rsid w:val="00B55451"/>
    <w:rsid w:val="00B55FE6"/>
    <w:rsid w:val="00B5646D"/>
    <w:rsid w:val="00B56528"/>
    <w:rsid w:val="00B56BF6"/>
    <w:rsid w:val="00B56FB7"/>
    <w:rsid w:val="00B57390"/>
    <w:rsid w:val="00B57CBC"/>
    <w:rsid w:val="00B57FF9"/>
    <w:rsid w:val="00B608EE"/>
    <w:rsid w:val="00B6091E"/>
    <w:rsid w:val="00B609B9"/>
    <w:rsid w:val="00B60B40"/>
    <w:rsid w:val="00B60D68"/>
    <w:rsid w:val="00B60DED"/>
    <w:rsid w:val="00B61454"/>
    <w:rsid w:val="00B6151F"/>
    <w:rsid w:val="00B6174E"/>
    <w:rsid w:val="00B617BA"/>
    <w:rsid w:val="00B618AF"/>
    <w:rsid w:val="00B61C75"/>
    <w:rsid w:val="00B61D72"/>
    <w:rsid w:val="00B623AE"/>
    <w:rsid w:val="00B62529"/>
    <w:rsid w:val="00B6287F"/>
    <w:rsid w:val="00B6311D"/>
    <w:rsid w:val="00B63138"/>
    <w:rsid w:val="00B6316C"/>
    <w:rsid w:val="00B63242"/>
    <w:rsid w:val="00B634AF"/>
    <w:rsid w:val="00B639D8"/>
    <w:rsid w:val="00B63E63"/>
    <w:rsid w:val="00B63F94"/>
    <w:rsid w:val="00B641D5"/>
    <w:rsid w:val="00B642BC"/>
    <w:rsid w:val="00B642EF"/>
    <w:rsid w:val="00B64867"/>
    <w:rsid w:val="00B64B89"/>
    <w:rsid w:val="00B64D91"/>
    <w:rsid w:val="00B64F6C"/>
    <w:rsid w:val="00B64FC0"/>
    <w:rsid w:val="00B660D1"/>
    <w:rsid w:val="00B66427"/>
    <w:rsid w:val="00B66718"/>
    <w:rsid w:val="00B6685D"/>
    <w:rsid w:val="00B66B45"/>
    <w:rsid w:val="00B66F82"/>
    <w:rsid w:val="00B67391"/>
    <w:rsid w:val="00B67399"/>
    <w:rsid w:val="00B675AC"/>
    <w:rsid w:val="00B677DA"/>
    <w:rsid w:val="00B678D0"/>
    <w:rsid w:val="00B67BD0"/>
    <w:rsid w:val="00B67BF6"/>
    <w:rsid w:val="00B70153"/>
    <w:rsid w:val="00B7016C"/>
    <w:rsid w:val="00B701A2"/>
    <w:rsid w:val="00B703F2"/>
    <w:rsid w:val="00B7054F"/>
    <w:rsid w:val="00B70565"/>
    <w:rsid w:val="00B70820"/>
    <w:rsid w:val="00B70D3D"/>
    <w:rsid w:val="00B711D8"/>
    <w:rsid w:val="00B712D6"/>
    <w:rsid w:val="00B7168C"/>
    <w:rsid w:val="00B717F1"/>
    <w:rsid w:val="00B7217E"/>
    <w:rsid w:val="00B7233A"/>
    <w:rsid w:val="00B72474"/>
    <w:rsid w:val="00B72962"/>
    <w:rsid w:val="00B72D51"/>
    <w:rsid w:val="00B73014"/>
    <w:rsid w:val="00B73982"/>
    <w:rsid w:val="00B73B12"/>
    <w:rsid w:val="00B74394"/>
    <w:rsid w:val="00B743E5"/>
    <w:rsid w:val="00B7444A"/>
    <w:rsid w:val="00B749F3"/>
    <w:rsid w:val="00B74C42"/>
    <w:rsid w:val="00B74C90"/>
    <w:rsid w:val="00B74E09"/>
    <w:rsid w:val="00B757C4"/>
    <w:rsid w:val="00B764C7"/>
    <w:rsid w:val="00B766F9"/>
    <w:rsid w:val="00B76E6F"/>
    <w:rsid w:val="00B76FA0"/>
    <w:rsid w:val="00B77065"/>
    <w:rsid w:val="00B773FB"/>
    <w:rsid w:val="00B777CB"/>
    <w:rsid w:val="00B77902"/>
    <w:rsid w:val="00B800FE"/>
    <w:rsid w:val="00B8021D"/>
    <w:rsid w:val="00B806CD"/>
    <w:rsid w:val="00B8070D"/>
    <w:rsid w:val="00B807D4"/>
    <w:rsid w:val="00B80A9A"/>
    <w:rsid w:val="00B8134A"/>
    <w:rsid w:val="00B814AD"/>
    <w:rsid w:val="00B81548"/>
    <w:rsid w:val="00B81BC9"/>
    <w:rsid w:val="00B81DA0"/>
    <w:rsid w:val="00B822B5"/>
    <w:rsid w:val="00B83189"/>
    <w:rsid w:val="00B83349"/>
    <w:rsid w:val="00B8355A"/>
    <w:rsid w:val="00B8365F"/>
    <w:rsid w:val="00B837D4"/>
    <w:rsid w:val="00B83DAE"/>
    <w:rsid w:val="00B84293"/>
    <w:rsid w:val="00B843BA"/>
    <w:rsid w:val="00B843F3"/>
    <w:rsid w:val="00B8454A"/>
    <w:rsid w:val="00B8462A"/>
    <w:rsid w:val="00B84971"/>
    <w:rsid w:val="00B84D39"/>
    <w:rsid w:val="00B85740"/>
    <w:rsid w:val="00B8585C"/>
    <w:rsid w:val="00B859F2"/>
    <w:rsid w:val="00B85B86"/>
    <w:rsid w:val="00B862DC"/>
    <w:rsid w:val="00B864BB"/>
    <w:rsid w:val="00B867CF"/>
    <w:rsid w:val="00B86F12"/>
    <w:rsid w:val="00B87522"/>
    <w:rsid w:val="00B87CD6"/>
    <w:rsid w:val="00B87EEA"/>
    <w:rsid w:val="00B87F21"/>
    <w:rsid w:val="00B9029F"/>
    <w:rsid w:val="00B905E8"/>
    <w:rsid w:val="00B90972"/>
    <w:rsid w:val="00B90FD4"/>
    <w:rsid w:val="00B912C2"/>
    <w:rsid w:val="00B91A0B"/>
    <w:rsid w:val="00B9264D"/>
    <w:rsid w:val="00B927F8"/>
    <w:rsid w:val="00B92CBE"/>
    <w:rsid w:val="00B933E6"/>
    <w:rsid w:val="00B93557"/>
    <w:rsid w:val="00B9378F"/>
    <w:rsid w:val="00B9380C"/>
    <w:rsid w:val="00B944B0"/>
    <w:rsid w:val="00B94638"/>
    <w:rsid w:val="00B947CA"/>
    <w:rsid w:val="00B94B4D"/>
    <w:rsid w:val="00B95190"/>
    <w:rsid w:val="00B95863"/>
    <w:rsid w:val="00B958C2"/>
    <w:rsid w:val="00B95B7D"/>
    <w:rsid w:val="00B95E90"/>
    <w:rsid w:val="00B9667C"/>
    <w:rsid w:val="00B966E0"/>
    <w:rsid w:val="00B96FC5"/>
    <w:rsid w:val="00B978F2"/>
    <w:rsid w:val="00B9794C"/>
    <w:rsid w:val="00B979BD"/>
    <w:rsid w:val="00B97E1D"/>
    <w:rsid w:val="00BA0344"/>
    <w:rsid w:val="00BA04CC"/>
    <w:rsid w:val="00BA04DA"/>
    <w:rsid w:val="00BA0723"/>
    <w:rsid w:val="00BA0D70"/>
    <w:rsid w:val="00BA0FA5"/>
    <w:rsid w:val="00BA118E"/>
    <w:rsid w:val="00BA1455"/>
    <w:rsid w:val="00BA188E"/>
    <w:rsid w:val="00BA1A31"/>
    <w:rsid w:val="00BA1D31"/>
    <w:rsid w:val="00BA20DC"/>
    <w:rsid w:val="00BA20DE"/>
    <w:rsid w:val="00BA227D"/>
    <w:rsid w:val="00BA292A"/>
    <w:rsid w:val="00BA2D46"/>
    <w:rsid w:val="00BA343E"/>
    <w:rsid w:val="00BA3685"/>
    <w:rsid w:val="00BA3C2F"/>
    <w:rsid w:val="00BA3CE8"/>
    <w:rsid w:val="00BA42BC"/>
    <w:rsid w:val="00BA4368"/>
    <w:rsid w:val="00BA436D"/>
    <w:rsid w:val="00BA4945"/>
    <w:rsid w:val="00BA49BA"/>
    <w:rsid w:val="00BA4DD1"/>
    <w:rsid w:val="00BA50D4"/>
    <w:rsid w:val="00BA519D"/>
    <w:rsid w:val="00BA5BBF"/>
    <w:rsid w:val="00BA5D53"/>
    <w:rsid w:val="00BA5F02"/>
    <w:rsid w:val="00BA704C"/>
    <w:rsid w:val="00BA7885"/>
    <w:rsid w:val="00BA7ED0"/>
    <w:rsid w:val="00BA7F11"/>
    <w:rsid w:val="00BB0933"/>
    <w:rsid w:val="00BB0B55"/>
    <w:rsid w:val="00BB0E2F"/>
    <w:rsid w:val="00BB0EB7"/>
    <w:rsid w:val="00BB0F04"/>
    <w:rsid w:val="00BB10E0"/>
    <w:rsid w:val="00BB1245"/>
    <w:rsid w:val="00BB1263"/>
    <w:rsid w:val="00BB14D8"/>
    <w:rsid w:val="00BB1A8A"/>
    <w:rsid w:val="00BB22CE"/>
    <w:rsid w:val="00BB268D"/>
    <w:rsid w:val="00BB2A55"/>
    <w:rsid w:val="00BB2C2E"/>
    <w:rsid w:val="00BB2D29"/>
    <w:rsid w:val="00BB3176"/>
    <w:rsid w:val="00BB31BF"/>
    <w:rsid w:val="00BB3200"/>
    <w:rsid w:val="00BB370E"/>
    <w:rsid w:val="00BB3E43"/>
    <w:rsid w:val="00BB4030"/>
    <w:rsid w:val="00BB521E"/>
    <w:rsid w:val="00BB524F"/>
    <w:rsid w:val="00BB5450"/>
    <w:rsid w:val="00BB69D3"/>
    <w:rsid w:val="00BB6E01"/>
    <w:rsid w:val="00BB6FDF"/>
    <w:rsid w:val="00BB79F0"/>
    <w:rsid w:val="00BB7C2F"/>
    <w:rsid w:val="00BB7D88"/>
    <w:rsid w:val="00BB7EAA"/>
    <w:rsid w:val="00BB7F22"/>
    <w:rsid w:val="00BC0204"/>
    <w:rsid w:val="00BC083E"/>
    <w:rsid w:val="00BC0986"/>
    <w:rsid w:val="00BC0E19"/>
    <w:rsid w:val="00BC0E87"/>
    <w:rsid w:val="00BC1210"/>
    <w:rsid w:val="00BC1D93"/>
    <w:rsid w:val="00BC205B"/>
    <w:rsid w:val="00BC20FA"/>
    <w:rsid w:val="00BC2960"/>
    <w:rsid w:val="00BC296D"/>
    <w:rsid w:val="00BC2CE0"/>
    <w:rsid w:val="00BC2F77"/>
    <w:rsid w:val="00BC3343"/>
    <w:rsid w:val="00BC3F50"/>
    <w:rsid w:val="00BC3FD3"/>
    <w:rsid w:val="00BC4488"/>
    <w:rsid w:val="00BC44FE"/>
    <w:rsid w:val="00BC4A21"/>
    <w:rsid w:val="00BC4EAE"/>
    <w:rsid w:val="00BC4F09"/>
    <w:rsid w:val="00BC5107"/>
    <w:rsid w:val="00BC5566"/>
    <w:rsid w:val="00BC55E0"/>
    <w:rsid w:val="00BC56EF"/>
    <w:rsid w:val="00BC5878"/>
    <w:rsid w:val="00BC58EF"/>
    <w:rsid w:val="00BC5B33"/>
    <w:rsid w:val="00BC6213"/>
    <w:rsid w:val="00BC65FF"/>
    <w:rsid w:val="00BC6983"/>
    <w:rsid w:val="00BC6A68"/>
    <w:rsid w:val="00BC6EF7"/>
    <w:rsid w:val="00BC703D"/>
    <w:rsid w:val="00BC7127"/>
    <w:rsid w:val="00BC7188"/>
    <w:rsid w:val="00BC7289"/>
    <w:rsid w:val="00BC7C31"/>
    <w:rsid w:val="00BD00A3"/>
    <w:rsid w:val="00BD04FA"/>
    <w:rsid w:val="00BD099B"/>
    <w:rsid w:val="00BD0EB4"/>
    <w:rsid w:val="00BD10DB"/>
    <w:rsid w:val="00BD12F7"/>
    <w:rsid w:val="00BD143D"/>
    <w:rsid w:val="00BD153E"/>
    <w:rsid w:val="00BD18D2"/>
    <w:rsid w:val="00BD297F"/>
    <w:rsid w:val="00BD29FA"/>
    <w:rsid w:val="00BD2D0A"/>
    <w:rsid w:val="00BD3180"/>
    <w:rsid w:val="00BD3226"/>
    <w:rsid w:val="00BD342D"/>
    <w:rsid w:val="00BD425D"/>
    <w:rsid w:val="00BD49E2"/>
    <w:rsid w:val="00BD4C01"/>
    <w:rsid w:val="00BD4CE2"/>
    <w:rsid w:val="00BD58E7"/>
    <w:rsid w:val="00BD5BAB"/>
    <w:rsid w:val="00BD5BF4"/>
    <w:rsid w:val="00BD6549"/>
    <w:rsid w:val="00BD6A2B"/>
    <w:rsid w:val="00BD6E22"/>
    <w:rsid w:val="00BD722B"/>
    <w:rsid w:val="00BD7DAC"/>
    <w:rsid w:val="00BD7DE0"/>
    <w:rsid w:val="00BE05D1"/>
    <w:rsid w:val="00BE0851"/>
    <w:rsid w:val="00BE08C4"/>
    <w:rsid w:val="00BE0ED2"/>
    <w:rsid w:val="00BE144E"/>
    <w:rsid w:val="00BE1566"/>
    <w:rsid w:val="00BE16F8"/>
    <w:rsid w:val="00BE1966"/>
    <w:rsid w:val="00BE276C"/>
    <w:rsid w:val="00BE2A2E"/>
    <w:rsid w:val="00BE2A40"/>
    <w:rsid w:val="00BE309F"/>
    <w:rsid w:val="00BE3561"/>
    <w:rsid w:val="00BE3732"/>
    <w:rsid w:val="00BE37D9"/>
    <w:rsid w:val="00BE3DCF"/>
    <w:rsid w:val="00BE4499"/>
    <w:rsid w:val="00BE4771"/>
    <w:rsid w:val="00BE4835"/>
    <w:rsid w:val="00BE4857"/>
    <w:rsid w:val="00BE49A8"/>
    <w:rsid w:val="00BE4BB1"/>
    <w:rsid w:val="00BE50F3"/>
    <w:rsid w:val="00BE5D68"/>
    <w:rsid w:val="00BE5DA2"/>
    <w:rsid w:val="00BE5E6C"/>
    <w:rsid w:val="00BE5EEA"/>
    <w:rsid w:val="00BE653C"/>
    <w:rsid w:val="00BE67F0"/>
    <w:rsid w:val="00BE7447"/>
    <w:rsid w:val="00BE7757"/>
    <w:rsid w:val="00BE795D"/>
    <w:rsid w:val="00BE7E09"/>
    <w:rsid w:val="00BE7F33"/>
    <w:rsid w:val="00BF0239"/>
    <w:rsid w:val="00BF07A9"/>
    <w:rsid w:val="00BF12A5"/>
    <w:rsid w:val="00BF1761"/>
    <w:rsid w:val="00BF1C3B"/>
    <w:rsid w:val="00BF203A"/>
    <w:rsid w:val="00BF2995"/>
    <w:rsid w:val="00BF2E23"/>
    <w:rsid w:val="00BF33B9"/>
    <w:rsid w:val="00BF355D"/>
    <w:rsid w:val="00BF362A"/>
    <w:rsid w:val="00BF366D"/>
    <w:rsid w:val="00BF37AC"/>
    <w:rsid w:val="00BF46A7"/>
    <w:rsid w:val="00BF4B73"/>
    <w:rsid w:val="00BF4BEF"/>
    <w:rsid w:val="00BF565B"/>
    <w:rsid w:val="00BF5DB2"/>
    <w:rsid w:val="00BF5E60"/>
    <w:rsid w:val="00BF5EB2"/>
    <w:rsid w:val="00BF5F43"/>
    <w:rsid w:val="00BF62C3"/>
    <w:rsid w:val="00BF6A23"/>
    <w:rsid w:val="00BF6B45"/>
    <w:rsid w:val="00BF6CAA"/>
    <w:rsid w:val="00BF6DE3"/>
    <w:rsid w:val="00BF6F95"/>
    <w:rsid w:val="00BF6F97"/>
    <w:rsid w:val="00BF703A"/>
    <w:rsid w:val="00BF7109"/>
    <w:rsid w:val="00BF7538"/>
    <w:rsid w:val="00BF774D"/>
    <w:rsid w:val="00C006EE"/>
    <w:rsid w:val="00C00721"/>
    <w:rsid w:val="00C00B30"/>
    <w:rsid w:val="00C00DF7"/>
    <w:rsid w:val="00C01392"/>
    <w:rsid w:val="00C019B5"/>
    <w:rsid w:val="00C01BCF"/>
    <w:rsid w:val="00C01D04"/>
    <w:rsid w:val="00C01EE5"/>
    <w:rsid w:val="00C01F17"/>
    <w:rsid w:val="00C01F4D"/>
    <w:rsid w:val="00C02001"/>
    <w:rsid w:val="00C02094"/>
    <w:rsid w:val="00C03206"/>
    <w:rsid w:val="00C03681"/>
    <w:rsid w:val="00C03BC3"/>
    <w:rsid w:val="00C0405A"/>
    <w:rsid w:val="00C04218"/>
    <w:rsid w:val="00C045C1"/>
    <w:rsid w:val="00C047A2"/>
    <w:rsid w:val="00C04E65"/>
    <w:rsid w:val="00C05267"/>
    <w:rsid w:val="00C052EB"/>
    <w:rsid w:val="00C05659"/>
    <w:rsid w:val="00C0581A"/>
    <w:rsid w:val="00C05ABC"/>
    <w:rsid w:val="00C05B73"/>
    <w:rsid w:val="00C06001"/>
    <w:rsid w:val="00C06567"/>
    <w:rsid w:val="00C0659E"/>
    <w:rsid w:val="00C06663"/>
    <w:rsid w:val="00C06F94"/>
    <w:rsid w:val="00C0711D"/>
    <w:rsid w:val="00C076F4"/>
    <w:rsid w:val="00C07A60"/>
    <w:rsid w:val="00C07B29"/>
    <w:rsid w:val="00C07DBF"/>
    <w:rsid w:val="00C07F9B"/>
    <w:rsid w:val="00C101C1"/>
    <w:rsid w:val="00C107DF"/>
    <w:rsid w:val="00C109A7"/>
    <w:rsid w:val="00C10F74"/>
    <w:rsid w:val="00C1102B"/>
    <w:rsid w:val="00C110AE"/>
    <w:rsid w:val="00C110F2"/>
    <w:rsid w:val="00C111CA"/>
    <w:rsid w:val="00C11256"/>
    <w:rsid w:val="00C1134F"/>
    <w:rsid w:val="00C1140F"/>
    <w:rsid w:val="00C11DC7"/>
    <w:rsid w:val="00C11EA8"/>
    <w:rsid w:val="00C124B8"/>
    <w:rsid w:val="00C12836"/>
    <w:rsid w:val="00C12B07"/>
    <w:rsid w:val="00C12E6D"/>
    <w:rsid w:val="00C12E6F"/>
    <w:rsid w:val="00C12F34"/>
    <w:rsid w:val="00C130D4"/>
    <w:rsid w:val="00C132B8"/>
    <w:rsid w:val="00C13494"/>
    <w:rsid w:val="00C134DE"/>
    <w:rsid w:val="00C13B7E"/>
    <w:rsid w:val="00C14602"/>
    <w:rsid w:val="00C14603"/>
    <w:rsid w:val="00C146CE"/>
    <w:rsid w:val="00C148CE"/>
    <w:rsid w:val="00C1499B"/>
    <w:rsid w:val="00C14FBA"/>
    <w:rsid w:val="00C1533C"/>
    <w:rsid w:val="00C1536B"/>
    <w:rsid w:val="00C15519"/>
    <w:rsid w:val="00C15555"/>
    <w:rsid w:val="00C15954"/>
    <w:rsid w:val="00C15956"/>
    <w:rsid w:val="00C15A18"/>
    <w:rsid w:val="00C162F1"/>
    <w:rsid w:val="00C166AB"/>
    <w:rsid w:val="00C1670D"/>
    <w:rsid w:val="00C1677D"/>
    <w:rsid w:val="00C17816"/>
    <w:rsid w:val="00C17847"/>
    <w:rsid w:val="00C17CD4"/>
    <w:rsid w:val="00C17DFF"/>
    <w:rsid w:val="00C2058C"/>
    <w:rsid w:val="00C20DA1"/>
    <w:rsid w:val="00C20E6C"/>
    <w:rsid w:val="00C2137A"/>
    <w:rsid w:val="00C21590"/>
    <w:rsid w:val="00C21AD4"/>
    <w:rsid w:val="00C21E2A"/>
    <w:rsid w:val="00C22404"/>
    <w:rsid w:val="00C2272A"/>
    <w:rsid w:val="00C2282C"/>
    <w:rsid w:val="00C229FC"/>
    <w:rsid w:val="00C22C50"/>
    <w:rsid w:val="00C22EF0"/>
    <w:rsid w:val="00C22FBE"/>
    <w:rsid w:val="00C23085"/>
    <w:rsid w:val="00C2316E"/>
    <w:rsid w:val="00C232FF"/>
    <w:rsid w:val="00C233F2"/>
    <w:rsid w:val="00C23C4E"/>
    <w:rsid w:val="00C23E73"/>
    <w:rsid w:val="00C23F44"/>
    <w:rsid w:val="00C24639"/>
    <w:rsid w:val="00C246A7"/>
    <w:rsid w:val="00C248AA"/>
    <w:rsid w:val="00C24B8D"/>
    <w:rsid w:val="00C24E50"/>
    <w:rsid w:val="00C25136"/>
    <w:rsid w:val="00C256BA"/>
    <w:rsid w:val="00C25A21"/>
    <w:rsid w:val="00C25A61"/>
    <w:rsid w:val="00C25BE6"/>
    <w:rsid w:val="00C262A8"/>
    <w:rsid w:val="00C26501"/>
    <w:rsid w:val="00C26AFD"/>
    <w:rsid w:val="00C26C7B"/>
    <w:rsid w:val="00C26E1E"/>
    <w:rsid w:val="00C27513"/>
    <w:rsid w:val="00C27F1A"/>
    <w:rsid w:val="00C30C8F"/>
    <w:rsid w:val="00C310CC"/>
    <w:rsid w:val="00C3153D"/>
    <w:rsid w:val="00C317C8"/>
    <w:rsid w:val="00C319E5"/>
    <w:rsid w:val="00C320CC"/>
    <w:rsid w:val="00C322C4"/>
    <w:rsid w:val="00C3244F"/>
    <w:rsid w:val="00C32550"/>
    <w:rsid w:val="00C3285D"/>
    <w:rsid w:val="00C3311C"/>
    <w:rsid w:val="00C3340A"/>
    <w:rsid w:val="00C33414"/>
    <w:rsid w:val="00C33A23"/>
    <w:rsid w:val="00C33AF7"/>
    <w:rsid w:val="00C33B79"/>
    <w:rsid w:val="00C33DD5"/>
    <w:rsid w:val="00C343FB"/>
    <w:rsid w:val="00C344FF"/>
    <w:rsid w:val="00C34EAE"/>
    <w:rsid w:val="00C353BD"/>
    <w:rsid w:val="00C3543C"/>
    <w:rsid w:val="00C358DB"/>
    <w:rsid w:val="00C35A76"/>
    <w:rsid w:val="00C361E7"/>
    <w:rsid w:val="00C364B4"/>
    <w:rsid w:val="00C3686F"/>
    <w:rsid w:val="00C3693E"/>
    <w:rsid w:val="00C36F37"/>
    <w:rsid w:val="00C371F8"/>
    <w:rsid w:val="00C3797C"/>
    <w:rsid w:val="00C37A7D"/>
    <w:rsid w:val="00C37B2A"/>
    <w:rsid w:val="00C37F8F"/>
    <w:rsid w:val="00C4033C"/>
    <w:rsid w:val="00C403C8"/>
    <w:rsid w:val="00C40429"/>
    <w:rsid w:val="00C4062D"/>
    <w:rsid w:val="00C40E40"/>
    <w:rsid w:val="00C41060"/>
    <w:rsid w:val="00C41165"/>
    <w:rsid w:val="00C412F3"/>
    <w:rsid w:val="00C413F6"/>
    <w:rsid w:val="00C41924"/>
    <w:rsid w:val="00C41B96"/>
    <w:rsid w:val="00C41CBB"/>
    <w:rsid w:val="00C41D74"/>
    <w:rsid w:val="00C41FC5"/>
    <w:rsid w:val="00C42063"/>
    <w:rsid w:val="00C4219C"/>
    <w:rsid w:val="00C424E5"/>
    <w:rsid w:val="00C42CF1"/>
    <w:rsid w:val="00C42E8A"/>
    <w:rsid w:val="00C4306A"/>
    <w:rsid w:val="00C4343B"/>
    <w:rsid w:val="00C43960"/>
    <w:rsid w:val="00C44139"/>
    <w:rsid w:val="00C446A4"/>
    <w:rsid w:val="00C4540E"/>
    <w:rsid w:val="00C45485"/>
    <w:rsid w:val="00C45656"/>
    <w:rsid w:val="00C4570F"/>
    <w:rsid w:val="00C4576F"/>
    <w:rsid w:val="00C457CA"/>
    <w:rsid w:val="00C45D4E"/>
    <w:rsid w:val="00C46693"/>
    <w:rsid w:val="00C46B68"/>
    <w:rsid w:val="00C46C63"/>
    <w:rsid w:val="00C47334"/>
    <w:rsid w:val="00C47516"/>
    <w:rsid w:val="00C4791F"/>
    <w:rsid w:val="00C47B4B"/>
    <w:rsid w:val="00C47CBF"/>
    <w:rsid w:val="00C47D8A"/>
    <w:rsid w:val="00C47E77"/>
    <w:rsid w:val="00C47F3A"/>
    <w:rsid w:val="00C50038"/>
    <w:rsid w:val="00C5058F"/>
    <w:rsid w:val="00C505EA"/>
    <w:rsid w:val="00C507AD"/>
    <w:rsid w:val="00C50CFD"/>
    <w:rsid w:val="00C50E46"/>
    <w:rsid w:val="00C51082"/>
    <w:rsid w:val="00C51230"/>
    <w:rsid w:val="00C516F1"/>
    <w:rsid w:val="00C51A13"/>
    <w:rsid w:val="00C51AA2"/>
    <w:rsid w:val="00C524AD"/>
    <w:rsid w:val="00C525D0"/>
    <w:rsid w:val="00C527ED"/>
    <w:rsid w:val="00C52952"/>
    <w:rsid w:val="00C52A60"/>
    <w:rsid w:val="00C5300A"/>
    <w:rsid w:val="00C53189"/>
    <w:rsid w:val="00C533B5"/>
    <w:rsid w:val="00C54536"/>
    <w:rsid w:val="00C54848"/>
    <w:rsid w:val="00C54A08"/>
    <w:rsid w:val="00C54A1D"/>
    <w:rsid w:val="00C54B8A"/>
    <w:rsid w:val="00C54E09"/>
    <w:rsid w:val="00C5513F"/>
    <w:rsid w:val="00C5592B"/>
    <w:rsid w:val="00C56FCA"/>
    <w:rsid w:val="00C56FE4"/>
    <w:rsid w:val="00C57123"/>
    <w:rsid w:val="00C57CE8"/>
    <w:rsid w:val="00C600E7"/>
    <w:rsid w:val="00C6046B"/>
    <w:rsid w:val="00C60828"/>
    <w:rsid w:val="00C60C40"/>
    <w:rsid w:val="00C60CC2"/>
    <w:rsid w:val="00C60FC8"/>
    <w:rsid w:val="00C610EA"/>
    <w:rsid w:val="00C6121B"/>
    <w:rsid w:val="00C61468"/>
    <w:rsid w:val="00C61C34"/>
    <w:rsid w:val="00C6202C"/>
    <w:rsid w:val="00C623A7"/>
    <w:rsid w:val="00C62843"/>
    <w:rsid w:val="00C629C8"/>
    <w:rsid w:val="00C62BD4"/>
    <w:rsid w:val="00C62D68"/>
    <w:rsid w:val="00C62DE3"/>
    <w:rsid w:val="00C62F36"/>
    <w:rsid w:val="00C62FE7"/>
    <w:rsid w:val="00C63451"/>
    <w:rsid w:val="00C63515"/>
    <w:rsid w:val="00C636D8"/>
    <w:rsid w:val="00C63757"/>
    <w:rsid w:val="00C638B8"/>
    <w:rsid w:val="00C639AF"/>
    <w:rsid w:val="00C63A66"/>
    <w:rsid w:val="00C63A75"/>
    <w:rsid w:val="00C63A93"/>
    <w:rsid w:val="00C6447C"/>
    <w:rsid w:val="00C6501F"/>
    <w:rsid w:val="00C650E1"/>
    <w:rsid w:val="00C65498"/>
    <w:rsid w:val="00C65514"/>
    <w:rsid w:val="00C655B0"/>
    <w:rsid w:val="00C65635"/>
    <w:rsid w:val="00C65A10"/>
    <w:rsid w:val="00C65A6F"/>
    <w:rsid w:val="00C664B4"/>
    <w:rsid w:val="00C6656E"/>
    <w:rsid w:val="00C668B9"/>
    <w:rsid w:val="00C6694F"/>
    <w:rsid w:val="00C66BA1"/>
    <w:rsid w:val="00C67149"/>
    <w:rsid w:val="00C67252"/>
    <w:rsid w:val="00C676E4"/>
    <w:rsid w:val="00C67761"/>
    <w:rsid w:val="00C67ABA"/>
    <w:rsid w:val="00C7043A"/>
    <w:rsid w:val="00C70502"/>
    <w:rsid w:val="00C70864"/>
    <w:rsid w:val="00C70D6B"/>
    <w:rsid w:val="00C70E6F"/>
    <w:rsid w:val="00C72B10"/>
    <w:rsid w:val="00C72D41"/>
    <w:rsid w:val="00C74380"/>
    <w:rsid w:val="00C744E3"/>
    <w:rsid w:val="00C74BD5"/>
    <w:rsid w:val="00C74D15"/>
    <w:rsid w:val="00C755A6"/>
    <w:rsid w:val="00C75DAA"/>
    <w:rsid w:val="00C75F5F"/>
    <w:rsid w:val="00C76136"/>
    <w:rsid w:val="00C7676F"/>
    <w:rsid w:val="00C76F1B"/>
    <w:rsid w:val="00C771C5"/>
    <w:rsid w:val="00C77BD1"/>
    <w:rsid w:val="00C77D72"/>
    <w:rsid w:val="00C77DC6"/>
    <w:rsid w:val="00C8029C"/>
    <w:rsid w:val="00C802C9"/>
    <w:rsid w:val="00C807FE"/>
    <w:rsid w:val="00C80811"/>
    <w:rsid w:val="00C80813"/>
    <w:rsid w:val="00C80C3A"/>
    <w:rsid w:val="00C80D0B"/>
    <w:rsid w:val="00C80EC0"/>
    <w:rsid w:val="00C815B0"/>
    <w:rsid w:val="00C819D2"/>
    <w:rsid w:val="00C81AC4"/>
    <w:rsid w:val="00C823C2"/>
    <w:rsid w:val="00C8289A"/>
    <w:rsid w:val="00C828E9"/>
    <w:rsid w:val="00C82B12"/>
    <w:rsid w:val="00C8304F"/>
    <w:rsid w:val="00C8305E"/>
    <w:rsid w:val="00C8329E"/>
    <w:rsid w:val="00C8335E"/>
    <w:rsid w:val="00C8348E"/>
    <w:rsid w:val="00C83687"/>
    <w:rsid w:val="00C836C8"/>
    <w:rsid w:val="00C838CE"/>
    <w:rsid w:val="00C83B78"/>
    <w:rsid w:val="00C83BB1"/>
    <w:rsid w:val="00C84051"/>
    <w:rsid w:val="00C8432C"/>
    <w:rsid w:val="00C843E2"/>
    <w:rsid w:val="00C84BA1"/>
    <w:rsid w:val="00C85781"/>
    <w:rsid w:val="00C857E4"/>
    <w:rsid w:val="00C858C5"/>
    <w:rsid w:val="00C85C98"/>
    <w:rsid w:val="00C85CEB"/>
    <w:rsid w:val="00C864B0"/>
    <w:rsid w:val="00C86736"/>
    <w:rsid w:val="00C86A7C"/>
    <w:rsid w:val="00C8746A"/>
    <w:rsid w:val="00C87DF4"/>
    <w:rsid w:val="00C909D7"/>
    <w:rsid w:val="00C913E3"/>
    <w:rsid w:val="00C920B0"/>
    <w:rsid w:val="00C922AF"/>
    <w:rsid w:val="00C9232A"/>
    <w:rsid w:val="00C924A7"/>
    <w:rsid w:val="00C9289D"/>
    <w:rsid w:val="00C92974"/>
    <w:rsid w:val="00C9358B"/>
    <w:rsid w:val="00C93743"/>
    <w:rsid w:val="00C93A2A"/>
    <w:rsid w:val="00C93B0B"/>
    <w:rsid w:val="00C93DEE"/>
    <w:rsid w:val="00C94195"/>
    <w:rsid w:val="00C942C2"/>
    <w:rsid w:val="00C94C40"/>
    <w:rsid w:val="00C94CF1"/>
    <w:rsid w:val="00C9540C"/>
    <w:rsid w:val="00C95529"/>
    <w:rsid w:val="00C9558D"/>
    <w:rsid w:val="00C955F1"/>
    <w:rsid w:val="00C95A17"/>
    <w:rsid w:val="00C95D8E"/>
    <w:rsid w:val="00C9672C"/>
    <w:rsid w:val="00C96DAC"/>
    <w:rsid w:val="00C96DCC"/>
    <w:rsid w:val="00C97138"/>
    <w:rsid w:val="00C971E7"/>
    <w:rsid w:val="00C97228"/>
    <w:rsid w:val="00C97829"/>
    <w:rsid w:val="00C97B95"/>
    <w:rsid w:val="00CA021D"/>
    <w:rsid w:val="00CA0225"/>
    <w:rsid w:val="00CA053C"/>
    <w:rsid w:val="00CA0D61"/>
    <w:rsid w:val="00CA0DBE"/>
    <w:rsid w:val="00CA0F42"/>
    <w:rsid w:val="00CA12B3"/>
    <w:rsid w:val="00CA146A"/>
    <w:rsid w:val="00CA1798"/>
    <w:rsid w:val="00CA1EB9"/>
    <w:rsid w:val="00CA21F9"/>
    <w:rsid w:val="00CA2250"/>
    <w:rsid w:val="00CA276F"/>
    <w:rsid w:val="00CA2A3F"/>
    <w:rsid w:val="00CA2B61"/>
    <w:rsid w:val="00CA2FA0"/>
    <w:rsid w:val="00CA2FE4"/>
    <w:rsid w:val="00CA3388"/>
    <w:rsid w:val="00CA3497"/>
    <w:rsid w:val="00CA3D9B"/>
    <w:rsid w:val="00CA424B"/>
    <w:rsid w:val="00CA4293"/>
    <w:rsid w:val="00CA4925"/>
    <w:rsid w:val="00CA4AC1"/>
    <w:rsid w:val="00CA51FE"/>
    <w:rsid w:val="00CA52A0"/>
    <w:rsid w:val="00CA5302"/>
    <w:rsid w:val="00CA6175"/>
    <w:rsid w:val="00CA61B5"/>
    <w:rsid w:val="00CA6598"/>
    <w:rsid w:val="00CA6E50"/>
    <w:rsid w:val="00CA6E96"/>
    <w:rsid w:val="00CA6F1B"/>
    <w:rsid w:val="00CA76C8"/>
    <w:rsid w:val="00CA7815"/>
    <w:rsid w:val="00CA7B3D"/>
    <w:rsid w:val="00CA7C19"/>
    <w:rsid w:val="00CA7DD5"/>
    <w:rsid w:val="00CA7F62"/>
    <w:rsid w:val="00CB0031"/>
    <w:rsid w:val="00CB04BA"/>
    <w:rsid w:val="00CB0E8E"/>
    <w:rsid w:val="00CB1AAF"/>
    <w:rsid w:val="00CB1DA4"/>
    <w:rsid w:val="00CB29B6"/>
    <w:rsid w:val="00CB2AD7"/>
    <w:rsid w:val="00CB2DC4"/>
    <w:rsid w:val="00CB2F5A"/>
    <w:rsid w:val="00CB3030"/>
    <w:rsid w:val="00CB4018"/>
    <w:rsid w:val="00CB4102"/>
    <w:rsid w:val="00CB43CD"/>
    <w:rsid w:val="00CB47DA"/>
    <w:rsid w:val="00CB47E9"/>
    <w:rsid w:val="00CB5142"/>
    <w:rsid w:val="00CB540C"/>
    <w:rsid w:val="00CB5585"/>
    <w:rsid w:val="00CB5802"/>
    <w:rsid w:val="00CB599F"/>
    <w:rsid w:val="00CB5AA6"/>
    <w:rsid w:val="00CB63BD"/>
    <w:rsid w:val="00CB6ECA"/>
    <w:rsid w:val="00CB7680"/>
    <w:rsid w:val="00CB78C0"/>
    <w:rsid w:val="00CB7D7D"/>
    <w:rsid w:val="00CB7DD0"/>
    <w:rsid w:val="00CC07C9"/>
    <w:rsid w:val="00CC0B70"/>
    <w:rsid w:val="00CC1198"/>
    <w:rsid w:val="00CC136B"/>
    <w:rsid w:val="00CC1A1F"/>
    <w:rsid w:val="00CC1CBA"/>
    <w:rsid w:val="00CC1F31"/>
    <w:rsid w:val="00CC1FE1"/>
    <w:rsid w:val="00CC20DE"/>
    <w:rsid w:val="00CC23E0"/>
    <w:rsid w:val="00CC24CC"/>
    <w:rsid w:val="00CC297F"/>
    <w:rsid w:val="00CC29E0"/>
    <w:rsid w:val="00CC29F6"/>
    <w:rsid w:val="00CC2B96"/>
    <w:rsid w:val="00CC2BDC"/>
    <w:rsid w:val="00CC2C10"/>
    <w:rsid w:val="00CC2DB9"/>
    <w:rsid w:val="00CC2F82"/>
    <w:rsid w:val="00CC30B7"/>
    <w:rsid w:val="00CC33F8"/>
    <w:rsid w:val="00CC3481"/>
    <w:rsid w:val="00CC4278"/>
    <w:rsid w:val="00CC435F"/>
    <w:rsid w:val="00CC45FD"/>
    <w:rsid w:val="00CC46E2"/>
    <w:rsid w:val="00CC46E8"/>
    <w:rsid w:val="00CC48F0"/>
    <w:rsid w:val="00CC4FD0"/>
    <w:rsid w:val="00CC50E9"/>
    <w:rsid w:val="00CC54B2"/>
    <w:rsid w:val="00CC5A83"/>
    <w:rsid w:val="00CC5D03"/>
    <w:rsid w:val="00CC5E5A"/>
    <w:rsid w:val="00CC64D5"/>
    <w:rsid w:val="00CC68D5"/>
    <w:rsid w:val="00CC6BEA"/>
    <w:rsid w:val="00CC7069"/>
    <w:rsid w:val="00CC757B"/>
    <w:rsid w:val="00CC7909"/>
    <w:rsid w:val="00CD0062"/>
    <w:rsid w:val="00CD042D"/>
    <w:rsid w:val="00CD0F77"/>
    <w:rsid w:val="00CD131B"/>
    <w:rsid w:val="00CD1F84"/>
    <w:rsid w:val="00CD25B1"/>
    <w:rsid w:val="00CD2C1A"/>
    <w:rsid w:val="00CD2D9F"/>
    <w:rsid w:val="00CD33D0"/>
    <w:rsid w:val="00CD3475"/>
    <w:rsid w:val="00CD3B57"/>
    <w:rsid w:val="00CD3B8C"/>
    <w:rsid w:val="00CD407F"/>
    <w:rsid w:val="00CD43E9"/>
    <w:rsid w:val="00CD4409"/>
    <w:rsid w:val="00CD44EA"/>
    <w:rsid w:val="00CD45EC"/>
    <w:rsid w:val="00CD4BD5"/>
    <w:rsid w:val="00CD4BF3"/>
    <w:rsid w:val="00CD56CC"/>
    <w:rsid w:val="00CD59E9"/>
    <w:rsid w:val="00CD5D6A"/>
    <w:rsid w:val="00CD5F3E"/>
    <w:rsid w:val="00CD5F6F"/>
    <w:rsid w:val="00CD61FA"/>
    <w:rsid w:val="00CD6504"/>
    <w:rsid w:val="00CD66B3"/>
    <w:rsid w:val="00CD6895"/>
    <w:rsid w:val="00CD6D09"/>
    <w:rsid w:val="00CD71CB"/>
    <w:rsid w:val="00CD7360"/>
    <w:rsid w:val="00CD77BF"/>
    <w:rsid w:val="00CD7BB1"/>
    <w:rsid w:val="00CD7C46"/>
    <w:rsid w:val="00CD7F74"/>
    <w:rsid w:val="00CE00B5"/>
    <w:rsid w:val="00CE05B9"/>
    <w:rsid w:val="00CE05E6"/>
    <w:rsid w:val="00CE05F1"/>
    <w:rsid w:val="00CE09AA"/>
    <w:rsid w:val="00CE0BCF"/>
    <w:rsid w:val="00CE1028"/>
    <w:rsid w:val="00CE11EB"/>
    <w:rsid w:val="00CE1465"/>
    <w:rsid w:val="00CE14CD"/>
    <w:rsid w:val="00CE17CC"/>
    <w:rsid w:val="00CE17F1"/>
    <w:rsid w:val="00CE1BE2"/>
    <w:rsid w:val="00CE1C51"/>
    <w:rsid w:val="00CE235B"/>
    <w:rsid w:val="00CE269C"/>
    <w:rsid w:val="00CE2D2E"/>
    <w:rsid w:val="00CE2F5F"/>
    <w:rsid w:val="00CE300B"/>
    <w:rsid w:val="00CE314B"/>
    <w:rsid w:val="00CE37F7"/>
    <w:rsid w:val="00CE397F"/>
    <w:rsid w:val="00CE3C56"/>
    <w:rsid w:val="00CE3DBD"/>
    <w:rsid w:val="00CE3F95"/>
    <w:rsid w:val="00CE3FE8"/>
    <w:rsid w:val="00CE4485"/>
    <w:rsid w:val="00CE4608"/>
    <w:rsid w:val="00CE473E"/>
    <w:rsid w:val="00CE474A"/>
    <w:rsid w:val="00CE4C26"/>
    <w:rsid w:val="00CE4C8E"/>
    <w:rsid w:val="00CE504D"/>
    <w:rsid w:val="00CE5103"/>
    <w:rsid w:val="00CE5419"/>
    <w:rsid w:val="00CE5551"/>
    <w:rsid w:val="00CE5865"/>
    <w:rsid w:val="00CE5E00"/>
    <w:rsid w:val="00CE5E6C"/>
    <w:rsid w:val="00CE60C9"/>
    <w:rsid w:val="00CE61DF"/>
    <w:rsid w:val="00CE6290"/>
    <w:rsid w:val="00CE6569"/>
    <w:rsid w:val="00CE6F0A"/>
    <w:rsid w:val="00CE6FF2"/>
    <w:rsid w:val="00CE7665"/>
    <w:rsid w:val="00CE77C0"/>
    <w:rsid w:val="00CE77CF"/>
    <w:rsid w:val="00CE7B64"/>
    <w:rsid w:val="00CF0037"/>
    <w:rsid w:val="00CF027C"/>
    <w:rsid w:val="00CF037C"/>
    <w:rsid w:val="00CF099B"/>
    <w:rsid w:val="00CF0D5B"/>
    <w:rsid w:val="00CF0D5D"/>
    <w:rsid w:val="00CF1672"/>
    <w:rsid w:val="00CF1D47"/>
    <w:rsid w:val="00CF1DD0"/>
    <w:rsid w:val="00CF213B"/>
    <w:rsid w:val="00CF2182"/>
    <w:rsid w:val="00CF237D"/>
    <w:rsid w:val="00CF31B5"/>
    <w:rsid w:val="00CF328D"/>
    <w:rsid w:val="00CF364F"/>
    <w:rsid w:val="00CF3CA2"/>
    <w:rsid w:val="00CF3E89"/>
    <w:rsid w:val="00CF3F36"/>
    <w:rsid w:val="00CF4083"/>
    <w:rsid w:val="00CF42FF"/>
    <w:rsid w:val="00CF4510"/>
    <w:rsid w:val="00CF4BF9"/>
    <w:rsid w:val="00CF4F39"/>
    <w:rsid w:val="00CF4F5E"/>
    <w:rsid w:val="00CF51F1"/>
    <w:rsid w:val="00CF53DC"/>
    <w:rsid w:val="00CF59BE"/>
    <w:rsid w:val="00CF5A1F"/>
    <w:rsid w:val="00CF60EF"/>
    <w:rsid w:val="00CF619A"/>
    <w:rsid w:val="00CF67C6"/>
    <w:rsid w:val="00CF67E3"/>
    <w:rsid w:val="00CF6878"/>
    <w:rsid w:val="00CF6939"/>
    <w:rsid w:val="00CF6A15"/>
    <w:rsid w:val="00CF6E16"/>
    <w:rsid w:val="00CF72D3"/>
    <w:rsid w:val="00CF752E"/>
    <w:rsid w:val="00CF76AB"/>
    <w:rsid w:val="00CF7A8B"/>
    <w:rsid w:val="00CF7BAE"/>
    <w:rsid w:val="00D00567"/>
    <w:rsid w:val="00D00597"/>
    <w:rsid w:val="00D0063D"/>
    <w:rsid w:val="00D00974"/>
    <w:rsid w:val="00D00E5A"/>
    <w:rsid w:val="00D0101E"/>
    <w:rsid w:val="00D01530"/>
    <w:rsid w:val="00D019AE"/>
    <w:rsid w:val="00D01BC6"/>
    <w:rsid w:val="00D01BEC"/>
    <w:rsid w:val="00D01E21"/>
    <w:rsid w:val="00D02748"/>
    <w:rsid w:val="00D02898"/>
    <w:rsid w:val="00D02B53"/>
    <w:rsid w:val="00D03104"/>
    <w:rsid w:val="00D03552"/>
    <w:rsid w:val="00D0383A"/>
    <w:rsid w:val="00D03929"/>
    <w:rsid w:val="00D0477E"/>
    <w:rsid w:val="00D0487A"/>
    <w:rsid w:val="00D04AEF"/>
    <w:rsid w:val="00D05418"/>
    <w:rsid w:val="00D056AD"/>
    <w:rsid w:val="00D0577A"/>
    <w:rsid w:val="00D05C8D"/>
    <w:rsid w:val="00D06001"/>
    <w:rsid w:val="00D066CB"/>
    <w:rsid w:val="00D06AC3"/>
    <w:rsid w:val="00D075E9"/>
    <w:rsid w:val="00D07957"/>
    <w:rsid w:val="00D101EE"/>
    <w:rsid w:val="00D10440"/>
    <w:rsid w:val="00D1098E"/>
    <w:rsid w:val="00D10A53"/>
    <w:rsid w:val="00D10AB8"/>
    <w:rsid w:val="00D10EC5"/>
    <w:rsid w:val="00D11042"/>
    <w:rsid w:val="00D11090"/>
    <w:rsid w:val="00D118F4"/>
    <w:rsid w:val="00D1195F"/>
    <w:rsid w:val="00D121EE"/>
    <w:rsid w:val="00D127AA"/>
    <w:rsid w:val="00D12B02"/>
    <w:rsid w:val="00D13014"/>
    <w:rsid w:val="00D135F7"/>
    <w:rsid w:val="00D13684"/>
    <w:rsid w:val="00D1383C"/>
    <w:rsid w:val="00D13905"/>
    <w:rsid w:val="00D13BF7"/>
    <w:rsid w:val="00D13E8A"/>
    <w:rsid w:val="00D13EF1"/>
    <w:rsid w:val="00D1410B"/>
    <w:rsid w:val="00D14174"/>
    <w:rsid w:val="00D14281"/>
    <w:rsid w:val="00D14599"/>
    <w:rsid w:val="00D148FB"/>
    <w:rsid w:val="00D151F0"/>
    <w:rsid w:val="00D1524D"/>
    <w:rsid w:val="00D1539F"/>
    <w:rsid w:val="00D15946"/>
    <w:rsid w:val="00D15D33"/>
    <w:rsid w:val="00D1645A"/>
    <w:rsid w:val="00D1652E"/>
    <w:rsid w:val="00D1658B"/>
    <w:rsid w:val="00D165EE"/>
    <w:rsid w:val="00D16732"/>
    <w:rsid w:val="00D16AD0"/>
    <w:rsid w:val="00D17491"/>
    <w:rsid w:val="00D17A5D"/>
    <w:rsid w:val="00D20541"/>
    <w:rsid w:val="00D206EF"/>
    <w:rsid w:val="00D20720"/>
    <w:rsid w:val="00D20771"/>
    <w:rsid w:val="00D2080A"/>
    <w:rsid w:val="00D20926"/>
    <w:rsid w:val="00D20B4B"/>
    <w:rsid w:val="00D20BA3"/>
    <w:rsid w:val="00D21330"/>
    <w:rsid w:val="00D214C7"/>
    <w:rsid w:val="00D21513"/>
    <w:rsid w:val="00D221FA"/>
    <w:rsid w:val="00D223F5"/>
    <w:rsid w:val="00D228B1"/>
    <w:rsid w:val="00D22948"/>
    <w:rsid w:val="00D22EFC"/>
    <w:rsid w:val="00D23013"/>
    <w:rsid w:val="00D235B4"/>
    <w:rsid w:val="00D23D62"/>
    <w:rsid w:val="00D23F82"/>
    <w:rsid w:val="00D2430C"/>
    <w:rsid w:val="00D24B36"/>
    <w:rsid w:val="00D24C48"/>
    <w:rsid w:val="00D25131"/>
    <w:rsid w:val="00D251AC"/>
    <w:rsid w:val="00D25355"/>
    <w:rsid w:val="00D256E2"/>
    <w:rsid w:val="00D25775"/>
    <w:rsid w:val="00D25BAE"/>
    <w:rsid w:val="00D264F5"/>
    <w:rsid w:val="00D26B24"/>
    <w:rsid w:val="00D26D47"/>
    <w:rsid w:val="00D26DAA"/>
    <w:rsid w:val="00D26F64"/>
    <w:rsid w:val="00D27334"/>
    <w:rsid w:val="00D27409"/>
    <w:rsid w:val="00D27D61"/>
    <w:rsid w:val="00D27E12"/>
    <w:rsid w:val="00D27E1E"/>
    <w:rsid w:val="00D300CF"/>
    <w:rsid w:val="00D302B7"/>
    <w:rsid w:val="00D308A0"/>
    <w:rsid w:val="00D30A1B"/>
    <w:rsid w:val="00D30CED"/>
    <w:rsid w:val="00D30F5C"/>
    <w:rsid w:val="00D3191E"/>
    <w:rsid w:val="00D31BA0"/>
    <w:rsid w:val="00D31E22"/>
    <w:rsid w:val="00D31F41"/>
    <w:rsid w:val="00D3206E"/>
    <w:rsid w:val="00D329B1"/>
    <w:rsid w:val="00D32A73"/>
    <w:rsid w:val="00D32B5B"/>
    <w:rsid w:val="00D330B4"/>
    <w:rsid w:val="00D3318B"/>
    <w:rsid w:val="00D33497"/>
    <w:rsid w:val="00D33663"/>
    <w:rsid w:val="00D3366F"/>
    <w:rsid w:val="00D34342"/>
    <w:rsid w:val="00D344C6"/>
    <w:rsid w:val="00D34948"/>
    <w:rsid w:val="00D35213"/>
    <w:rsid w:val="00D35401"/>
    <w:rsid w:val="00D3557E"/>
    <w:rsid w:val="00D3558A"/>
    <w:rsid w:val="00D356D1"/>
    <w:rsid w:val="00D359A9"/>
    <w:rsid w:val="00D35A41"/>
    <w:rsid w:val="00D35CDC"/>
    <w:rsid w:val="00D36372"/>
    <w:rsid w:val="00D36D6F"/>
    <w:rsid w:val="00D37057"/>
    <w:rsid w:val="00D37268"/>
    <w:rsid w:val="00D37352"/>
    <w:rsid w:val="00D3735F"/>
    <w:rsid w:val="00D375D7"/>
    <w:rsid w:val="00D3795D"/>
    <w:rsid w:val="00D40079"/>
    <w:rsid w:val="00D40485"/>
    <w:rsid w:val="00D411A5"/>
    <w:rsid w:val="00D41323"/>
    <w:rsid w:val="00D41576"/>
    <w:rsid w:val="00D415D9"/>
    <w:rsid w:val="00D41F5C"/>
    <w:rsid w:val="00D425DD"/>
    <w:rsid w:val="00D42C7F"/>
    <w:rsid w:val="00D42D39"/>
    <w:rsid w:val="00D43347"/>
    <w:rsid w:val="00D433C1"/>
    <w:rsid w:val="00D43754"/>
    <w:rsid w:val="00D437A5"/>
    <w:rsid w:val="00D43878"/>
    <w:rsid w:val="00D439BD"/>
    <w:rsid w:val="00D43D8C"/>
    <w:rsid w:val="00D43FC3"/>
    <w:rsid w:val="00D4449B"/>
    <w:rsid w:val="00D44A64"/>
    <w:rsid w:val="00D44CFA"/>
    <w:rsid w:val="00D4533F"/>
    <w:rsid w:val="00D454DD"/>
    <w:rsid w:val="00D45A5E"/>
    <w:rsid w:val="00D45BCF"/>
    <w:rsid w:val="00D45C57"/>
    <w:rsid w:val="00D46A3D"/>
    <w:rsid w:val="00D46AE4"/>
    <w:rsid w:val="00D46C0B"/>
    <w:rsid w:val="00D46D31"/>
    <w:rsid w:val="00D47681"/>
    <w:rsid w:val="00D47832"/>
    <w:rsid w:val="00D4788B"/>
    <w:rsid w:val="00D47E12"/>
    <w:rsid w:val="00D500E5"/>
    <w:rsid w:val="00D50258"/>
    <w:rsid w:val="00D50347"/>
    <w:rsid w:val="00D50521"/>
    <w:rsid w:val="00D50645"/>
    <w:rsid w:val="00D50E7F"/>
    <w:rsid w:val="00D50F5D"/>
    <w:rsid w:val="00D51066"/>
    <w:rsid w:val="00D51119"/>
    <w:rsid w:val="00D51263"/>
    <w:rsid w:val="00D51D57"/>
    <w:rsid w:val="00D522E6"/>
    <w:rsid w:val="00D5238F"/>
    <w:rsid w:val="00D52442"/>
    <w:rsid w:val="00D524CD"/>
    <w:rsid w:val="00D52507"/>
    <w:rsid w:val="00D52A45"/>
    <w:rsid w:val="00D52B1B"/>
    <w:rsid w:val="00D53225"/>
    <w:rsid w:val="00D537CF"/>
    <w:rsid w:val="00D53E71"/>
    <w:rsid w:val="00D5403D"/>
    <w:rsid w:val="00D543E8"/>
    <w:rsid w:val="00D544D7"/>
    <w:rsid w:val="00D54BD7"/>
    <w:rsid w:val="00D54E99"/>
    <w:rsid w:val="00D54F88"/>
    <w:rsid w:val="00D55690"/>
    <w:rsid w:val="00D559A8"/>
    <w:rsid w:val="00D559BC"/>
    <w:rsid w:val="00D55AC3"/>
    <w:rsid w:val="00D55E67"/>
    <w:rsid w:val="00D56703"/>
    <w:rsid w:val="00D56F46"/>
    <w:rsid w:val="00D570DB"/>
    <w:rsid w:val="00D570ED"/>
    <w:rsid w:val="00D5764A"/>
    <w:rsid w:val="00D60603"/>
    <w:rsid w:val="00D608DB"/>
    <w:rsid w:val="00D60E01"/>
    <w:rsid w:val="00D6123E"/>
    <w:rsid w:val="00D619CD"/>
    <w:rsid w:val="00D6256C"/>
    <w:rsid w:val="00D62638"/>
    <w:rsid w:val="00D627E9"/>
    <w:rsid w:val="00D62CB7"/>
    <w:rsid w:val="00D62D29"/>
    <w:rsid w:val="00D6350C"/>
    <w:rsid w:val="00D63D84"/>
    <w:rsid w:val="00D63EA7"/>
    <w:rsid w:val="00D64780"/>
    <w:rsid w:val="00D6491E"/>
    <w:rsid w:val="00D64E46"/>
    <w:rsid w:val="00D653BA"/>
    <w:rsid w:val="00D65733"/>
    <w:rsid w:val="00D661CE"/>
    <w:rsid w:val="00D664FD"/>
    <w:rsid w:val="00D6653C"/>
    <w:rsid w:val="00D66D39"/>
    <w:rsid w:val="00D66DD4"/>
    <w:rsid w:val="00D67103"/>
    <w:rsid w:val="00D67658"/>
    <w:rsid w:val="00D70079"/>
    <w:rsid w:val="00D70CE3"/>
    <w:rsid w:val="00D70F9F"/>
    <w:rsid w:val="00D70FEF"/>
    <w:rsid w:val="00D710C5"/>
    <w:rsid w:val="00D713C1"/>
    <w:rsid w:val="00D7170E"/>
    <w:rsid w:val="00D71898"/>
    <w:rsid w:val="00D71A24"/>
    <w:rsid w:val="00D71A92"/>
    <w:rsid w:val="00D7280C"/>
    <w:rsid w:val="00D7280E"/>
    <w:rsid w:val="00D72842"/>
    <w:rsid w:val="00D735CD"/>
    <w:rsid w:val="00D7379D"/>
    <w:rsid w:val="00D73D33"/>
    <w:rsid w:val="00D744AB"/>
    <w:rsid w:val="00D74751"/>
    <w:rsid w:val="00D74B80"/>
    <w:rsid w:val="00D74CE8"/>
    <w:rsid w:val="00D75252"/>
    <w:rsid w:val="00D75384"/>
    <w:rsid w:val="00D753BE"/>
    <w:rsid w:val="00D75422"/>
    <w:rsid w:val="00D7642A"/>
    <w:rsid w:val="00D76452"/>
    <w:rsid w:val="00D7659A"/>
    <w:rsid w:val="00D7659D"/>
    <w:rsid w:val="00D76657"/>
    <w:rsid w:val="00D76C24"/>
    <w:rsid w:val="00D76C67"/>
    <w:rsid w:val="00D76F64"/>
    <w:rsid w:val="00D77605"/>
    <w:rsid w:val="00D77AD5"/>
    <w:rsid w:val="00D77DA8"/>
    <w:rsid w:val="00D77E73"/>
    <w:rsid w:val="00D801C8"/>
    <w:rsid w:val="00D80D70"/>
    <w:rsid w:val="00D80F74"/>
    <w:rsid w:val="00D81079"/>
    <w:rsid w:val="00D811E1"/>
    <w:rsid w:val="00D814D3"/>
    <w:rsid w:val="00D816AA"/>
    <w:rsid w:val="00D81A85"/>
    <w:rsid w:val="00D81F3F"/>
    <w:rsid w:val="00D82460"/>
    <w:rsid w:val="00D82631"/>
    <w:rsid w:val="00D82B6A"/>
    <w:rsid w:val="00D82CE5"/>
    <w:rsid w:val="00D83014"/>
    <w:rsid w:val="00D83159"/>
    <w:rsid w:val="00D831C1"/>
    <w:rsid w:val="00D83A36"/>
    <w:rsid w:val="00D841C7"/>
    <w:rsid w:val="00D84362"/>
    <w:rsid w:val="00D843BF"/>
    <w:rsid w:val="00D84C9A"/>
    <w:rsid w:val="00D85035"/>
    <w:rsid w:val="00D850AD"/>
    <w:rsid w:val="00D857E4"/>
    <w:rsid w:val="00D85830"/>
    <w:rsid w:val="00D85883"/>
    <w:rsid w:val="00D85BD6"/>
    <w:rsid w:val="00D85E87"/>
    <w:rsid w:val="00D85F33"/>
    <w:rsid w:val="00D860C9"/>
    <w:rsid w:val="00D864E5"/>
    <w:rsid w:val="00D86721"/>
    <w:rsid w:val="00D86C30"/>
    <w:rsid w:val="00D86C67"/>
    <w:rsid w:val="00D86D40"/>
    <w:rsid w:val="00D87034"/>
    <w:rsid w:val="00D877D5"/>
    <w:rsid w:val="00D87D85"/>
    <w:rsid w:val="00D90221"/>
    <w:rsid w:val="00D90296"/>
    <w:rsid w:val="00D904FC"/>
    <w:rsid w:val="00D90527"/>
    <w:rsid w:val="00D90CAD"/>
    <w:rsid w:val="00D90CAF"/>
    <w:rsid w:val="00D90DAF"/>
    <w:rsid w:val="00D91422"/>
    <w:rsid w:val="00D91535"/>
    <w:rsid w:val="00D916DF"/>
    <w:rsid w:val="00D91734"/>
    <w:rsid w:val="00D9199C"/>
    <w:rsid w:val="00D91CFA"/>
    <w:rsid w:val="00D92426"/>
    <w:rsid w:val="00D924B1"/>
    <w:rsid w:val="00D933BB"/>
    <w:rsid w:val="00D933F9"/>
    <w:rsid w:val="00D93806"/>
    <w:rsid w:val="00D938AE"/>
    <w:rsid w:val="00D940D6"/>
    <w:rsid w:val="00D9418C"/>
    <w:rsid w:val="00D948F8"/>
    <w:rsid w:val="00D94C24"/>
    <w:rsid w:val="00D94D67"/>
    <w:rsid w:val="00D951B3"/>
    <w:rsid w:val="00D9592E"/>
    <w:rsid w:val="00D95BD7"/>
    <w:rsid w:val="00D95CCA"/>
    <w:rsid w:val="00D95E69"/>
    <w:rsid w:val="00D965B8"/>
    <w:rsid w:val="00D96862"/>
    <w:rsid w:val="00D9793A"/>
    <w:rsid w:val="00D97DF7"/>
    <w:rsid w:val="00DA0103"/>
    <w:rsid w:val="00DA035C"/>
    <w:rsid w:val="00DA0384"/>
    <w:rsid w:val="00DA0805"/>
    <w:rsid w:val="00DA088A"/>
    <w:rsid w:val="00DA0E25"/>
    <w:rsid w:val="00DA11DC"/>
    <w:rsid w:val="00DA13EC"/>
    <w:rsid w:val="00DA166F"/>
    <w:rsid w:val="00DA185D"/>
    <w:rsid w:val="00DA187E"/>
    <w:rsid w:val="00DA203B"/>
    <w:rsid w:val="00DA27E5"/>
    <w:rsid w:val="00DA2897"/>
    <w:rsid w:val="00DA3114"/>
    <w:rsid w:val="00DA35E6"/>
    <w:rsid w:val="00DA360E"/>
    <w:rsid w:val="00DA3D4D"/>
    <w:rsid w:val="00DA41A9"/>
    <w:rsid w:val="00DA42E6"/>
    <w:rsid w:val="00DA53EA"/>
    <w:rsid w:val="00DA563F"/>
    <w:rsid w:val="00DA589B"/>
    <w:rsid w:val="00DA59DD"/>
    <w:rsid w:val="00DA617C"/>
    <w:rsid w:val="00DA63AD"/>
    <w:rsid w:val="00DA6A3C"/>
    <w:rsid w:val="00DA6D7B"/>
    <w:rsid w:val="00DA6FAC"/>
    <w:rsid w:val="00DA7319"/>
    <w:rsid w:val="00DA7358"/>
    <w:rsid w:val="00DA7E1D"/>
    <w:rsid w:val="00DA7E8F"/>
    <w:rsid w:val="00DB02D7"/>
    <w:rsid w:val="00DB0706"/>
    <w:rsid w:val="00DB1158"/>
    <w:rsid w:val="00DB151E"/>
    <w:rsid w:val="00DB16DA"/>
    <w:rsid w:val="00DB1947"/>
    <w:rsid w:val="00DB1A3D"/>
    <w:rsid w:val="00DB1AAB"/>
    <w:rsid w:val="00DB20A8"/>
    <w:rsid w:val="00DB22A5"/>
    <w:rsid w:val="00DB26B0"/>
    <w:rsid w:val="00DB2A82"/>
    <w:rsid w:val="00DB30CA"/>
    <w:rsid w:val="00DB3B82"/>
    <w:rsid w:val="00DB4142"/>
    <w:rsid w:val="00DB42BD"/>
    <w:rsid w:val="00DB42CB"/>
    <w:rsid w:val="00DB45A7"/>
    <w:rsid w:val="00DB46DC"/>
    <w:rsid w:val="00DB52AB"/>
    <w:rsid w:val="00DB57C5"/>
    <w:rsid w:val="00DB5CE5"/>
    <w:rsid w:val="00DB60DC"/>
    <w:rsid w:val="00DB61D7"/>
    <w:rsid w:val="00DB623D"/>
    <w:rsid w:val="00DB624E"/>
    <w:rsid w:val="00DB6505"/>
    <w:rsid w:val="00DB6666"/>
    <w:rsid w:val="00DB6A30"/>
    <w:rsid w:val="00DB6CC2"/>
    <w:rsid w:val="00DB7C0D"/>
    <w:rsid w:val="00DB7FF7"/>
    <w:rsid w:val="00DC016F"/>
    <w:rsid w:val="00DC07D9"/>
    <w:rsid w:val="00DC0A8B"/>
    <w:rsid w:val="00DC1165"/>
    <w:rsid w:val="00DC1180"/>
    <w:rsid w:val="00DC119A"/>
    <w:rsid w:val="00DC1AC9"/>
    <w:rsid w:val="00DC1C74"/>
    <w:rsid w:val="00DC22D2"/>
    <w:rsid w:val="00DC25BC"/>
    <w:rsid w:val="00DC33FC"/>
    <w:rsid w:val="00DC38E8"/>
    <w:rsid w:val="00DC3D23"/>
    <w:rsid w:val="00DC40DA"/>
    <w:rsid w:val="00DC416F"/>
    <w:rsid w:val="00DC4799"/>
    <w:rsid w:val="00DC492C"/>
    <w:rsid w:val="00DC4D55"/>
    <w:rsid w:val="00DC56F7"/>
    <w:rsid w:val="00DC5A5F"/>
    <w:rsid w:val="00DC5A65"/>
    <w:rsid w:val="00DC5D24"/>
    <w:rsid w:val="00DC5F94"/>
    <w:rsid w:val="00DC6306"/>
    <w:rsid w:val="00DC6547"/>
    <w:rsid w:val="00DC66A1"/>
    <w:rsid w:val="00DC672B"/>
    <w:rsid w:val="00DC6D04"/>
    <w:rsid w:val="00DC6D60"/>
    <w:rsid w:val="00DC6E31"/>
    <w:rsid w:val="00DC753B"/>
    <w:rsid w:val="00DC76AC"/>
    <w:rsid w:val="00DC781C"/>
    <w:rsid w:val="00DC7AED"/>
    <w:rsid w:val="00DD0000"/>
    <w:rsid w:val="00DD02BA"/>
    <w:rsid w:val="00DD0A39"/>
    <w:rsid w:val="00DD0AA5"/>
    <w:rsid w:val="00DD0B5D"/>
    <w:rsid w:val="00DD0CEE"/>
    <w:rsid w:val="00DD0E97"/>
    <w:rsid w:val="00DD15FA"/>
    <w:rsid w:val="00DD16CA"/>
    <w:rsid w:val="00DD17F2"/>
    <w:rsid w:val="00DD1841"/>
    <w:rsid w:val="00DD1AA5"/>
    <w:rsid w:val="00DD1D5D"/>
    <w:rsid w:val="00DD1E6B"/>
    <w:rsid w:val="00DD2043"/>
    <w:rsid w:val="00DD22E4"/>
    <w:rsid w:val="00DD2896"/>
    <w:rsid w:val="00DD2EA0"/>
    <w:rsid w:val="00DD2EA8"/>
    <w:rsid w:val="00DD30F6"/>
    <w:rsid w:val="00DD3216"/>
    <w:rsid w:val="00DD3221"/>
    <w:rsid w:val="00DD36BC"/>
    <w:rsid w:val="00DD3F7D"/>
    <w:rsid w:val="00DD3F91"/>
    <w:rsid w:val="00DD419F"/>
    <w:rsid w:val="00DD421E"/>
    <w:rsid w:val="00DD4618"/>
    <w:rsid w:val="00DD4850"/>
    <w:rsid w:val="00DD4DCB"/>
    <w:rsid w:val="00DD4E51"/>
    <w:rsid w:val="00DD5C2B"/>
    <w:rsid w:val="00DD604D"/>
    <w:rsid w:val="00DD6221"/>
    <w:rsid w:val="00DD64FF"/>
    <w:rsid w:val="00DD660D"/>
    <w:rsid w:val="00DD68D6"/>
    <w:rsid w:val="00DD694A"/>
    <w:rsid w:val="00DD71EF"/>
    <w:rsid w:val="00DD7292"/>
    <w:rsid w:val="00DD7356"/>
    <w:rsid w:val="00DD7554"/>
    <w:rsid w:val="00DD7BBC"/>
    <w:rsid w:val="00DD7CEA"/>
    <w:rsid w:val="00DE019B"/>
    <w:rsid w:val="00DE1515"/>
    <w:rsid w:val="00DE1652"/>
    <w:rsid w:val="00DE1AB2"/>
    <w:rsid w:val="00DE1DF3"/>
    <w:rsid w:val="00DE2274"/>
    <w:rsid w:val="00DE2517"/>
    <w:rsid w:val="00DE2EB8"/>
    <w:rsid w:val="00DE2F22"/>
    <w:rsid w:val="00DE3057"/>
    <w:rsid w:val="00DE3488"/>
    <w:rsid w:val="00DE3661"/>
    <w:rsid w:val="00DE391A"/>
    <w:rsid w:val="00DE3D1E"/>
    <w:rsid w:val="00DE3FCE"/>
    <w:rsid w:val="00DE416E"/>
    <w:rsid w:val="00DE463A"/>
    <w:rsid w:val="00DE4B79"/>
    <w:rsid w:val="00DE505A"/>
    <w:rsid w:val="00DE51A7"/>
    <w:rsid w:val="00DE58EB"/>
    <w:rsid w:val="00DE58F5"/>
    <w:rsid w:val="00DE5A67"/>
    <w:rsid w:val="00DE5AEF"/>
    <w:rsid w:val="00DE610F"/>
    <w:rsid w:val="00DE648D"/>
    <w:rsid w:val="00DE671F"/>
    <w:rsid w:val="00DE683C"/>
    <w:rsid w:val="00DE6963"/>
    <w:rsid w:val="00DE6BB2"/>
    <w:rsid w:val="00DE6D9E"/>
    <w:rsid w:val="00DE6F2B"/>
    <w:rsid w:val="00DE7065"/>
    <w:rsid w:val="00DE7864"/>
    <w:rsid w:val="00DE7A4E"/>
    <w:rsid w:val="00DF089A"/>
    <w:rsid w:val="00DF092A"/>
    <w:rsid w:val="00DF1089"/>
    <w:rsid w:val="00DF119C"/>
    <w:rsid w:val="00DF1CF1"/>
    <w:rsid w:val="00DF1D19"/>
    <w:rsid w:val="00DF1EE8"/>
    <w:rsid w:val="00DF230B"/>
    <w:rsid w:val="00DF26D6"/>
    <w:rsid w:val="00DF28C6"/>
    <w:rsid w:val="00DF2941"/>
    <w:rsid w:val="00DF2F2D"/>
    <w:rsid w:val="00DF2FD7"/>
    <w:rsid w:val="00DF3103"/>
    <w:rsid w:val="00DF312A"/>
    <w:rsid w:val="00DF3227"/>
    <w:rsid w:val="00DF32A5"/>
    <w:rsid w:val="00DF3ABA"/>
    <w:rsid w:val="00DF3ABD"/>
    <w:rsid w:val="00DF3B49"/>
    <w:rsid w:val="00DF3C70"/>
    <w:rsid w:val="00DF4334"/>
    <w:rsid w:val="00DF434E"/>
    <w:rsid w:val="00DF456F"/>
    <w:rsid w:val="00DF47DE"/>
    <w:rsid w:val="00DF497A"/>
    <w:rsid w:val="00DF4BEB"/>
    <w:rsid w:val="00DF5148"/>
    <w:rsid w:val="00DF5E40"/>
    <w:rsid w:val="00DF5EBC"/>
    <w:rsid w:val="00DF614D"/>
    <w:rsid w:val="00DF621A"/>
    <w:rsid w:val="00DF6291"/>
    <w:rsid w:val="00DF6A54"/>
    <w:rsid w:val="00DF6E39"/>
    <w:rsid w:val="00DF6FE3"/>
    <w:rsid w:val="00DF70C8"/>
    <w:rsid w:val="00DF71FF"/>
    <w:rsid w:val="00DF7A55"/>
    <w:rsid w:val="00DF7B3F"/>
    <w:rsid w:val="00DF7BDD"/>
    <w:rsid w:val="00DF7DB2"/>
    <w:rsid w:val="00DF7F57"/>
    <w:rsid w:val="00E000F0"/>
    <w:rsid w:val="00E0025C"/>
    <w:rsid w:val="00E003F4"/>
    <w:rsid w:val="00E00C0E"/>
    <w:rsid w:val="00E0104E"/>
    <w:rsid w:val="00E01119"/>
    <w:rsid w:val="00E01351"/>
    <w:rsid w:val="00E01520"/>
    <w:rsid w:val="00E017A1"/>
    <w:rsid w:val="00E01CDD"/>
    <w:rsid w:val="00E025F5"/>
    <w:rsid w:val="00E027A5"/>
    <w:rsid w:val="00E02B7F"/>
    <w:rsid w:val="00E030FB"/>
    <w:rsid w:val="00E0321B"/>
    <w:rsid w:val="00E033F6"/>
    <w:rsid w:val="00E03472"/>
    <w:rsid w:val="00E03C3E"/>
    <w:rsid w:val="00E03E24"/>
    <w:rsid w:val="00E03E3F"/>
    <w:rsid w:val="00E041CC"/>
    <w:rsid w:val="00E041DF"/>
    <w:rsid w:val="00E044F4"/>
    <w:rsid w:val="00E045A3"/>
    <w:rsid w:val="00E05657"/>
    <w:rsid w:val="00E057AB"/>
    <w:rsid w:val="00E059B5"/>
    <w:rsid w:val="00E05A2B"/>
    <w:rsid w:val="00E06440"/>
    <w:rsid w:val="00E06A4F"/>
    <w:rsid w:val="00E06C5B"/>
    <w:rsid w:val="00E06F87"/>
    <w:rsid w:val="00E06FBD"/>
    <w:rsid w:val="00E06FF4"/>
    <w:rsid w:val="00E07721"/>
    <w:rsid w:val="00E07B9C"/>
    <w:rsid w:val="00E07D1A"/>
    <w:rsid w:val="00E07FFE"/>
    <w:rsid w:val="00E1046A"/>
    <w:rsid w:val="00E10F5F"/>
    <w:rsid w:val="00E11211"/>
    <w:rsid w:val="00E114A9"/>
    <w:rsid w:val="00E1159D"/>
    <w:rsid w:val="00E119D4"/>
    <w:rsid w:val="00E119E1"/>
    <w:rsid w:val="00E11CCC"/>
    <w:rsid w:val="00E120C6"/>
    <w:rsid w:val="00E1211B"/>
    <w:rsid w:val="00E12420"/>
    <w:rsid w:val="00E12482"/>
    <w:rsid w:val="00E1276B"/>
    <w:rsid w:val="00E1290D"/>
    <w:rsid w:val="00E12A4C"/>
    <w:rsid w:val="00E12A95"/>
    <w:rsid w:val="00E12DC1"/>
    <w:rsid w:val="00E12E40"/>
    <w:rsid w:val="00E131BD"/>
    <w:rsid w:val="00E1381D"/>
    <w:rsid w:val="00E138D1"/>
    <w:rsid w:val="00E13982"/>
    <w:rsid w:val="00E13AF2"/>
    <w:rsid w:val="00E13B33"/>
    <w:rsid w:val="00E13B73"/>
    <w:rsid w:val="00E13C76"/>
    <w:rsid w:val="00E14037"/>
    <w:rsid w:val="00E142CA"/>
    <w:rsid w:val="00E149B7"/>
    <w:rsid w:val="00E14C37"/>
    <w:rsid w:val="00E14DD6"/>
    <w:rsid w:val="00E1526E"/>
    <w:rsid w:val="00E1584A"/>
    <w:rsid w:val="00E15ABA"/>
    <w:rsid w:val="00E15DA4"/>
    <w:rsid w:val="00E15F84"/>
    <w:rsid w:val="00E164D2"/>
    <w:rsid w:val="00E16568"/>
    <w:rsid w:val="00E16A49"/>
    <w:rsid w:val="00E17607"/>
    <w:rsid w:val="00E177AF"/>
    <w:rsid w:val="00E178E5"/>
    <w:rsid w:val="00E1795A"/>
    <w:rsid w:val="00E17B11"/>
    <w:rsid w:val="00E17E20"/>
    <w:rsid w:val="00E205E5"/>
    <w:rsid w:val="00E20A2A"/>
    <w:rsid w:val="00E20C5F"/>
    <w:rsid w:val="00E211D7"/>
    <w:rsid w:val="00E21309"/>
    <w:rsid w:val="00E213B0"/>
    <w:rsid w:val="00E2194D"/>
    <w:rsid w:val="00E21F49"/>
    <w:rsid w:val="00E21FB1"/>
    <w:rsid w:val="00E2248B"/>
    <w:rsid w:val="00E2254F"/>
    <w:rsid w:val="00E22846"/>
    <w:rsid w:val="00E23D54"/>
    <w:rsid w:val="00E240F6"/>
    <w:rsid w:val="00E24311"/>
    <w:rsid w:val="00E2455E"/>
    <w:rsid w:val="00E24589"/>
    <w:rsid w:val="00E25320"/>
    <w:rsid w:val="00E25352"/>
    <w:rsid w:val="00E2541B"/>
    <w:rsid w:val="00E2567A"/>
    <w:rsid w:val="00E2593D"/>
    <w:rsid w:val="00E259B7"/>
    <w:rsid w:val="00E25FC4"/>
    <w:rsid w:val="00E263DF"/>
    <w:rsid w:val="00E264C7"/>
    <w:rsid w:val="00E2663F"/>
    <w:rsid w:val="00E26848"/>
    <w:rsid w:val="00E2704D"/>
    <w:rsid w:val="00E2719C"/>
    <w:rsid w:val="00E271AC"/>
    <w:rsid w:val="00E27495"/>
    <w:rsid w:val="00E278B1"/>
    <w:rsid w:val="00E27A18"/>
    <w:rsid w:val="00E27C90"/>
    <w:rsid w:val="00E27CC2"/>
    <w:rsid w:val="00E27D0D"/>
    <w:rsid w:val="00E27EB9"/>
    <w:rsid w:val="00E27F85"/>
    <w:rsid w:val="00E30468"/>
    <w:rsid w:val="00E305BF"/>
    <w:rsid w:val="00E30860"/>
    <w:rsid w:val="00E30BC2"/>
    <w:rsid w:val="00E30EEF"/>
    <w:rsid w:val="00E31182"/>
    <w:rsid w:val="00E311E1"/>
    <w:rsid w:val="00E31CA4"/>
    <w:rsid w:val="00E3258E"/>
    <w:rsid w:val="00E32C57"/>
    <w:rsid w:val="00E32CB7"/>
    <w:rsid w:val="00E32D82"/>
    <w:rsid w:val="00E32E57"/>
    <w:rsid w:val="00E32E6C"/>
    <w:rsid w:val="00E32F53"/>
    <w:rsid w:val="00E33311"/>
    <w:rsid w:val="00E3360B"/>
    <w:rsid w:val="00E33B2D"/>
    <w:rsid w:val="00E33F1D"/>
    <w:rsid w:val="00E34C6E"/>
    <w:rsid w:val="00E34D45"/>
    <w:rsid w:val="00E34FAF"/>
    <w:rsid w:val="00E35F06"/>
    <w:rsid w:val="00E36535"/>
    <w:rsid w:val="00E365C8"/>
    <w:rsid w:val="00E36EEE"/>
    <w:rsid w:val="00E36F98"/>
    <w:rsid w:val="00E3733E"/>
    <w:rsid w:val="00E376AC"/>
    <w:rsid w:val="00E376DB"/>
    <w:rsid w:val="00E378E0"/>
    <w:rsid w:val="00E37A87"/>
    <w:rsid w:val="00E37BF8"/>
    <w:rsid w:val="00E37EDE"/>
    <w:rsid w:val="00E4023E"/>
    <w:rsid w:val="00E403C0"/>
    <w:rsid w:val="00E4058D"/>
    <w:rsid w:val="00E407A1"/>
    <w:rsid w:val="00E410ED"/>
    <w:rsid w:val="00E41454"/>
    <w:rsid w:val="00E415E2"/>
    <w:rsid w:val="00E41A96"/>
    <w:rsid w:val="00E41C07"/>
    <w:rsid w:val="00E41FB0"/>
    <w:rsid w:val="00E42153"/>
    <w:rsid w:val="00E42E0D"/>
    <w:rsid w:val="00E4301F"/>
    <w:rsid w:val="00E432E9"/>
    <w:rsid w:val="00E43815"/>
    <w:rsid w:val="00E43835"/>
    <w:rsid w:val="00E43848"/>
    <w:rsid w:val="00E43DF4"/>
    <w:rsid w:val="00E443F8"/>
    <w:rsid w:val="00E447F9"/>
    <w:rsid w:val="00E44AF7"/>
    <w:rsid w:val="00E44FB1"/>
    <w:rsid w:val="00E454E5"/>
    <w:rsid w:val="00E46542"/>
    <w:rsid w:val="00E46631"/>
    <w:rsid w:val="00E46907"/>
    <w:rsid w:val="00E46C0D"/>
    <w:rsid w:val="00E46E91"/>
    <w:rsid w:val="00E46F55"/>
    <w:rsid w:val="00E47542"/>
    <w:rsid w:val="00E476C2"/>
    <w:rsid w:val="00E47934"/>
    <w:rsid w:val="00E47BEC"/>
    <w:rsid w:val="00E47D51"/>
    <w:rsid w:val="00E50114"/>
    <w:rsid w:val="00E5016E"/>
    <w:rsid w:val="00E50652"/>
    <w:rsid w:val="00E50A8A"/>
    <w:rsid w:val="00E50DD3"/>
    <w:rsid w:val="00E50DE8"/>
    <w:rsid w:val="00E510DF"/>
    <w:rsid w:val="00E5119C"/>
    <w:rsid w:val="00E51828"/>
    <w:rsid w:val="00E51890"/>
    <w:rsid w:val="00E519AD"/>
    <w:rsid w:val="00E52024"/>
    <w:rsid w:val="00E52117"/>
    <w:rsid w:val="00E527A5"/>
    <w:rsid w:val="00E5281C"/>
    <w:rsid w:val="00E52BAA"/>
    <w:rsid w:val="00E52F86"/>
    <w:rsid w:val="00E5306B"/>
    <w:rsid w:val="00E531A5"/>
    <w:rsid w:val="00E53597"/>
    <w:rsid w:val="00E535F9"/>
    <w:rsid w:val="00E53687"/>
    <w:rsid w:val="00E5389A"/>
    <w:rsid w:val="00E53A5A"/>
    <w:rsid w:val="00E5450C"/>
    <w:rsid w:val="00E546FA"/>
    <w:rsid w:val="00E54B02"/>
    <w:rsid w:val="00E54C35"/>
    <w:rsid w:val="00E54C89"/>
    <w:rsid w:val="00E54E57"/>
    <w:rsid w:val="00E54EC8"/>
    <w:rsid w:val="00E55152"/>
    <w:rsid w:val="00E55316"/>
    <w:rsid w:val="00E5583A"/>
    <w:rsid w:val="00E559E3"/>
    <w:rsid w:val="00E55AA4"/>
    <w:rsid w:val="00E55BCC"/>
    <w:rsid w:val="00E55F50"/>
    <w:rsid w:val="00E56859"/>
    <w:rsid w:val="00E56EC7"/>
    <w:rsid w:val="00E56F43"/>
    <w:rsid w:val="00E572DF"/>
    <w:rsid w:val="00E60081"/>
    <w:rsid w:val="00E603BC"/>
    <w:rsid w:val="00E60408"/>
    <w:rsid w:val="00E60B7C"/>
    <w:rsid w:val="00E61059"/>
    <w:rsid w:val="00E616A7"/>
    <w:rsid w:val="00E61D43"/>
    <w:rsid w:val="00E624C6"/>
    <w:rsid w:val="00E629CF"/>
    <w:rsid w:val="00E62E2C"/>
    <w:rsid w:val="00E62ED7"/>
    <w:rsid w:val="00E62FE8"/>
    <w:rsid w:val="00E63292"/>
    <w:rsid w:val="00E634ED"/>
    <w:rsid w:val="00E6368A"/>
    <w:rsid w:val="00E63739"/>
    <w:rsid w:val="00E637D2"/>
    <w:rsid w:val="00E639A4"/>
    <w:rsid w:val="00E63C1A"/>
    <w:rsid w:val="00E64151"/>
    <w:rsid w:val="00E64A6F"/>
    <w:rsid w:val="00E64F7E"/>
    <w:rsid w:val="00E650B5"/>
    <w:rsid w:val="00E652A3"/>
    <w:rsid w:val="00E6542A"/>
    <w:rsid w:val="00E65539"/>
    <w:rsid w:val="00E6599A"/>
    <w:rsid w:val="00E65F50"/>
    <w:rsid w:val="00E66818"/>
    <w:rsid w:val="00E6693B"/>
    <w:rsid w:val="00E66AA2"/>
    <w:rsid w:val="00E66B84"/>
    <w:rsid w:val="00E66C22"/>
    <w:rsid w:val="00E66C3A"/>
    <w:rsid w:val="00E66EFC"/>
    <w:rsid w:val="00E66F57"/>
    <w:rsid w:val="00E67AFD"/>
    <w:rsid w:val="00E67C81"/>
    <w:rsid w:val="00E67E2C"/>
    <w:rsid w:val="00E700BA"/>
    <w:rsid w:val="00E70473"/>
    <w:rsid w:val="00E7087E"/>
    <w:rsid w:val="00E70B7B"/>
    <w:rsid w:val="00E70E3C"/>
    <w:rsid w:val="00E715B8"/>
    <w:rsid w:val="00E7187B"/>
    <w:rsid w:val="00E71DA9"/>
    <w:rsid w:val="00E71EAD"/>
    <w:rsid w:val="00E72644"/>
    <w:rsid w:val="00E728EF"/>
    <w:rsid w:val="00E72E95"/>
    <w:rsid w:val="00E72FEB"/>
    <w:rsid w:val="00E73122"/>
    <w:rsid w:val="00E73232"/>
    <w:rsid w:val="00E7342C"/>
    <w:rsid w:val="00E73823"/>
    <w:rsid w:val="00E7389B"/>
    <w:rsid w:val="00E73C19"/>
    <w:rsid w:val="00E73D22"/>
    <w:rsid w:val="00E74398"/>
    <w:rsid w:val="00E74BA9"/>
    <w:rsid w:val="00E75624"/>
    <w:rsid w:val="00E7597D"/>
    <w:rsid w:val="00E76A61"/>
    <w:rsid w:val="00E76F8C"/>
    <w:rsid w:val="00E7784E"/>
    <w:rsid w:val="00E77DB9"/>
    <w:rsid w:val="00E77F81"/>
    <w:rsid w:val="00E80307"/>
    <w:rsid w:val="00E804A0"/>
    <w:rsid w:val="00E8074E"/>
    <w:rsid w:val="00E80949"/>
    <w:rsid w:val="00E80F84"/>
    <w:rsid w:val="00E80FF5"/>
    <w:rsid w:val="00E81088"/>
    <w:rsid w:val="00E811E7"/>
    <w:rsid w:val="00E811FB"/>
    <w:rsid w:val="00E8134E"/>
    <w:rsid w:val="00E818E0"/>
    <w:rsid w:val="00E81B1F"/>
    <w:rsid w:val="00E81B62"/>
    <w:rsid w:val="00E82A7B"/>
    <w:rsid w:val="00E82B2B"/>
    <w:rsid w:val="00E82C77"/>
    <w:rsid w:val="00E83002"/>
    <w:rsid w:val="00E83068"/>
    <w:rsid w:val="00E8346D"/>
    <w:rsid w:val="00E8388E"/>
    <w:rsid w:val="00E83B02"/>
    <w:rsid w:val="00E83EAA"/>
    <w:rsid w:val="00E8403D"/>
    <w:rsid w:val="00E84882"/>
    <w:rsid w:val="00E84B48"/>
    <w:rsid w:val="00E84F72"/>
    <w:rsid w:val="00E84FD4"/>
    <w:rsid w:val="00E850BC"/>
    <w:rsid w:val="00E850D2"/>
    <w:rsid w:val="00E85203"/>
    <w:rsid w:val="00E852AD"/>
    <w:rsid w:val="00E8547E"/>
    <w:rsid w:val="00E85D73"/>
    <w:rsid w:val="00E85FD1"/>
    <w:rsid w:val="00E86708"/>
    <w:rsid w:val="00E8681A"/>
    <w:rsid w:val="00E8688E"/>
    <w:rsid w:val="00E86A7A"/>
    <w:rsid w:val="00E86D50"/>
    <w:rsid w:val="00E872B0"/>
    <w:rsid w:val="00E87551"/>
    <w:rsid w:val="00E87772"/>
    <w:rsid w:val="00E87A39"/>
    <w:rsid w:val="00E87D53"/>
    <w:rsid w:val="00E87EF4"/>
    <w:rsid w:val="00E902C8"/>
    <w:rsid w:val="00E9069D"/>
    <w:rsid w:val="00E90A6B"/>
    <w:rsid w:val="00E90A75"/>
    <w:rsid w:val="00E90F82"/>
    <w:rsid w:val="00E915DF"/>
    <w:rsid w:val="00E91668"/>
    <w:rsid w:val="00E9169F"/>
    <w:rsid w:val="00E917DE"/>
    <w:rsid w:val="00E91BE9"/>
    <w:rsid w:val="00E921CE"/>
    <w:rsid w:val="00E9230E"/>
    <w:rsid w:val="00E92933"/>
    <w:rsid w:val="00E92CED"/>
    <w:rsid w:val="00E92F19"/>
    <w:rsid w:val="00E93132"/>
    <w:rsid w:val="00E93577"/>
    <w:rsid w:val="00E9411A"/>
    <w:rsid w:val="00E9439A"/>
    <w:rsid w:val="00E94431"/>
    <w:rsid w:val="00E94AEC"/>
    <w:rsid w:val="00E94B32"/>
    <w:rsid w:val="00E94CA5"/>
    <w:rsid w:val="00E94FB4"/>
    <w:rsid w:val="00E95233"/>
    <w:rsid w:val="00E9592A"/>
    <w:rsid w:val="00E95E15"/>
    <w:rsid w:val="00E968AE"/>
    <w:rsid w:val="00E96BAD"/>
    <w:rsid w:val="00E96CC7"/>
    <w:rsid w:val="00E96DEE"/>
    <w:rsid w:val="00E96E81"/>
    <w:rsid w:val="00E96FB3"/>
    <w:rsid w:val="00E97084"/>
    <w:rsid w:val="00E9708D"/>
    <w:rsid w:val="00E971C4"/>
    <w:rsid w:val="00E971F7"/>
    <w:rsid w:val="00E977E5"/>
    <w:rsid w:val="00E97EE3"/>
    <w:rsid w:val="00EA0A56"/>
    <w:rsid w:val="00EA0D5B"/>
    <w:rsid w:val="00EA0EF3"/>
    <w:rsid w:val="00EA117B"/>
    <w:rsid w:val="00EA15F8"/>
    <w:rsid w:val="00EA1658"/>
    <w:rsid w:val="00EA1C91"/>
    <w:rsid w:val="00EA1E53"/>
    <w:rsid w:val="00EA1FAE"/>
    <w:rsid w:val="00EA2034"/>
    <w:rsid w:val="00EA2217"/>
    <w:rsid w:val="00EA2238"/>
    <w:rsid w:val="00EA2301"/>
    <w:rsid w:val="00EA2454"/>
    <w:rsid w:val="00EA27CC"/>
    <w:rsid w:val="00EA2814"/>
    <w:rsid w:val="00EA28F1"/>
    <w:rsid w:val="00EA2949"/>
    <w:rsid w:val="00EA2AAC"/>
    <w:rsid w:val="00EA2DFC"/>
    <w:rsid w:val="00EA302B"/>
    <w:rsid w:val="00EA30C7"/>
    <w:rsid w:val="00EA3340"/>
    <w:rsid w:val="00EA41E8"/>
    <w:rsid w:val="00EA4793"/>
    <w:rsid w:val="00EA47C9"/>
    <w:rsid w:val="00EA48C6"/>
    <w:rsid w:val="00EA4AC6"/>
    <w:rsid w:val="00EA55AE"/>
    <w:rsid w:val="00EA56F1"/>
    <w:rsid w:val="00EA58DF"/>
    <w:rsid w:val="00EA59AD"/>
    <w:rsid w:val="00EA5B0B"/>
    <w:rsid w:val="00EA5C30"/>
    <w:rsid w:val="00EA624A"/>
    <w:rsid w:val="00EA6610"/>
    <w:rsid w:val="00EA6ADF"/>
    <w:rsid w:val="00EA6BEC"/>
    <w:rsid w:val="00EA6E35"/>
    <w:rsid w:val="00EA7028"/>
    <w:rsid w:val="00EA71CE"/>
    <w:rsid w:val="00EA730D"/>
    <w:rsid w:val="00EA7AC3"/>
    <w:rsid w:val="00EA7BF7"/>
    <w:rsid w:val="00EB0194"/>
    <w:rsid w:val="00EB05EA"/>
    <w:rsid w:val="00EB06F2"/>
    <w:rsid w:val="00EB0A5B"/>
    <w:rsid w:val="00EB1206"/>
    <w:rsid w:val="00EB159A"/>
    <w:rsid w:val="00EB15ED"/>
    <w:rsid w:val="00EB1938"/>
    <w:rsid w:val="00EB19AA"/>
    <w:rsid w:val="00EB1B26"/>
    <w:rsid w:val="00EB1C40"/>
    <w:rsid w:val="00EB1CC3"/>
    <w:rsid w:val="00EB1E70"/>
    <w:rsid w:val="00EB1F27"/>
    <w:rsid w:val="00EB22E4"/>
    <w:rsid w:val="00EB2A6E"/>
    <w:rsid w:val="00EB2BC3"/>
    <w:rsid w:val="00EB2BCD"/>
    <w:rsid w:val="00EB3129"/>
    <w:rsid w:val="00EB3130"/>
    <w:rsid w:val="00EB3187"/>
    <w:rsid w:val="00EB36F4"/>
    <w:rsid w:val="00EB3DB5"/>
    <w:rsid w:val="00EB3E7A"/>
    <w:rsid w:val="00EB40A6"/>
    <w:rsid w:val="00EB464B"/>
    <w:rsid w:val="00EB4CF2"/>
    <w:rsid w:val="00EB51E5"/>
    <w:rsid w:val="00EB526A"/>
    <w:rsid w:val="00EB59B7"/>
    <w:rsid w:val="00EB66FF"/>
    <w:rsid w:val="00EB6953"/>
    <w:rsid w:val="00EB6A04"/>
    <w:rsid w:val="00EB6DCF"/>
    <w:rsid w:val="00EB6E9A"/>
    <w:rsid w:val="00EB7237"/>
    <w:rsid w:val="00EB7244"/>
    <w:rsid w:val="00EB7323"/>
    <w:rsid w:val="00EB7465"/>
    <w:rsid w:val="00EB748E"/>
    <w:rsid w:val="00EB767E"/>
    <w:rsid w:val="00EB7B92"/>
    <w:rsid w:val="00EB7C0B"/>
    <w:rsid w:val="00EC010F"/>
    <w:rsid w:val="00EC01DE"/>
    <w:rsid w:val="00EC02AA"/>
    <w:rsid w:val="00EC0954"/>
    <w:rsid w:val="00EC0B07"/>
    <w:rsid w:val="00EC0CC2"/>
    <w:rsid w:val="00EC0D04"/>
    <w:rsid w:val="00EC12A3"/>
    <w:rsid w:val="00EC1393"/>
    <w:rsid w:val="00EC1E53"/>
    <w:rsid w:val="00EC2091"/>
    <w:rsid w:val="00EC27AC"/>
    <w:rsid w:val="00EC2837"/>
    <w:rsid w:val="00EC293D"/>
    <w:rsid w:val="00EC2B9E"/>
    <w:rsid w:val="00EC2D6E"/>
    <w:rsid w:val="00EC3186"/>
    <w:rsid w:val="00EC35A8"/>
    <w:rsid w:val="00EC35DD"/>
    <w:rsid w:val="00EC3B86"/>
    <w:rsid w:val="00EC3D9C"/>
    <w:rsid w:val="00EC43EC"/>
    <w:rsid w:val="00EC44BA"/>
    <w:rsid w:val="00EC457D"/>
    <w:rsid w:val="00EC45F8"/>
    <w:rsid w:val="00EC481C"/>
    <w:rsid w:val="00EC526A"/>
    <w:rsid w:val="00EC5748"/>
    <w:rsid w:val="00EC5B42"/>
    <w:rsid w:val="00EC6266"/>
    <w:rsid w:val="00EC6534"/>
    <w:rsid w:val="00EC67C1"/>
    <w:rsid w:val="00EC6EC7"/>
    <w:rsid w:val="00EC7061"/>
    <w:rsid w:val="00EC77F0"/>
    <w:rsid w:val="00EC785E"/>
    <w:rsid w:val="00EC7B1F"/>
    <w:rsid w:val="00EC7D17"/>
    <w:rsid w:val="00ED08BB"/>
    <w:rsid w:val="00ED0B09"/>
    <w:rsid w:val="00ED0C73"/>
    <w:rsid w:val="00ED1050"/>
    <w:rsid w:val="00ED14F8"/>
    <w:rsid w:val="00ED208E"/>
    <w:rsid w:val="00ED25F1"/>
    <w:rsid w:val="00ED2705"/>
    <w:rsid w:val="00ED2776"/>
    <w:rsid w:val="00ED3528"/>
    <w:rsid w:val="00ED37EF"/>
    <w:rsid w:val="00ED3949"/>
    <w:rsid w:val="00ED3995"/>
    <w:rsid w:val="00ED3BA0"/>
    <w:rsid w:val="00ED3BEE"/>
    <w:rsid w:val="00ED3F2D"/>
    <w:rsid w:val="00ED453E"/>
    <w:rsid w:val="00ED489F"/>
    <w:rsid w:val="00ED48B4"/>
    <w:rsid w:val="00ED5088"/>
    <w:rsid w:val="00ED5173"/>
    <w:rsid w:val="00ED5386"/>
    <w:rsid w:val="00ED6774"/>
    <w:rsid w:val="00ED677B"/>
    <w:rsid w:val="00ED6788"/>
    <w:rsid w:val="00ED6970"/>
    <w:rsid w:val="00ED6C28"/>
    <w:rsid w:val="00ED6C48"/>
    <w:rsid w:val="00ED6F3F"/>
    <w:rsid w:val="00ED770F"/>
    <w:rsid w:val="00EE00BA"/>
    <w:rsid w:val="00EE0138"/>
    <w:rsid w:val="00EE02FA"/>
    <w:rsid w:val="00EE0557"/>
    <w:rsid w:val="00EE0630"/>
    <w:rsid w:val="00EE0733"/>
    <w:rsid w:val="00EE0BC6"/>
    <w:rsid w:val="00EE0C3A"/>
    <w:rsid w:val="00EE0E3E"/>
    <w:rsid w:val="00EE0F3C"/>
    <w:rsid w:val="00EE104D"/>
    <w:rsid w:val="00EE1228"/>
    <w:rsid w:val="00EE12E1"/>
    <w:rsid w:val="00EE13F5"/>
    <w:rsid w:val="00EE1A09"/>
    <w:rsid w:val="00EE1F6D"/>
    <w:rsid w:val="00EE2305"/>
    <w:rsid w:val="00EE2476"/>
    <w:rsid w:val="00EE24BD"/>
    <w:rsid w:val="00EE250E"/>
    <w:rsid w:val="00EE2FBB"/>
    <w:rsid w:val="00EE352A"/>
    <w:rsid w:val="00EE3808"/>
    <w:rsid w:val="00EE3871"/>
    <w:rsid w:val="00EE3C4E"/>
    <w:rsid w:val="00EE3EF6"/>
    <w:rsid w:val="00EE48DA"/>
    <w:rsid w:val="00EE49AE"/>
    <w:rsid w:val="00EE49CB"/>
    <w:rsid w:val="00EE4F86"/>
    <w:rsid w:val="00EE515E"/>
    <w:rsid w:val="00EE5431"/>
    <w:rsid w:val="00EE6037"/>
    <w:rsid w:val="00EE610C"/>
    <w:rsid w:val="00EE61D4"/>
    <w:rsid w:val="00EE65F3"/>
    <w:rsid w:val="00EE6981"/>
    <w:rsid w:val="00EE6F6A"/>
    <w:rsid w:val="00EE7442"/>
    <w:rsid w:val="00EE7F4B"/>
    <w:rsid w:val="00EF00CE"/>
    <w:rsid w:val="00EF06C7"/>
    <w:rsid w:val="00EF0ADA"/>
    <w:rsid w:val="00EF0AEF"/>
    <w:rsid w:val="00EF0D5E"/>
    <w:rsid w:val="00EF1D7D"/>
    <w:rsid w:val="00EF1F2C"/>
    <w:rsid w:val="00EF233F"/>
    <w:rsid w:val="00EF2407"/>
    <w:rsid w:val="00EF29D0"/>
    <w:rsid w:val="00EF2C2F"/>
    <w:rsid w:val="00EF3545"/>
    <w:rsid w:val="00EF39C9"/>
    <w:rsid w:val="00EF3B82"/>
    <w:rsid w:val="00EF3C47"/>
    <w:rsid w:val="00EF3D85"/>
    <w:rsid w:val="00EF446B"/>
    <w:rsid w:val="00EF47FF"/>
    <w:rsid w:val="00EF4E3F"/>
    <w:rsid w:val="00EF4F93"/>
    <w:rsid w:val="00EF5A56"/>
    <w:rsid w:val="00EF5D9E"/>
    <w:rsid w:val="00EF6407"/>
    <w:rsid w:val="00EF6464"/>
    <w:rsid w:val="00EF671B"/>
    <w:rsid w:val="00EF6720"/>
    <w:rsid w:val="00EF6B78"/>
    <w:rsid w:val="00EF773C"/>
    <w:rsid w:val="00EF7925"/>
    <w:rsid w:val="00EF79F8"/>
    <w:rsid w:val="00EF7ABE"/>
    <w:rsid w:val="00EF7CF5"/>
    <w:rsid w:val="00EF7E57"/>
    <w:rsid w:val="00F0017B"/>
    <w:rsid w:val="00F00732"/>
    <w:rsid w:val="00F00D7B"/>
    <w:rsid w:val="00F00E11"/>
    <w:rsid w:val="00F01A07"/>
    <w:rsid w:val="00F01DD0"/>
    <w:rsid w:val="00F0215E"/>
    <w:rsid w:val="00F021A9"/>
    <w:rsid w:val="00F02669"/>
    <w:rsid w:val="00F02820"/>
    <w:rsid w:val="00F0286D"/>
    <w:rsid w:val="00F0291A"/>
    <w:rsid w:val="00F02973"/>
    <w:rsid w:val="00F02C6D"/>
    <w:rsid w:val="00F02E06"/>
    <w:rsid w:val="00F02E26"/>
    <w:rsid w:val="00F032EB"/>
    <w:rsid w:val="00F03C94"/>
    <w:rsid w:val="00F041A0"/>
    <w:rsid w:val="00F044F4"/>
    <w:rsid w:val="00F04AC2"/>
    <w:rsid w:val="00F04CA1"/>
    <w:rsid w:val="00F05086"/>
    <w:rsid w:val="00F0555F"/>
    <w:rsid w:val="00F0557A"/>
    <w:rsid w:val="00F055DC"/>
    <w:rsid w:val="00F05796"/>
    <w:rsid w:val="00F05BE8"/>
    <w:rsid w:val="00F05FF9"/>
    <w:rsid w:val="00F061D9"/>
    <w:rsid w:val="00F062F1"/>
    <w:rsid w:val="00F06320"/>
    <w:rsid w:val="00F06473"/>
    <w:rsid w:val="00F06CA2"/>
    <w:rsid w:val="00F06D16"/>
    <w:rsid w:val="00F06D2B"/>
    <w:rsid w:val="00F07521"/>
    <w:rsid w:val="00F07C78"/>
    <w:rsid w:val="00F07F53"/>
    <w:rsid w:val="00F10263"/>
    <w:rsid w:val="00F10302"/>
    <w:rsid w:val="00F109E4"/>
    <w:rsid w:val="00F10E50"/>
    <w:rsid w:val="00F110AA"/>
    <w:rsid w:val="00F111F0"/>
    <w:rsid w:val="00F1135D"/>
    <w:rsid w:val="00F11665"/>
    <w:rsid w:val="00F11731"/>
    <w:rsid w:val="00F11D07"/>
    <w:rsid w:val="00F11D0C"/>
    <w:rsid w:val="00F12256"/>
    <w:rsid w:val="00F1227F"/>
    <w:rsid w:val="00F12884"/>
    <w:rsid w:val="00F12E6A"/>
    <w:rsid w:val="00F13057"/>
    <w:rsid w:val="00F13098"/>
    <w:rsid w:val="00F13A3A"/>
    <w:rsid w:val="00F14123"/>
    <w:rsid w:val="00F14AB5"/>
    <w:rsid w:val="00F14AFA"/>
    <w:rsid w:val="00F14C61"/>
    <w:rsid w:val="00F14D0F"/>
    <w:rsid w:val="00F157DE"/>
    <w:rsid w:val="00F1586F"/>
    <w:rsid w:val="00F15870"/>
    <w:rsid w:val="00F16062"/>
    <w:rsid w:val="00F160D8"/>
    <w:rsid w:val="00F1642D"/>
    <w:rsid w:val="00F16E06"/>
    <w:rsid w:val="00F170A3"/>
    <w:rsid w:val="00F174C8"/>
    <w:rsid w:val="00F1791D"/>
    <w:rsid w:val="00F17F47"/>
    <w:rsid w:val="00F2065C"/>
    <w:rsid w:val="00F20CE6"/>
    <w:rsid w:val="00F20E27"/>
    <w:rsid w:val="00F20EA1"/>
    <w:rsid w:val="00F20F35"/>
    <w:rsid w:val="00F21160"/>
    <w:rsid w:val="00F21223"/>
    <w:rsid w:val="00F21299"/>
    <w:rsid w:val="00F21302"/>
    <w:rsid w:val="00F218AF"/>
    <w:rsid w:val="00F21B94"/>
    <w:rsid w:val="00F22687"/>
    <w:rsid w:val="00F228F2"/>
    <w:rsid w:val="00F233F4"/>
    <w:rsid w:val="00F234BD"/>
    <w:rsid w:val="00F237B9"/>
    <w:rsid w:val="00F23C19"/>
    <w:rsid w:val="00F245C3"/>
    <w:rsid w:val="00F24C35"/>
    <w:rsid w:val="00F24DCE"/>
    <w:rsid w:val="00F24DE1"/>
    <w:rsid w:val="00F254AB"/>
    <w:rsid w:val="00F25500"/>
    <w:rsid w:val="00F258E9"/>
    <w:rsid w:val="00F25A10"/>
    <w:rsid w:val="00F25B42"/>
    <w:rsid w:val="00F25B88"/>
    <w:rsid w:val="00F25C35"/>
    <w:rsid w:val="00F25C7D"/>
    <w:rsid w:val="00F25D3E"/>
    <w:rsid w:val="00F26133"/>
    <w:rsid w:val="00F26369"/>
    <w:rsid w:val="00F2640C"/>
    <w:rsid w:val="00F264C3"/>
    <w:rsid w:val="00F2737A"/>
    <w:rsid w:val="00F2740D"/>
    <w:rsid w:val="00F279C3"/>
    <w:rsid w:val="00F300DF"/>
    <w:rsid w:val="00F30492"/>
    <w:rsid w:val="00F306FE"/>
    <w:rsid w:val="00F30CDD"/>
    <w:rsid w:val="00F30CEF"/>
    <w:rsid w:val="00F31032"/>
    <w:rsid w:val="00F318BA"/>
    <w:rsid w:val="00F318FC"/>
    <w:rsid w:val="00F32998"/>
    <w:rsid w:val="00F33778"/>
    <w:rsid w:val="00F339B9"/>
    <w:rsid w:val="00F33A1A"/>
    <w:rsid w:val="00F33B4B"/>
    <w:rsid w:val="00F34A01"/>
    <w:rsid w:val="00F3515D"/>
    <w:rsid w:val="00F35325"/>
    <w:rsid w:val="00F35535"/>
    <w:rsid w:val="00F35A4F"/>
    <w:rsid w:val="00F35BEF"/>
    <w:rsid w:val="00F35C0C"/>
    <w:rsid w:val="00F3602E"/>
    <w:rsid w:val="00F365C6"/>
    <w:rsid w:val="00F366A4"/>
    <w:rsid w:val="00F36E38"/>
    <w:rsid w:val="00F37109"/>
    <w:rsid w:val="00F375D5"/>
    <w:rsid w:val="00F37709"/>
    <w:rsid w:val="00F37B0A"/>
    <w:rsid w:val="00F37D3A"/>
    <w:rsid w:val="00F400B0"/>
    <w:rsid w:val="00F40236"/>
    <w:rsid w:val="00F402F8"/>
    <w:rsid w:val="00F404BB"/>
    <w:rsid w:val="00F40647"/>
    <w:rsid w:val="00F40D47"/>
    <w:rsid w:val="00F419B3"/>
    <w:rsid w:val="00F41C8F"/>
    <w:rsid w:val="00F42467"/>
    <w:rsid w:val="00F424FE"/>
    <w:rsid w:val="00F425E8"/>
    <w:rsid w:val="00F428FF"/>
    <w:rsid w:val="00F42938"/>
    <w:rsid w:val="00F43002"/>
    <w:rsid w:val="00F43244"/>
    <w:rsid w:val="00F43A9D"/>
    <w:rsid w:val="00F43B62"/>
    <w:rsid w:val="00F43C0F"/>
    <w:rsid w:val="00F43E20"/>
    <w:rsid w:val="00F44381"/>
    <w:rsid w:val="00F4441D"/>
    <w:rsid w:val="00F449D2"/>
    <w:rsid w:val="00F44B8C"/>
    <w:rsid w:val="00F44EFD"/>
    <w:rsid w:val="00F45066"/>
    <w:rsid w:val="00F454E8"/>
    <w:rsid w:val="00F456A1"/>
    <w:rsid w:val="00F45BB9"/>
    <w:rsid w:val="00F46373"/>
    <w:rsid w:val="00F46412"/>
    <w:rsid w:val="00F4670B"/>
    <w:rsid w:val="00F4684A"/>
    <w:rsid w:val="00F4728A"/>
    <w:rsid w:val="00F4770A"/>
    <w:rsid w:val="00F478F1"/>
    <w:rsid w:val="00F50521"/>
    <w:rsid w:val="00F509BC"/>
    <w:rsid w:val="00F50B5D"/>
    <w:rsid w:val="00F50BC5"/>
    <w:rsid w:val="00F50C48"/>
    <w:rsid w:val="00F5195F"/>
    <w:rsid w:val="00F52088"/>
    <w:rsid w:val="00F5252C"/>
    <w:rsid w:val="00F527D8"/>
    <w:rsid w:val="00F52836"/>
    <w:rsid w:val="00F52B2C"/>
    <w:rsid w:val="00F52D8E"/>
    <w:rsid w:val="00F52EA3"/>
    <w:rsid w:val="00F534E0"/>
    <w:rsid w:val="00F53706"/>
    <w:rsid w:val="00F53732"/>
    <w:rsid w:val="00F53769"/>
    <w:rsid w:val="00F53E74"/>
    <w:rsid w:val="00F53F6D"/>
    <w:rsid w:val="00F542F1"/>
    <w:rsid w:val="00F54348"/>
    <w:rsid w:val="00F54BA1"/>
    <w:rsid w:val="00F54CA4"/>
    <w:rsid w:val="00F55175"/>
    <w:rsid w:val="00F55524"/>
    <w:rsid w:val="00F5559B"/>
    <w:rsid w:val="00F55890"/>
    <w:rsid w:val="00F559C2"/>
    <w:rsid w:val="00F56017"/>
    <w:rsid w:val="00F561DA"/>
    <w:rsid w:val="00F569A8"/>
    <w:rsid w:val="00F56AAF"/>
    <w:rsid w:val="00F56B4E"/>
    <w:rsid w:val="00F56D9B"/>
    <w:rsid w:val="00F57535"/>
    <w:rsid w:val="00F575A3"/>
    <w:rsid w:val="00F575EE"/>
    <w:rsid w:val="00F577E6"/>
    <w:rsid w:val="00F5790D"/>
    <w:rsid w:val="00F57BA4"/>
    <w:rsid w:val="00F57DF4"/>
    <w:rsid w:val="00F57F49"/>
    <w:rsid w:val="00F60041"/>
    <w:rsid w:val="00F602D6"/>
    <w:rsid w:val="00F603E4"/>
    <w:rsid w:val="00F60B9C"/>
    <w:rsid w:val="00F60BBB"/>
    <w:rsid w:val="00F60D56"/>
    <w:rsid w:val="00F60F96"/>
    <w:rsid w:val="00F61B65"/>
    <w:rsid w:val="00F61BB8"/>
    <w:rsid w:val="00F61C69"/>
    <w:rsid w:val="00F62064"/>
    <w:rsid w:val="00F6267D"/>
    <w:rsid w:val="00F62906"/>
    <w:rsid w:val="00F62BC9"/>
    <w:rsid w:val="00F62D26"/>
    <w:rsid w:val="00F62DA1"/>
    <w:rsid w:val="00F6309C"/>
    <w:rsid w:val="00F632E7"/>
    <w:rsid w:val="00F6334A"/>
    <w:rsid w:val="00F634BA"/>
    <w:rsid w:val="00F63774"/>
    <w:rsid w:val="00F63783"/>
    <w:rsid w:val="00F63D8F"/>
    <w:rsid w:val="00F64591"/>
    <w:rsid w:val="00F650EE"/>
    <w:rsid w:val="00F65136"/>
    <w:rsid w:val="00F655CB"/>
    <w:rsid w:val="00F65999"/>
    <w:rsid w:val="00F65F2F"/>
    <w:rsid w:val="00F6610A"/>
    <w:rsid w:val="00F662EB"/>
    <w:rsid w:val="00F669EC"/>
    <w:rsid w:val="00F66E25"/>
    <w:rsid w:val="00F67452"/>
    <w:rsid w:val="00F70638"/>
    <w:rsid w:val="00F70680"/>
    <w:rsid w:val="00F71C9B"/>
    <w:rsid w:val="00F71EBE"/>
    <w:rsid w:val="00F722B9"/>
    <w:rsid w:val="00F72552"/>
    <w:rsid w:val="00F725B4"/>
    <w:rsid w:val="00F7273C"/>
    <w:rsid w:val="00F7277A"/>
    <w:rsid w:val="00F72ADB"/>
    <w:rsid w:val="00F72B7C"/>
    <w:rsid w:val="00F72DF3"/>
    <w:rsid w:val="00F73068"/>
    <w:rsid w:val="00F736F6"/>
    <w:rsid w:val="00F73EA6"/>
    <w:rsid w:val="00F74438"/>
    <w:rsid w:val="00F7449A"/>
    <w:rsid w:val="00F74C5B"/>
    <w:rsid w:val="00F7508E"/>
    <w:rsid w:val="00F754B7"/>
    <w:rsid w:val="00F754D8"/>
    <w:rsid w:val="00F756C5"/>
    <w:rsid w:val="00F7594D"/>
    <w:rsid w:val="00F7599B"/>
    <w:rsid w:val="00F75EA1"/>
    <w:rsid w:val="00F760F8"/>
    <w:rsid w:val="00F76233"/>
    <w:rsid w:val="00F7684E"/>
    <w:rsid w:val="00F769D2"/>
    <w:rsid w:val="00F76DAF"/>
    <w:rsid w:val="00F76F7F"/>
    <w:rsid w:val="00F776E2"/>
    <w:rsid w:val="00F77AB6"/>
    <w:rsid w:val="00F77BF6"/>
    <w:rsid w:val="00F77E47"/>
    <w:rsid w:val="00F801A9"/>
    <w:rsid w:val="00F80B82"/>
    <w:rsid w:val="00F80E2E"/>
    <w:rsid w:val="00F80E5C"/>
    <w:rsid w:val="00F8115F"/>
    <w:rsid w:val="00F81163"/>
    <w:rsid w:val="00F81242"/>
    <w:rsid w:val="00F8178A"/>
    <w:rsid w:val="00F82D0F"/>
    <w:rsid w:val="00F82E6E"/>
    <w:rsid w:val="00F832EE"/>
    <w:rsid w:val="00F83375"/>
    <w:rsid w:val="00F833B0"/>
    <w:rsid w:val="00F836C6"/>
    <w:rsid w:val="00F841AD"/>
    <w:rsid w:val="00F841AF"/>
    <w:rsid w:val="00F8425A"/>
    <w:rsid w:val="00F8473D"/>
    <w:rsid w:val="00F84A06"/>
    <w:rsid w:val="00F85398"/>
    <w:rsid w:val="00F8582D"/>
    <w:rsid w:val="00F8594F"/>
    <w:rsid w:val="00F85C7E"/>
    <w:rsid w:val="00F85E2A"/>
    <w:rsid w:val="00F86366"/>
    <w:rsid w:val="00F86543"/>
    <w:rsid w:val="00F86553"/>
    <w:rsid w:val="00F87837"/>
    <w:rsid w:val="00F8797D"/>
    <w:rsid w:val="00F87ECD"/>
    <w:rsid w:val="00F90057"/>
    <w:rsid w:val="00F90837"/>
    <w:rsid w:val="00F90993"/>
    <w:rsid w:val="00F90C2E"/>
    <w:rsid w:val="00F90F32"/>
    <w:rsid w:val="00F91072"/>
    <w:rsid w:val="00F915F2"/>
    <w:rsid w:val="00F91ED6"/>
    <w:rsid w:val="00F91FD6"/>
    <w:rsid w:val="00F921BD"/>
    <w:rsid w:val="00F927A5"/>
    <w:rsid w:val="00F932B3"/>
    <w:rsid w:val="00F9348E"/>
    <w:rsid w:val="00F934DF"/>
    <w:rsid w:val="00F93903"/>
    <w:rsid w:val="00F93957"/>
    <w:rsid w:val="00F9397A"/>
    <w:rsid w:val="00F94182"/>
    <w:rsid w:val="00F94294"/>
    <w:rsid w:val="00F94401"/>
    <w:rsid w:val="00F945C6"/>
    <w:rsid w:val="00F946DA"/>
    <w:rsid w:val="00F94BC2"/>
    <w:rsid w:val="00F94F97"/>
    <w:rsid w:val="00F950F2"/>
    <w:rsid w:val="00F9535E"/>
    <w:rsid w:val="00F9588A"/>
    <w:rsid w:val="00F958FE"/>
    <w:rsid w:val="00F9601B"/>
    <w:rsid w:val="00F965CA"/>
    <w:rsid w:val="00F96BFB"/>
    <w:rsid w:val="00F97037"/>
    <w:rsid w:val="00F97B5D"/>
    <w:rsid w:val="00FA03FD"/>
    <w:rsid w:val="00FA0B85"/>
    <w:rsid w:val="00FA0E8C"/>
    <w:rsid w:val="00FA0F0E"/>
    <w:rsid w:val="00FA0FB9"/>
    <w:rsid w:val="00FA1293"/>
    <w:rsid w:val="00FA1903"/>
    <w:rsid w:val="00FA1E82"/>
    <w:rsid w:val="00FA2F22"/>
    <w:rsid w:val="00FA346C"/>
    <w:rsid w:val="00FA3538"/>
    <w:rsid w:val="00FA3561"/>
    <w:rsid w:val="00FA3564"/>
    <w:rsid w:val="00FA5A12"/>
    <w:rsid w:val="00FA5BD3"/>
    <w:rsid w:val="00FA5D5F"/>
    <w:rsid w:val="00FA5F78"/>
    <w:rsid w:val="00FA633C"/>
    <w:rsid w:val="00FA66D3"/>
    <w:rsid w:val="00FA6D9F"/>
    <w:rsid w:val="00FA6DBA"/>
    <w:rsid w:val="00FA727E"/>
    <w:rsid w:val="00FA7610"/>
    <w:rsid w:val="00FA787D"/>
    <w:rsid w:val="00FA78B6"/>
    <w:rsid w:val="00FA7954"/>
    <w:rsid w:val="00FA7C83"/>
    <w:rsid w:val="00FA7FF6"/>
    <w:rsid w:val="00FB00BB"/>
    <w:rsid w:val="00FB0BB8"/>
    <w:rsid w:val="00FB0CFF"/>
    <w:rsid w:val="00FB0E2B"/>
    <w:rsid w:val="00FB1112"/>
    <w:rsid w:val="00FB135B"/>
    <w:rsid w:val="00FB180B"/>
    <w:rsid w:val="00FB20AB"/>
    <w:rsid w:val="00FB22E0"/>
    <w:rsid w:val="00FB2357"/>
    <w:rsid w:val="00FB2547"/>
    <w:rsid w:val="00FB30B9"/>
    <w:rsid w:val="00FB3115"/>
    <w:rsid w:val="00FB33F9"/>
    <w:rsid w:val="00FB342A"/>
    <w:rsid w:val="00FB36AD"/>
    <w:rsid w:val="00FB4D13"/>
    <w:rsid w:val="00FB5066"/>
    <w:rsid w:val="00FB58A2"/>
    <w:rsid w:val="00FB59BF"/>
    <w:rsid w:val="00FB59F9"/>
    <w:rsid w:val="00FB5B5B"/>
    <w:rsid w:val="00FB621F"/>
    <w:rsid w:val="00FB6267"/>
    <w:rsid w:val="00FB6329"/>
    <w:rsid w:val="00FB69A0"/>
    <w:rsid w:val="00FB6A70"/>
    <w:rsid w:val="00FB6D51"/>
    <w:rsid w:val="00FB7CA4"/>
    <w:rsid w:val="00FC022C"/>
    <w:rsid w:val="00FC0661"/>
    <w:rsid w:val="00FC0856"/>
    <w:rsid w:val="00FC119B"/>
    <w:rsid w:val="00FC1488"/>
    <w:rsid w:val="00FC14AA"/>
    <w:rsid w:val="00FC15F4"/>
    <w:rsid w:val="00FC2132"/>
    <w:rsid w:val="00FC2406"/>
    <w:rsid w:val="00FC257D"/>
    <w:rsid w:val="00FC26A2"/>
    <w:rsid w:val="00FC2B44"/>
    <w:rsid w:val="00FC3433"/>
    <w:rsid w:val="00FC355E"/>
    <w:rsid w:val="00FC35D4"/>
    <w:rsid w:val="00FC3725"/>
    <w:rsid w:val="00FC38C2"/>
    <w:rsid w:val="00FC3BF4"/>
    <w:rsid w:val="00FC3C2B"/>
    <w:rsid w:val="00FC456F"/>
    <w:rsid w:val="00FC4C11"/>
    <w:rsid w:val="00FC4CC8"/>
    <w:rsid w:val="00FC4D7C"/>
    <w:rsid w:val="00FC507D"/>
    <w:rsid w:val="00FC5333"/>
    <w:rsid w:val="00FC535F"/>
    <w:rsid w:val="00FC53D1"/>
    <w:rsid w:val="00FC5C96"/>
    <w:rsid w:val="00FC5FBA"/>
    <w:rsid w:val="00FC60CD"/>
    <w:rsid w:val="00FC645A"/>
    <w:rsid w:val="00FC647B"/>
    <w:rsid w:val="00FC664E"/>
    <w:rsid w:val="00FC67CC"/>
    <w:rsid w:val="00FC6DAA"/>
    <w:rsid w:val="00FC7CB4"/>
    <w:rsid w:val="00FD01BD"/>
    <w:rsid w:val="00FD04ED"/>
    <w:rsid w:val="00FD09D3"/>
    <w:rsid w:val="00FD0B0C"/>
    <w:rsid w:val="00FD0F2C"/>
    <w:rsid w:val="00FD100B"/>
    <w:rsid w:val="00FD139E"/>
    <w:rsid w:val="00FD1518"/>
    <w:rsid w:val="00FD16A6"/>
    <w:rsid w:val="00FD183D"/>
    <w:rsid w:val="00FD1CE8"/>
    <w:rsid w:val="00FD1F09"/>
    <w:rsid w:val="00FD2088"/>
    <w:rsid w:val="00FD2E13"/>
    <w:rsid w:val="00FD3036"/>
    <w:rsid w:val="00FD31E5"/>
    <w:rsid w:val="00FD385F"/>
    <w:rsid w:val="00FD422E"/>
    <w:rsid w:val="00FD43EA"/>
    <w:rsid w:val="00FD44D8"/>
    <w:rsid w:val="00FD4671"/>
    <w:rsid w:val="00FD4EBE"/>
    <w:rsid w:val="00FD51B5"/>
    <w:rsid w:val="00FD5294"/>
    <w:rsid w:val="00FD5F7E"/>
    <w:rsid w:val="00FD65CC"/>
    <w:rsid w:val="00FD6FEB"/>
    <w:rsid w:val="00FD73F3"/>
    <w:rsid w:val="00FD7AA4"/>
    <w:rsid w:val="00FE03BE"/>
    <w:rsid w:val="00FE0AAF"/>
    <w:rsid w:val="00FE0D2A"/>
    <w:rsid w:val="00FE108F"/>
    <w:rsid w:val="00FE1B23"/>
    <w:rsid w:val="00FE1FF8"/>
    <w:rsid w:val="00FE28F5"/>
    <w:rsid w:val="00FE2B36"/>
    <w:rsid w:val="00FE35D5"/>
    <w:rsid w:val="00FE36EC"/>
    <w:rsid w:val="00FE4441"/>
    <w:rsid w:val="00FE49AD"/>
    <w:rsid w:val="00FE4B4F"/>
    <w:rsid w:val="00FE4CC0"/>
    <w:rsid w:val="00FE5CAC"/>
    <w:rsid w:val="00FE62C3"/>
    <w:rsid w:val="00FE670E"/>
    <w:rsid w:val="00FE6E2B"/>
    <w:rsid w:val="00FE6E5F"/>
    <w:rsid w:val="00FE6ED9"/>
    <w:rsid w:val="00FE6F1A"/>
    <w:rsid w:val="00FE745A"/>
    <w:rsid w:val="00FF008D"/>
    <w:rsid w:val="00FF0330"/>
    <w:rsid w:val="00FF03CF"/>
    <w:rsid w:val="00FF11F0"/>
    <w:rsid w:val="00FF15EB"/>
    <w:rsid w:val="00FF185C"/>
    <w:rsid w:val="00FF1DC1"/>
    <w:rsid w:val="00FF1E3F"/>
    <w:rsid w:val="00FF22AF"/>
    <w:rsid w:val="00FF278C"/>
    <w:rsid w:val="00FF27B5"/>
    <w:rsid w:val="00FF2B27"/>
    <w:rsid w:val="00FF2D46"/>
    <w:rsid w:val="00FF2DD9"/>
    <w:rsid w:val="00FF37E2"/>
    <w:rsid w:val="00FF452A"/>
    <w:rsid w:val="00FF461C"/>
    <w:rsid w:val="00FF49CA"/>
    <w:rsid w:val="00FF4D54"/>
    <w:rsid w:val="00FF5552"/>
    <w:rsid w:val="00FF5BF1"/>
    <w:rsid w:val="00FF61E3"/>
    <w:rsid w:val="00FF6499"/>
    <w:rsid w:val="00FF6616"/>
    <w:rsid w:val="00FF68E8"/>
    <w:rsid w:val="00FF6A60"/>
    <w:rsid w:val="00FF6B8B"/>
    <w:rsid w:val="00FF706B"/>
    <w:rsid w:val="00FF7DE6"/>
    <w:rsid w:val="00FF7F05"/>
    <w:rsid w:val="0100646B"/>
    <w:rsid w:val="01556140"/>
    <w:rsid w:val="015D3E56"/>
    <w:rsid w:val="015F61E0"/>
    <w:rsid w:val="0169065F"/>
    <w:rsid w:val="017540E4"/>
    <w:rsid w:val="019329D2"/>
    <w:rsid w:val="0198245E"/>
    <w:rsid w:val="01A5473C"/>
    <w:rsid w:val="01B56966"/>
    <w:rsid w:val="01B666C0"/>
    <w:rsid w:val="01BB03CB"/>
    <w:rsid w:val="01C12D51"/>
    <w:rsid w:val="01D139CD"/>
    <w:rsid w:val="01D86637"/>
    <w:rsid w:val="01DC3AD0"/>
    <w:rsid w:val="01ED64F3"/>
    <w:rsid w:val="020B061F"/>
    <w:rsid w:val="02173256"/>
    <w:rsid w:val="021A4193"/>
    <w:rsid w:val="021A7F77"/>
    <w:rsid w:val="024F1F6E"/>
    <w:rsid w:val="025B46E8"/>
    <w:rsid w:val="025E5570"/>
    <w:rsid w:val="0262456B"/>
    <w:rsid w:val="026B140F"/>
    <w:rsid w:val="026C1AB2"/>
    <w:rsid w:val="02782414"/>
    <w:rsid w:val="027C11BE"/>
    <w:rsid w:val="028D7189"/>
    <w:rsid w:val="028E4F47"/>
    <w:rsid w:val="0296725B"/>
    <w:rsid w:val="029D7472"/>
    <w:rsid w:val="02A841C4"/>
    <w:rsid w:val="02AC0EC8"/>
    <w:rsid w:val="02BC09DD"/>
    <w:rsid w:val="02CB4D2D"/>
    <w:rsid w:val="02D07F79"/>
    <w:rsid w:val="02D91EF4"/>
    <w:rsid w:val="02D97A2B"/>
    <w:rsid w:val="02E307CF"/>
    <w:rsid w:val="02F8486D"/>
    <w:rsid w:val="03095E15"/>
    <w:rsid w:val="030E15C8"/>
    <w:rsid w:val="031711B5"/>
    <w:rsid w:val="03175ED5"/>
    <w:rsid w:val="03183B58"/>
    <w:rsid w:val="031F4962"/>
    <w:rsid w:val="03222CA7"/>
    <w:rsid w:val="032E4A1C"/>
    <w:rsid w:val="03353D48"/>
    <w:rsid w:val="03412078"/>
    <w:rsid w:val="03517F99"/>
    <w:rsid w:val="03597263"/>
    <w:rsid w:val="03604B36"/>
    <w:rsid w:val="0361265C"/>
    <w:rsid w:val="03681C3C"/>
    <w:rsid w:val="037E36DA"/>
    <w:rsid w:val="03800D34"/>
    <w:rsid w:val="03853418"/>
    <w:rsid w:val="03922473"/>
    <w:rsid w:val="03B64756"/>
    <w:rsid w:val="03BD58D6"/>
    <w:rsid w:val="03E06FD0"/>
    <w:rsid w:val="03EB70EB"/>
    <w:rsid w:val="03F317D7"/>
    <w:rsid w:val="0403735E"/>
    <w:rsid w:val="040D583E"/>
    <w:rsid w:val="0416567B"/>
    <w:rsid w:val="04264C88"/>
    <w:rsid w:val="042834E5"/>
    <w:rsid w:val="045142A5"/>
    <w:rsid w:val="045D4144"/>
    <w:rsid w:val="04663D7B"/>
    <w:rsid w:val="046B2354"/>
    <w:rsid w:val="047B0E94"/>
    <w:rsid w:val="04893C18"/>
    <w:rsid w:val="048E6DA9"/>
    <w:rsid w:val="048F0AFE"/>
    <w:rsid w:val="04915F8D"/>
    <w:rsid w:val="04A21016"/>
    <w:rsid w:val="04A32F8A"/>
    <w:rsid w:val="04C055FE"/>
    <w:rsid w:val="04D27CEA"/>
    <w:rsid w:val="04DA1708"/>
    <w:rsid w:val="04DA3982"/>
    <w:rsid w:val="04DD72E3"/>
    <w:rsid w:val="04F03879"/>
    <w:rsid w:val="04F05A45"/>
    <w:rsid w:val="04F736B1"/>
    <w:rsid w:val="04FC2E83"/>
    <w:rsid w:val="05012DD7"/>
    <w:rsid w:val="05017B46"/>
    <w:rsid w:val="05031C1C"/>
    <w:rsid w:val="050339C8"/>
    <w:rsid w:val="0519019C"/>
    <w:rsid w:val="052B2732"/>
    <w:rsid w:val="05386477"/>
    <w:rsid w:val="053F4B8E"/>
    <w:rsid w:val="05400010"/>
    <w:rsid w:val="0553092A"/>
    <w:rsid w:val="056463C7"/>
    <w:rsid w:val="05735DA4"/>
    <w:rsid w:val="057D5D0B"/>
    <w:rsid w:val="05826D9A"/>
    <w:rsid w:val="05953637"/>
    <w:rsid w:val="05B71BE0"/>
    <w:rsid w:val="05B739CA"/>
    <w:rsid w:val="05D55D5E"/>
    <w:rsid w:val="05E71667"/>
    <w:rsid w:val="05FB6357"/>
    <w:rsid w:val="06027784"/>
    <w:rsid w:val="06164BD3"/>
    <w:rsid w:val="061D795C"/>
    <w:rsid w:val="061F1504"/>
    <w:rsid w:val="062C6DDC"/>
    <w:rsid w:val="063B5161"/>
    <w:rsid w:val="06440E5A"/>
    <w:rsid w:val="064D24E5"/>
    <w:rsid w:val="065633EB"/>
    <w:rsid w:val="065C762A"/>
    <w:rsid w:val="0670142E"/>
    <w:rsid w:val="067352A9"/>
    <w:rsid w:val="06800158"/>
    <w:rsid w:val="06A501CA"/>
    <w:rsid w:val="06AB3BDA"/>
    <w:rsid w:val="06BF627D"/>
    <w:rsid w:val="06BF6A5D"/>
    <w:rsid w:val="06D61587"/>
    <w:rsid w:val="06F50A69"/>
    <w:rsid w:val="071A2A18"/>
    <w:rsid w:val="072C54E4"/>
    <w:rsid w:val="0731103E"/>
    <w:rsid w:val="07481042"/>
    <w:rsid w:val="075348BD"/>
    <w:rsid w:val="07657C85"/>
    <w:rsid w:val="07753F60"/>
    <w:rsid w:val="07844763"/>
    <w:rsid w:val="078618C9"/>
    <w:rsid w:val="07872CE7"/>
    <w:rsid w:val="079B478D"/>
    <w:rsid w:val="07A4385F"/>
    <w:rsid w:val="07AF242F"/>
    <w:rsid w:val="07BD5DBF"/>
    <w:rsid w:val="07C5115E"/>
    <w:rsid w:val="07CB25FF"/>
    <w:rsid w:val="07CD1207"/>
    <w:rsid w:val="07CF35B6"/>
    <w:rsid w:val="07EE4401"/>
    <w:rsid w:val="07EF468E"/>
    <w:rsid w:val="07F87DE0"/>
    <w:rsid w:val="07FF4D31"/>
    <w:rsid w:val="080E608B"/>
    <w:rsid w:val="081756DA"/>
    <w:rsid w:val="082F3E47"/>
    <w:rsid w:val="0835226D"/>
    <w:rsid w:val="08460DBE"/>
    <w:rsid w:val="084E1401"/>
    <w:rsid w:val="08605B5A"/>
    <w:rsid w:val="08624EAC"/>
    <w:rsid w:val="08636B11"/>
    <w:rsid w:val="086D796B"/>
    <w:rsid w:val="08B02830"/>
    <w:rsid w:val="08C03565"/>
    <w:rsid w:val="08DE579F"/>
    <w:rsid w:val="08F11638"/>
    <w:rsid w:val="09106EFC"/>
    <w:rsid w:val="09212671"/>
    <w:rsid w:val="092C2CBD"/>
    <w:rsid w:val="095C61AF"/>
    <w:rsid w:val="096F45D4"/>
    <w:rsid w:val="09755D2F"/>
    <w:rsid w:val="098848E6"/>
    <w:rsid w:val="099B69D8"/>
    <w:rsid w:val="09A22D62"/>
    <w:rsid w:val="09B43D70"/>
    <w:rsid w:val="09D11C94"/>
    <w:rsid w:val="09D62318"/>
    <w:rsid w:val="09D63FC3"/>
    <w:rsid w:val="09E342D1"/>
    <w:rsid w:val="09F76469"/>
    <w:rsid w:val="0A153C2B"/>
    <w:rsid w:val="0A254B81"/>
    <w:rsid w:val="0A3048AC"/>
    <w:rsid w:val="0A524DED"/>
    <w:rsid w:val="0A554696"/>
    <w:rsid w:val="0A5825D5"/>
    <w:rsid w:val="0A6177E7"/>
    <w:rsid w:val="0A84084D"/>
    <w:rsid w:val="0A8852CF"/>
    <w:rsid w:val="0A8D7B8D"/>
    <w:rsid w:val="0A964BFA"/>
    <w:rsid w:val="0A972924"/>
    <w:rsid w:val="0AAC42F3"/>
    <w:rsid w:val="0AB7256F"/>
    <w:rsid w:val="0ABD0ABF"/>
    <w:rsid w:val="0ABD1A37"/>
    <w:rsid w:val="0ACD1CE1"/>
    <w:rsid w:val="0AE018CB"/>
    <w:rsid w:val="0AE53A23"/>
    <w:rsid w:val="0AF04DE3"/>
    <w:rsid w:val="0AF77769"/>
    <w:rsid w:val="0B1622F3"/>
    <w:rsid w:val="0B196461"/>
    <w:rsid w:val="0B265968"/>
    <w:rsid w:val="0B2F54E8"/>
    <w:rsid w:val="0B431EA3"/>
    <w:rsid w:val="0B4B24E6"/>
    <w:rsid w:val="0B4D33F1"/>
    <w:rsid w:val="0B5D4529"/>
    <w:rsid w:val="0B63007B"/>
    <w:rsid w:val="0B7756FD"/>
    <w:rsid w:val="0B790E11"/>
    <w:rsid w:val="0B8056D9"/>
    <w:rsid w:val="0B934390"/>
    <w:rsid w:val="0BA47C2D"/>
    <w:rsid w:val="0BBA2991"/>
    <w:rsid w:val="0BD17C20"/>
    <w:rsid w:val="0BEE2E88"/>
    <w:rsid w:val="0BF3024D"/>
    <w:rsid w:val="0BF5457B"/>
    <w:rsid w:val="0C006D79"/>
    <w:rsid w:val="0C007A5B"/>
    <w:rsid w:val="0C063434"/>
    <w:rsid w:val="0C0D4688"/>
    <w:rsid w:val="0C137037"/>
    <w:rsid w:val="0C245D32"/>
    <w:rsid w:val="0C256DBD"/>
    <w:rsid w:val="0C351BB7"/>
    <w:rsid w:val="0C3F2D45"/>
    <w:rsid w:val="0C4C3EA9"/>
    <w:rsid w:val="0C700F92"/>
    <w:rsid w:val="0C946A5E"/>
    <w:rsid w:val="0C9E1102"/>
    <w:rsid w:val="0CB420DC"/>
    <w:rsid w:val="0CCA04AF"/>
    <w:rsid w:val="0CCE24A1"/>
    <w:rsid w:val="0CD429D0"/>
    <w:rsid w:val="0CD650A1"/>
    <w:rsid w:val="0CD70B52"/>
    <w:rsid w:val="0CD86C08"/>
    <w:rsid w:val="0CE25D75"/>
    <w:rsid w:val="0CF804D1"/>
    <w:rsid w:val="0CFA155A"/>
    <w:rsid w:val="0D0526BA"/>
    <w:rsid w:val="0D0874B9"/>
    <w:rsid w:val="0D1E1590"/>
    <w:rsid w:val="0D3C60E0"/>
    <w:rsid w:val="0D542FAB"/>
    <w:rsid w:val="0D57274B"/>
    <w:rsid w:val="0DB732EF"/>
    <w:rsid w:val="0DBC4644"/>
    <w:rsid w:val="0DBC47C6"/>
    <w:rsid w:val="0DC108C7"/>
    <w:rsid w:val="0E00661D"/>
    <w:rsid w:val="0E2523D3"/>
    <w:rsid w:val="0E291CFB"/>
    <w:rsid w:val="0E2948E1"/>
    <w:rsid w:val="0E4077EF"/>
    <w:rsid w:val="0E4756E1"/>
    <w:rsid w:val="0E5139F9"/>
    <w:rsid w:val="0E521483"/>
    <w:rsid w:val="0E5600F2"/>
    <w:rsid w:val="0E6A22A4"/>
    <w:rsid w:val="0E72396F"/>
    <w:rsid w:val="0E7A409C"/>
    <w:rsid w:val="0E996911"/>
    <w:rsid w:val="0E9D562B"/>
    <w:rsid w:val="0EA01FE8"/>
    <w:rsid w:val="0EAA6ACD"/>
    <w:rsid w:val="0EB54247"/>
    <w:rsid w:val="0EC87299"/>
    <w:rsid w:val="0ECA62D4"/>
    <w:rsid w:val="0EDF32D0"/>
    <w:rsid w:val="0EDF7FC4"/>
    <w:rsid w:val="0EE42B24"/>
    <w:rsid w:val="0EE6399A"/>
    <w:rsid w:val="0EEF5E25"/>
    <w:rsid w:val="0EF172EB"/>
    <w:rsid w:val="0F132CE6"/>
    <w:rsid w:val="0F255CCE"/>
    <w:rsid w:val="0F27658F"/>
    <w:rsid w:val="0F427144"/>
    <w:rsid w:val="0F546367"/>
    <w:rsid w:val="0F616F92"/>
    <w:rsid w:val="0F772EAA"/>
    <w:rsid w:val="0F785333"/>
    <w:rsid w:val="0F8676D2"/>
    <w:rsid w:val="0F92700F"/>
    <w:rsid w:val="0FA6361E"/>
    <w:rsid w:val="0FAF00F9"/>
    <w:rsid w:val="0FC4644C"/>
    <w:rsid w:val="0FCB35C3"/>
    <w:rsid w:val="0FD146C5"/>
    <w:rsid w:val="0FF137B6"/>
    <w:rsid w:val="0FF360CA"/>
    <w:rsid w:val="0FF94B4B"/>
    <w:rsid w:val="100A79D5"/>
    <w:rsid w:val="101428A6"/>
    <w:rsid w:val="101A223A"/>
    <w:rsid w:val="10201FC1"/>
    <w:rsid w:val="105E5C41"/>
    <w:rsid w:val="10631B5B"/>
    <w:rsid w:val="106A0DA2"/>
    <w:rsid w:val="106C1138"/>
    <w:rsid w:val="106E3076"/>
    <w:rsid w:val="10735E28"/>
    <w:rsid w:val="10861954"/>
    <w:rsid w:val="10953815"/>
    <w:rsid w:val="10A17382"/>
    <w:rsid w:val="10A45194"/>
    <w:rsid w:val="10BC1B14"/>
    <w:rsid w:val="10BF27EB"/>
    <w:rsid w:val="10C26359"/>
    <w:rsid w:val="10CF50A9"/>
    <w:rsid w:val="10D85778"/>
    <w:rsid w:val="10EC519C"/>
    <w:rsid w:val="10EF4030"/>
    <w:rsid w:val="10F1536D"/>
    <w:rsid w:val="10F27F80"/>
    <w:rsid w:val="10FF652D"/>
    <w:rsid w:val="11014A62"/>
    <w:rsid w:val="1102722C"/>
    <w:rsid w:val="11032564"/>
    <w:rsid w:val="11050D97"/>
    <w:rsid w:val="11085120"/>
    <w:rsid w:val="11142D86"/>
    <w:rsid w:val="11173CBE"/>
    <w:rsid w:val="111B3E01"/>
    <w:rsid w:val="11213EA8"/>
    <w:rsid w:val="113D1CA3"/>
    <w:rsid w:val="11432835"/>
    <w:rsid w:val="115348AA"/>
    <w:rsid w:val="116024A1"/>
    <w:rsid w:val="11671785"/>
    <w:rsid w:val="116C1205"/>
    <w:rsid w:val="11727F65"/>
    <w:rsid w:val="11826C6A"/>
    <w:rsid w:val="1195396C"/>
    <w:rsid w:val="11A135E6"/>
    <w:rsid w:val="11A70D4A"/>
    <w:rsid w:val="11AE6A79"/>
    <w:rsid w:val="11D61CAA"/>
    <w:rsid w:val="11E675CE"/>
    <w:rsid w:val="11E7721B"/>
    <w:rsid w:val="11E9506F"/>
    <w:rsid w:val="11EE1F77"/>
    <w:rsid w:val="12072EA1"/>
    <w:rsid w:val="1207412A"/>
    <w:rsid w:val="121D1B58"/>
    <w:rsid w:val="12374CB3"/>
    <w:rsid w:val="12382EB4"/>
    <w:rsid w:val="123863D2"/>
    <w:rsid w:val="123A0877"/>
    <w:rsid w:val="126224ED"/>
    <w:rsid w:val="12665599"/>
    <w:rsid w:val="126959DD"/>
    <w:rsid w:val="12974E77"/>
    <w:rsid w:val="129F4623"/>
    <w:rsid w:val="12BF4080"/>
    <w:rsid w:val="12D071A5"/>
    <w:rsid w:val="12D35128"/>
    <w:rsid w:val="12E10D47"/>
    <w:rsid w:val="12F17558"/>
    <w:rsid w:val="12FF3991"/>
    <w:rsid w:val="13066723"/>
    <w:rsid w:val="130E4375"/>
    <w:rsid w:val="13117F9F"/>
    <w:rsid w:val="131A61FB"/>
    <w:rsid w:val="1322397E"/>
    <w:rsid w:val="133574F4"/>
    <w:rsid w:val="1338365F"/>
    <w:rsid w:val="133A1F99"/>
    <w:rsid w:val="134525F8"/>
    <w:rsid w:val="134F24D1"/>
    <w:rsid w:val="135F2F97"/>
    <w:rsid w:val="13600CB3"/>
    <w:rsid w:val="13814106"/>
    <w:rsid w:val="138F10CE"/>
    <w:rsid w:val="1392675C"/>
    <w:rsid w:val="139532F9"/>
    <w:rsid w:val="13BA7EB6"/>
    <w:rsid w:val="13BB2C32"/>
    <w:rsid w:val="13BB36C2"/>
    <w:rsid w:val="13C36F49"/>
    <w:rsid w:val="13CB385B"/>
    <w:rsid w:val="13D15807"/>
    <w:rsid w:val="13D853DB"/>
    <w:rsid w:val="13E6582D"/>
    <w:rsid w:val="13F145D4"/>
    <w:rsid w:val="13F95EB9"/>
    <w:rsid w:val="1401565F"/>
    <w:rsid w:val="141254B3"/>
    <w:rsid w:val="142D012C"/>
    <w:rsid w:val="14303889"/>
    <w:rsid w:val="1431010F"/>
    <w:rsid w:val="14463D5E"/>
    <w:rsid w:val="14535365"/>
    <w:rsid w:val="145F062C"/>
    <w:rsid w:val="145F1D72"/>
    <w:rsid w:val="14691370"/>
    <w:rsid w:val="147E741D"/>
    <w:rsid w:val="148F08B2"/>
    <w:rsid w:val="14A5590C"/>
    <w:rsid w:val="14AF64EE"/>
    <w:rsid w:val="14B76024"/>
    <w:rsid w:val="14C939D8"/>
    <w:rsid w:val="14F61844"/>
    <w:rsid w:val="14FA3656"/>
    <w:rsid w:val="14FB4178"/>
    <w:rsid w:val="14FE2CE1"/>
    <w:rsid w:val="15021A2E"/>
    <w:rsid w:val="154537CD"/>
    <w:rsid w:val="154C6ADD"/>
    <w:rsid w:val="154F0BB2"/>
    <w:rsid w:val="155728E7"/>
    <w:rsid w:val="15595CB7"/>
    <w:rsid w:val="15621433"/>
    <w:rsid w:val="15726B7F"/>
    <w:rsid w:val="15755E45"/>
    <w:rsid w:val="15833954"/>
    <w:rsid w:val="15842905"/>
    <w:rsid w:val="15B11FCE"/>
    <w:rsid w:val="15C02C3D"/>
    <w:rsid w:val="15CE4393"/>
    <w:rsid w:val="15D475FF"/>
    <w:rsid w:val="15D62FB7"/>
    <w:rsid w:val="15EE408F"/>
    <w:rsid w:val="15F1746A"/>
    <w:rsid w:val="15F31839"/>
    <w:rsid w:val="15FC044E"/>
    <w:rsid w:val="161511A3"/>
    <w:rsid w:val="162C6439"/>
    <w:rsid w:val="16312620"/>
    <w:rsid w:val="16425229"/>
    <w:rsid w:val="166D5C91"/>
    <w:rsid w:val="166F6CB3"/>
    <w:rsid w:val="16787AFE"/>
    <w:rsid w:val="16896BBD"/>
    <w:rsid w:val="168D5CC1"/>
    <w:rsid w:val="169A1AF1"/>
    <w:rsid w:val="16C70555"/>
    <w:rsid w:val="16D43D9D"/>
    <w:rsid w:val="16DD3690"/>
    <w:rsid w:val="16DE41CA"/>
    <w:rsid w:val="16E00C15"/>
    <w:rsid w:val="16F71208"/>
    <w:rsid w:val="16F766DA"/>
    <w:rsid w:val="16F93553"/>
    <w:rsid w:val="16FB32A6"/>
    <w:rsid w:val="16FD55AB"/>
    <w:rsid w:val="17017F86"/>
    <w:rsid w:val="170F0360"/>
    <w:rsid w:val="170F7779"/>
    <w:rsid w:val="1720357C"/>
    <w:rsid w:val="17252504"/>
    <w:rsid w:val="17292E3E"/>
    <w:rsid w:val="172B6DB1"/>
    <w:rsid w:val="174A444F"/>
    <w:rsid w:val="17610B4F"/>
    <w:rsid w:val="17664374"/>
    <w:rsid w:val="176A46BD"/>
    <w:rsid w:val="176C6C24"/>
    <w:rsid w:val="176E11C2"/>
    <w:rsid w:val="17771445"/>
    <w:rsid w:val="178651EB"/>
    <w:rsid w:val="178C2F23"/>
    <w:rsid w:val="17920BFD"/>
    <w:rsid w:val="179A2036"/>
    <w:rsid w:val="17A0154D"/>
    <w:rsid w:val="17B35A66"/>
    <w:rsid w:val="17B55537"/>
    <w:rsid w:val="17BF3FEA"/>
    <w:rsid w:val="17D45763"/>
    <w:rsid w:val="17E32729"/>
    <w:rsid w:val="1804162A"/>
    <w:rsid w:val="18160E17"/>
    <w:rsid w:val="182A297B"/>
    <w:rsid w:val="1833394E"/>
    <w:rsid w:val="183B2650"/>
    <w:rsid w:val="1849753C"/>
    <w:rsid w:val="18581E27"/>
    <w:rsid w:val="185A48ED"/>
    <w:rsid w:val="185D7391"/>
    <w:rsid w:val="186324A0"/>
    <w:rsid w:val="18633E47"/>
    <w:rsid w:val="1883086C"/>
    <w:rsid w:val="18876269"/>
    <w:rsid w:val="188A3673"/>
    <w:rsid w:val="18953D2D"/>
    <w:rsid w:val="189A181B"/>
    <w:rsid w:val="189E7942"/>
    <w:rsid w:val="18C46704"/>
    <w:rsid w:val="18DB577D"/>
    <w:rsid w:val="18DC3664"/>
    <w:rsid w:val="18E731C8"/>
    <w:rsid w:val="18FB24C5"/>
    <w:rsid w:val="19162285"/>
    <w:rsid w:val="191B6E9B"/>
    <w:rsid w:val="19496DA2"/>
    <w:rsid w:val="195F6442"/>
    <w:rsid w:val="19727327"/>
    <w:rsid w:val="19813589"/>
    <w:rsid w:val="19B23C2F"/>
    <w:rsid w:val="19B723E0"/>
    <w:rsid w:val="19B83F22"/>
    <w:rsid w:val="19C15671"/>
    <w:rsid w:val="19C867C9"/>
    <w:rsid w:val="19E2656B"/>
    <w:rsid w:val="19EE6437"/>
    <w:rsid w:val="1A1919E8"/>
    <w:rsid w:val="1A200C53"/>
    <w:rsid w:val="1A5F2D7D"/>
    <w:rsid w:val="1A6356AC"/>
    <w:rsid w:val="1A7F5449"/>
    <w:rsid w:val="1A830A51"/>
    <w:rsid w:val="1A831654"/>
    <w:rsid w:val="1A8B6100"/>
    <w:rsid w:val="1A8C739D"/>
    <w:rsid w:val="1A934634"/>
    <w:rsid w:val="1AA678B9"/>
    <w:rsid w:val="1AB01AA7"/>
    <w:rsid w:val="1AB13DE6"/>
    <w:rsid w:val="1AB25834"/>
    <w:rsid w:val="1ABD238E"/>
    <w:rsid w:val="1AC57BFC"/>
    <w:rsid w:val="1ACD710F"/>
    <w:rsid w:val="1ADC6DBC"/>
    <w:rsid w:val="1AFC2F3E"/>
    <w:rsid w:val="1B0032DD"/>
    <w:rsid w:val="1B157E72"/>
    <w:rsid w:val="1B187219"/>
    <w:rsid w:val="1B1A0862"/>
    <w:rsid w:val="1B265D91"/>
    <w:rsid w:val="1B294970"/>
    <w:rsid w:val="1B2B2FE2"/>
    <w:rsid w:val="1B2D7862"/>
    <w:rsid w:val="1B2E2157"/>
    <w:rsid w:val="1B3C1E31"/>
    <w:rsid w:val="1B3F56A8"/>
    <w:rsid w:val="1B452A3E"/>
    <w:rsid w:val="1B497116"/>
    <w:rsid w:val="1B515CBC"/>
    <w:rsid w:val="1B5D1240"/>
    <w:rsid w:val="1B650C3A"/>
    <w:rsid w:val="1B735669"/>
    <w:rsid w:val="1B855499"/>
    <w:rsid w:val="1BB904EF"/>
    <w:rsid w:val="1BC91626"/>
    <w:rsid w:val="1BF64A6B"/>
    <w:rsid w:val="1BFF50A7"/>
    <w:rsid w:val="1C006A5E"/>
    <w:rsid w:val="1C37339B"/>
    <w:rsid w:val="1C3A41E2"/>
    <w:rsid w:val="1C3C3C95"/>
    <w:rsid w:val="1C450A26"/>
    <w:rsid w:val="1C535CAF"/>
    <w:rsid w:val="1C6335E7"/>
    <w:rsid w:val="1C970FD8"/>
    <w:rsid w:val="1CC932F4"/>
    <w:rsid w:val="1CCC56DC"/>
    <w:rsid w:val="1CCE7826"/>
    <w:rsid w:val="1CE30CD4"/>
    <w:rsid w:val="1CE47F22"/>
    <w:rsid w:val="1CE75D1E"/>
    <w:rsid w:val="1CF10926"/>
    <w:rsid w:val="1CF904CA"/>
    <w:rsid w:val="1D1A42B2"/>
    <w:rsid w:val="1D2005DF"/>
    <w:rsid w:val="1D31745E"/>
    <w:rsid w:val="1D352737"/>
    <w:rsid w:val="1D3535E0"/>
    <w:rsid w:val="1D387F66"/>
    <w:rsid w:val="1D3A2599"/>
    <w:rsid w:val="1D3F67F7"/>
    <w:rsid w:val="1D762E16"/>
    <w:rsid w:val="1D7E6160"/>
    <w:rsid w:val="1D897864"/>
    <w:rsid w:val="1D8B2357"/>
    <w:rsid w:val="1D8F13E5"/>
    <w:rsid w:val="1D9219AE"/>
    <w:rsid w:val="1DB631DA"/>
    <w:rsid w:val="1DBC5695"/>
    <w:rsid w:val="1DC351FD"/>
    <w:rsid w:val="1DD03214"/>
    <w:rsid w:val="1DD16643"/>
    <w:rsid w:val="1DD84F0B"/>
    <w:rsid w:val="1DE3780C"/>
    <w:rsid w:val="1DE95F0B"/>
    <w:rsid w:val="1DF9733C"/>
    <w:rsid w:val="1E014285"/>
    <w:rsid w:val="1E022E1F"/>
    <w:rsid w:val="1E20277C"/>
    <w:rsid w:val="1E217AF0"/>
    <w:rsid w:val="1E3625DC"/>
    <w:rsid w:val="1E4330B6"/>
    <w:rsid w:val="1E5033D7"/>
    <w:rsid w:val="1E543C87"/>
    <w:rsid w:val="1EA54846"/>
    <w:rsid w:val="1EB43F7B"/>
    <w:rsid w:val="1EB66BE5"/>
    <w:rsid w:val="1EC76A61"/>
    <w:rsid w:val="1ED14EAE"/>
    <w:rsid w:val="1ED327CC"/>
    <w:rsid w:val="1ED92CAC"/>
    <w:rsid w:val="1EE12B77"/>
    <w:rsid w:val="1F070CE6"/>
    <w:rsid w:val="1F0942FD"/>
    <w:rsid w:val="1F101BE5"/>
    <w:rsid w:val="1F212D73"/>
    <w:rsid w:val="1F374741"/>
    <w:rsid w:val="1F443440"/>
    <w:rsid w:val="1F4B4B5D"/>
    <w:rsid w:val="1F4F53ED"/>
    <w:rsid w:val="1F5F4798"/>
    <w:rsid w:val="1F700094"/>
    <w:rsid w:val="1F7E1486"/>
    <w:rsid w:val="1FA9789A"/>
    <w:rsid w:val="1FC049E7"/>
    <w:rsid w:val="1FC508AF"/>
    <w:rsid w:val="1FCE1187"/>
    <w:rsid w:val="1FCE34FB"/>
    <w:rsid w:val="1FDB49E7"/>
    <w:rsid w:val="1FF43752"/>
    <w:rsid w:val="1FF55B03"/>
    <w:rsid w:val="201217DE"/>
    <w:rsid w:val="20137704"/>
    <w:rsid w:val="20182BD0"/>
    <w:rsid w:val="20201F0B"/>
    <w:rsid w:val="202C579C"/>
    <w:rsid w:val="20340A84"/>
    <w:rsid w:val="20403735"/>
    <w:rsid w:val="204125F3"/>
    <w:rsid w:val="2050481D"/>
    <w:rsid w:val="2091401D"/>
    <w:rsid w:val="2096173F"/>
    <w:rsid w:val="20A77BA7"/>
    <w:rsid w:val="20C07CFC"/>
    <w:rsid w:val="20D53CCE"/>
    <w:rsid w:val="20DB0467"/>
    <w:rsid w:val="213269CA"/>
    <w:rsid w:val="2135224E"/>
    <w:rsid w:val="213B7313"/>
    <w:rsid w:val="21427C63"/>
    <w:rsid w:val="21476759"/>
    <w:rsid w:val="21577F8C"/>
    <w:rsid w:val="217030B5"/>
    <w:rsid w:val="218B0B78"/>
    <w:rsid w:val="219927A2"/>
    <w:rsid w:val="219A172E"/>
    <w:rsid w:val="219D6BEA"/>
    <w:rsid w:val="21A668C9"/>
    <w:rsid w:val="21C43E14"/>
    <w:rsid w:val="21DA38AD"/>
    <w:rsid w:val="221973C3"/>
    <w:rsid w:val="2220168E"/>
    <w:rsid w:val="222A51CD"/>
    <w:rsid w:val="2241662B"/>
    <w:rsid w:val="226A0AEC"/>
    <w:rsid w:val="22703FCD"/>
    <w:rsid w:val="227D5948"/>
    <w:rsid w:val="228E7A3D"/>
    <w:rsid w:val="22A035A8"/>
    <w:rsid w:val="22A400DB"/>
    <w:rsid w:val="22CA6EE4"/>
    <w:rsid w:val="22CD3CFA"/>
    <w:rsid w:val="22CF23D8"/>
    <w:rsid w:val="22D879BD"/>
    <w:rsid w:val="22E33E95"/>
    <w:rsid w:val="22F5017B"/>
    <w:rsid w:val="22F65BF8"/>
    <w:rsid w:val="23015402"/>
    <w:rsid w:val="23293597"/>
    <w:rsid w:val="23404877"/>
    <w:rsid w:val="23602485"/>
    <w:rsid w:val="23762A66"/>
    <w:rsid w:val="23A05FA2"/>
    <w:rsid w:val="23AE768F"/>
    <w:rsid w:val="23AF7BEC"/>
    <w:rsid w:val="23B2552B"/>
    <w:rsid w:val="23B871F4"/>
    <w:rsid w:val="23C43826"/>
    <w:rsid w:val="23CE7D4E"/>
    <w:rsid w:val="23DA2A5C"/>
    <w:rsid w:val="23E15A7C"/>
    <w:rsid w:val="23F3612C"/>
    <w:rsid w:val="23F94C40"/>
    <w:rsid w:val="23FA738B"/>
    <w:rsid w:val="243F44EB"/>
    <w:rsid w:val="24495770"/>
    <w:rsid w:val="244E0ACE"/>
    <w:rsid w:val="24502F21"/>
    <w:rsid w:val="245453F5"/>
    <w:rsid w:val="24561F7E"/>
    <w:rsid w:val="24596409"/>
    <w:rsid w:val="246E68C2"/>
    <w:rsid w:val="247A6233"/>
    <w:rsid w:val="24853224"/>
    <w:rsid w:val="248A0A3D"/>
    <w:rsid w:val="249749E5"/>
    <w:rsid w:val="24B44534"/>
    <w:rsid w:val="24BC0FD8"/>
    <w:rsid w:val="24CA4AAF"/>
    <w:rsid w:val="24D15DB2"/>
    <w:rsid w:val="24D64800"/>
    <w:rsid w:val="24ED238C"/>
    <w:rsid w:val="24EE75D8"/>
    <w:rsid w:val="24F82DC0"/>
    <w:rsid w:val="25102BF1"/>
    <w:rsid w:val="252D5599"/>
    <w:rsid w:val="25302162"/>
    <w:rsid w:val="25323F84"/>
    <w:rsid w:val="254F0B2A"/>
    <w:rsid w:val="2560365E"/>
    <w:rsid w:val="25621593"/>
    <w:rsid w:val="256967EE"/>
    <w:rsid w:val="257E11FC"/>
    <w:rsid w:val="258153D6"/>
    <w:rsid w:val="2583371E"/>
    <w:rsid w:val="25876256"/>
    <w:rsid w:val="258B7976"/>
    <w:rsid w:val="25B013C5"/>
    <w:rsid w:val="25BA4F9E"/>
    <w:rsid w:val="25CA498C"/>
    <w:rsid w:val="25CD6B14"/>
    <w:rsid w:val="25D5758C"/>
    <w:rsid w:val="25DE7021"/>
    <w:rsid w:val="25E2163A"/>
    <w:rsid w:val="25EE493C"/>
    <w:rsid w:val="25FC1E7E"/>
    <w:rsid w:val="26127B0A"/>
    <w:rsid w:val="261C01B1"/>
    <w:rsid w:val="26201B2D"/>
    <w:rsid w:val="262D6C65"/>
    <w:rsid w:val="263C01A9"/>
    <w:rsid w:val="263C0693"/>
    <w:rsid w:val="26431D89"/>
    <w:rsid w:val="264C012F"/>
    <w:rsid w:val="265327A3"/>
    <w:rsid w:val="26550D4A"/>
    <w:rsid w:val="266A13BF"/>
    <w:rsid w:val="266A3452"/>
    <w:rsid w:val="267607C5"/>
    <w:rsid w:val="267765D8"/>
    <w:rsid w:val="26795443"/>
    <w:rsid w:val="26815F80"/>
    <w:rsid w:val="26883DEE"/>
    <w:rsid w:val="268A7862"/>
    <w:rsid w:val="268E0511"/>
    <w:rsid w:val="2695048E"/>
    <w:rsid w:val="269E5056"/>
    <w:rsid w:val="26A762E6"/>
    <w:rsid w:val="26D347FA"/>
    <w:rsid w:val="26D7660D"/>
    <w:rsid w:val="26DB5CDF"/>
    <w:rsid w:val="26DE639E"/>
    <w:rsid w:val="26E20FC4"/>
    <w:rsid w:val="26E764DF"/>
    <w:rsid w:val="26F854DC"/>
    <w:rsid w:val="27176EF2"/>
    <w:rsid w:val="27190D17"/>
    <w:rsid w:val="273B094A"/>
    <w:rsid w:val="275D2FB6"/>
    <w:rsid w:val="275E6C69"/>
    <w:rsid w:val="276533BD"/>
    <w:rsid w:val="276E5B22"/>
    <w:rsid w:val="27725103"/>
    <w:rsid w:val="277F2F2D"/>
    <w:rsid w:val="27840543"/>
    <w:rsid w:val="279F5F01"/>
    <w:rsid w:val="27A56EB5"/>
    <w:rsid w:val="27AB00D3"/>
    <w:rsid w:val="27AE1C11"/>
    <w:rsid w:val="27B506FD"/>
    <w:rsid w:val="27B76B3D"/>
    <w:rsid w:val="27BB2EA4"/>
    <w:rsid w:val="27C55588"/>
    <w:rsid w:val="27C745C6"/>
    <w:rsid w:val="27C85DDF"/>
    <w:rsid w:val="27DB73A6"/>
    <w:rsid w:val="27DD7769"/>
    <w:rsid w:val="27E76150"/>
    <w:rsid w:val="27F855FD"/>
    <w:rsid w:val="28072FE7"/>
    <w:rsid w:val="28156CD0"/>
    <w:rsid w:val="281A0EA7"/>
    <w:rsid w:val="281D483C"/>
    <w:rsid w:val="28223631"/>
    <w:rsid w:val="28261F89"/>
    <w:rsid w:val="28290077"/>
    <w:rsid w:val="284C2F7F"/>
    <w:rsid w:val="286819AC"/>
    <w:rsid w:val="28685CA3"/>
    <w:rsid w:val="287871B2"/>
    <w:rsid w:val="28896A8E"/>
    <w:rsid w:val="28A64D85"/>
    <w:rsid w:val="28A7096E"/>
    <w:rsid w:val="28B27397"/>
    <w:rsid w:val="28BC58E0"/>
    <w:rsid w:val="28D0768F"/>
    <w:rsid w:val="28D45F41"/>
    <w:rsid w:val="28D85424"/>
    <w:rsid w:val="28EE1927"/>
    <w:rsid w:val="28F16A15"/>
    <w:rsid w:val="28F96F63"/>
    <w:rsid w:val="2937372F"/>
    <w:rsid w:val="293F5CE9"/>
    <w:rsid w:val="29514455"/>
    <w:rsid w:val="298B53EC"/>
    <w:rsid w:val="298C550A"/>
    <w:rsid w:val="298E56A9"/>
    <w:rsid w:val="299B69F4"/>
    <w:rsid w:val="29A67A91"/>
    <w:rsid w:val="29AF5C11"/>
    <w:rsid w:val="29B9024C"/>
    <w:rsid w:val="29C41D6F"/>
    <w:rsid w:val="29DD03DE"/>
    <w:rsid w:val="29DD54B5"/>
    <w:rsid w:val="29E6568D"/>
    <w:rsid w:val="29F5754E"/>
    <w:rsid w:val="29F73B17"/>
    <w:rsid w:val="29FC7C4B"/>
    <w:rsid w:val="2A020879"/>
    <w:rsid w:val="2A0F04BE"/>
    <w:rsid w:val="2A0F2939"/>
    <w:rsid w:val="2A160998"/>
    <w:rsid w:val="2A244A18"/>
    <w:rsid w:val="2A281B58"/>
    <w:rsid w:val="2A302E0A"/>
    <w:rsid w:val="2A3E5D4F"/>
    <w:rsid w:val="2A476437"/>
    <w:rsid w:val="2A706EC2"/>
    <w:rsid w:val="2A707723"/>
    <w:rsid w:val="2A871EA7"/>
    <w:rsid w:val="2AE01862"/>
    <w:rsid w:val="2AFC42F1"/>
    <w:rsid w:val="2B040C40"/>
    <w:rsid w:val="2B085C15"/>
    <w:rsid w:val="2B1939D1"/>
    <w:rsid w:val="2B1C3B49"/>
    <w:rsid w:val="2B425A6E"/>
    <w:rsid w:val="2B58796E"/>
    <w:rsid w:val="2B6526C3"/>
    <w:rsid w:val="2B7E33F5"/>
    <w:rsid w:val="2B7F7BDA"/>
    <w:rsid w:val="2B8C1B11"/>
    <w:rsid w:val="2B9C0A68"/>
    <w:rsid w:val="2BA867C7"/>
    <w:rsid w:val="2BAB5F13"/>
    <w:rsid w:val="2BB55A35"/>
    <w:rsid w:val="2BBA7A9E"/>
    <w:rsid w:val="2BBD0B4F"/>
    <w:rsid w:val="2BBE0747"/>
    <w:rsid w:val="2BCB74D6"/>
    <w:rsid w:val="2BCF3C8F"/>
    <w:rsid w:val="2BD14A92"/>
    <w:rsid w:val="2BD60582"/>
    <w:rsid w:val="2BD97E7D"/>
    <w:rsid w:val="2BDB0A78"/>
    <w:rsid w:val="2BDE64E8"/>
    <w:rsid w:val="2BF17DC0"/>
    <w:rsid w:val="2C0171DD"/>
    <w:rsid w:val="2C0A66F4"/>
    <w:rsid w:val="2C146A11"/>
    <w:rsid w:val="2C3C2DE4"/>
    <w:rsid w:val="2C452415"/>
    <w:rsid w:val="2C487536"/>
    <w:rsid w:val="2C4A2442"/>
    <w:rsid w:val="2C4B517F"/>
    <w:rsid w:val="2C4C6272"/>
    <w:rsid w:val="2C4F1936"/>
    <w:rsid w:val="2C534B72"/>
    <w:rsid w:val="2C584364"/>
    <w:rsid w:val="2C6369EB"/>
    <w:rsid w:val="2C722240"/>
    <w:rsid w:val="2C8213ED"/>
    <w:rsid w:val="2C8661BB"/>
    <w:rsid w:val="2C947B55"/>
    <w:rsid w:val="2C957320"/>
    <w:rsid w:val="2CB1633D"/>
    <w:rsid w:val="2CB35738"/>
    <w:rsid w:val="2CB5323B"/>
    <w:rsid w:val="2CB979B4"/>
    <w:rsid w:val="2CCD5895"/>
    <w:rsid w:val="2CD43500"/>
    <w:rsid w:val="2CD61F47"/>
    <w:rsid w:val="2CE55A9A"/>
    <w:rsid w:val="2CF84FFC"/>
    <w:rsid w:val="2D065927"/>
    <w:rsid w:val="2D0C576E"/>
    <w:rsid w:val="2D0E6524"/>
    <w:rsid w:val="2D171AE9"/>
    <w:rsid w:val="2D1944EE"/>
    <w:rsid w:val="2D1B5BD1"/>
    <w:rsid w:val="2D1E3DE7"/>
    <w:rsid w:val="2D24719C"/>
    <w:rsid w:val="2D376191"/>
    <w:rsid w:val="2D3D6372"/>
    <w:rsid w:val="2D4F5C4B"/>
    <w:rsid w:val="2D580D59"/>
    <w:rsid w:val="2D9670EE"/>
    <w:rsid w:val="2DAD4F4E"/>
    <w:rsid w:val="2DB140EA"/>
    <w:rsid w:val="2DB63F1A"/>
    <w:rsid w:val="2DD352DD"/>
    <w:rsid w:val="2DD965EF"/>
    <w:rsid w:val="2DEE0B8D"/>
    <w:rsid w:val="2DEF6EB7"/>
    <w:rsid w:val="2E020414"/>
    <w:rsid w:val="2E2B1447"/>
    <w:rsid w:val="2E2B6B68"/>
    <w:rsid w:val="2E3479AD"/>
    <w:rsid w:val="2E3E70F8"/>
    <w:rsid w:val="2E4F5130"/>
    <w:rsid w:val="2E516CA5"/>
    <w:rsid w:val="2E5401F6"/>
    <w:rsid w:val="2E6B0DF2"/>
    <w:rsid w:val="2E74001E"/>
    <w:rsid w:val="2E8C113C"/>
    <w:rsid w:val="2E95610C"/>
    <w:rsid w:val="2E964CBB"/>
    <w:rsid w:val="2EA92D81"/>
    <w:rsid w:val="2EB24D71"/>
    <w:rsid w:val="2ECD4896"/>
    <w:rsid w:val="2F022B10"/>
    <w:rsid w:val="2F0F1BCB"/>
    <w:rsid w:val="2F0F1D34"/>
    <w:rsid w:val="2F135F73"/>
    <w:rsid w:val="2F1B3B1F"/>
    <w:rsid w:val="2F2414BE"/>
    <w:rsid w:val="2F4857F8"/>
    <w:rsid w:val="2F5271DE"/>
    <w:rsid w:val="2F5A0E01"/>
    <w:rsid w:val="2F714561"/>
    <w:rsid w:val="2F877927"/>
    <w:rsid w:val="2F8877BB"/>
    <w:rsid w:val="2F9110F1"/>
    <w:rsid w:val="2F954526"/>
    <w:rsid w:val="2FA266C8"/>
    <w:rsid w:val="2FB91D02"/>
    <w:rsid w:val="2FDC600F"/>
    <w:rsid w:val="2FF41FDB"/>
    <w:rsid w:val="30071D11"/>
    <w:rsid w:val="300744CD"/>
    <w:rsid w:val="300C6536"/>
    <w:rsid w:val="30180677"/>
    <w:rsid w:val="301E39AF"/>
    <w:rsid w:val="30440DDC"/>
    <w:rsid w:val="304E6913"/>
    <w:rsid w:val="30515682"/>
    <w:rsid w:val="30633A22"/>
    <w:rsid w:val="30674ACE"/>
    <w:rsid w:val="30732FA0"/>
    <w:rsid w:val="307367A9"/>
    <w:rsid w:val="309A6F98"/>
    <w:rsid w:val="30A825CC"/>
    <w:rsid w:val="30AC3211"/>
    <w:rsid w:val="30C708AE"/>
    <w:rsid w:val="30C93B1B"/>
    <w:rsid w:val="30CD7EFD"/>
    <w:rsid w:val="30D81337"/>
    <w:rsid w:val="30ED3E75"/>
    <w:rsid w:val="30F11232"/>
    <w:rsid w:val="30F346B4"/>
    <w:rsid w:val="312070FD"/>
    <w:rsid w:val="312646F3"/>
    <w:rsid w:val="312B6DFE"/>
    <w:rsid w:val="31366EB5"/>
    <w:rsid w:val="313C1E8F"/>
    <w:rsid w:val="31470291"/>
    <w:rsid w:val="31625D70"/>
    <w:rsid w:val="31677002"/>
    <w:rsid w:val="316817BE"/>
    <w:rsid w:val="316D5522"/>
    <w:rsid w:val="31854368"/>
    <w:rsid w:val="31941F23"/>
    <w:rsid w:val="3196684B"/>
    <w:rsid w:val="31A44824"/>
    <w:rsid w:val="31A517E2"/>
    <w:rsid w:val="31AF4AD3"/>
    <w:rsid w:val="31C8033E"/>
    <w:rsid w:val="32021F2A"/>
    <w:rsid w:val="32315B05"/>
    <w:rsid w:val="3236199F"/>
    <w:rsid w:val="32417D30"/>
    <w:rsid w:val="32517748"/>
    <w:rsid w:val="325C11C4"/>
    <w:rsid w:val="326A6BC5"/>
    <w:rsid w:val="32705150"/>
    <w:rsid w:val="32770A74"/>
    <w:rsid w:val="32871064"/>
    <w:rsid w:val="329769CF"/>
    <w:rsid w:val="329A1A93"/>
    <w:rsid w:val="32A126F5"/>
    <w:rsid w:val="32A575F8"/>
    <w:rsid w:val="32AA3175"/>
    <w:rsid w:val="32B97894"/>
    <w:rsid w:val="32C17ED1"/>
    <w:rsid w:val="32C97D96"/>
    <w:rsid w:val="32CA3AB7"/>
    <w:rsid w:val="32CF5105"/>
    <w:rsid w:val="32D4231F"/>
    <w:rsid w:val="32D82E27"/>
    <w:rsid w:val="331114A6"/>
    <w:rsid w:val="332160F9"/>
    <w:rsid w:val="3323411E"/>
    <w:rsid w:val="33274B51"/>
    <w:rsid w:val="333851C0"/>
    <w:rsid w:val="334274B8"/>
    <w:rsid w:val="33427BB6"/>
    <w:rsid w:val="33445128"/>
    <w:rsid w:val="33475D2F"/>
    <w:rsid w:val="33770781"/>
    <w:rsid w:val="3392223A"/>
    <w:rsid w:val="33A26F6E"/>
    <w:rsid w:val="33BA61C5"/>
    <w:rsid w:val="33BD093C"/>
    <w:rsid w:val="33C87900"/>
    <w:rsid w:val="33D6036E"/>
    <w:rsid w:val="33DB6E4B"/>
    <w:rsid w:val="33DD069F"/>
    <w:rsid w:val="33F04CFA"/>
    <w:rsid w:val="33F75AFD"/>
    <w:rsid w:val="34045566"/>
    <w:rsid w:val="34090E8F"/>
    <w:rsid w:val="340927D7"/>
    <w:rsid w:val="341F45A0"/>
    <w:rsid w:val="343B0DDB"/>
    <w:rsid w:val="34406596"/>
    <w:rsid w:val="344D7C8A"/>
    <w:rsid w:val="34662AFC"/>
    <w:rsid w:val="346B298C"/>
    <w:rsid w:val="346E327D"/>
    <w:rsid w:val="348957C0"/>
    <w:rsid w:val="3491331C"/>
    <w:rsid w:val="349409D7"/>
    <w:rsid w:val="3496165E"/>
    <w:rsid w:val="349C02EC"/>
    <w:rsid w:val="34AD7CFB"/>
    <w:rsid w:val="34B30686"/>
    <w:rsid w:val="34B51B07"/>
    <w:rsid w:val="34C40731"/>
    <w:rsid w:val="34C73FCE"/>
    <w:rsid w:val="34DB3F45"/>
    <w:rsid w:val="34E7705E"/>
    <w:rsid w:val="34E94A98"/>
    <w:rsid w:val="3507608E"/>
    <w:rsid w:val="351967D4"/>
    <w:rsid w:val="3533318D"/>
    <w:rsid w:val="35525B4F"/>
    <w:rsid w:val="35591191"/>
    <w:rsid w:val="355C627A"/>
    <w:rsid w:val="355F1FA0"/>
    <w:rsid w:val="35613834"/>
    <w:rsid w:val="358B0861"/>
    <w:rsid w:val="35913D09"/>
    <w:rsid w:val="35B87F3A"/>
    <w:rsid w:val="35D44169"/>
    <w:rsid w:val="35DC1A3E"/>
    <w:rsid w:val="35E05D63"/>
    <w:rsid w:val="35EB691D"/>
    <w:rsid w:val="35F440B6"/>
    <w:rsid w:val="36062C97"/>
    <w:rsid w:val="360F461D"/>
    <w:rsid w:val="362D48EF"/>
    <w:rsid w:val="362D4E28"/>
    <w:rsid w:val="36317647"/>
    <w:rsid w:val="364C2B74"/>
    <w:rsid w:val="365349FF"/>
    <w:rsid w:val="3667211A"/>
    <w:rsid w:val="36805056"/>
    <w:rsid w:val="3691628A"/>
    <w:rsid w:val="369928D3"/>
    <w:rsid w:val="36A02CAD"/>
    <w:rsid w:val="36A94DDA"/>
    <w:rsid w:val="36C268A3"/>
    <w:rsid w:val="36C327FF"/>
    <w:rsid w:val="36C36BD5"/>
    <w:rsid w:val="36D5431D"/>
    <w:rsid w:val="36D95331"/>
    <w:rsid w:val="36DA57BB"/>
    <w:rsid w:val="36DD1E21"/>
    <w:rsid w:val="36E623E4"/>
    <w:rsid w:val="36F876DC"/>
    <w:rsid w:val="36FF3E66"/>
    <w:rsid w:val="370A5DF7"/>
    <w:rsid w:val="370E7AE8"/>
    <w:rsid w:val="37105D0D"/>
    <w:rsid w:val="3722283C"/>
    <w:rsid w:val="37503573"/>
    <w:rsid w:val="37651382"/>
    <w:rsid w:val="3779434B"/>
    <w:rsid w:val="378B0188"/>
    <w:rsid w:val="37911D1E"/>
    <w:rsid w:val="37A126A3"/>
    <w:rsid w:val="37AD2CDE"/>
    <w:rsid w:val="37C77473"/>
    <w:rsid w:val="37C879AB"/>
    <w:rsid w:val="37CF2F7D"/>
    <w:rsid w:val="37EA0D2B"/>
    <w:rsid w:val="37F742DF"/>
    <w:rsid w:val="38021B0D"/>
    <w:rsid w:val="38097006"/>
    <w:rsid w:val="38164E4D"/>
    <w:rsid w:val="386462D7"/>
    <w:rsid w:val="38821599"/>
    <w:rsid w:val="389B749B"/>
    <w:rsid w:val="38A930BC"/>
    <w:rsid w:val="38AF210E"/>
    <w:rsid w:val="38B9365C"/>
    <w:rsid w:val="38BD1B2F"/>
    <w:rsid w:val="38C03495"/>
    <w:rsid w:val="38E555A6"/>
    <w:rsid w:val="391B3048"/>
    <w:rsid w:val="391E7D57"/>
    <w:rsid w:val="39361584"/>
    <w:rsid w:val="393A75DE"/>
    <w:rsid w:val="394C04A3"/>
    <w:rsid w:val="395E51BB"/>
    <w:rsid w:val="396C0E37"/>
    <w:rsid w:val="39751B78"/>
    <w:rsid w:val="39861EF9"/>
    <w:rsid w:val="39897BCB"/>
    <w:rsid w:val="398E67B7"/>
    <w:rsid w:val="39A0641B"/>
    <w:rsid w:val="39A82BF6"/>
    <w:rsid w:val="39A8639B"/>
    <w:rsid w:val="39B8270F"/>
    <w:rsid w:val="39D06316"/>
    <w:rsid w:val="39E61EBA"/>
    <w:rsid w:val="39F62569"/>
    <w:rsid w:val="3A1058D6"/>
    <w:rsid w:val="3A2A1F43"/>
    <w:rsid w:val="3A304913"/>
    <w:rsid w:val="3A4F49E1"/>
    <w:rsid w:val="3A5B326E"/>
    <w:rsid w:val="3A647D60"/>
    <w:rsid w:val="3A7B3070"/>
    <w:rsid w:val="3A7C337E"/>
    <w:rsid w:val="3A972672"/>
    <w:rsid w:val="3A9F169B"/>
    <w:rsid w:val="3AA056B4"/>
    <w:rsid w:val="3AA61FBA"/>
    <w:rsid w:val="3AA94B12"/>
    <w:rsid w:val="3AB111F7"/>
    <w:rsid w:val="3AB331C1"/>
    <w:rsid w:val="3AB80B0A"/>
    <w:rsid w:val="3AD0206F"/>
    <w:rsid w:val="3AE44621"/>
    <w:rsid w:val="3B137724"/>
    <w:rsid w:val="3B2A670A"/>
    <w:rsid w:val="3B2B1626"/>
    <w:rsid w:val="3B2B2C02"/>
    <w:rsid w:val="3B336194"/>
    <w:rsid w:val="3B3876E0"/>
    <w:rsid w:val="3B3F3464"/>
    <w:rsid w:val="3B3F5886"/>
    <w:rsid w:val="3B493D0C"/>
    <w:rsid w:val="3B4B085A"/>
    <w:rsid w:val="3B5405EF"/>
    <w:rsid w:val="3B5622D8"/>
    <w:rsid w:val="3B5D38D0"/>
    <w:rsid w:val="3B69616A"/>
    <w:rsid w:val="3B724859"/>
    <w:rsid w:val="3B7D4576"/>
    <w:rsid w:val="3B8F5373"/>
    <w:rsid w:val="3B9169CA"/>
    <w:rsid w:val="3BAB6843"/>
    <w:rsid w:val="3BAC751F"/>
    <w:rsid w:val="3BAD0342"/>
    <w:rsid w:val="3BAF3BA3"/>
    <w:rsid w:val="3BAF7E68"/>
    <w:rsid w:val="3BB80376"/>
    <w:rsid w:val="3BB865B6"/>
    <w:rsid w:val="3BD466DA"/>
    <w:rsid w:val="3BD77473"/>
    <w:rsid w:val="3BE329DE"/>
    <w:rsid w:val="3C004876"/>
    <w:rsid w:val="3C0E6550"/>
    <w:rsid w:val="3C12543D"/>
    <w:rsid w:val="3C153DAE"/>
    <w:rsid w:val="3C156DC9"/>
    <w:rsid w:val="3C197AA2"/>
    <w:rsid w:val="3C277A20"/>
    <w:rsid w:val="3C353AFB"/>
    <w:rsid w:val="3C43303E"/>
    <w:rsid w:val="3C440A09"/>
    <w:rsid w:val="3C54700A"/>
    <w:rsid w:val="3C59734B"/>
    <w:rsid w:val="3C5F6A31"/>
    <w:rsid w:val="3C62143A"/>
    <w:rsid w:val="3C9E2BAC"/>
    <w:rsid w:val="3CA54DD0"/>
    <w:rsid w:val="3CAC1509"/>
    <w:rsid w:val="3CBE19FF"/>
    <w:rsid w:val="3CBE7BFC"/>
    <w:rsid w:val="3CC46F1C"/>
    <w:rsid w:val="3CCA47F2"/>
    <w:rsid w:val="3CCF49A4"/>
    <w:rsid w:val="3CD33363"/>
    <w:rsid w:val="3CD47902"/>
    <w:rsid w:val="3CDD4A52"/>
    <w:rsid w:val="3D1D31AD"/>
    <w:rsid w:val="3D1F6385"/>
    <w:rsid w:val="3D246FFF"/>
    <w:rsid w:val="3D3C52E7"/>
    <w:rsid w:val="3D4418F4"/>
    <w:rsid w:val="3D512043"/>
    <w:rsid w:val="3D7D16E8"/>
    <w:rsid w:val="3D7D3752"/>
    <w:rsid w:val="3D821FF8"/>
    <w:rsid w:val="3D845D4A"/>
    <w:rsid w:val="3D865A5D"/>
    <w:rsid w:val="3DA0122B"/>
    <w:rsid w:val="3DBD73FD"/>
    <w:rsid w:val="3DCF0787"/>
    <w:rsid w:val="3DE20498"/>
    <w:rsid w:val="3DE522A2"/>
    <w:rsid w:val="3DEC3227"/>
    <w:rsid w:val="3DFF5BA7"/>
    <w:rsid w:val="3E10797C"/>
    <w:rsid w:val="3E126451"/>
    <w:rsid w:val="3E136BDF"/>
    <w:rsid w:val="3E260F74"/>
    <w:rsid w:val="3E2A6463"/>
    <w:rsid w:val="3E2D51B7"/>
    <w:rsid w:val="3E3101D2"/>
    <w:rsid w:val="3E31464D"/>
    <w:rsid w:val="3E3519F4"/>
    <w:rsid w:val="3E48029F"/>
    <w:rsid w:val="3E4D3301"/>
    <w:rsid w:val="3E614CE2"/>
    <w:rsid w:val="3E621E2D"/>
    <w:rsid w:val="3E7F4377"/>
    <w:rsid w:val="3E8567C1"/>
    <w:rsid w:val="3E8803DF"/>
    <w:rsid w:val="3E884D80"/>
    <w:rsid w:val="3E894239"/>
    <w:rsid w:val="3E8C3C36"/>
    <w:rsid w:val="3E976956"/>
    <w:rsid w:val="3E9C1A5E"/>
    <w:rsid w:val="3E9C707D"/>
    <w:rsid w:val="3EBC460F"/>
    <w:rsid w:val="3EC16630"/>
    <w:rsid w:val="3ECA104B"/>
    <w:rsid w:val="3ED23E32"/>
    <w:rsid w:val="3EEA2F2A"/>
    <w:rsid w:val="3EED7561"/>
    <w:rsid w:val="3EF1129F"/>
    <w:rsid w:val="3EF17D6F"/>
    <w:rsid w:val="3EF926F9"/>
    <w:rsid w:val="3F091C3F"/>
    <w:rsid w:val="3F0A4783"/>
    <w:rsid w:val="3F1D32FF"/>
    <w:rsid w:val="3F285800"/>
    <w:rsid w:val="3F331283"/>
    <w:rsid w:val="3F615C83"/>
    <w:rsid w:val="3F685DEA"/>
    <w:rsid w:val="3F6C4166"/>
    <w:rsid w:val="3F7C4F50"/>
    <w:rsid w:val="3F811406"/>
    <w:rsid w:val="3F814953"/>
    <w:rsid w:val="3F82747C"/>
    <w:rsid w:val="3F963A26"/>
    <w:rsid w:val="3F9E119C"/>
    <w:rsid w:val="3FA3668F"/>
    <w:rsid w:val="3FA46FB0"/>
    <w:rsid w:val="3FB66B56"/>
    <w:rsid w:val="3FB84D11"/>
    <w:rsid w:val="3FBD6E1D"/>
    <w:rsid w:val="3FC83D00"/>
    <w:rsid w:val="3FDB22EF"/>
    <w:rsid w:val="3FDD2059"/>
    <w:rsid w:val="3FE03678"/>
    <w:rsid w:val="3FF449D7"/>
    <w:rsid w:val="3FFA7E63"/>
    <w:rsid w:val="3FFD1AD0"/>
    <w:rsid w:val="3FFF491C"/>
    <w:rsid w:val="400D3F63"/>
    <w:rsid w:val="401761AF"/>
    <w:rsid w:val="40273F8A"/>
    <w:rsid w:val="403609F5"/>
    <w:rsid w:val="403A0347"/>
    <w:rsid w:val="403C32D4"/>
    <w:rsid w:val="404A3EC7"/>
    <w:rsid w:val="404A77D2"/>
    <w:rsid w:val="4058634B"/>
    <w:rsid w:val="405F0DA8"/>
    <w:rsid w:val="40680762"/>
    <w:rsid w:val="40730181"/>
    <w:rsid w:val="40772CBF"/>
    <w:rsid w:val="407B3A38"/>
    <w:rsid w:val="408A57AC"/>
    <w:rsid w:val="4091231A"/>
    <w:rsid w:val="409D5FB3"/>
    <w:rsid w:val="40AB2E39"/>
    <w:rsid w:val="40AD4D8E"/>
    <w:rsid w:val="40B77932"/>
    <w:rsid w:val="40BF780F"/>
    <w:rsid w:val="40C960D3"/>
    <w:rsid w:val="40D6364F"/>
    <w:rsid w:val="40DF720C"/>
    <w:rsid w:val="40EC510F"/>
    <w:rsid w:val="40F2566D"/>
    <w:rsid w:val="40F33CD2"/>
    <w:rsid w:val="40FD67A8"/>
    <w:rsid w:val="411F385E"/>
    <w:rsid w:val="41251231"/>
    <w:rsid w:val="41267024"/>
    <w:rsid w:val="41293340"/>
    <w:rsid w:val="412A52B7"/>
    <w:rsid w:val="41301F63"/>
    <w:rsid w:val="41342D59"/>
    <w:rsid w:val="413E7B5F"/>
    <w:rsid w:val="41426296"/>
    <w:rsid w:val="414B524F"/>
    <w:rsid w:val="415E5D23"/>
    <w:rsid w:val="41697D08"/>
    <w:rsid w:val="4179143F"/>
    <w:rsid w:val="41AC1721"/>
    <w:rsid w:val="41AC2357"/>
    <w:rsid w:val="41B04689"/>
    <w:rsid w:val="41CB1AF5"/>
    <w:rsid w:val="41E33C60"/>
    <w:rsid w:val="41EC2F23"/>
    <w:rsid w:val="41F44DDD"/>
    <w:rsid w:val="41F632AB"/>
    <w:rsid w:val="4205602F"/>
    <w:rsid w:val="420926A8"/>
    <w:rsid w:val="420E475E"/>
    <w:rsid w:val="42144998"/>
    <w:rsid w:val="421B0469"/>
    <w:rsid w:val="42254ACB"/>
    <w:rsid w:val="42403A61"/>
    <w:rsid w:val="424336BE"/>
    <w:rsid w:val="424C1C02"/>
    <w:rsid w:val="42563EA4"/>
    <w:rsid w:val="4258020C"/>
    <w:rsid w:val="426A0FC3"/>
    <w:rsid w:val="426C665F"/>
    <w:rsid w:val="42701F79"/>
    <w:rsid w:val="427907BF"/>
    <w:rsid w:val="429F227D"/>
    <w:rsid w:val="42A95BF9"/>
    <w:rsid w:val="42AB568C"/>
    <w:rsid w:val="42AC635A"/>
    <w:rsid w:val="42B00E5C"/>
    <w:rsid w:val="42C4346C"/>
    <w:rsid w:val="42CD488F"/>
    <w:rsid w:val="42DE53EE"/>
    <w:rsid w:val="42E13849"/>
    <w:rsid w:val="42F04887"/>
    <w:rsid w:val="42FC5124"/>
    <w:rsid w:val="43194545"/>
    <w:rsid w:val="43251D23"/>
    <w:rsid w:val="432A1B96"/>
    <w:rsid w:val="43311BFD"/>
    <w:rsid w:val="43367314"/>
    <w:rsid w:val="433B249B"/>
    <w:rsid w:val="433C187A"/>
    <w:rsid w:val="43420B70"/>
    <w:rsid w:val="435010A7"/>
    <w:rsid w:val="4359723F"/>
    <w:rsid w:val="436F7684"/>
    <w:rsid w:val="437170D0"/>
    <w:rsid w:val="4373362C"/>
    <w:rsid w:val="43764E2E"/>
    <w:rsid w:val="4379335D"/>
    <w:rsid w:val="437C71FD"/>
    <w:rsid w:val="43A37B4B"/>
    <w:rsid w:val="43A430D1"/>
    <w:rsid w:val="43AA1B61"/>
    <w:rsid w:val="43C1246B"/>
    <w:rsid w:val="43CD4BC8"/>
    <w:rsid w:val="43D04AE0"/>
    <w:rsid w:val="43E12BAA"/>
    <w:rsid w:val="43E23ABE"/>
    <w:rsid w:val="440426ED"/>
    <w:rsid w:val="440F4776"/>
    <w:rsid w:val="44143703"/>
    <w:rsid w:val="44380E90"/>
    <w:rsid w:val="443E03E3"/>
    <w:rsid w:val="444159F1"/>
    <w:rsid w:val="44451961"/>
    <w:rsid w:val="446F60B8"/>
    <w:rsid w:val="44741F34"/>
    <w:rsid w:val="4475773A"/>
    <w:rsid w:val="448D5606"/>
    <w:rsid w:val="44960B69"/>
    <w:rsid w:val="44971C1B"/>
    <w:rsid w:val="449C0AE3"/>
    <w:rsid w:val="44A65285"/>
    <w:rsid w:val="44B53314"/>
    <w:rsid w:val="44BF2D73"/>
    <w:rsid w:val="44C4079D"/>
    <w:rsid w:val="44C8564B"/>
    <w:rsid w:val="44DC74A2"/>
    <w:rsid w:val="44DD5A2E"/>
    <w:rsid w:val="44E02E6B"/>
    <w:rsid w:val="44EA63E7"/>
    <w:rsid w:val="44F62A20"/>
    <w:rsid w:val="44F90D29"/>
    <w:rsid w:val="44FD4E04"/>
    <w:rsid w:val="44FE4994"/>
    <w:rsid w:val="450C4042"/>
    <w:rsid w:val="45146732"/>
    <w:rsid w:val="45147150"/>
    <w:rsid w:val="451941B8"/>
    <w:rsid w:val="45310D70"/>
    <w:rsid w:val="45393E57"/>
    <w:rsid w:val="456E267D"/>
    <w:rsid w:val="457C00FD"/>
    <w:rsid w:val="458A5625"/>
    <w:rsid w:val="459431EE"/>
    <w:rsid w:val="45A3381B"/>
    <w:rsid w:val="45DF5DF0"/>
    <w:rsid w:val="45E8576F"/>
    <w:rsid w:val="45F73300"/>
    <w:rsid w:val="45FB7ECD"/>
    <w:rsid w:val="45FC5F77"/>
    <w:rsid w:val="4604488D"/>
    <w:rsid w:val="46184820"/>
    <w:rsid w:val="46191F2F"/>
    <w:rsid w:val="461C772A"/>
    <w:rsid w:val="461D2E08"/>
    <w:rsid w:val="461F4AA7"/>
    <w:rsid w:val="463368B7"/>
    <w:rsid w:val="46393734"/>
    <w:rsid w:val="46581398"/>
    <w:rsid w:val="469D3104"/>
    <w:rsid w:val="46D55C28"/>
    <w:rsid w:val="46D71F11"/>
    <w:rsid w:val="46DB6798"/>
    <w:rsid w:val="46E83CDA"/>
    <w:rsid w:val="46EB2FCD"/>
    <w:rsid w:val="46F661E4"/>
    <w:rsid w:val="46F83046"/>
    <w:rsid w:val="46FA4032"/>
    <w:rsid w:val="47037BA7"/>
    <w:rsid w:val="470741E9"/>
    <w:rsid w:val="470A5B98"/>
    <w:rsid w:val="4711367B"/>
    <w:rsid w:val="4716148D"/>
    <w:rsid w:val="471808F7"/>
    <w:rsid w:val="471A30F3"/>
    <w:rsid w:val="47211B42"/>
    <w:rsid w:val="472504F8"/>
    <w:rsid w:val="472B10A2"/>
    <w:rsid w:val="4747214E"/>
    <w:rsid w:val="4757612E"/>
    <w:rsid w:val="477760D5"/>
    <w:rsid w:val="477B2488"/>
    <w:rsid w:val="478F28C0"/>
    <w:rsid w:val="47A536AD"/>
    <w:rsid w:val="47A923B9"/>
    <w:rsid w:val="47AD2D46"/>
    <w:rsid w:val="47CB222D"/>
    <w:rsid w:val="47D75D20"/>
    <w:rsid w:val="47EF13C6"/>
    <w:rsid w:val="47FC7271"/>
    <w:rsid w:val="48164FEB"/>
    <w:rsid w:val="482709E5"/>
    <w:rsid w:val="48292EC4"/>
    <w:rsid w:val="482E6A4A"/>
    <w:rsid w:val="483C2DBC"/>
    <w:rsid w:val="484A67E7"/>
    <w:rsid w:val="484B1E04"/>
    <w:rsid w:val="485B3227"/>
    <w:rsid w:val="485C4BE5"/>
    <w:rsid w:val="48764422"/>
    <w:rsid w:val="48792BEE"/>
    <w:rsid w:val="48875E18"/>
    <w:rsid w:val="488B5A9D"/>
    <w:rsid w:val="488E1498"/>
    <w:rsid w:val="48AB22C8"/>
    <w:rsid w:val="48B1188E"/>
    <w:rsid w:val="48B13DF3"/>
    <w:rsid w:val="48BC53EB"/>
    <w:rsid w:val="48C81747"/>
    <w:rsid w:val="48D64B2A"/>
    <w:rsid w:val="48E161EB"/>
    <w:rsid w:val="48FB796E"/>
    <w:rsid w:val="4912171D"/>
    <w:rsid w:val="491F03DB"/>
    <w:rsid w:val="496A29CF"/>
    <w:rsid w:val="49750BC6"/>
    <w:rsid w:val="497A203E"/>
    <w:rsid w:val="498127D2"/>
    <w:rsid w:val="49B168E5"/>
    <w:rsid w:val="49B760FE"/>
    <w:rsid w:val="49BA28BA"/>
    <w:rsid w:val="49D1575D"/>
    <w:rsid w:val="49D414F3"/>
    <w:rsid w:val="49D438AE"/>
    <w:rsid w:val="49D86CD6"/>
    <w:rsid w:val="49EF15E2"/>
    <w:rsid w:val="49F1006A"/>
    <w:rsid w:val="4A0D1B22"/>
    <w:rsid w:val="4A211667"/>
    <w:rsid w:val="4A230DAF"/>
    <w:rsid w:val="4A2F32D3"/>
    <w:rsid w:val="4A387522"/>
    <w:rsid w:val="4A3D47A0"/>
    <w:rsid w:val="4A413841"/>
    <w:rsid w:val="4A521FA1"/>
    <w:rsid w:val="4A536F35"/>
    <w:rsid w:val="4A596A40"/>
    <w:rsid w:val="4A5E02F2"/>
    <w:rsid w:val="4A5E47CC"/>
    <w:rsid w:val="4A640647"/>
    <w:rsid w:val="4A6664DD"/>
    <w:rsid w:val="4A6E1243"/>
    <w:rsid w:val="4A754B47"/>
    <w:rsid w:val="4A822DC3"/>
    <w:rsid w:val="4A835E59"/>
    <w:rsid w:val="4A9F144E"/>
    <w:rsid w:val="4AA219EE"/>
    <w:rsid w:val="4AA268B0"/>
    <w:rsid w:val="4AAF7DED"/>
    <w:rsid w:val="4AB8212E"/>
    <w:rsid w:val="4ADB3B8E"/>
    <w:rsid w:val="4AEB0E78"/>
    <w:rsid w:val="4AF66465"/>
    <w:rsid w:val="4B0E6BEC"/>
    <w:rsid w:val="4B1B446B"/>
    <w:rsid w:val="4B233407"/>
    <w:rsid w:val="4B2C72E0"/>
    <w:rsid w:val="4B2E39CD"/>
    <w:rsid w:val="4B2E5FB3"/>
    <w:rsid w:val="4B3A6F0B"/>
    <w:rsid w:val="4B3F45C9"/>
    <w:rsid w:val="4B6B1775"/>
    <w:rsid w:val="4B6B65A7"/>
    <w:rsid w:val="4B726F56"/>
    <w:rsid w:val="4B83478B"/>
    <w:rsid w:val="4B863FDA"/>
    <w:rsid w:val="4B881DE5"/>
    <w:rsid w:val="4B8C50D1"/>
    <w:rsid w:val="4BA56D2E"/>
    <w:rsid w:val="4BAB2063"/>
    <w:rsid w:val="4BB46276"/>
    <w:rsid w:val="4BB77EB1"/>
    <w:rsid w:val="4BD233D5"/>
    <w:rsid w:val="4BD47BCE"/>
    <w:rsid w:val="4BDF1B0C"/>
    <w:rsid w:val="4BEE63D3"/>
    <w:rsid w:val="4BF27303"/>
    <w:rsid w:val="4BF91851"/>
    <w:rsid w:val="4BFA4162"/>
    <w:rsid w:val="4C04758C"/>
    <w:rsid w:val="4C086ED3"/>
    <w:rsid w:val="4C1635B0"/>
    <w:rsid w:val="4C215104"/>
    <w:rsid w:val="4C294F8C"/>
    <w:rsid w:val="4C3E1E5D"/>
    <w:rsid w:val="4C3F68CB"/>
    <w:rsid w:val="4C5C1437"/>
    <w:rsid w:val="4C63596A"/>
    <w:rsid w:val="4C69714A"/>
    <w:rsid w:val="4CAF7561"/>
    <w:rsid w:val="4CB86805"/>
    <w:rsid w:val="4CBD19A4"/>
    <w:rsid w:val="4CC0684C"/>
    <w:rsid w:val="4CC07E42"/>
    <w:rsid w:val="4CE9012A"/>
    <w:rsid w:val="4CEF5270"/>
    <w:rsid w:val="4D04603A"/>
    <w:rsid w:val="4D184888"/>
    <w:rsid w:val="4D1A506F"/>
    <w:rsid w:val="4D1E366B"/>
    <w:rsid w:val="4D303B32"/>
    <w:rsid w:val="4D314CE5"/>
    <w:rsid w:val="4D4D1254"/>
    <w:rsid w:val="4D60278B"/>
    <w:rsid w:val="4D815E85"/>
    <w:rsid w:val="4DB655BC"/>
    <w:rsid w:val="4DC3607C"/>
    <w:rsid w:val="4DC934A3"/>
    <w:rsid w:val="4DCE4BBC"/>
    <w:rsid w:val="4DDA5ECB"/>
    <w:rsid w:val="4E001070"/>
    <w:rsid w:val="4E100E0C"/>
    <w:rsid w:val="4E1A5811"/>
    <w:rsid w:val="4E2171E2"/>
    <w:rsid w:val="4E290DEA"/>
    <w:rsid w:val="4E393351"/>
    <w:rsid w:val="4E5C454B"/>
    <w:rsid w:val="4E61585E"/>
    <w:rsid w:val="4E6F014C"/>
    <w:rsid w:val="4E72288B"/>
    <w:rsid w:val="4E821AC1"/>
    <w:rsid w:val="4E8A3ACD"/>
    <w:rsid w:val="4E9121A3"/>
    <w:rsid w:val="4E94223C"/>
    <w:rsid w:val="4EA315B1"/>
    <w:rsid w:val="4EA36599"/>
    <w:rsid w:val="4EA97710"/>
    <w:rsid w:val="4EC03F40"/>
    <w:rsid w:val="4EC60BE5"/>
    <w:rsid w:val="4F020E87"/>
    <w:rsid w:val="4F0A6CD0"/>
    <w:rsid w:val="4F0E2841"/>
    <w:rsid w:val="4F2A2B4F"/>
    <w:rsid w:val="4F39579C"/>
    <w:rsid w:val="4F557F0B"/>
    <w:rsid w:val="4F5B063F"/>
    <w:rsid w:val="4F662E42"/>
    <w:rsid w:val="4F8C3B89"/>
    <w:rsid w:val="4FA60EE4"/>
    <w:rsid w:val="4FAD5783"/>
    <w:rsid w:val="4FB65B4C"/>
    <w:rsid w:val="4FC745B9"/>
    <w:rsid w:val="4FCA4D27"/>
    <w:rsid w:val="4FD07142"/>
    <w:rsid w:val="4FD072CA"/>
    <w:rsid w:val="4FD23C92"/>
    <w:rsid w:val="4FD33502"/>
    <w:rsid w:val="4FD9681A"/>
    <w:rsid w:val="4FE15C83"/>
    <w:rsid w:val="4FF1781F"/>
    <w:rsid w:val="50092979"/>
    <w:rsid w:val="500F5574"/>
    <w:rsid w:val="502A15D8"/>
    <w:rsid w:val="502C7114"/>
    <w:rsid w:val="503806DC"/>
    <w:rsid w:val="504B5ACC"/>
    <w:rsid w:val="505E64D1"/>
    <w:rsid w:val="505F606E"/>
    <w:rsid w:val="50607C1B"/>
    <w:rsid w:val="50715259"/>
    <w:rsid w:val="50873195"/>
    <w:rsid w:val="50882BDA"/>
    <w:rsid w:val="508868E6"/>
    <w:rsid w:val="50896655"/>
    <w:rsid w:val="509E566B"/>
    <w:rsid w:val="50A225AF"/>
    <w:rsid w:val="50A464F4"/>
    <w:rsid w:val="50A67BA9"/>
    <w:rsid w:val="50BF136F"/>
    <w:rsid w:val="50C5039C"/>
    <w:rsid w:val="50C77DAE"/>
    <w:rsid w:val="50D83189"/>
    <w:rsid w:val="50DA72BB"/>
    <w:rsid w:val="50E956D4"/>
    <w:rsid w:val="50EE1A52"/>
    <w:rsid w:val="50F554E9"/>
    <w:rsid w:val="510252DB"/>
    <w:rsid w:val="51066084"/>
    <w:rsid w:val="510F1C91"/>
    <w:rsid w:val="51120465"/>
    <w:rsid w:val="512E0E26"/>
    <w:rsid w:val="512E4678"/>
    <w:rsid w:val="51354D5A"/>
    <w:rsid w:val="513653E6"/>
    <w:rsid w:val="514016B7"/>
    <w:rsid w:val="514041E4"/>
    <w:rsid w:val="515701E8"/>
    <w:rsid w:val="5164091A"/>
    <w:rsid w:val="51B3661D"/>
    <w:rsid w:val="51B9237E"/>
    <w:rsid w:val="51BA501F"/>
    <w:rsid w:val="51BB0BE8"/>
    <w:rsid w:val="51C24F4D"/>
    <w:rsid w:val="51C328E8"/>
    <w:rsid w:val="51C615D7"/>
    <w:rsid w:val="51D964E4"/>
    <w:rsid w:val="51EA67EF"/>
    <w:rsid w:val="51FC3136"/>
    <w:rsid w:val="5202206C"/>
    <w:rsid w:val="520E540D"/>
    <w:rsid w:val="521D5470"/>
    <w:rsid w:val="521E3FF3"/>
    <w:rsid w:val="52257203"/>
    <w:rsid w:val="522C4D69"/>
    <w:rsid w:val="523302F5"/>
    <w:rsid w:val="524408CC"/>
    <w:rsid w:val="52503447"/>
    <w:rsid w:val="525C5C8C"/>
    <w:rsid w:val="525E1D2A"/>
    <w:rsid w:val="526B2FB1"/>
    <w:rsid w:val="527722DE"/>
    <w:rsid w:val="527A47FF"/>
    <w:rsid w:val="527C5CC1"/>
    <w:rsid w:val="527D4E6F"/>
    <w:rsid w:val="5282014C"/>
    <w:rsid w:val="52880FB8"/>
    <w:rsid w:val="52A03397"/>
    <w:rsid w:val="52B27F46"/>
    <w:rsid w:val="52C1278F"/>
    <w:rsid w:val="52C129A5"/>
    <w:rsid w:val="52C75E27"/>
    <w:rsid w:val="52D96EA6"/>
    <w:rsid w:val="52F80DC9"/>
    <w:rsid w:val="52FE451B"/>
    <w:rsid w:val="5308530D"/>
    <w:rsid w:val="530D6D8F"/>
    <w:rsid w:val="530F1BCF"/>
    <w:rsid w:val="53325CD2"/>
    <w:rsid w:val="533A5C60"/>
    <w:rsid w:val="534121A2"/>
    <w:rsid w:val="5376698C"/>
    <w:rsid w:val="537B664F"/>
    <w:rsid w:val="538F59F6"/>
    <w:rsid w:val="53AB4F5C"/>
    <w:rsid w:val="53BB5DB6"/>
    <w:rsid w:val="53EC35D6"/>
    <w:rsid w:val="542B0ABC"/>
    <w:rsid w:val="543604AD"/>
    <w:rsid w:val="54433422"/>
    <w:rsid w:val="544D04FE"/>
    <w:rsid w:val="544F309F"/>
    <w:rsid w:val="546008AD"/>
    <w:rsid w:val="5467499D"/>
    <w:rsid w:val="5472292D"/>
    <w:rsid w:val="549924CB"/>
    <w:rsid w:val="549D5D5C"/>
    <w:rsid w:val="549E05E7"/>
    <w:rsid w:val="54E52C92"/>
    <w:rsid w:val="54F3141A"/>
    <w:rsid w:val="54F44E33"/>
    <w:rsid w:val="54F478A4"/>
    <w:rsid w:val="55002113"/>
    <w:rsid w:val="5512348E"/>
    <w:rsid w:val="552703EE"/>
    <w:rsid w:val="553B6008"/>
    <w:rsid w:val="553C2FC1"/>
    <w:rsid w:val="556A1073"/>
    <w:rsid w:val="556F5ADF"/>
    <w:rsid w:val="557C0DE2"/>
    <w:rsid w:val="558333C1"/>
    <w:rsid w:val="55B87486"/>
    <w:rsid w:val="55BA087A"/>
    <w:rsid w:val="55BB289D"/>
    <w:rsid w:val="55C9645F"/>
    <w:rsid w:val="55DB0F91"/>
    <w:rsid w:val="55DD0A7D"/>
    <w:rsid w:val="55E32B88"/>
    <w:rsid w:val="55E66F22"/>
    <w:rsid w:val="55F305A6"/>
    <w:rsid w:val="560C01BB"/>
    <w:rsid w:val="56307E67"/>
    <w:rsid w:val="563A312A"/>
    <w:rsid w:val="56426050"/>
    <w:rsid w:val="564B654C"/>
    <w:rsid w:val="56517388"/>
    <w:rsid w:val="565A5DC7"/>
    <w:rsid w:val="56771937"/>
    <w:rsid w:val="567F6737"/>
    <w:rsid w:val="56812FF4"/>
    <w:rsid w:val="568D183E"/>
    <w:rsid w:val="568F2767"/>
    <w:rsid w:val="56920D90"/>
    <w:rsid w:val="569C673B"/>
    <w:rsid w:val="56A106AC"/>
    <w:rsid w:val="56A254D7"/>
    <w:rsid w:val="56B15E3A"/>
    <w:rsid w:val="56CB3A71"/>
    <w:rsid w:val="56D32535"/>
    <w:rsid w:val="56F15F69"/>
    <w:rsid w:val="56FE711B"/>
    <w:rsid w:val="571B40C8"/>
    <w:rsid w:val="572E4BCE"/>
    <w:rsid w:val="573135BD"/>
    <w:rsid w:val="573828F4"/>
    <w:rsid w:val="573A2391"/>
    <w:rsid w:val="57571C93"/>
    <w:rsid w:val="576228FB"/>
    <w:rsid w:val="5763665A"/>
    <w:rsid w:val="57663D50"/>
    <w:rsid w:val="57711B4D"/>
    <w:rsid w:val="57776AA4"/>
    <w:rsid w:val="577E39C3"/>
    <w:rsid w:val="57931AE1"/>
    <w:rsid w:val="57A218CA"/>
    <w:rsid w:val="57A87AFB"/>
    <w:rsid w:val="57AA52A4"/>
    <w:rsid w:val="57B74973"/>
    <w:rsid w:val="57C55255"/>
    <w:rsid w:val="57E04A72"/>
    <w:rsid w:val="57E33DE9"/>
    <w:rsid w:val="57F435E4"/>
    <w:rsid w:val="58077CD4"/>
    <w:rsid w:val="580D5CD0"/>
    <w:rsid w:val="58114BCD"/>
    <w:rsid w:val="58127EAB"/>
    <w:rsid w:val="581B2CA5"/>
    <w:rsid w:val="58276B45"/>
    <w:rsid w:val="583A2175"/>
    <w:rsid w:val="58575417"/>
    <w:rsid w:val="5862610E"/>
    <w:rsid w:val="58684D65"/>
    <w:rsid w:val="587C6644"/>
    <w:rsid w:val="5888429A"/>
    <w:rsid w:val="5888724A"/>
    <w:rsid w:val="588D4E03"/>
    <w:rsid w:val="58AD6080"/>
    <w:rsid w:val="58BC6DED"/>
    <w:rsid w:val="58D43EA7"/>
    <w:rsid w:val="58E65B1C"/>
    <w:rsid w:val="58EC6F3C"/>
    <w:rsid w:val="58F855A4"/>
    <w:rsid w:val="591567A8"/>
    <w:rsid w:val="59170C7B"/>
    <w:rsid w:val="59172982"/>
    <w:rsid w:val="591F071D"/>
    <w:rsid w:val="59224F0F"/>
    <w:rsid w:val="592B2173"/>
    <w:rsid w:val="59313F3B"/>
    <w:rsid w:val="59343C67"/>
    <w:rsid w:val="59653ED2"/>
    <w:rsid w:val="59670DD9"/>
    <w:rsid w:val="596B6014"/>
    <w:rsid w:val="59751359"/>
    <w:rsid w:val="599E7601"/>
    <w:rsid w:val="59AA0AAD"/>
    <w:rsid w:val="59BB5797"/>
    <w:rsid w:val="59C76C54"/>
    <w:rsid w:val="59D226B0"/>
    <w:rsid w:val="59D67A6F"/>
    <w:rsid w:val="59F2424D"/>
    <w:rsid w:val="59F258F7"/>
    <w:rsid w:val="59FD7B5D"/>
    <w:rsid w:val="5A246B82"/>
    <w:rsid w:val="5A29423C"/>
    <w:rsid w:val="5A2B333A"/>
    <w:rsid w:val="5A350910"/>
    <w:rsid w:val="5A367DF2"/>
    <w:rsid w:val="5A3E0AF7"/>
    <w:rsid w:val="5A4A017C"/>
    <w:rsid w:val="5A5A3450"/>
    <w:rsid w:val="5A5B4D9A"/>
    <w:rsid w:val="5A8001AB"/>
    <w:rsid w:val="5A867F2F"/>
    <w:rsid w:val="5A8B345C"/>
    <w:rsid w:val="5A902780"/>
    <w:rsid w:val="5AB02E6A"/>
    <w:rsid w:val="5AB363F3"/>
    <w:rsid w:val="5AB93E89"/>
    <w:rsid w:val="5ABE1C88"/>
    <w:rsid w:val="5AC21DFD"/>
    <w:rsid w:val="5AC72CC5"/>
    <w:rsid w:val="5AD355CA"/>
    <w:rsid w:val="5AFF2DB3"/>
    <w:rsid w:val="5B0608E3"/>
    <w:rsid w:val="5B110061"/>
    <w:rsid w:val="5B1F56C3"/>
    <w:rsid w:val="5B3771F1"/>
    <w:rsid w:val="5B50164D"/>
    <w:rsid w:val="5B5E43F9"/>
    <w:rsid w:val="5B761D6F"/>
    <w:rsid w:val="5B9B377A"/>
    <w:rsid w:val="5BA0695B"/>
    <w:rsid w:val="5BA3448D"/>
    <w:rsid w:val="5BB1523B"/>
    <w:rsid w:val="5BBD71F2"/>
    <w:rsid w:val="5BC9047E"/>
    <w:rsid w:val="5BED18E7"/>
    <w:rsid w:val="5BF23219"/>
    <w:rsid w:val="5BF31AD6"/>
    <w:rsid w:val="5BF9002E"/>
    <w:rsid w:val="5C09191E"/>
    <w:rsid w:val="5C0B1699"/>
    <w:rsid w:val="5C2D5150"/>
    <w:rsid w:val="5C2D6438"/>
    <w:rsid w:val="5C475999"/>
    <w:rsid w:val="5C494564"/>
    <w:rsid w:val="5C495B5D"/>
    <w:rsid w:val="5C5F63CC"/>
    <w:rsid w:val="5C712CEE"/>
    <w:rsid w:val="5C7A36E7"/>
    <w:rsid w:val="5C8D34E9"/>
    <w:rsid w:val="5CA661BE"/>
    <w:rsid w:val="5CA8165E"/>
    <w:rsid w:val="5CAF052B"/>
    <w:rsid w:val="5CB96055"/>
    <w:rsid w:val="5CCC01E2"/>
    <w:rsid w:val="5CEF731D"/>
    <w:rsid w:val="5D0D5BEB"/>
    <w:rsid w:val="5D0D64CD"/>
    <w:rsid w:val="5D102E39"/>
    <w:rsid w:val="5D1D5347"/>
    <w:rsid w:val="5D2C1385"/>
    <w:rsid w:val="5D2D3C10"/>
    <w:rsid w:val="5D302EDA"/>
    <w:rsid w:val="5D3C7F73"/>
    <w:rsid w:val="5D4B49FC"/>
    <w:rsid w:val="5D5B70A6"/>
    <w:rsid w:val="5D6977F5"/>
    <w:rsid w:val="5D703ED3"/>
    <w:rsid w:val="5D8462D2"/>
    <w:rsid w:val="5D861B81"/>
    <w:rsid w:val="5D876422"/>
    <w:rsid w:val="5D8918AB"/>
    <w:rsid w:val="5D8E6B09"/>
    <w:rsid w:val="5D9440E8"/>
    <w:rsid w:val="5D9E14C7"/>
    <w:rsid w:val="5DBE0162"/>
    <w:rsid w:val="5DDC2BF6"/>
    <w:rsid w:val="5DE46196"/>
    <w:rsid w:val="5DEA6787"/>
    <w:rsid w:val="5DEC7EBF"/>
    <w:rsid w:val="5DF237B4"/>
    <w:rsid w:val="5DFA0354"/>
    <w:rsid w:val="5E046F65"/>
    <w:rsid w:val="5E0C0060"/>
    <w:rsid w:val="5E0F087D"/>
    <w:rsid w:val="5E23390B"/>
    <w:rsid w:val="5E386880"/>
    <w:rsid w:val="5E4863F0"/>
    <w:rsid w:val="5E4E2603"/>
    <w:rsid w:val="5E507A46"/>
    <w:rsid w:val="5E510B87"/>
    <w:rsid w:val="5E512BA9"/>
    <w:rsid w:val="5E5449A6"/>
    <w:rsid w:val="5E5A03C3"/>
    <w:rsid w:val="5E68156F"/>
    <w:rsid w:val="5E686287"/>
    <w:rsid w:val="5E721032"/>
    <w:rsid w:val="5E830E1F"/>
    <w:rsid w:val="5E9A3FC1"/>
    <w:rsid w:val="5EA8118B"/>
    <w:rsid w:val="5EBA601D"/>
    <w:rsid w:val="5EC33192"/>
    <w:rsid w:val="5ECF79C7"/>
    <w:rsid w:val="5ED40B65"/>
    <w:rsid w:val="5ED81849"/>
    <w:rsid w:val="5EFC6FEB"/>
    <w:rsid w:val="5EFF4434"/>
    <w:rsid w:val="5F1C4D7E"/>
    <w:rsid w:val="5F24346D"/>
    <w:rsid w:val="5F2E7065"/>
    <w:rsid w:val="5F355DB6"/>
    <w:rsid w:val="5F5209F8"/>
    <w:rsid w:val="5F530B3B"/>
    <w:rsid w:val="5F635DC8"/>
    <w:rsid w:val="5F81463B"/>
    <w:rsid w:val="5F8355BC"/>
    <w:rsid w:val="5F846736"/>
    <w:rsid w:val="5F921867"/>
    <w:rsid w:val="5F976163"/>
    <w:rsid w:val="5FAD4195"/>
    <w:rsid w:val="5FCF1954"/>
    <w:rsid w:val="5FD547E6"/>
    <w:rsid w:val="5FD66547"/>
    <w:rsid w:val="5FFD62F5"/>
    <w:rsid w:val="60036BB3"/>
    <w:rsid w:val="600823ED"/>
    <w:rsid w:val="600A3F4F"/>
    <w:rsid w:val="60101E3D"/>
    <w:rsid w:val="601E2116"/>
    <w:rsid w:val="603E364A"/>
    <w:rsid w:val="603F17AC"/>
    <w:rsid w:val="606D0683"/>
    <w:rsid w:val="60717970"/>
    <w:rsid w:val="609662A4"/>
    <w:rsid w:val="60A315F3"/>
    <w:rsid w:val="60BB5DD9"/>
    <w:rsid w:val="60C06A13"/>
    <w:rsid w:val="60CC3D89"/>
    <w:rsid w:val="60D12A29"/>
    <w:rsid w:val="60EA2FF4"/>
    <w:rsid w:val="60EB5790"/>
    <w:rsid w:val="610A2B60"/>
    <w:rsid w:val="610B452A"/>
    <w:rsid w:val="610D776E"/>
    <w:rsid w:val="61424B96"/>
    <w:rsid w:val="614E289C"/>
    <w:rsid w:val="61500132"/>
    <w:rsid w:val="61652AFB"/>
    <w:rsid w:val="618260B8"/>
    <w:rsid w:val="61A142EB"/>
    <w:rsid w:val="61A95916"/>
    <w:rsid w:val="61AA758F"/>
    <w:rsid w:val="61C575C8"/>
    <w:rsid w:val="61C86526"/>
    <w:rsid w:val="61E11B13"/>
    <w:rsid w:val="61E3588B"/>
    <w:rsid w:val="61E460D4"/>
    <w:rsid w:val="61F338BF"/>
    <w:rsid w:val="62097C9D"/>
    <w:rsid w:val="620D7526"/>
    <w:rsid w:val="62250D4D"/>
    <w:rsid w:val="622B048D"/>
    <w:rsid w:val="62345478"/>
    <w:rsid w:val="625C2AAE"/>
    <w:rsid w:val="62616ABC"/>
    <w:rsid w:val="6289140F"/>
    <w:rsid w:val="628B0E76"/>
    <w:rsid w:val="62907D75"/>
    <w:rsid w:val="629E4172"/>
    <w:rsid w:val="62A54F1F"/>
    <w:rsid w:val="62AF2D2F"/>
    <w:rsid w:val="62C62B58"/>
    <w:rsid w:val="62D12F89"/>
    <w:rsid w:val="630265DA"/>
    <w:rsid w:val="63046706"/>
    <w:rsid w:val="63116428"/>
    <w:rsid w:val="631F076E"/>
    <w:rsid w:val="63310230"/>
    <w:rsid w:val="63612F0B"/>
    <w:rsid w:val="638E126B"/>
    <w:rsid w:val="63952790"/>
    <w:rsid w:val="63A31630"/>
    <w:rsid w:val="63C21069"/>
    <w:rsid w:val="63CE27D8"/>
    <w:rsid w:val="63F1572E"/>
    <w:rsid w:val="63F867EF"/>
    <w:rsid w:val="63F932C5"/>
    <w:rsid w:val="63FD3070"/>
    <w:rsid w:val="640D45E0"/>
    <w:rsid w:val="64107237"/>
    <w:rsid w:val="64171BB9"/>
    <w:rsid w:val="64176729"/>
    <w:rsid w:val="64322D09"/>
    <w:rsid w:val="643F52F9"/>
    <w:rsid w:val="645C76B6"/>
    <w:rsid w:val="64625963"/>
    <w:rsid w:val="646874B9"/>
    <w:rsid w:val="647B7C5D"/>
    <w:rsid w:val="647C7ED5"/>
    <w:rsid w:val="64877E6D"/>
    <w:rsid w:val="64882719"/>
    <w:rsid w:val="64915BCE"/>
    <w:rsid w:val="649A0079"/>
    <w:rsid w:val="649D7B06"/>
    <w:rsid w:val="64A23965"/>
    <w:rsid w:val="64A61003"/>
    <w:rsid w:val="64C574CA"/>
    <w:rsid w:val="64DA7510"/>
    <w:rsid w:val="64E72199"/>
    <w:rsid w:val="64EE228F"/>
    <w:rsid w:val="64EF50B5"/>
    <w:rsid w:val="6536223E"/>
    <w:rsid w:val="653D52B2"/>
    <w:rsid w:val="655015C5"/>
    <w:rsid w:val="655A3891"/>
    <w:rsid w:val="65711E24"/>
    <w:rsid w:val="6577407A"/>
    <w:rsid w:val="657F4BCB"/>
    <w:rsid w:val="658F02D3"/>
    <w:rsid w:val="65911419"/>
    <w:rsid w:val="65A078D0"/>
    <w:rsid w:val="65B24CEA"/>
    <w:rsid w:val="65B32266"/>
    <w:rsid w:val="65C310FD"/>
    <w:rsid w:val="65E54F88"/>
    <w:rsid w:val="65E95C82"/>
    <w:rsid w:val="65FC33BF"/>
    <w:rsid w:val="662A2A3B"/>
    <w:rsid w:val="662A4E93"/>
    <w:rsid w:val="663522F2"/>
    <w:rsid w:val="66525E47"/>
    <w:rsid w:val="666148D1"/>
    <w:rsid w:val="666420D5"/>
    <w:rsid w:val="666D654A"/>
    <w:rsid w:val="666E3CE8"/>
    <w:rsid w:val="66845B38"/>
    <w:rsid w:val="668B199B"/>
    <w:rsid w:val="668C1104"/>
    <w:rsid w:val="668F05DE"/>
    <w:rsid w:val="66B77536"/>
    <w:rsid w:val="66BA310E"/>
    <w:rsid w:val="66BC0132"/>
    <w:rsid w:val="66C7733B"/>
    <w:rsid w:val="66C96F26"/>
    <w:rsid w:val="66D06CD4"/>
    <w:rsid w:val="66E17EAB"/>
    <w:rsid w:val="66F4119F"/>
    <w:rsid w:val="66F559E3"/>
    <w:rsid w:val="66FC78D2"/>
    <w:rsid w:val="6735767C"/>
    <w:rsid w:val="673858DF"/>
    <w:rsid w:val="675B7897"/>
    <w:rsid w:val="676404B9"/>
    <w:rsid w:val="676752FD"/>
    <w:rsid w:val="67927BBC"/>
    <w:rsid w:val="67C86443"/>
    <w:rsid w:val="67C87F78"/>
    <w:rsid w:val="67DB0FA6"/>
    <w:rsid w:val="680E09F2"/>
    <w:rsid w:val="68113F78"/>
    <w:rsid w:val="681440EA"/>
    <w:rsid w:val="68200E09"/>
    <w:rsid w:val="683351FB"/>
    <w:rsid w:val="684958BF"/>
    <w:rsid w:val="68600B71"/>
    <w:rsid w:val="68695E40"/>
    <w:rsid w:val="686B73FF"/>
    <w:rsid w:val="6871776D"/>
    <w:rsid w:val="68761483"/>
    <w:rsid w:val="6877254B"/>
    <w:rsid w:val="687F14FF"/>
    <w:rsid w:val="68A46AF3"/>
    <w:rsid w:val="68A75386"/>
    <w:rsid w:val="68B67474"/>
    <w:rsid w:val="68DA089B"/>
    <w:rsid w:val="68DD6146"/>
    <w:rsid w:val="690D1150"/>
    <w:rsid w:val="691A71F0"/>
    <w:rsid w:val="692341A0"/>
    <w:rsid w:val="69234312"/>
    <w:rsid w:val="69244F55"/>
    <w:rsid w:val="692846C1"/>
    <w:rsid w:val="69364132"/>
    <w:rsid w:val="69422C5E"/>
    <w:rsid w:val="6949543F"/>
    <w:rsid w:val="69497CC3"/>
    <w:rsid w:val="694E3F32"/>
    <w:rsid w:val="6957718E"/>
    <w:rsid w:val="69612FCA"/>
    <w:rsid w:val="696E6382"/>
    <w:rsid w:val="698B62BD"/>
    <w:rsid w:val="698C363D"/>
    <w:rsid w:val="699C2688"/>
    <w:rsid w:val="69A0462D"/>
    <w:rsid w:val="69EA1DDB"/>
    <w:rsid w:val="69F023A0"/>
    <w:rsid w:val="6A082C2D"/>
    <w:rsid w:val="6A120191"/>
    <w:rsid w:val="6A123A03"/>
    <w:rsid w:val="6A232FA8"/>
    <w:rsid w:val="6A271C37"/>
    <w:rsid w:val="6A332941"/>
    <w:rsid w:val="6A372C18"/>
    <w:rsid w:val="6A5D329A"/>
    <w:rsid w:val="6A62486A"/>
    <w:rsid w:val="6A6E3451"/>
    <w:rsid w:val="6A7526C5"/>
    <w:rsid w:val="6A8A0DE2"/>
    <w:rsid w:val="6A8A23D9"/>
    <w:rsid w:val="6A922CE9"/>
    <w:rsid w:val="6AC4416A"/>
    <w:rsid w:val="6AD23AB6"/>
    <w:rsid w:val="6AE40B7C"/>
    <w:rsid w:val="6AE77D65"/>
    <w:rsid w:val="6AFF6D0F"/>
    <w:rsid w:val="6B022808"/>
    <w:rsid w:val="6B06756B"/>
    <w:rsid w:val="6B084622"/>
    <w:rsid w:val="6B0869A4"/>
    <w:rsid w:val="6B2E0290"/>
    <w:rsid w:val="6B421844"/>
    <w:rsid w:val="6B5D12ED"/>
    <w:rsid w:val="6B6C441C"/>
    <w:rsid w:val="6B754942"/>
    <w:rsid w:val="6B851F3D"/>
    <w:rsid w:val="6B8D723B"/>
    <w:rsid w:val="6B9A29EE"/>
    <w:rsid w:val="6BA8784A"/>
    <w:rsid w:val="6BB00AB2"/>
    <w:rsid w:val="6BB17BFE"/>
    <w:rsid w:val="6BEE3EEC"/>
    <w:rsid w:val="6BEF4424"/>
    <w:rsid w:val="6BF55514"/>
    <w:rsid w:val="6C063F42"/>
    <w:rsid w:val="6C1B7B81"/>
    <w:rsid w:val="6C2955C5"/>
    <w:rsid w:val="6C3753A5"/>
    <w:rsid w:val="6C420798"/>
    <w:rsid w:val="6C5914A2"/>
    <w:rsid w:val="6C5A4BD3"/>
    <w:rsid w:val="6C5C00FF"/>
    <w:rsid w:val="6C6D0318"/>
    <w:rsid w:val="6C772EAA"/>
    <w:rsid w:val="6C826356"/>
    <w:rsid w:val="6C88775B"/>
    <w:rsid w:val="6C8C1166"/>
    <w:rsid w:val="6CB147A5"/>
    <w:rsid w:val="6CB80F0F"/>
    <w:rsid w:val="6CCC3278"/>
    <w:rsid w:val="6CD24037"/>
    <w:rsid w:val="6CD27DBB"/>
    <w:rsid w:val="6CD64342"/>
    <w:rsid w:val="6CE611BE"/>
    <w:rsid w:val="6CF0330A"/>
    <w:rsid w:val="6D024CF4"/>
    <w:rsid w:val="6D0C1183"/>
    <w:rsid w:val="6D17317B"/>
    <w:rsid w:val="6D316543"/>
    <w:rsid w:val="6D3A46F0"/>
    <w:rsid w:val="6D5A4776"/>
    <w:rsid w:val="6D655032"/>
    <w:rsid w:val="6D751724"/>
    <w:rsid w:val="6D7E48A9"/>
    <w:rsid w:val="6DA30A00"/>
    <w:rsid w:val="6DB24AD1"/>
    <w:rsid w:val="6DB91DF6"/>
    <w:rsid w:val="6DC53634"/>
    <w:rsid w:val="6DC67EBF"/>
    <w:rsid w:val="6DCC18C9"/>
    <w:rsid w:val="6DDD0932"/>
    <w:rsid w:val="6DDE4A58"/>
    <w:rsid w:val="6DE20064"/>
    <w:rsid w:val="6DE7710E"/>
    <w:rsid w:val="6DE92424"/>
    <w:rsid w:val="6DEC5026"/>
    <w:rsid w:val="6DF30532"/>
    <w:rsid w:val="6E1A5085"/>
    <w:rsid w:val="6E242B16"/>
    <w:rsid w:val="6E2B5F9D"/>
    <w:rsid w:val="6E3203BE"/>
    <w:rsid w:val="6E494B06"/>
    <w:rsid w:val="6E8E490C"/>
    <w:rsid w:val="6E9337C9"/>
    <w:rsid w:val="6E9A0985"/>
    <w:rsid w:val="6E9A79F4"/>
    <w:rsid w:val="6EA85DFD"/>
    <w:rsid w:val="6EBC3EC4"/>
    <w:rsid w:val="6EBD1C7B"/>
    <w:rsid w:val="6EBD5521"/>
    <w:rsid w:val="6EC95E08"/>
    <w:rsid w:val="6ED04CA4"/>
    <w:rsid w:val="6EEA709C"/>
    <w:rsid w:val="6EFE0985"/>
    <w:rsid w:val="6F007722"/>
    <w:rsid w:val="6F1F1325"/>
    <w:rsid w:val="6F314EB2"/>
    <w:rsid w:val="6F331363"/>
    <w:rsid w:val="6F33735D"/>
    <w:rsid w:val="6F4B1047"/>
    <w:rsid w:val="6F543096"/>
    <w:rsid w:val="6F5C7D2E"/>
    <w:rsid w:val="6F6E2D13"/>
    <w:rsid w:val="6F7463F3"/>
    <w:rsid w:val="6F7B3F78"/>
    <w:rsid w:val="6F7E17F9"/>
    <w:rsid w:val="6F7F5D60"/>
    <w:rsid w:val="6F843882"/>
    <w:rsid w:val="6FB53789"/>
    <w:rsid w:val="6FC56A53"/>
    <w:rsid w:val="6FCA1E38"/>
    <w:rsid w:val="6FF92768"/>
    <w:rsid w:val="6FFF2BBE"/>
    <w:rsid w:val="70040AAC"/>
    <w:rsid w:val="70192DFC"/>
    <w:rsid w:val="701A40CF"/>
    <w:rsid w:val="70294ED3"/>
    <w:rsid w:val="703C5FF4"/>
    <w:rsid w:val="704F17D1"/>
    <w:rsid w:val="70903A9D"/>
    <w:rsid w:val="70A62291"/>
    <w:rsid w:val="70B1470F"/>
    <w:rsid w:val="70C14F73"/>
    <w:rsid w:val="70CB7764"/>
    <w:rsid w:val="70F27A83"/>
    <w:rsid w:val="70F56853"/>
    <w:rsid w:val="7101188A"/>
    <w:rsid w:val="71091CB0"/>
    <w:rsid w:val="710D040A"/>
    <w:rsid w:val="711260B6"/>
    <w:rsid w:val="71256EB3"/>
    <w:rsid w:val="713D789C"/>
    <w:rsid w:val="71451A1F"/>
    <w:rsid w:val="714F129E"/>
    <w:rsid w:val="714F76E9"/>
    <w:rsid w:val="71797D9E"/>
    <w:rsid w:val="717E2EDA"/>
    <w:rsid w:val="71834994"/>
    <w:rsid w:val="71940950"/>
    <w:rsid w:val="71A83FC1"/>
    <w:rsid w:val="71C44822"/>
    <w:rsid w:val="71C91C3A"/>
    <w:rsid w:val="71CF7C69"/>
    <w:rsid w:val="71DD55EA"/>
    <w:rsid w:val="71F20D22"/>
    <w:rsid w:val="723E3FE8"/>
    <w:rsid w:val="72413E29"/>
    <w:rsid w:val="72456250"/>
    <w:rsid w:val="725122B1"/>
    <w:rsid w:val="7255106F"/>
    <w:rsid w:val="725666F5"/>
    <w:rsid w:val="725B5B2D"/>
    <w:rsid w:val="72617ACA"/>
    <w:rsid w:val="7265040D"/>
    <w:rsid w:val="72681C9D"/>
    <w:rsid w:val="726C5885"/>
    <w:rsid w:val="72742748"/>
    <w:rsid w:val="72956780"/>
    <w:rsid w:val="72962604"/>
    <w:rsid w:val="72A1796C"/>
    <w:rsid w:val="72B654DE"/>
    <w:rsid w:val="72B954FB"/>
    <w:rsid w:val="72CD1532"/>
    <w:rsid w:val="72CD7B8C"/>
    <w:rsid w:val="72D17CEA"/>
    <w:rsid w:val="72DC3AFD"/>
    <w:rsid w:val="72E9309C"/>
    <w:rsid w:val="72F0605F"/>
    <w:rsid w:val="72F17AAC"/>
    <w:rsid w:val="72F5541E"/>
    <w:rsid w:val="72FF629D"/>
    <w:rsid w:val="730C28F7"/>
    <w:rsid w:val="73135513"/>
    <w:rsid w:val="731B1A9F"/>
    <w:rsid w:val="7328070A"/>
    <w:rsid w:val="736E23AF"/>
    <w:rsid w:val="73757C3C"/>
    <w:rsid w:val="738B66E1"/>
    <w:rsid w:val="73A04AE1"/>
    <w:rsid w:val="73AD001F"/>
    <w:rsid w:val="73CC69B7"/>
    <w:rsid w:val="73D25872"/>
    <w:rsid w:val="73DD24E3"/>
    <w:rsid w:val="73E07443"/>
    <w:rsid w:val="73ED7223"/>
    <w:rsid w:val="73F11447"/>
    <w:rsid w:val="73FC6FA1"/>
    <w:rsid w:val="74050794"/>
    <w:rsid w:val="740D4FB5"/>
    <w:rsid w:val="741F2CE8"/>
    <w:rsid w:val="743715FC"/>
    <w:rsid w:val="74632EE0"/>
    <w:rsid w:val="748A581C"/>
    <w:rsid w:val="74C55A6A"/>
    <w:rsid w:val="74CF1C9F"/>
    <w:rsid w:val="74D07D76"/>
    <w:rsid w:val="74D2653F"/>
    <w:rsid w:val="74E7018A"/>
    <w:rsid w:val="74ED18C0"/>
    <w:rsid w:val="74ED4CAB"/>
    <w:rsid w:val="75001D43"/>
    <w:rsid w:val="75292A92"/>
    <w:rsid w:val="752C6F96"/>
    <w:rsid w:val="754906A1"/>
    <w:rsid w:val="75494133"/>
    <w:rsid w:val="7572476B"/>
    <w:rsid w:val="757C07D3"/>
    <w:rsid w:val="759505F2"/>
    <w:rsid w:val="759D1102"/>
    <w:rsid w:val="759F7AE1"/>
    <w:rsid w:val="75B97744"/>
    <w:rsid w:val="75BE3C06"/>
    <w:rsid w:val="75D67789"/>
    <w:rsid w:val="75D94865"/>
    <w:rsid w:val="75DA0F67"/>
    <w:rsid w:val="75F07D8C"/>
    <w:rsid w:val="760254F7"/>
    <w:rsid w:val="760259B4"/>
    <w:rsid w:val="764374AE"/>
    <w:rsid w:val="76482F88"/>
    <w:rsid w:val="764B7067"/>
    <w:rsid w:val="766C6E1B"/>
    <w:rsid w:val="767856CA"/>
    <w:rsid w:val="76AA37AC"/>
    <w:rsid w:val="76BD4CB3"/>
    <w:rsid w:val="76C37481"/>
    <w:rsid w:val="76FC709B"/>
    <w:rsid w:val="7701490B"/>
    <w:rsid w:val="771F35B7"/>
    <w:rsid w:val="772B279D"/>
    <w:rsid w:val="77347C51"/>
    <w:rsid w:val="775038E7"/>
    <w:rsid w:val="77544FA8"/>
    <w:rsid w:val="776B26B9"/>
    <w:rsid w:val="77752B8E"/>
    <w:rsid w:val="77764390"/>
    <w:rsid w:val="77784870"/>
    <w:rsid w:val="777C7831"/>
    <w:rsid w:val="77812E09"/>
    <w:rsid w:val="77875810"/>
    <w:rsid w:val="778A219E"/>
    <w:rsid w:val="778A7BCA"/>
    <w:rsid w:val="778D5A70"/>
    <w:rsid w:val="77AD62C7"/>
    <w:rsid w:val="77C2031D"/>
    <w:rsid w:val="77C614A7"/>
    <w:rsid w:val="77DF044B"/>
    <w:rsid w:val="77F04FE9"/>
    <w:rsid w:val="78003773"/>
    <w:rsid w:val="78126B52"/>
    <w:rsid w:val="781B3F17"/>
    <w:rsid w:val="781C19F9"/>
    <w:rsid w:val="78204CBC"/>
    <w:rsid w:val="78236E52"/>
    <w:rsid w:val="78321015"/>
    <w:rsid w:val="784C53E2"/>
    <w:rsid w:val="784F78EB"/>
    <w:rsid w:val="785748BB"/>
    <w:rsid w:val="785F2185"/>
    <w:rsid w:val="78673DC0"/>
    <w:rsid w:val="78701E26"/>
    <w:rsid w:val="789001BE"/>
    <w:rsid w:val="78957828"/>
    <w:rsid w:val="78995985"/>
    <w:rsid w:val="789D0F44"/>
    <w:rsid w:val="78A505D6"/>
    <w:rsid w:val="78B36FEF"/>
    <w:rsid w:val="78B56D85"/>
    <w:rsid w:val="78C62EF6"/>
    <w:rsid w:val="78DA4592"/>
    <w:rsid w:val="78E77B5F"/>
    <w:rsid w:val="78EA2AB7"/>
    <w:rsid w:val="78F341AE"/>
    <w:rsid w:val="78F3682E"/>
    <w:rsid w:val="79021072"/>
    <w:rsid w:val="790D7B86"/>
    <w:rsid w:val="79167A68"/>
    <w:rsid w:val="791F0593"/>
    <w:rsid w:val="7920460E"/>
    <w:rsid w:val="792A6932"/>
    <w:rsid w:val="79316AFC"/>
    <w:rsid w:val="79436B42"/>
    <w:rsid w:val="79461F0D"/>
    <w:rsid w:val="7946323B"/>
    <w:rsid w:val="794964C4"/>
    <w:rsid w:val="79547966"/>
    <w:rsid w:val="7955034B"/>
    <w:rsid w:val="79584959"/>
    <w:rsid w:val="79694DF9"/>
    <w:rsid w:val="797177C8"/>
    <w:rsid w:val="797D3FF1"/>
    <w:rsid w:val="797F5D65"/>
    <w:rsid w:val="79813ADE"/>
    <w:rsid w:val="79905B80"/>
    <w:rsid w:val="79A4224E"/>
    <w:rsid w:val="79AD5658"/>
    <w:rsid w:val="79B22B0F"/>
    <w:rsid w:val="79B22DE9"/>
    <w:rsid w:val="79B746F1"/>
    <w:rsid w:val="79D96637"/>
    <w:rsid w:val="79FB0956"/>
    <w:rsid w:val="7A060E95"/>
    <w:rsid w:val="7A082774"/>
    <w:rsid w:val="7A1066ED"/>
    <w:rsid w:val="7A1B7CE2"/>
    <w:rsid w:val="7A5C3FD5"/>
    <w:rsid w:val="7A6003FC"/>
    <w:rsid w:val="7A6658B2"/>
    <w:rsid w:val="7A6A3E8A"/>
    <w:rsid w:val="7A6F5FA1"/>
    <w:rsid w:val="7A6F776C"/>
    <w:rsid w:val="7A71106F"/>
    <w:rsid w:val="7A7A49F7"/>
    <w:rsid w:val="7A7C2F6F"/>
    <w:rsid w:val="7A856607"/>
    <w:rsid w:val="7AAC3A88"/>
    <w:rsid w:val="7AAD5345"/>
    <w:rsid w:val="7ABB5634"/>
    <w:rsid w:val="7AC16442"/>
    <w:rsid w:val="7AD602B5"/>
    <w:rsid w:val="7ADA1701"/>
    <w:rsid w:val="7AEA222C"/>
    <w:rsid w:val="7AED74F4"/>
    <w:rsid w:val="7AF14837"/>
    <w:rsid w:val="7AF741CD"/>
    <w:rsid w:val="7B072762"/>
    <w:rsid w:val="7B0C5001"/>
    <w:rsid w:val="7B0E39EF"/>
    <w:rsid w:val="7B0F3A5E"/>
    <w:rsid w:val="7B1965C0"/>
    <w:rsid w:val="7B1B14EE"/>
    <w:rsid w:val="7B425A3F"/>
    <w:rsid w:val="7B58687E"/>
    <w:rsid w:val="7B594DD6"/>
    <w:rsid w:val="7B5E29DA"/>
    <w:rsid w:val="7B6A44CF"/>
    <w:rsid w:val="7B6D3E0C"/>
    <w:rsid w:val="7B710713"/>
    <w:rsid w:val="7B7418E9"/>
    <w:rsid w:val="7B7D1AD9"/>
    <w:rsid w:val="7B7D5957"/>
    <w:rsid w:val="7B912401"/>
    <w:rsid w:val="7BA14395"/>
    <w:rsid w:val="7BA80898"/>
    <w:rsid w:val="7BBE463E"/>
    <w:rsid w:val="7BBE543A"/>
    <w:rsid w:val="7BC36771"/>
    <w:rsid w:val="7BD52290"/>
    <w:rsid w:val="7BE16742"/>
    <w:rsid w:val="7BE22277"/>
    <w:rsid w:val="7BFD5115"/>
    <w:rsid w:val="7C011740"/>
    <w:rsid w:val="7C17751A"/>
    <w:rsid w:val="7C1A449E"/>
    <w:rsid w:val="7C247A0F"/>
    <w:rsid w:val="7C261AC3"/>
    <w:rsid w:val="7C336D42"/>
    <w:rsid w:val="7C5740ED"/>
    <w:rsid w:val="7C5B5CD3"/>
    <w:rsid w:val="7C60334E"/>
    <w:rsid w:val="7C6C12BD"/>
    <w:rsid w:val="7C7052F0"/>
    <w:rsid w:val="7C714D1C"/>
    <w:rsid w:val="7C743857"/>
    <w:rsid w:val="7C8A3007"/>
    <w:rsid w:val="7CA02F04"/>
    <w:rsid w:val="7CB15751"/>
    <w:rsid w:val="7CB85B38"/>
    <w:rsid w:val="7CBF511F"/>
    <w:rsid w:val="7CC5429F"/>
    <w:rsid w:val="7CD57245"/>
    <w:rsid w:val="7CDB5685"/>
    <w:rsid w:val="7CE75F92"/>
    <w:rsid w:val="7D0B22A7"/>
    <w:rsid w:val="7D2E6E76"/>
    <w:rsid w:val="7D304D71"/>
    <w:rsid w:val="7D367981"/>
    <w:rsid w:val="7D3E0825"/>
    <w:rsid w:val="7D554062"/>
    <w:rsid w:val="7D5E677D"/>
    <w:rsid w:val="7D653ADC"/>
    <w:rsid w:val="7D696FC9"/>
    <w:rsid w:val="7D7D48C1"/>
    <w:rsid w:val="7D867E46"/>
    <w:rsid w:val="7D877CBF"/>
    <w:rsid w:val="7D89672B"/>
    <w:rsid w:val="7D92434B"/>
    <w:rsid w:val="7D977DA2"/>
    <w:rsid w:val="7DA2461C"/>
    <w:rsid w:val="7DAC0744"/>
    <w:rsid w:val="7DAF7C8C"/>
    <w:rsid w:val="7DB22223"/>
    <w:rsid w:val="7DBB3598"/>
    <w:rsid w:val="7DC055C5"/>
    <w:rsid w:val="7DD70EAB"/>
    <w:rsid w:val="7DDE72E2"/>
    <w:rsid w:val="7DEC03E3"/>
    <w:rsid w:val="7DEC1CAA"/>
    <w:rsid w:val="7DF051F2"/>
    <w:rsid w:val="7DF154BA"/>
    <w:rsid w:val="7DFC271F"/>
    <w:rsid w:val="7E181B17"/>
    <w:rsid w:val="7E2455B7"/>
    <w:rsid w:val="7E2B4DE7"/>
    <w:rsid w:val="7E302246"/>
    <w:rsid w:val="7E480F94"/>
    <w:rsid w:val="7E501A5A"/>
    <w:rsid w:val="7E512745"/>
    <w:rsid w:val="7E516999"/>
    <w:rsid w:val="7E58008D"/>
    <w:rsid w:val="7E5E479A"/>
    <w:rsid w:val="7E666DA6"/>
    <w:rsid w:val="7E7325F1"/>
    <w:rsid w:val="7E77762F"/>
    <w:rsid w:val="7E7B342B"/>
    <w:rsid w:val="7E8111D8"/>
    <w:rsid w:val="7E876FDB"/>
    <w:rsid w:val="7E8B30DA"/>
    <w:rsid w:val="7ECF6A7A"/>
    <w:rsid w:val="7EDE37B3"/>
    <w:rsid w:val="7EE76E1C"/>
    <w:rsid w:val="7EFF56EF"/>
    <w:rsid w:val="7F044E95"/>
    <w:rsid w:val="7F075EAF"/>
    <w:rsid w:val="7F0E395F"/>
    <w:rsid w:val="7F284D52"/>
    <w:rsid w:val="7F3E17EF"/>
    <w:rsid w:val="7F457BEA"/>
    <w:rsid w:val="7F4735CF"/>
    <w:rsid w:val="7F4A7714"/>
    <w:rsid w:val="7F52348C"/>
    <w:rsid w:val="7F57751E"/>
    <w:rsid w:val="7F59568B"/>
    <w:rsid w:val="7F604BC8"/>
    <w:rsid w:val="7F60712F"/>
    <w:rsid w:val="7F80415D"/>
    <w:rsid w:val="7F907C00"/>
    <w:rsid w:val="7F9E4157"/>
    <w:rsid w:val="7FB45E43"/>
    <w:rsid w:val="7FBD748D"/>
    <w:rsid w:val="7FBF303C"/>
    <w:rsid w:val="7FC15718"/>
    <w:rsid w:val="7FC23EAF"/>
    <w:rsid w:val="7FC47812"/>
    <w:rsid w:val="7FE951C1"/>
    <w:rsid w:val="7FF17233"/>
    <w:rsid w:val="7FFE598C"/>
    <w:rsid w:val="7FFF5C2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99"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qFormat="1"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qFormat="1" w:uiPriority="0" w:semiHidden="0" w:name="List"/>
    <w:lsdException w:uiPriority="0" w:name="List Bullet"/>
    <w:lsdException w:qFormat="1"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99" w:semiHidden="0" w:name="Date"/>
    <w:lsdException w:qFormat="1" w:uiPriority="0" w:name="Body Text First Indent"/>
    <w:lsdException w:qFormat="1"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qFormat="1" w:uiPriority="0" w:name="HTML Code"/>
    <w:lsdException w:qFormat="1" w:uiPriority="0" w:name="HTML Definition"/>
    <w:lsdException w:qFormat="1" w:uiPriority="0" w:name="HTML Keyboard"/>
    <w:lsdException w:qFormat="1" w:unhideWhenUsed="0" w:uiPriority="99" w:semiHidden="0" w:name="HTML Preformatted"/>
    <w:lsdException w:qFormat="1" w:uiPriority="0" w:name="HTML Sample"/>
    <w:lsdException w:uiPriority="0" w:name="HTML Typewriter"/>
    <w:lsdException w:uiPriority="0" w:name="HTML Variable"/>
    <w:lsdException w:qFormat="1" w:uiPriority="99" w:semiHidden="0"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iPriority="9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96"/>
    <w:qFormat/>
    <w:uiPriority w:val="0"/>
    <w:pPr>
      <w:keepNext/>
      <w:keepLines/>
      <w:spacing w:before="120" w:after="120"/>
      <w:jc w:val="center"/>
      <w:outlineLvl w:val="0"/>
    </w:pPr>
    <w:rPr>
      <w:b/>
      <w:spacing w:val="20"/>
      <w:kern w:val="44"/>
      <w:sz w:val="32"/>
    </w:rPr>
  </w:style>
  <w:style w:type="paragraph" w:styleId="3">
    <w:name w:val="heading 2"/>
    <w:basedOn w:val="1"/>
    <w:next w:val="1"/>
    <w:link w:val="100"/>
    <w:qFormat/>
    <w:uiPriority w:val="9"/>
    <w:pPr>
      <w:keepNext/>
      <w:keepLines/>
      <w:spacing w:before="240" w:line="400" w:lineRule="exact"/>
      <w:outlineLvl w:val="1"/>
    </w:pPr>
    <w:rPr>
      <w:rFonts w:ascii="Arial" w:hAnsi="Arial"/>
      <w:b/>
      <w:color w:val="000000"/>
      <w:spacing w:val="40"/>
      <w:sz w:val="32"/>
    </w:rPr>
  </w:style>
  <w:style w:type="paragraph" w:styleId="4">
    <w:name w:val="heading 3"/>
    <w:basedOn w:val="1"/>
    <w:next w:val="1"/>
    <w:link w:val="101"/>
    <w:qFormat/>
    <w:uiPriority w:val="0"/>
    <w:pPr>
      <w:keepNext/>
      <w:keepLines/>
      <w:spacing w:before="60" w:after="60" w:line="400" w:lineRule="exact"/>
      <w:ind w:firstLine="510"/>
      <w:outlineLvl w:val="2"/>
    </w:pPr>
    <w:rPr>
      <w:rFonts w:ascii="宋体"/>
      <w:b/>
      <w:sz w:val="24"/>
    </w:rPr>
  </w:style>
  <w:style w:type="paragraph" w:styleId="5">
    <w:name w:val="heading 4"/>
    <w:basedOn w:val="1"/>
    <w:next w:val="1"/>
    <w:link w:val="155"/>
    <w:qFormat/>
    <w:uiPriority w:val="0"/>
    <w:pPr>
      <w:tabs>
        <w:tab w:val="left" w:pos="2155"/>
      </w:tabs>
      <w:adjustRightInd w:val="0"/>
      <w:spacing w:before="120" w:line="360" w:lineRule="auto"/>
      <w:ind w:left="2155" w:hanging="1078"/>
      <w:textAlignment w:val="baseline"/>
      <w:outlineLvl w:val="3"/>
    </w:pPr>
    <w:rPr>
      <w:rFonts w:ascii="Arial" w:hAnsi="Arial" w:eastAsia="黑体"/>
      <w:kern w:val="0"/>
      <w:sz w:val="28"/>
    </w:rPr>
  </w:style>
  <w:style w:type="paragraph" w:styleId="6">
    <w:name w:val="heading 5"/>
    <w:basedOn w:val="1"/>
    <w:next w:val="1"/>
    <w:link w:val="189"/>
    <w:qFormat/>
    <w:uiPriority w:val="0"/>
    <w:pPr>
      <w:keepNext/>
      <w:keepLines/>
      <w:adjustRightInd w:val="0"/>
      <w:spacing w:before="280" w:after="290" w:line="376" w:lineRule="atLeast"/>
      <w:textAlignment w:val="baseline"/>
      <w:outlineLvl w:val="4"/>
    </w:pPr>
    <w:rPr>
      <w:b/>
      <w:kern w:val="0"/>
      <w:sz w:val="28"/>
      <w:szCs w:val="24"/>
    </w:rPr>
  </w:style>
  <w:style w:type="paragraph" w:styleId="7">
    <w:name w:val="heading 6"/>
    <w:basedOn w:val="1"/>
    <w:next w:val="1"/>
    <w:link w:val="157"/>
    <w:semiHidden/>
    <w:unhideWhenUsed/>
    <w:qFormat/>
    <w:uiPriority w:val="0"/>
    <w:pPr>
      <w:keepNext/>
      <w:keepLines/>
      <w:ind w:firstLine="200" w:firstLineChars="200"/>
      <w:outlineLvl w:val="5"/>
    </w:pPr>
    <w:rPr>
      <w:rFonts w:ascii="Arial" w:hAnsi="Arial" w:cstheme="minorBidi"/>
      <w:sz w:val="24"/>
      <w:szCs w:val="24"/>
    </w:rPr>
  </w:style>
  <w:style w:type="paragraph" w:styleId="8">
    <w:name w:val="heading 7"/>
    <w:basedOn w:val="1"/>
    <w:next w:val="1"/>
    <w:link w:val="158"/>
    <w:semiHidden/>
    <w:unhideWhenUsed/>
    <w:qFormat/>
    <w:uiPriority w:val="0"/>
    <w:pPr>
      <w:keepNext/>
      <w:keepLines/>
      <w:numPr>
        <w:ilvl w:val="6"/>
        <w:numId w:val="1"/>
      </w:numPr>
      <w:spacing w:before="240" w:after="64" w:line="317" w:lineRule="auto"/>
      <w:outlineLvl w:val="6"/>
    </w:pPr>
    <w:rPr>
      <w:rFonts w:ascii="Arial" w:hAnsi="Arial" w:cstheme="minorBidi"/>
      <w:b/>
      <w:sz w:val="24"/>
      <w:szCs w:val="24"/>
    </w:rPr>
  </w:style>
  <w:style w:type="paragraph" w:styleId="9">
    <w:name w:val="heading 8"/>
    <w:basedOn w:val="1"/>
    <w:next w:val="1"/>
    <w:link w:val="159"/>
    <w:semiHidden/>
    <w:unhideWhenUsed/>
    <w:qFormat/>
    <w:uiPriority w:val="0"/>
    <w:pPr>
      <w:keepNext/>
      <w:keepLines/>
      <w:numPr>
        <w:ilvl w:val="7"/>
        <w:numId w:val="1"/>
      </w:numPr>
      <w:spacing w:before="240" w:after="64" w:line="317" w:lineRule="auto"/>
      <w:outlineLvl w:val="7"/>
    </w:pPr>
    <w:rPr>
      <w:rFonts w:ascii="Arial" w:hAnsi="Arial" w:cstheme="minorBidi"/>
      <w:b/>
      <w:sz w:val="22"/>
      <w:szCs w:val="24"/>
    </w:rPr>
  </w:style>
  <w:style w:type="paragraph" w:styleId="10">
    <w:name w:val="heading 9"/>
    <w:basedOn w:val="1"/>
    <w:next w:val="1"/>
    <w:link w:val="160"/>
    <w:semiHidden/>
    <w:unhideWhenUsed/>
    <w:qFormat/>
    <w:uiPriority w:val="0"/>
    <w:pPr>
      <w:keepNext/>
      <w:keepLines/>
      <w:numPr>
        <w:ilvl w:val="8"/>
        <w:numId w:val="1"/>
      </w:numPr>
      <w:spacing w:before="240" w:after="64" w:line="317" w:lineRule="auto"/>
      <w:outlineLvl w:val="8"/>
    </w:pPr>
    <w:rPr>
      <w:rFonts w:ascii="Arial" w:hAnsi="Arial" w:eastAsia="黑体" w:cstheme="minorBidi"/>
      <w:sz w:val="24"/>
      <w:szCs w:val="24"/>
    </w:rPr>
  </w:style>
  <w:style w:type="character" w:default="1" w:styleId="49">
    <w:name w:val="Default Paragraph Font"/>
    <w:unhideWhenUsed/>
    <w:qFormat/>
    <w:uiPriority w:val="1"/>
  </w:style>
  <w:style w:type="table" w:default="1" w:styleId="47">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60"/>
      <w:jc w:val="left"/>
    </w:pPr>
    <w:rPr>
      <w:sz w:val="18"/>
      <w:szCs w:val="18"/>
    </w:rPr>
  </w:style>
  <w:style w:type="paragraph" w:styleId="12">
    <w:name w:val="List Number"/>
    <w:basedOn w:val="1"/>
    <w:qFormat/>
    <w:uiPriority w:val="0"/>
    <w:pPr>
      <w:numPr>
        <w:ilvl w:val="0"/>
        <w:numId w:val="2"/>
      </w:numPr>
    </w:pPr>
  </w:style>
  <w:style w:type="paragraph" w:styleId="13">
    <w:name w:val="Normal Indent"/>
    <w:basedOn w:val="1"/>
    <w:link w:val="190"/>
    <w:qFormat/>
    <w:uiPriority w:val="0"/>
    <w:pPr>
      <w:ind w:firstLine="420"/>
    </w:pPr>
  </w:style>
  <w:style w:type="paragraph" w:styleId="14">
    <w:name w:val="Document Map"/>
    <w:basedOn w:val="1"/>
    <w:link w:val="191"/>
    <w:qFormat/>
    <w:uiPriority w:val="99"/>
    <w:pPr>
      <w:shd w:val="clear" w:color="auto" w:fill="000080"/>
    </w:pPr>
  </w:style>
  <w:style w:type="paragraph" w:styleId="15">
    <w:name w:val="annotation text"/>
    <w:basedOn w:val="1"/>
    <w:link w:val="172"/>
    <w:qFormat/>
    <w:uiPriority w:val="99"/>
    <w:pPr>
      <w:jc w:val="left"/>
    </w:pPr>
  </w:style>
  <w:style w:type="paragraph" w:styleId="16">
    <w:name w:val="Body Text 3"/>
    <w:basedOn w:val="1"/>
    <w:link w:val="192"/>
    <w:qFormat/>
    <w:uiPriority w:val="0"/>
    <w:pPr>
      <w:spacing w:after="120"/>
    </w:pPr>
    <w:rPr>
      <w:sz w:val="16"/>
      <w:szCs w:val="16"/>
    </w:rPr>
  </w:style>
  <w:style w:type="paragraph" w:styleId="17">
    <w:name w:val="Body Text"/>
    <w:basedOn w:val="1"/>
    <w:next w:val="1"/>
    <w:link w:val="188"/>
    <w:qFormat/>
    <w:uiPriority w:val="0"/>
    <w:rPr>
      <w:rFonts w:ascii="宋体"/>
      <w:sz w:val="24"/>
    </w:rPr>
  </w:style>
  <w:style w:type="paragraph" w:styleId="18">
    <w:name w:val="Body Text Indent"/>
    <w:basedOn w:val="1"/>
    <w:link w:val="193"/>
    <w:qFormat/>
    <w:uiPriority w:val="99"/>
    <w:pPr>
      <w:spacing w:line="460" w:lineRule="exact"/>
      <w:ind w:firstLine="510"/>
    </w:pPr>
  </w:style>
  <w:style w:type="paragraph" w:styleId="19">
    <w:name w:val="Block Text"/>
    <w:basedOn w:val="1"/>
    <w:qFormat/>
    <w:uiPriority w:val="0"/>
    <w:pPr>
      <w:widowControl/>
      <w:ind w:left="720" w:right="-48" w:hanging="720"/>
    </w:pPr>
    <w:rPr>
      <w:rFonts w:ascii="Times New Roman" w:hAnsi="Times New Roman" w:eastAsia="宋体" w:cs="Times New Roman"/>
      <w:kern w:val="0"/>
      <w:sz w:val="20"/>
      <w:szCs w:val="20"/>
    </w:rPr>
  </w:style>
  <w:style w:type="paragraph" w:styleId="20">
    <w:name w:val="toc 5"/>
    <w:basedOn w:val="1"/>
    <w:next w:val="1"/>
    <w:qFormat/>
    <w:uiPriority w:val="0"/>
    <w:pPr>
      <w:ind w:left="840"/>
      <w:jc w:val="left"/>
    </w:pPr>
    <w:rPr>
      <w:sz w:val="18"/>
      <w:szCs w:val="18"/>
    </w:rPr>
  </w:style>
  <w:style w:type="paragraph" w:styleId="21">
    <w:name w:val="toc 3"/>
    <w:basedOn w:val="1"/>
    <w:next w:val="1"/>
    <w:qFormat/>
    <w:uiPriority w:val="39"/>
    <w:pPr>
      <w:ind w:left="420"/>
      <w:jc w:val="left"/>
    </w:pPr>
    <w:rPr>
      <w:i/>
      <w:iCs/>
      <w:sz w:val="20"/>
    </w:rPr>
  </w:style>
  <w:style w:type="paragraph" w:styleId="22">
    <w:name w:val="Plain Text"/>
    <w:basedOn w:val="1"/>
    <w:next w:val="1"/>
    <w:link w:val="194"/>
    <w:qFormat/>
    <w:uiPriority w:val="0"/>
    <w:rPr>
      <w:rFonts w:ascii="宋体"/>
    </w:rPr>
  </w:style>
  <w:style w:type="paragraph" w:styleId="23">
    <w:name w:val="toc 8"/>
    <w:basedOn w:val="1"/>
    <w:next w:val="1"/>
    <w:qFormat/>
    <w:uiPriority w:val="0"/>
    <w:pPr>
      <w:ind w:left="1470"/>
      <w:jc w:val="left"/>
    </w:pPr>
    <w:rPr>
      <w:sz w:val="18"/>
      <w:szCs w:val="18"/>
    </w:rPr>
  </w:style>
  <w:style w:type="paragraph" w:styleId="24">
    <w:name w:val="Date"/>
    <w:basedOn w:val="1"/>
    <w:next w:val="1"/>
    <w:link w:val="171"/>
    <w:qFormat/>
    <w:uiPriority w:val="99"/>
    <w:rPr>
      <w:kern w:val="0"/>
      <w:sz w:val="28"/>
    </w:rPr>
  </w:style>
  <w:style w:type="paragraph" w:styleId="25">
    <w:name w:val="Body Text Indent 2"/>
    <w:basedOn w:val="1"/>
    <w:link w:val="195"/>
    <w:qFormat/>
    <w:uiPriority w:val="0"/>
    <w:pPr>
      <w:spacing w:line="500" w:lineRule="exact"/>
      <w:ind w:firstLine="510"/>
    </w:pPr>
    <w:rPr>
      <w:rFonts w:ascii="宋体"/>
      <w:sz w:val="24"/>
    </w:rPr>
  </w:style>
  <w:style w:type="paragraph" w:styleId="26">
    <w:name w:val="Balloon Text"/>
    <w:basedOn w:val="1"/>
    <w:link w:val="163"/>
    <w:qFormat/>
    <w:uiPriority w:val="0"/>
    <w:rPr>
      <w:sz w:val="18"/>
      <w:szCs w:val="18"/>
    </w:rPr>
  </w:style>
  <w:style w:type="paragraph" w:styleId="27">
    <w:name w:val="footer"/>
    <w:basedOn w:val="1"/>
    <w:link w:val="196"/>
    <w:qFormat/>
    <w:uiPriority w:val="99"/>
    <w:pPr>
      <w:tabs>
        <w:tab w:val="center" w:pos="4153"/>
        <w:tab w:val="right" w:pos="8306"/>
      </w:tabs>
      <w:snapToGrid w:val="0"/>
      <w:jc w:val="left"/>
    </w:pPr>
    <w:rPr>
      <w:sz w:val="18"/>
    </w:rPr>
  </w:style>
  <w:style w:type="paragraph" w:styleId="28">
    <w:name w:val="header"/>
    <w:basedOn w:val="1"/>
    <w:link w:val="162"/>
    <w:qFormat/>
    <w:uiPriority w:val="0"/>
    <w:pPr>
      <w:pBdr>
        <w:bottom w:val="single" w:color="auto" w:sz="6" w:space="1"/>
      </w:pBdr>
      <w:tabs>
        <w:tab w:val="center" w:pos="4153"/>
        <w:tab w:val="right" w:pos="8306"/>
      </w:tabs>
      <w:snapToGrid w:val="0"/>
      <w:jc w:val="center"/>
    </w:pPr>
    <w:rPr>
      <w:sz w:val="18"/>
    </w:rPr>
  </w:style>
  <w:style w:type="paragraph" w:styleId="29">
    <w:name w:val="toc 1"/>
    <w:basedOn w:val="1"/>
    <w:next w:val="1"/>
    <w:qFormat/>
    <w:uiPriority w:val="39"/>
    <w:pPr>
      <w:tabs>
        <w:tab w:val="right" w:leader="dot" w:pos="9663"/>
      </w:tabs>
      <w:spacing w:before="120" w:after="120"/>
      <w:jc w:val="left"/>
    </w:pPr>
    <w:rPr>
      <w:b/>
      <w:bCs/>
      <w:caps/>
      <w:sz w:val="28"/>
      <w:szCs w:val="28"/>
    </w:rPr>
  </w:style>
  <w:style w:type="paragraph" w:styleId="30">
    <w:name w:val="toc 4"/>
    <w:basedOn w:val="1"/>
    <w:next w:val="1"/>
    <w:qFormat/>
    <w:uiPriority w:val="0"/>
    <w:pPr>
      <w:ind w:left="630"/>
      <w:jc w:val="left"/>
    </w:pPr>
    <w:rPr>
      <w:sz w:val="18"/>
      <w:szCs w:val="18"/>
    </w:rPr>
  </w:style>
  <w:style w:type="paragraph" w:styleId="31">
    <w:name w:val="Subtitle"/>
    <w:basedOn w:val="1"/>
    <w:next w:val="1"/>
    <w:link w:val="197"/>
    <w:qFormat/>
    <w:uiPriority w:val="0"/>
    <w:pPr>
      <w:tabs>
        <w:tab w:val="left" w:pos="360"/>
      </w:tabs>
      <w:ind w:left="284" w:hanging="284"/>
      <w:jc w:val="left"/>
      <w:outlineLvl w:val="1"/>
    </w:pPr>
    <w:rPr>
      <w:rFonts w:ascii="Century Gothic" w:hAnsi="Century Gothic" w:eastAsia="宋体" w:cs="Times New Roman"/>
      <w:kern w:val="28"/>
      <w:szCs w:val="21"/>
    </w:rPr>
  </w:style>
  <w:style w:type="paragraph" w:styleId="32">
    <w:name w:val="List"/>
    <w:basedOn w:val="1"/>
    <w:unhideWhenUsed/>
    <w:qFormat/>
    <w:uiPriority w:val="0"/>
    <w:pPr>
      <w:ind w:left="200" w:hanging="200" w:hangingChars="200"/>
      <w:contextualSpacing/>
    </w:pPr>
    <w:rPr>
      <w:rFonts w:ascii="宋体" w:hAnsi="宋体" w:eastAsia="宋体" w:cs="Times New Roman"/>
      <w:szCs w:val="24"/>
    </w:rPr>
  </w:style>
  <w:style w:type="paragraph" w:styleId="33">
    <w:name w:val="footnote text"/>
    <w:basedOn w:val="1"/>
    <w:link w:val="198"/>
    <w:qFormat/>
    <w:uiPriority w:val="99"/>
    <w:pPr>
      <w:widowControl/>
      <w:jc w:val="left"/>
    </w:pPr>
    <w:rPr>
      <w:rFonts w:ascii="Times New Roman" w:hAnsi="Times New Roman" w:eastAsia="宋体" w:cs="Times New Roman"/>
      <w:kern w:val="0"/>
      <w:sz w:val="20"/>
      <w:szCs w:val="20"/>
      <w:lang w:val="de-DE"/>
    </w:rPr>
  </w:style>
  <w:style w:type="paragraph" w:styleId="34">
    <w:name w:val="toc 6"/>
    <w:basedOn w:val="1"/>
    <w:next w:val="1"/>
    <w:qFormat/>
    <w:uiPriority w:val="0"/>
    <w:pPr>
      <w:ind w:left="1050"/>
      <w:jc w:val="left"/>
    </w:pPr>
    <w:rPr>
      <w:sz w:val="18"/>
      <w:szCs w:val="18"/>
    </w:rPr>
  </w:style>
  <w:style w:type="paragraph" w:styleId="35">
    <w:name w:val="Body Text Indent 3"/>
    <w:basedOn w:val="1"/>
    <w:qFormat/>
    <w:uiPriority w:val="0"/>
    <w:pPr>
      <w:spacing w:line="500" w:lineRule="exact"/>
      <w:ind w:firstLine="510"/>
    </w:pPr>
    <w:rPr>
      <w:rFonts w:ascii="宋体"/>
      <w:color w:val="000000"/>
      <w:sz w:val="26"/>
    </w:rPr>
  </w:style>
  <w:style w:type="paragraph" w:styleId="36">
    <w:name w:val="table of figures"/>
    <w:basedOn w:val="1"/>
    <w:next w:val="1"/>
    <w:semiHidden/>
    <w:unhideWhenUsed/>
    <w:qFormat/>
    <w:uiPriority w:val="0"/>
    <w:pPr>
      <w:ind w:left="840" w:hanging="420"/>
    </w:pPr>
  </w:style>
  <w:style w:type="paragraph" w:styleId="37">
    <w:name w:val="toc 2"/>
    <w:basedOn w:val="1"/>
    <w:next w:val="1"/>
    <w:qFormat/>
    <w:uiPriority w:val="39"/>
    <w:pPr>
      <w:ind w:left="210"/>
      <w:jc w:val="left"/>
    </w:pPr>
    <w:rPr>
      <w:smallCaps/>
      <w:sz w:val="20"/>
    </w:rPr>
  </w:style>
  <w:style w:type="paragraph" w:styleId="38">
    <w:name w:val="toc 9"/>
    <w:basedOn w:val="1"/>
    <w:next w:val="1"/>
    <w:qFormat/>
    <w:uiPriority w:val="0"/>
    <w:pPr>
      <w:ind w:left="1680"/>
      <w:jc w:val="left"/>
    </w:pPr>
    <w:rPr>
      <w:sz w:val="18"/>
      <w:szCs w:val="18"/>
    </w:rPr>
  </w:style>
  <w:style w:type="paragraph" w:styleId="39">
    <w:name w:val="Body Text 2"/>
    <w:basedOn w:val="1"/>
    <w:link w:val="199"/>
    <w:qFormat/>
    <w:uiPriority w:val="0"/>
    <w:rPr>
      <w:rFonts w:ascii="宋体" w:hAnsi="Times New Roman" w:eastAsia="宋体" w:cs="Times New Roman"/>
      <w:sz w:val="13"/>
      <w:szCs w:val="20"/>
    </w:rPr>
  </w:style>
  <w:style w:type="paragraph" w:styleId="40">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paragraph" w:styleId="41">
    <w:name w:val="Normal (Web)"/>
    <w:basedOn w:val="1"/>
    <w:link w:val="147"/>
    <w:qFormat/>
    <w:uiPriority w:val="0"/>
    <w:pPr>
      <w:widowControl/>
      <w:spacing w:before="100" w:beforeAutospacing="1" w:after="100" w:afterAutospacing="1"/>
      <w:jc w:val="left"/>
    </w:pPr>
    <w:rPr>
      <w:rFonts w:ascii="宋体" w:hAnsi="宋体"/>
      <w:kern w:val="0"/>
      <w:sz w:val="24"/>
      <w:szCs w:val="24"/>
    </w:rPr>
  </w:style>
  <w:style w:type="paragraph" w:styleId="42">
    <w:name w:val="index 1"/>
    <w:basedOn w:val="1"/>
    <w:next w:val="1"/>
    <w:qFormat/>
    <w:uiPriority w:val="0"/>
    <w:pPr>
      <w:tabs>
        <w:tab w:val="left" w:pos="780"/>
      </w:tabs>
      <w:spacing w:line="360" w:lineRule="auto"/>
      <w:ind w:left="780" w:hanging="360"/>
    </w:pPr>
    <w:rPr>
      <w:rFonts w:ascii="宋体" w:hAnsi="宋体" w:eastAsia="宋体" w:cs="Times New Roman"/>
      <w:szCs w:val="20"/>
    </w:rPr>
  </w:style>
  <w:style w:type="paragraph" w:styleId="43">
    <w:name w:val="Title"/>
    <w:basedOn w:val="1"/>
    <w:next w:val="1"/>
    <w:link w:val="200"/>
    <w:qFormat/>
    <w:uiPriority w:val="10"/>
    <w:pPr>
      <w:spacing w:before="240" w:after="60"/>
      <w:jc w:val="center"/>
      <w:outlineLvl w:val="0"/>
    </w:pPr>
    <w:rPr>
      <w:rFonts w:ascii="Cambria" w:hAnsi="Cambria" w:eastAsia="宋体" w:cs="Times New Roman"/>
      <w:b/>
      <w:bCs/>
      <w:kern w:val="0"/>
      <w:sz w:val="32"/>
      <w:szCs w:val="32"/>
    </w:rPr>
  </w:style>
  <w:style w:type="paragraph" w:styleId="44">
    <w:name w:val="annotation subject"/>
    <w:basedOn w:val="15"/>
    <w:next w:val="15"/>
    <w:link w:val="201"/>
    <w:qFormat/>
    <w:uiPriority w:val="99"/>
    <w:rPr>
      <w:b/>
      <w:bCs/>
    </w:rPr>
  </w:style>
  <w:style w:type="paragraph" w:styleId="45">
    <w:name w:val="Body Text First Indent"/>
    <w:basedOn w:val="17"/>
    <w:semiHidden/>
    <w:unhideWhenUsed/>
    <w:qFormat/>
    <w:uiPriority w:val="0"/>
    <w:pPr>
      <w:spacing w:line="312" w:lineRule="auto"/>
      <w:ind w:firstLine="420"/>
    </w:pPr>
  </w:style>
  <w:style w:type="paragraph" w:styleId="46">
    <w:name w:val="Body Text First Indent 2"/>
    <w:basedOn w:val="18"/>
    <w:semiHidden/>
    <w:unhideWhenUsed/>
    <w:qFormat/>
    <w:uiPriority w:val="0"/>
    <w:pPr>
      <w:ind w:firstLine="420" w:firstLineChars="200"/>
    </w:pPr>
  </w:style>
  <w:style w:type="table" w:styleId="48">
    <w:name w:val="Table Grid"/>
    <w:basedOn w:val="4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basedOn w:val="49"/>
    <w:qFormat/>
    <w:uiPriority w:val="22"/>
    <w:rPr>
      <w:b/>
      <w:bCs/>
    </w:rPr>
  </w:style>
  <w:style w:type="character" w:styleId="51">
    <w:name w:val="page number"/>
    <w:basedOn w:val="49"/>
    <w:qFormat/>
    <w:uiPriority w:val="0"/>
  </w:style>
  <w:style w:type="character" w:styleId="52">
    <w:name w:val="FollowedHyperlink"/>
    <w:basedOn w:val="49"/>
    <w:qFormat/>
    <w:uiPriority w:val="99"/>
    <w:rPr>
      <w:rFonts w:hint="eastAsia" w:ascii="宋体" w:hAnsi="宋体" w:eastAsia="宋体" w:cs="宋体"/>
      <w:color w:val="0033CC"/>
      <w:sz w:val="18"/>
      <w:szCs w:val="18"/>
      <w:u w:val="none"/>
    </w:rPr>
  </w:style>
  <w:style w:type="character" w:styleId="53">
    <w:name w:val="Emphasis"/>
    <w:basedOn w:val="49"/>
    <w:qFormat/>
    <w:uiPriority w:val="0"/>
    <w:rPr>
      <w:i/>
    </w:rPr>
  </w:style>
  <w:style w:type="character" w:styleId="54">
    <w:name w:val="HTML Definition"/>
    <w:basedOn w:val="49"/>
    <w:semiHidden/>
    <w:unhideWhenUsed/>
    <w:qFormat/>
    <w:uiPriority w:val="0"/>
    <w:rPr>
      <w:i/>
    </w:rPr>
  </w:style>
  <w:style w:type="character" w:styleId="55">
    <w:name w:val="Hyperlink"/>
    <w:basedOn w:val="49"/>
    <w:qFormat/>
    <w:uiPriority w:val="99"/>
    <w:rPr>
      <w:rFonts w:hint="eastAsia" w:ascii="宋体" w:hAnsi="宋体" w:eastAsia="宋体" w:cs="宋体"/>
      <w:color w:val="0033CC"/>
      <w:sz w:val="18"/>
      <w:szCs w:val="18"/>
      <w:u w:val="none"/>
    </w:rPr>
  </w:style>
  <w:style w:type="character" w:styleId="56">
    <w:name w:val="HTML Code"/>
    <w:basedOn w:val="49"/>
    <w:semiHidden/>
    <w:unhideWhenUsed/>
    <w:qFormat/>
    <w:uiPriority w:val="0"/>
    <w:rPr>
      <w:rFonts w:hint="default" w:ascii="Consolas" w:hAnsi="Consolas" w:eastAsia="Consolas" w:cs="Consolas"/>
      <w:color w:val="C7254E"/>
      <w:sz w:val="21"/>
      <w:szCs w:val="21"/>
      <w:shd w:val="clear" w:color="auto" w:fill="F9F2F4"/>
    </w:rPr>
  </w:style>
  <w:style w:type="character" w:styleId="57">
    <w:name w:val="annotation reference"/>
    <w:qFormat/>
    <w:uiPriority w:val="99"/>
    <w:rPr>
      <w:sz w:val="21"/>
      <w:szCs w:val="21"/>
    </w:rPr>
  </w:style>
  <w:style w:type="character" w:styleId="58">
    <w:name w:val="HTML Keyboard"/>
    <w:basedOn w:val="49"/>
    <w:semiHidden/>
    <w:unhideWhenUsed/>
    <w:qFormat/>
    <w:uiPriority w:val="0"/>
    <w:rPr>
      <w:rFonts w:hint="default" w:ascii="Consolas" w:hAnsi="Consolas" w:eastAsia="Consolas" w:cs="Consolas"/>
      <w:vanish/>
      <w:color w:val="FFFFFF"/>
      <w:sz w:val="21"/>
      <w:szCs w:val="21"/>
      <w:shd w:val="clear" w:color="auto" w:fill="333333"/>
    </w:rPr>
  </w:style>
  <w:style w:type="character" w:styleId="59">
    <w:name w:val="HTML Sample"/>
    <w:basedOn w:val="49"/>
    <w:semiHidden/>
    <w:unhideWhenUsed/>
    <w:qFormat/>
    <w:uiPriority w:val="0"/>
    <w:rPr>
      <w:rFonts w:ascii="Consolas" w:hAnsi="Consolas" w:eastAsia="Consolas" w:cs="Consolas"/>
      <w:sz w:val="21"/>
      <w:szCs w:val="21"/>
    </w:rPr>
  </w:style>
  <w:style w:type="paragraph" w:customStyle="1" w:styleId="60">
    <w:name w:val="正文正"/>
    <w:basedOn w:val="1"/>
    <w:qFormat/>
    <w:uiPriority w:val="0"/>
    <w:pPr>
      <w:spacing w:line="560" w:lineRule="exact"/>
      <w:ind w:firstLine="561"/>
    </w:pPr>
    <w:rPr>
      <w:rFonts w:eastAsia="仿宋_GB2312"/>
    </w:rPr>
  </w:style>
  <w:style w:type="paragraph" w:customStyle="1" w:styleId="6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62">
    <w:name w:val="标题 1 Char"/>
    <w:basedOn w:val="49"/>
    <w:link w:val="2"/>
    <w:qFormat/>
    <w:uiPriority w:val="0"/>
    <w:rPr>
      <w:rFonts w:ascii="Arial" w:hAnsi="Arial" w:eastAsia="宋体" w:cs="Times New Roman"/>
      <w:b/>
      <w:kern w:val="44"/>
      <w:sz w:val="32"/>
      <w:szCs w:val="24"/>
    </w:rPr>
  </w:style>
  <w:style w:type="character" w:customStyle="1" w:styleId="63">
    <w:name w:val="标题 2 Char"/>
    <w:basedOn w:val="49"/>
    <w:link w:val="3"/>
    <w:qFormat/>
    <w:uiPriority w:val="0"/>
    <w:rPr>
      <w:rFonts w:ascii="Arial" w:hAnsi="Arial" w:eastAsia="宋体" w:cs="Times New Roman"/>
      <w:b/>
      <w:sz w:val="30"/>
      <w:szCs w:val="24"/>
    </w:rPr>
  </w:style>
  <w:style w:type="character" w:customStyle="1" w:styleId="64">
    <w:name w:val="style131"/>
    <w:qFormat/>
    <w:uiPriority w:val="0"/>
    <w:rPr>
      <w:sz w:val="18"/>
      <w:szCs w:val="18"/>
    </w:rPr>
  </w:style>
  <w:style w:type="character" w:customStyle="1" w:styleId="65">
    <w:name w:val="标题 4 字符"/>
    <w:link w:val="5"/>
    <w:qFormat/>
    <w:uiPriority w:val="0"/>
    <w:rPr>
      <w:rFonts w:ascii="Arial" w:hAnsi="Arial" w:eastAsia="黑体"/>
      <w:sz w:val="28"/>
    </w:rPr>
  </w:style>
  <w:style w:type="character" w:customStyle="1" w:styleId="66">
    <w:name w:val="正文文本 Char"/>
    <w:link w:val="17"/>
    <w:qFormat/>
    <w:uiPriority w:val="0"/>
    <w:rPr>
      <w:rFonts w:ascii="宋体"/>
      <w:kern w:val="2"/>
      <w:sz w:val="24"/>
    </w:rPr>
  </w:style>
  <w:style w:type="character" w:customStyle="1" w:styleId="67">
    <w:name w:val="GW-正文 Char"/>
    <w:link w:val="68"/>
    <w:qFormat/>
    <w:uiPriority w:val="0"/>
    <w:rPr>
      <w:rFonts w:eastAsia="仿宋_GB2312"/>
      <w:kern w:val="2"/>
      <w:sz w:val="24"/>
      <w:szCs w:val="24"/>
    </w:rPr>
  </w:style>
  <w:style w:type="paragraph" w:customStyle="1" w:styleId="68">
    <w:name w:val="GW-正文"/>
    <w:basedOn w:val="1"/>
    <w:link w:val="67"/>
    <w:qFormat/>
    <w:uiPriority w:val="0"/>
    <w:pPr>
      <w:spacing w:line="360" w:lineRule="auto"/>
      <w:ind w:firstLine="200" w:firstLineChars="200"/>
    </w:pPr>
    <w:rPr>
      <w:rFonts w:eastAsia="仿宋_GB2312"/>
      <w:sz w:val="24"/>
      <w:szCs w:val="24"/>
    </w:rPr>
  </w:style>
  <w:style w:type="character" w:customStyle="1" w:styleId="69">
    <w:name w:val="正文文本缩进 Char"/>
    <w:link w:val="18"/>
    <w:qFormat/>
    <w:uiPriority w:val="0"/>
    <w:rPr>
      <w:kern w:val="2"/>
      <w:sz w:val="21"/>
    </w:rPr>
  </w:style>
  <w:style w:type="character" w:customStyle="1" w:styleId="70">
    <w:name w:val="纯文本 字符"/>
    <w:qFormat/>
    <w:uiPriority w:val="99"/>
    <w:rPr>
      <w:rFonts w:ascii="宋体" w:eastAsia="宋体"/>
      <w:kern w:val="2"/>
      <w:sz w:val="21"/>
      <w:lang w:val="en-US" w:eastAsia="zh-CN" w:bidi="ar-SA"/>
    </w:rPr>
  </w:style>
  <w:style w:type="paragraph" w:customStyle="1" w:styleId="71">
    <w:name w:val="Char"/>
    <w:basedOn w:val="1"/>
    <w:qFormat/>
    <w:uiPriority w:val="0"/>
    <w:pPr>
      <w:widowControl/>
      <w:spacing w:after="160" w:line="240" w:lineRule="exact"/>
      <w:jc w:val="left"/>
    </w:pPr>
    <w:rPr>
      <w:rFonts w:ascii="Verdana" w:hAnsi="Verdana"/>
      <w:kern w:val="0"/>
      <w:sz w:val="20"/>
      <w:lang w:eastAsia="en-US"/>
    </w:rPr>
  </w:style>
  <w:style w:type="paragraph" w:customStyle="1" w:styleId="72">
    <w:name w:val="正文 New New New"/>
    <w:qFormat/>
    <w:uiPriority w:val="0"/>
    <w:pPr>
      <w:jc w:val="both"/>
    </w:pPr>
    <w:rPr>
      <w:rFonts w:ascii="Times New Roman" w:hAnsi="Times New Roman" w:eastAsia="宋体" w:cs="Times New Roman"/>
      <w:kern w:val="2"/>
      <w:sz w:val="21"/>
      <w:lang w:val="en-US" w:eastAsia="zh-CN" w:bidi="ar-SA"/>
    </w:rPr>
  </w:style>
  <w:style w:type="paragraph" w:customStyle="1" w:styleId="73">
    <w:name w:val="修订1"/>
    <w:semiHidden/>
    <w:qFormat/>
    <w:uiPriority w:val="99"/>
    <w:rPr>
      <w:rFonts w:ascii="Times New Roman" w:hAnsi="Times New Roman" w:eastAsia="宋体" w:cs="Times New Roman"/>
      <w:kern w:val="2"/>
      <w:sz w:val="21"/>
      <w:lang w:val="en-US" w:eastAsia="zh-CN" w:bidi="ar-SA"/>
    </w:rPr>
  </w:style>
  <w:style w:type="paragraph" w:customStyle="1" w:styleId="74">
    <w:name w:val="Char Char Char Char"/>
    <w:basedOn w:val="1"/>
    <w:qFormat/>
    <w:uiPriority w:val="0"/>
    <w:rPr>
      <w:szCs w:val="24"/>
    </w:rPr>
  </w:style>
  <w:style w:type="paragraph" w:customStyle="1" w:styleId="75">
    <w:name w:val="目录"/>
    <w:basedOn w:val="1"/>
    <w:qFormat/>
    <w:uiPriority w:val="0"/>
    <w:pPr>
      <w:widowControl/>
      <w:jc w:val="center"/>
    </w:pPr>
    <w:rPr>
      <w:rFonts w:ascii="宋体"/>
      <w:b/>
      <w:kern w:val="0"/>
      <w:sz w:val="36"/>
    </w:rPr>
  </w:style>
  <w:style w:type="paragraph" w:customStyle="1" w:styleId="76">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77">
    <w:name w:val="子弹１"/>
    <w:basedOn w:val="78"/>
    <w:qFormat/>
    <w:uiPriority w:val="0"/>
    <w:pPr>
      <w:tabs>
        <w:tab w:val="left" w:pos="873"/>
        <w:tab w:val="left" w:pos="1134"/>
        <w:tab w:val="right" w:pos="9356"/>
      </w:tabs>
    </w:pPr>
  </w:style>
  <w:style w:type="paragraph" w:customStyle="1" w:styleId="78">
    <w:name w:val="子弹"/>
    <w:basedOn w:val="1"/>
    <w:qFormat/>
    <w:uiPriority w:val="0"/>
    <w:pPr>
      <w:tabs>
        <w:tab w:val="left" w:pos="1134"/>
        <w:tab w:val="right" w:pos="9356"/>
      </w:tabs>
      <w:ind w:left="720" w:hanging="360"/>
    </w:pPr>
    <w:rPr>
      <w:rFonts w:ascii="新宋体" w:hAnsi="新宋体" w:eastAsia="新宋体"/>
      <w:sz w:val="28"/>
      <w:szCs w:val="28"/>
    </w:rPr>
  </w:style>
  <w:style w:type="paragraph" w:customStyle="1" w:styleId="79">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80">
    <w:name w:val="列出段落1"/>
    <w:basedOn w:val="1"/>
    <w:qFormat/>
    <w:uiPriority w:val="34"/>
    <w:pPr>
      <w:ind w:firstLine="420" w:firstLineChars="200"/>
    </w:pPr>
    <w:rPr>
      <w:szCs w:val="24"/>
    </w:rPr>
  </w:style>
  <w:style w:type="paragraph" w:customStyle="1" w:styleId="81">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82">
    <w:name w:val="Char Char Char Char1"/>
    <w:basedOn w:val="14"/>
    <w:qFormat/>
    <w:uiPriority w:val="0"/>
    <w:pPr>
      <w:adjustRightInd w:val="0"/>
      <w:snapToGrid w:val="0"/>
      <w:spacing w:line="360" w:lineRule="auto"/>
    </w:pPr>
    <w:rPr>
      <w:rFonts w:ascii="Tahoma" w:hAnsi="Tahoma"/>
      <w:sz w:val="24"/>
      <w:szCs w:val="24"/>
    </w:rPr>
  </w:style>
  <w:style w:type="paragraph" w:customStyle="1" w:styleId="83">
    <w:name w:val="默认段落字体 Para Char Char Char Char"/>
    <w:basedOn w:val="1"/>
    <w:qFormat/>
    <w:uiPriority w:val="0"/>
    <w:rPr>
      <w:szCs w:val="24"/>
    </w:rPr>
  </w:style>
  <w:style w:type="paragraph" w:customStyle="1" w:styleId="84">
    <w:name w:val="Char Char1"/>
    <w:basedOn w:val="1"/>
    <w:qFormat/>
    <w:uiPriority w:val="0"/>
    <w:pPr>
      <w:widowControl/>
      <w:spacing w:after="160" w:line="240" w:lineRule="exact"/>
      <w:jc w:val="left"/>
    </w:pPr>
    <w:rPr>
      <w:rFonts w:ascii="Verdana" w:hAnsi="Verdana" w:eastAsia="仿宋_GB2312"/>
      <w:kern w:val="0"/>
      <w:sz w:val="20"/>
      <w:lang w:eastAsia="en-US"/>
    </w:rPr>
  </w:style>
  <w:style w:type="paragraph" w:customStyle="1" w:styleId="85">
    <w:name w:val="列出段落11"/>
    <w:basedOn w:val="1"/>
    <w:qFormat/>
    <w:uiPriority w:val="0"/>
    <w:pPr>
      <w:ind w:firstLine="420" w:firstLineChars="200"/>
    </w:pPr>
    <w:rPr>
      <w:rFonts w:ascii="Calibri" w:hAnsi="Calibri"/>
      <w:szCs w:val="22"/>
    </w:rPr>
  </w:style>
  <w:style w:type="paragraph" w:customStyle="1" w:styleId="86">
    <w:name w:val="Char1"/>
    <w:basedOn w:val="1"/>
    <w:qFormat/>
    <w:uiPriority w:val="0"/>
    <w:rPr>
      <w:rFonts w:ascii="Tahoma" w:hAnsi="Tahoma"/>
      <w:sz w:val="24"/>
    </w:rPr>
  </w:style>
  <w:style w:type="paragraph" w:customStyle="1" w:styleId="87">
    <w:name w:val="样式1"/>
    <w:basedOn w:val="3"/>
    <w:qFormat/>
    <w:uiPriority w:val="0"/>
    <w:pPr>
      <w:adjustRightInd w:val="0"/>
      <w:spacing w:line="416" w:lineRule="atLeast"/>
      <w:jc w:val="left"/>
      <w:textAlignment w:val="baseline"/>
    </w:pPr>
    <w:rPr>
      <w:rFonts w:eastAsia="黑体"/>
      <w:spacing w:val="0"/>
      <w:kern w:val="0"/>
      <w:sz w:val="30"/>
    </w:rPr>
  </w:style>
  <w:style w:type="character" w:customStyle="1" w:styleId="88">
    <w:name w:val="批注框文本 字符"/>
    <w:qFormat/>
    <w:uiPriority w:val="0"/>
    <w:rPr>
      <w:kern w:val="2"/>
      <w:sz w:val="18"/>
      <w:szCs w:val="18"/>
    </w:rPr>
  </w:style>
  <w:style w:type="character" w:customStyle="1" w:styleId="89">
    <w:name w:val="grame"/>
    <w:qFormat/>
    <w:uiPriority w:val="0"/>
  </w:style>
  <w:style w:type="character" w:customStyle="1" w:styleId="90">
    <w:name w:val="标题 5 字符"/>
    <w:basedOn w:val="49"/>
    <w:qFormat/>
    <w:uiPriority w:val="0"/>
    <w:rPr>
      <w:b/>
      <w:sz w:val="28"/>
      <w:szCs w:val="24"/>
    </w:rPr>
  </w:style>
  <w:style w:type="character" w:customStyle="1" w:styleId="91">
    <w:name w:val="日期 字符"/>
    <w:link w:val="24"/>
    <w:qFormat/>
    <w:uiPriority w:val="0"/>
    <w:rPr>
      <w:sz w:val="28"/>
    </w:rPr>
  </w:style>
  <w:style w:type="paragraph" w:customStyle="1" w:styleId="92">
    <w:name w:val="1"/>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93">
    <w:name w:val="孙普文字 Char"/>
    <w:qFormat/>
    <w:uiPriority w:val="0"/>
    <w:rPr>
      <w:rFonts w:ascii="宋体" w:hAnsi="Times New Roman" w:eastAsia="宋体" w:cs="Times New Roman"/>
      <w:szCs w:val="20"/>
    </w:rPr>
  </w:style>
  <w:style w:type="character" w:customStyle="1" w:styleId="94">
    <w:name w:val="页脚 字符"/>
    <w:qFormat/>
    <w:uiPriority w:val="99"/>
    <w:rPr>
      <w:kern w:val="2"/>
      <w:sz w:val="18"/>
    </w:rPr>
  </w:style>
  <w:style w:type="character" w:customStyle="1" w:styleId="95">
    <w:name w:val="不明显强调1"/>
    <w:qFormat/>
    <w:uiPriority w:val="0"/>
    <w:rPr>
      <w:rFonts w:eastAsia="仿宋_GB2312"/>
      <w:iCs/>
      <w:color w:val="auto"/>
      <w:sz w:val="24"/>
    </w:rPr>
  </w:style>
  <w:style w:type="character" w:customStyle="1" w:styleId="96">
    <w:name w:val="标题 1 字符"/>
    <w:link w:val="2"/>
    <w:qFormat/>
    <w:uiPriority w:val="0"/>
    <w:rPr>
      <w:b/>
      <w:spacing w:val="20"/>
      <w:kern w:val="44"/>
      <w:sz w:val="32"/>
    </w:rPr>
  </w:style>
  <w:style w:type="character" w:customStyle="1" w:styleId="97">
    <w:name w:val="标题 3 字符"/>
    <w:link w:val="4"/>
    <w:qFormat/>
    <w:uiPriority w:val="0"/>
    <w:rPr>
      <w:rFonts w:ascii="宋体"/>
      <w:b/>
      <w:kern w:val="2"/>
      <w:sz w:val="24"/>
    </w:rPr>
  </w:style>
  <w:style w:type="character" w:customStyle="1" w:styleId="98">
    <w:name w:val="标题 3 Char1"/>
    <w:qFormat/>
    <w:uiPriority w:val="0"/>
    <w:rPr>
      <w:rFonts w:eastAsia="宋体"/>
      <w:b/>
      <w:bCs/>
      <w:kern w:val="2"/>
      <w:sz w:val="32"/>
      <w:szCs w:val="32"/>
      <w:lang w:val="en-US" w:eastAsia="zh-CN" w:bidi="ar-SA"/>
    </w:rPr>
  </w:style>
  <w:style w:type="character" w:customStyle="1" w:styleId="99">
    <w:name w:val="short_text1"/>
    <w:qFormat/>
    <w:uiPriority w:val="0"/>
    <w:rPr>
      <w:sz w:val="26"/>
      <w:szCs w:val="26"/>
    </w:rPr>
  </w:style>
  <w:style w:type="character" w:customStyle="1" w:styleId="100">
    <w:name w:val="标题 2 字符"/>
    <w:link w:val="3"/>
    <w:qFormat/>
    <w:uiPriority w:val="0"/>
    <w:rPr>
      <w:rFonts w:ascii="Arial" w:hAnsi="Arial"/>
      <w:b/>
      <w:color w:val="000000"/>
      <w:spacing w:val="40"/>
      <w:kern w:val="2"/>
      <w:sz w:val="32"/>
    </w:rPr>
  </w:style>
  <w:style w:type="character" w:customStyle="1" w:styleId="101">
    <w:name w:val="标题 3 Char"/>
    <w:basedOn w:val="49"/>
    <w:link w:val="4"/>
    <w:qFormat/>
    <w:uiPriority w:val="0"/>
    <w:rPr>
      <w:rFonts w:eastAsia="宋体"/>
      <w:b/>
      <w:bCs/>
      <w:kern w:val="2"/>
      <w:sz w:val="32"/>
      <w:szCs w:val="32"/>
      <w:lang w:val="en-US" w:eastAsia="zh-CN" w:bidi="ar-SA"/>
    </w:rPr>
  </w:style>
  <w:style w:type="character" w:customStyle="1" w:styleId="102">
    <w:name w:val="正文文本缩进 2 Char"/>
    <w:link w:val="25"/>
    <w:qFormat/>
    <w:uiPriority w:val="0"/>
    <w:rPr>
      <w:rFonts w:ascii="宋体"/>
      <w:kern w:val="2"/>
      <w:sz w:val="24"/>
    </w:rPr>
  </w:style>
  <w:style w:type="character" w:customStyle="1" w:styleId="103">
    <w:name w:val="纯文本 Char2"/>
    <w:qFormat/>
    <w:uiPriority w:val="99"/>
    <w:rPr>
      <w:rFonts w:ascii="宋体" w:eastAsia="宋体"/>
      <w:kern w:val="2"/>
      <w:sz w:val="21"/>
      <w:lang w:val="en-US" w:eastAsia="zh-CN" w:bidi="ar-SA"/>
    </w:rPr>
  </w:style>
  <w:style w:type="character" w:customStyle="1" w:styleId="104">
    <w:name w:val="纯文本 Char1"/>
    <w:qFormat/>
    <w:uiPriority w:val="0"/>
    <w:rPr>
      <w:rFonts w:ascii="宋体" w:eastAsia="宋体"/>
      <w:kern w:val="2"/>
      <w:sz w:val="21"/>
      <w:lang w:val="en-US" w:eastAsia="zh-CN" w:bidi="ar-SA"/>
    </w:rPr>
  </w:style>
  <w:style w:type="paragraph" w:customStyle="1" w:styleId="105">
    <w:name w:val="抬头"/>
    <w:basedOn w:val="1"/>
    <w:qFormat/>
    <w:uiPriority w:val="0"/>
    <w:pPr>
      <w:spacing w:beforeLines="50" w:line="360" w:lineRule="auto"/>
    </w:pPr>
    <w:rPr>
      <w:rFonts w:ascii="宋体"/>
      <w:sz w:val="24"/>
      <w:szCs w:val="24"/>
    </w:rPr>
  </w:style>
  <w:style w:type="paragraph" w:customStyle="1" w:styleId="106">
    <w:name w:val="5"/>
    <w:basedOn w:val="1"/>
    <w:qFormat/>
    <w:uiPriority w:val="0"/>
    <w:pPr>
      <w:tabs>
        <w:tab w:val="right" w:pos="-2120"/>
      </w:tabs>
      <w:snapToGrid w:val="0"/>
    </w:pPr>
    <w:rPr>
      <w:rFonts w:ascii="Tahoma" w:hAnsi="Tahoma"/>
      <w:spacing w:val="6"/>
      <w:sz w:val="24"/>
    </w:rPr>
  </w:style>
  <w:style w:type="paragraph" w:customStyle="1" w:styleId="107">
    <w:name w:val="表格"/>
    <w:basedOn w:val="1"/>
    <w:qFormat/>
    <w:uiPriority w:val="0"/>
    <w:pPr>
      <w:tabs>
        <w:tab w:val="left" w:pos="1200"/>
      </w:tabs>
      <w:spacing w:line="500" w:lineRule="exact"/>
      <w:jc w:val="center"/>
    </w:pPr>
    <w:rPr>
      <w:rFonts w:ascii="宋体"/>
      <w:sz w:val="24"/>
      <w:szCs w:val="18"/>
    </w:rPr>
  </w:style>
  <w:style w:type="paragraph" w:customStyle="1" w:styleId="108">
    <w:name w:val="xl23"/>
    <w:next w:val="38"/>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109">
    <w:name w:val="无间距"/>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0">
    <w:name w:val="Char Char Char Char Char Char Char Char Char Char Char Char"/>
    <w:basedOn w:val="1"/>
    <w:qFormat/>
    <w:uiPriority w:val="0"/>
    <w:pPr>
      <w:tabs>
        <w:tab w:val="right" w:pos="-2120"/>
      </w:tabs>
      <w:snapToGrid w:val="0"/>
    </w:pPr>
    <w:rPr>
      <w:rFonts w:ascii="Tahoma" w:hAnsi="Tahoma"/>
      <w:spacing w:val="6"/>
      <w:sz w:val="24"/>
    </w:rPr>
  </w:style>
  <w:style w:type="paragraph" w:customStyle="1" w:styleId="111">
    <w:name w:val="Absatz2AL"/>
    <w:basedOn w:val="17"/>
    <w:next w:val="1"/>
    <w:qFormat/>
    <w:uiPriority w:val="0"/>
    <w:pPr>
      <w:widowControl/>
      <w:overflowPunct w:val="0"/>
      <w:autoSpaceDE w:val="0"/>
      <w:autoSpaceDN w:val="0"/>
      <w:adjustRightInd w:val="0"/>
      <w:textAlignment w:val="baseline"/>
    </w:pPr>
    <w:rPr>
      <w:rFonts w:ascii="Times New Roman" w:eastAsia="楷体_GB2312"/>
      <w:kern w:val="0"/>
      <w:lang w:val="de-DE" w:eastAsia="de-DE"/>
    </w:rPr>
  </w:style>
  <w:style w:type="paragraph" w:customStyle="1" w:styleId="112">
    <w:name w:val="_Style 1"/>
    <w:basedOn w:val="1"/>
    <w:qFormat/>
    <w:uiPriority w:val="34"/>
    <w:pPr>
      <w:spacing w:line="276" w:lineRule="auto"/>
      <w:ind w:left="720"/>
      <w:contextualSpacing/>
    </w:pPr>
    <w:rPr>
      <w:rFonts w:ascii="Calibri" w:hAnsi="Calibri"/>
      <w:szCs w:val="24"/>
    </w:rPr>
  </w:style>
  <w:style w:type="paragraph" w:customStyle="1" w:styleId="113">
    <w:name w:val="Char Char Char"/>
    <w:basedOn w:val="1"/>
    <w:qFormat/>
    <w:uiPriority w:val="0"/>
    <w:pPr>
      <w:ind w:firstLine="200" w:firstLineChars="200"/>
    </w:pPr>
    <w:rPr>
      <w:sz w:val="24"/>
      <w:szCs w:val="24"/>
    </w:rPr>
  </w:style>
  <w:style w:type="paragraph" w:customStyle="1" w:styleId="114">
    <w:name w:val="样式2"/>
    <w:basedOn w:val="1"/>
    <w:qFormat/>
    <w:uiPriority w:val="0"/>
    <w:pPr>
      <w:spacing w:line="360" w:lineRule="auto"/>
    </w:pPr>
    <w:rPr>
      <w:rFonts w:ascii="Century Gothic" w:hAnsi="Century Gothic" w:eastAsia="黑体"/>
      <w:b/>
      <w:sz w:val="32"/>
      <w:szCs w:val="30"/>
    </w:rPr>
  </w:style>
  <w:style w:type="paragraph" w:customStyle="1" w:styleId="115">
    <w:name w:val="Char13"/>
    <w:basedOn w:val="1"/>
    <w:qFormat/>
    <w:uiPriority w:val="0"/>
    <w:rPr>
      <w:szCs w:val="24"/>
    </w:rPr>
  </w:style>
  <w:style w:type="paragraph" w:customStyle="1" w:styleId="116">
    <w:name w:val="缺省文本"/>
    <w:basedOn w:val="1"/>
    <w:qFormat/>
    <w:uiPriority w:val="0"/>
    <w:pPr>
      <w:autoSpaceDE w:val="0"/>
      <w:autoSpaceDN w:val="0"/>
      <w:adjustRightInd w:val="0"/>
      <w:jc w:val="left"/>
    </w:pPr>
    <w:rPr>
      <w:kern w:val="0"/>
      <w:sz w:val="24"/>
    </w:rPr>
  </w:style>
  <w:style w:type="paragraph" w:customStyle="1" w:styleId="117">
    <w:name w:val="正文五号"/>
    <w:basedOn w:val="1"/>
    <w:qFormat/>
    <w:uiPriority w:val="0"/>
    <w:rPr>
      <w:rFonts w:ascii="宋体" w:eastAsia="仿宋_GB2312"/>
    </w:rPr>
  </w:style>
  <w:style w:type="paragraph" w:customStyle="1" w:styleId="118">
    <w:name w:val="Char Char1 Char Char"/>
    <w:basedOn w:val="1"/>
    <w:qFormat/>
    <w:uiPriority w:val="0"/>
    <w:pPr>
      <w:tabs>
        <w:tab w:val="left" w:pos="360"/>
      </w:tabs>
    </w:pPr>
  </w:style>
  <w:style w:type="paragraph" w:customStyle="1" w:styleId="119">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bCs/>
      <w:color w:val="376092" w:themeColor="accent1" w:themeShade="BF"/>
      <w:spacing w:val="0"/>
      <w:kern w:val="0"/>
      <w:sz w:val="28"/>
      <w:szCs w:val="28"/>
    </w:rPr>
  </w:style>
  <w:style w:type="paragraph" w:customStyle="1" w:styleId="120">
    <w:name w:val="_Style 2"/>
    <w:basedOn w:val="1"/>
    <w:qFormat/>
    <w:uiPriority w:val="99"/>
    <w:pPr>
      <w:ind w:firstLine="420" w:firstLineChars="200"/>
    </w:pPr>
    <w:rPr>
      <w:szCs w:val="21"/>
    </w:rPr>
  </w:style>
  <w:style w:type="paragraph" w:customStyle="1" w:styleId="121">
    <w:name w:val="修订2"/>
    <w:hidden/>
    <w:semiHidden/>
    <w:qFormat/>
    <w:uiPriority w:val="99"/>
    <w:rPr>
      <w:rFonts w:ascii="Times New Roman" w:hAnsi="Times New Roman" w:eastAsia="宋体" w:cs="Times New Roman"/>
      <w:kern w:val="2"/>
      <w:sz w:val="21"/>
      <w:lang w:val="en-US" w:eastAsia="zh-CN" w:bidi="ar-SA"/>
    </w:rPr>
  </w:style>
  <w:style w:type="paragraph" w:customStyle="1" w:styleId="122">
    <w:name w:val="修订3"/>
    <w:hidden/>
    <w:unhideWhenUsed/>
    <w:qFormat/>
    <w:uiPriority w:val="99"/>
    <w:rPr>
      <w:rFonts w:ascii="Times New Roman" w:hAnsi="Times New Roman" w:eastAsia="宋体" w:cs="Times New Roman"/>
      <w:kern w:val="2"/>
      <w:sz w:val="21"/>
      <w:lang w:val="en-US" w:eastAsia="zh-CN" w:bidi="ar-SA"/>
    </w:rPr>
  </w:style>
  <w:style w:type="paragraph" w:customStyle="1" w:styleId="123">
    <w:name w:val="修订4"/>
    <w:hidden/>
    <w:unhideWhenUsed/>
    <w:qFormat/>
    <w:uiPriority w:val="99"/>
    <w:rPr>
      <w:rFonts w:ascii="Times New Roman" w:hAnsi="Times New Roman" w:eastAsia="宋体" w:cs="Times New Roman"/>
      <w:kern w:val="2"/>
      <w:sz w:val="21"/>
      <w:lang w:val="en-US" w:eastAsia="zh-CN" w:bidi="ar-SA"/>
    </w:rPr>
  </w:style>
  <w:style w:type="paragraph" w:customStyle="1" w:styleId="124">
    <w:name w:val="修订5"/>
    <w:hidden/>
    <w:unhideWhenUsed/>
    <w:qFormat/>
    <w:uiPriority w:val="99"/>
    <w:rPr>
      <w:rFonts w:ascii="Times New Roman" w:hAnsi="Times New Roman" w:eastAsia="宋体" w:cs="Times New Roman"/>
      <w:kern w:val="2"/>
      <w:sz w:val="21"/>
      <w:lang w:val="en-US" w:eastAsia="zh-CN" w:bidi="ar-SA"/>
    </w:rPr>
  </w:style>
  <w:style w:type="character" w:customStyle="1" w:styleId="125">
    <w:name w:val="无"/>
    <w:qFormat/>
    <w:uiPriority w:val="0"/>
  </w:style>
  <w:style w:type="paragraph" w:customStyle="1" w:styleId="126">
    <w:name w:val="修订6"/>
    <w:hidden/>
    <w:unhideWhenUsed/>
    <w:qFormat/>
    <w:uiPriority w:val="99"/>
    <w:rPr>
      <w:rFonts w:ascii="Times New Roman" w:hAnsi="Times New Roman" w:eastAsia="宋体" w:cs="Times New Roman"/>
      <w:kern w:val="2"/>
      <w:sz w:val="21"/>
      <w:lang w:val="en-US" w:eastAsia="zh-CN" w:bidi="ar-SA"/>
    </w:rPr>
  </w:style>
  <w:style w:type="paragraph" w:customStyle="1" w:styleId="127">
    <w:name w:val="列出段落2"/>
    <w:basedOn w:val="1"/>
    <w:unhideWhenUsed/>
    <w:qFormat/>
    <w:uiPriority w:val="99"/>
    <w:pPr>
      <w:ind w:firstLine="420" w:firstLineChars="200"/>
    </w:pPr>
  </w:style>
  <w:style w:type="character" w:customStyle="1" w:styleId="128">
    <w:name w:val="hover1"/>
    <w:basedOn w:val="49"/>
    <w:qFormat/>
    <w:uiPriority w:val="0"/>
    <w:rPr>
      <w:shd w:val="clear" w:color="auto" w:fill="EEEEEE"/>
    </w:rPr>
  </w:style>
  <w:style w:type="character" w:customStyle="1" w:styleId="129">
    <w:name w:val="hour_am"/>
    <w:basedOn w:val="49"/>
    <w:qFormat/>
    <w:uiPriority w:val="0"/>
  </w:style>
  <w:style w:type="character" w:customStyle="1" w:styleId="130">
    <w:name w:val="icon"/>
    <w:basedOn w:val="49"/>
    <w:qFormat/>
    <w:uiPriority w:val="0"/>
  </w:style>
  <w:style w:type="character" w:customStyle="1" w:styleId="131">
    <w:name w:val="old"/>
    <w:basedOn w:val="49"/>
    <w:qFormat/>
    <w:uiPriority w:val="0"/>
    <w:rPr>
      <w:color w:val="999999"/>
    </w:rPr>
  </w:style>
  <w:style w:type="character" w:customStyle="1" w:styleId="132">
    <w:name w:val="hour_pm"/>
    <w:basedOn w:val="49"/>
    <w:qFormat/>
    <w:uiPriority w:val="0"/>
  </w:style>
  <w:style w:type="character" w:customStyle="1" w:styleId="133">
    <w:name w:val="glyphicon6"/>
    <w:basedOn w:val="49"/>
    <w:qFormat/>
    <w:uiPriority w:val="0"/>
  </w:style>
  <w:style w:type="character" w:customStyle="1" w:styleId="134">
    <w:name w:val="indent"/>
    <w:basedOn w:val="49"/>
    <w:qFormat/>
    <w:uiPriority w:val="0"/>
  </w:style>
  <w:style w:type="paragraph" w:customStyle="1" w:styleId="135">
    <w:name w:val="_Style 114"/>
    <w:basedOn w:val="1"/>
    <w:next w:val="1"/>
    <w:qFormat/>
    <w:uiPriority w:val="0"/>
    <w:pPr>
      <w:pBdr>
        <w:bottom w:val="single" w:color="auto" w:sz="6" w:space="1"/>
      </w:pBdr>
      <w:jc w:val="center"/>
    </w:pPr>
    <w:rPr>
      <w:rFonts w:ascii="Arial"/>
      <w:vanish/>
      <w:sz w:val="16"/>
    </w:rPr>
  </w:style>
  <w:style w:type="paragraph" w:customStyle="1" w:styleId="136">
    <w:name w:val="_Style 115"/>
    <w:basedOn w:val="1"/>
    <w:next w:val="1"/>
    <w:qFormat/>
    <w:uiPriority w:val="0"/>
    <w:pPr>
      <w:pBdr>
        <w:top w:val="single" w:color="auto" w:sz="6" w:space="1"/>
      </w:pBdr>
      <w:jc w:val="center"/>
    </w:pPr>
    <w:rPr>
      <w:rFonts w:ascii="Arial"/>
      <w:vanish/>
      <w:sz w:val="16"/>
    </w:rPr>
  </w:style>
  <w:style w:type="character" w:customStyle="1" w:styleId="137">
    <w:name w:val="glyphicon"/>
    <w:basedOn w:val="49"/>
    <w:qFormat/>
    <w:uiPriority w:val="0"/>
  </w:style>
  <w:style w:type="character" w:customStyle="1" w:styleId="138">
    <w:name w:val="hover"/>
    <w:basedOn w:val="49"/>
    <w:qFormat/>
    <w:uiPriority w:val="0"/>
    <w:rPr>
      <w:shd w:val="clear" w:color="auto" w:fill="EEEEEE"/>
    </w:rPr>
  </w:style>
  <w:style w:type="paragraph" w:customStyle="1" w:styleId="139">
    <w:name w:val="无间隔1"/>
    <w:qFormat/>
    <w:uiPriority w:val="99"/>
    <w:pPr>
      <w:adjustRightInd w:val="0"/>
      <w:snapToGrid w:val="0"/>
    </w:pPr>
    <w:rPr>
      <w:rFonts w:ascii="Tahoma" w:hAnsi="Tahoma" w:eastAsia="微软雅黑" w:cs="Times New Roman"/>
      <w:sz w:val="22"/>
      <w:szCs w:val="22"/>
      <w:lang w:val="en-US" w:eastAsia="zh-CN" w:bidi="ar-SA"/>
    </w:rPr>
  </w:style>
  <w:style w:type="character" w:customStyle="1" w:styleId="140">
    <w:name w:val="font01"/>
    <w:basedOn w:val="49"/>
    <w:qFormat/>
    <w:uiPriority w:val="0"/>
    <w:rPr>
      <w:rFonts w:hint="eastAsia" w:ascii="宋体" w:hAnsi="宋体" w:eastAsia="宋体" w:cs="宋体"/>
      <w:color w:val="000000"/>
      <w:sz w:val="20"/>
      <w:szCs w:val="20"/>
      <w:u w:val="none"/>
    </w:rPr>
  </w:style>
  <w:style w:type="character" w:customStyle="1" w:styleId="141">
    <w:name w:val="hps"/>
    <w:qFormat/>
    <w:uiPriority w:val="0"/>
  </w:style>
  <w:style w:type="character" w:customStyle="1" w:styleId="142">
    <w:name w:val="font91"/>
    <w:qFormat/>
    <w:uiPriority w:val="0"/>
    <w:rPr>
      <w:rFonts w:hint="eastAsia" w:ascii="宋体" w:hAnsi="宋体" w:eastAsia="宋体" w:cs="宋体"/>
      <w:color w:val="000000"/>
      <w:sz w:val="20"/>
      <w:szCs w:val="20"/>
      <w:u w:val="none"/>
    </w:rPr>
  </w:style>
  <w:style w:type="character" w:customStyle="1" w:styleId="143">
    <w:name w:val="font41"/>
    <w:qFormat/>
    <w:uiPriority w:val="0"/>
    <w:rPr>
      <w:rFonts w:hint="default" w:ascii="Times New Roman" w:hAnsi="Times New Roman" w:cs="Times New Roman"/>
      <w:color w:val="000000"/>
      <w:sz w:val="24"/>
      <w:szCs w:val="24"/>
      <w:u w:val="none"/>
    </w:rPr>
  </w:style>
  <w:style w:type="character" w:customStyle="1" w:styleId="144">
    <w:name w:val="font71"/>
    <w:qFormat/>
    <w:uiPriority w:val="0"/>
    <w:rPr>
      <w:rFonts w:hint="eastAsia" w:ascii="宋体" w:hAnsi="宋体" w:eastAsia="宋体" w:cs="宋体"/>
      <w:color w:val="000000"/>
      <w:sz w:val="24"/>
      <w:szCs w:val="24"/>
      <w:u w:val="none"/>
    </w:rPr>
  </w:style>
  <w:style w:type="character" w:customStyle="1" w:styleId="145">
    <w:name w:val="font51"/>
    <w:basedOn w:val="49"/>
    <w:qFormat/>
    <w:uiPriority w:val="0"/>
    <w:rPr>
      <w:rFonts w:hint="eastAsia" w:ascii="宋体" w:hAnsi="宋体" w:eastAsia="宋体" w:cs="宋体"/>
      <w:b/>
      <w:color w:val="000000"/>
      <w:sz w:val="20"/>
      <w:szCs w:val="20"/>
      <w:u w:val="none"/>
    </w:rPr>
  </w:style>
  <w:style w:type="character" w:customStyle="1" w:styleId="146">
    <w:name w:val="font61"/>
    <w:qFormat/>
    <w:uiPriority w:val="0"/>
    <w:rPr>
      <w:rFonts w:hint="eastAsia" w:ascii="宋体" w:hAnsi="宋体" w:eastAsia="宋体" w:cs="宋体"/>
      <w:i/>
      <w:color w:val="000000"/>
      <w:sz w:val="20"/>
      <w:szCs w:val="20"/>
      <w:u w:val="none"/>
    </w:rPr>
  </w:style>
  <w:style w:type="character" w:customStyle="1" w:styleId="147">
    <w:name w:val="普通(网站) Char"/>
    <w:link w:val="41"/>
    <w:qFormat/>
    <w:uiPriority w:val="0"/>
    <w:rPr>
      <w:rFonts w:ascii="宋体" w:hAnsi="宋体"/>
      <w:sz w:val="24"/>
      <w:szCs w:val="24"/>
    </w:rPr>
  </w:style>
  <w:style w:type="paragraph" w:styleId="148">
    <w:name w:val="List Paragraph"/>
    <w:basedOn w:val="1"/>
    <w:link w:val="226"/>
    <w:qFormat/>
    <w:uiPriority w:val="34"/>
    <w:pPr>
      <w:ind w:firstLine="420" w:firstLineChars="200"/>
    </w:pPr>
  </w:style>
  <w:style w:type="character" w:customStyle="1" w:styleId="149">
    <w:name w:val="批注文字 字符"/>
    <w:basedOn w:val="49"/>
    <w:qFormat/>
    <w:uiPriority w:val="99"/>
    <w:rPr>
      <w:kern w:val="2"/>
      <w:sz w:val="21"/>
    </w:rPr>
  </w:style>
  <w:style w:type="paragraph" w:customStyle="1" w:styleId="150">
    <w:name w:val="彩色列表 - 强调文字颜色 11"/>
    <w:basedOn w:val="1"/>
    <w:qFormat/>
    <w:uiPriority w:val="0"/>
    <w:pPr>
      <w:ind w:firstLine="420" w:firstLineChars="200"/>
    </w:pPr>
    <w:rPr>
      <w:rFonts w:ascii="Cambria" w:hAnsi="Cambria"/>
      <w:sz w:val="24"/>
      <w:szCs w:val="24"/>
    </w:rPr>
  </w:style>
  <w:style w:type="character" w:customStyle="1" w:styleId="151">
    <w:name w:val="页眉 字符"/>
    <w:basedOn w:val="49"/>
    <w:qFormat/>
    <w:uiPriority w:val="99"/>
    <w:rPr>
      <w:kern w:val="2"/>
      <w:sz w:val="18"/>
    </w:rPr>
  </w:style>
  <w:style w:type="character" w:customStyle="1" w:styleId="152">
    <w:name w:val="列出段落 Char"/>
    <w:link w:val="148"/>
    <w:qFormat/>
    <w:uiPriority w:val="0"/>
    <w:rPr>
      <w:kern w:val="2"/>
      <w:sz w:val="21"/>
    </w:rPr>
  </w:style>
  <w:style w:type="paragraph" w:customStyle="1" w:styleId="153">
    <w:name w:val="Other|1"/>
    <w:basedOn w:val="1"/>
    <w:qFormat/>
    <w:uiPriority w:val="0"/>
    <w:pPr>
      <w:spacing w:line="420" w:lineRule="auto"/>
    </w:pPr>
    <w:rPr>
      <w:rFonts w:ascii="宋体" w:hAnsi="宋体" w:cs="宋体"/>
      <w:u w:val="single"/>
      <w:lang w:val="zh-TW" w:eastAsia="zh-TW" w:bidi="zh-TW"/>
    </w:rPr>
  </w:style>
  <w:style w:type="paragraph" w:customStyle="1" w:styleId="154">
    <w:name w:val="自定义正文"/>
    <w:basedOn w:val="1"/>
    <w:link w:val="166"/>
    <w:qFormat/>
    <w:uiPriority w:val="0"/>
    <w:pPr>
      <w:spacing w:before="120" w:after="60" w:line="400" w:lineRule="exact"/>
      <w:ind w:firstLine="200" w:firstLineChars="200"/>
      <w:jc w:val="left"/>
    </w:pPr>
    <w:rPr>
      <w:szCs w:val="24"/>
    </w:rPr>
  </w:style>
  <w:style w:type="character" w:customStyle="1" w:styleId="155">
    <w:name w:val="标题 4 Char"/>
    <w:basedOn w:val="49"/>
    <w:link w:val="5"/>
    <w:qFormat/>
    <w:uiPriority w:val="9"/>
    <w:rPr>
      <w:rFonts w:ascii="Arial" w:hAnsi="Arial" w:eastAsia="宋体" w:cs="Times New Roman"/>
      <w:sz w:val="24"/>
      <w:szCs w:val="24"/>
    </w:rPr>
  </w:style>
  <w:style w:type="character" w:customStyle="1" w:styleId="156">
    <w:name w:val="标题 5 Char"/>
    <w:basedOn w:val="49"/>
    <w:link w:val="6"/>
    <w:qFormat/>
    <w:uiPriority w:val="0"/>
    <w:rPr>
      <w:rFonts w:ascii="Arial" w:hAnsi="Arial" w:eastAsia="宋体" w:cs="Times New Roman"/>
      <w:sz w:val="24"/>
      <w:szCs w:val="24"/>
    </w:rPr>
  </w:style>
  <w:style w:type="character" w:customStyle="1" w:styleId="157">
    <w:name w:val="标题 6 Char"/>
    <w:basedOn w:val="49"/>
    <w:link w:val="7"/>
    <w:qFormat/>
    <w:uiPriority w:val="0"/>
    <w:rPr>
      <w:rFonts w:ascii="Times New Roman" w:hAnsi="Times New Roman" w:eastAsia="宋体" w:cs="Times New Roman"/>
      <w:szCs w:val="24"/>
    </w:rPr>
  </w:style>
  <w:style w:type="character" w:customStyle="1" w:styleId="158">
    <w:name w:val="标题 7 Char"/>
    <w:basedOn w:val="49"/>
    <w:link w:val="8"/>
    <w:qFormat/>
    <w:uiPriority w:val="0"/>
    <w:rPr>
      <w:rFonts w:ascii="Times New Roman" w:hAnsi="Times New Roman" w:eastAsia="宋体" w:cs="Times New Roman"/>
      <w:b/>
      <w:szCs w:val="24"/>
    </w:rPr>
  </w:style>
  <w:style w:type="character" w:customStyle="1" w:styleId="159">
    <w:name w:val="标题 8 Char"/>
    <w:basedOn w:val="49"/>
    <w:link w:val="9"/>
    <w:qFormat/>
    <w:uiPriority w:val="0"/>
    <w:rPr>
      <w:rFonts w:ascii="Times New Roman" w:hAnsi="Times New Roman" w:eastAsia="宋体" w:cs="Times New Roman"/>
      <w:b/>
      <w:sz w:val="22"/>
      <w:szCs w:val="24"/>
    </w:rPr>
  </w:style>
  <w:style w:type="character" w:customStyle="1" w:styleId="160">
    <w:name w:val="标题 9 Char"/>
    <w:basedOn w:val="49"/>
    <w:link w:val="10"/>
    <w:qFormat/>
    <w:uiPriority w:val="0"/>
    <w:rPr>
      <w:rFonts w:ascii="Times New Roman" w:hAnsi="Times New Roman" w:eastAsia="黑体" w:cs="Times New Roman"/>
      <w:szCs w:val="24"/>
    </w:rPr>
  </w:style>
  <w:style w:type="character" w:customStyle="1" w:styleId="161">
    <w:name w:val="页脚 Char"/>
    <w:basedOn w:val="49"/>
    <w:link w:val="27"/>
    <w:qFormat/>
    <w:uiPriority w:val="99"/>
    <w:rPr>
      <w:rFonts w:ascii="Times New Roman" w:hAnsi="Times New Roman" w:eastAsia="宋体" w:cs="Times New Roman"/>
      <w:sz w:val="18"/>
      <w:szCs w:val="24"/>
    </w:rPr>
  </w:style>
  <w:style w:type="character" w:customStyle="1" w:styleId="162">
    <w:name w:val="页眉 Char"/>
    <w:basedOn w:val="49"/>
    <w:link w:val="28"/>
    <w:qFormat/>
    <w:uiPriority w:val="0"/>
    <w:rPr>
      <w:rFonts w:ascii="Times New Roman" w:hAnsi="Times New Roman" w:eastAsia="宋体" w:cs="Times New Roman"/>
      <w:sz w:val="18"/>
      <w:szCs w:val="24"/>
    </w:rPr>
  </w:style>
  <w:style w:type="character" w:customStyle="1" w:styleId="163">
    <w:name w:val="批注框文本 Char"/>
    <w:basedOn w:val="49"/>
    <w:link w:val="26"/>
    <w:semiHidden/>
    <w:qFormat/>
    <w:uiPriority w:val="99"/>
    <w:rPr>
      <w:rFonts w:ascii="Times New Roman" w:hAnsi="Times New Roman" w:eastAsia="宋体" w:cs="Times New Roman"/>
      <w:sz w:val="18"/>
      <w:szCs w:val="18"/>
    </w:rPr>
  </w:style>
  <w:style w:type="character" w:customStyle="1" w:styleId="164">
    <w:name w:val="纯文本 Char"/>
    <w:basedOn w:val="49"/>
    <w:link w:val="22"/>
    <w:qFormat/>
    <w:uiPriority w:val="0"/>
    <w:rPr>
      <w:rFonts w:ascii="宋体" w:hAnsi="Courier New" w:eastAsia="宋体" w:cs="Times New Roman"/>
      <w:szCs w:val="24"/>
      <w:lang w:val="zh-CN"/>
    </w:rPr>
  </w:style>
  <w:style w:type="paragraph" w:customStyle="1" w:styleId="165">
    <w:name w:val="表格正文"/>
    <w:basedOn w:val="1"/>
    <w:qFormat/>
    <w:uiPriority w:val="0"/>
    <w:pPr>
      <w:spacing w:line="240" w:lineRule="atLeast"/>
    </w:pPr>
    <w:rPr>
      <w:rFonts w:eastAsia="楷体_GB2312"/>
      <w:sz w:val="24"/>
      <w:szCs w:val="24"/>
    </w:rPr>
  </w:style>
  <w:style w:type="character" w:customStyle="1" w:styleId="166">
    <w:name w:val="自定义正文 Char Char"/>
    <w:link w:val="154"/>
    <w:qFormat/>
    <w:uiPriority w:val="0"/>
    <w:rPr>
      <w:rFonts w:ascii="Times New Roman" w:hAnsi="Times New Roman" w:eastAsia="宋体" w:cs="Times New Roman"/>
      <w:szCs w:val="24"/>
    </w:rPr>
  </w:style>
  <w:style w:type="paragraph" w:customStyle="1" w:styleId="167">
    <w:name w:val="图片"/>
    <w:basedOn w:val="1"/>
    <w:link w:val="168"/>
    <w:qFormat/>
    <w:uiPriority w:val="0"/>
    <w:pPr>
      <w:jc w:val="center"/>
    </w:pPr>
    <w:rPr>
      <w:rFonts w:ascii="仿宋_GB2312" w:eastAsia="仿宋_GB2312" w:cs="宋体"/>
      <w:color w:val="0D0D0D" w:themeColor="text1" w:themeTint="F2"/>
      <w:sz w:val="24"/>
      <w14:textFill>
        <w14:solidFill>
          <w14:schemeClr w14:val="tx1">
            <w14:lumMod w14:val="95000"/>
            <w14:lumOff w14:val="5000"/>
          </w14:schemeClr>
        </w14:solidFill>
      </w14:textFill>
    </w:rPr>
  </w:style>
  <w:style w:type="character" w:customStyle="1" w:styleId="168">
    <w:name w:val="图片 字符"/>
    <w:basedOn w:val="49"/>
    <w:link w:val="167"/>
    <w:qFormat/>
    <w:uiPriority w:val="0"/>
    <w:rPr>
      <w:rFonts w:ascii="仿宋_GB2312" w:hAnsi="Times New Roman" w:eastAsia="仿宋_GB2312" w:cs="宋体"/>
      <w:color w:val="0D0D0D" w:themeColor="text1" w:themeTint="F2"/>
      <w:szCs w:val="20"/>
      <w14:textFill>
        <w14:solidFill>
          <w14:schemeClr w14:val="tx1">
            <w14:lumMod w14:val="95000"/>
            <w14:lumOff w14:val="5000"/>
          </w14:schemeClr>
        </w14:solidFill>
      </w14:textFill>
    </w:rPr>
  </w:style>
  <w:style w:type="paragraph" w:customStyle="1" w:styleId="169">
    <w:name w:val="学分制正文样式"/>
    <w:basedOn w:val="1"/>
    <w:link w:val="170"/>
    <w:qFormat/>
    <w:uiPriority w:val="0"/>
    <w:pPr>
      <w:spacing w:line="360" w:lineRule="auto"/>
      <w:ind w:firstLine="560" w:firstLineChars="200"/>
      <w:jc w:val="left"/>
    </w:pPr>
    <w:rPr>
      <w:rFonts w:ascii="宋体" w:hAnsi="宋体" w:cs="宋体"/>
      <w:bCs/>
      <w:sz w:val="28"/>
      <w:szCs w:val="22"/>
    </w:rPr>
  </w:style>
  <w:style w:type="character" w:customStyle="1" w:styleId="170">
    <w:name w:val="学分制正文样式 字符"/>
    <w:basedOn w:val="49"/>
    <w:link w:val="169"/>
    <w:qFormat/>
    <w:uiPriority w:val="0"/>
    <w:rPr>
      <w:rFonts w:ascii="宋体" w:hAnsi="宋体" w:eastAsia="宋体" w:cs="宋体"/>
      <w:bCs/>
      <w:sz w:val="28"/>
    </w:rPr>
  </w:style>
  <w:style w:type="character" w:customStyle="1" w:styleId="171">
    <w:name w:val="日期 Char"/>
    <w:basedOn w:val="49"/>
    <w:link w:val="24"/>
    <w:semiHidden/>
    <w:qFormat/>
    <w:uiPriority w:val="99"/>
    <w:rPr>
      <w:rFonts w:ascii="Times New Roman" w:hAnsi="Times New Roman" w:eastAsia="宋体" w:cs="Times New Roman"/>
    </w:rPr>
  </w:style>
  <w:style w:type="character" w:customStyle="1" w:styleId="172">
    <w:name w:val="批注文字 Char"/>
    <w:basedOn w:val="49"/>
    <w:link w:val="15"/>
    <w:qFormat/>
    <w:uiPriority w:val="99"/>
    <w:rPr>
      <w:rFonts w:ascii="Times New Roman" w:hAnsi="Times New Roman" w:eastAsia="宋体" w:cs="Times New Roman"/>
    </w:rPr>
  </w:style>
  <w:style w:type="character" w:customStyle="1" w:styleId="173">
    <w:name w:val="批注主题 Char"/>
    <w:basedOn w:val="172"/>
    <w:link w:val="44"/>
    <w:semiHidden/>
    <w:qFormat/>
    <w:uiPriority w:val="99"/>
    <w:rPr>
      <w:rFonts w:ascii="Times New Roman" w:hAnsi="Times New Roman" w:eastAsia="宋体" w:cs="Times New Roman"/>
      <w:b/>
      <w:bCs/>
    </w:rPr>
  </w:style>
  <w:style w:type="paragraph" w:styleId="174">
    <w:name w:val="Intense Quote"/>
    <w:basedOn w:val="1"/>
    <w:next w:val="1"/>
    <w:link w:val="175"/>
    <w:semiHidden/>
    <w:unhideWhenUsed/>
    <w:qFormat/>
    <w:uiPriority w:val="99"/>
    <w:pPr>
      <w:pBdr>
        <w:bottom w:val="single" w:color="4F81BD" w:themeColor="accent1" w:sz="4" w:space="4"/>
      </w:pBdr>
      <w:spacing w:before="200" w:after="280"/>
      <w:ind w:left="936" w:right="936"/>
    </w:pPr>
    <w:rPr>
      <w:rFonts w:ascii="Arial" w:hAnsi="Arial" w:cstheme="minorBidi"/>
      <w:b/>
      <w:bCs/>
      <w:i/>
      <w:iCs/>
      <w:color w:val="4F81BD" w:themeColor="accent1"/>
      <w:sz w:val="24"/>
      <w:szCs w:val="22"/>
      <w14:textFill>
        <w14:solidFill>
          <w14:schemeClr w14:val="accent1"/>
        </w14:solidFill>
      </w14:textFill>
    </w:rPr>
  </w:style>
  <w:style w:type="character" w:customStyle="1" w:styleId="175">
    <w:name w:val="明显引用 Char"/>
    <w:basedOn w:val="49"/>
    <w:link w:val="174"/>
    <w:qFormat/>
    <w:uiPriority w:val="30"/>
    <w:rPr>
      <w:rFonts w:ascii="Times New Roman" w:hAnsi="Times New Roman" w:eastAsia="宋体" w:cs="Times New Roman"/>
      <w:b/>
      <w:bCs/>
      <w:i/>
      <w:iCs/>
      <w:color w:val="4F81BD" w:themeColor="accent1"/>
      <w14:textFill>
        <w14:solidFill>
          <w14:schemeClr w14:val="accent1"/>
        </w14:solidFill>
      </w14:textFill>
    </w:rPr>
  </w:style>
  <w:style w:type="character" w:customStyle="1" w:styleId="176">
    <w:name w:val="font21"/>
    <w:basedOn w:val="49"/>
    <w:qFormat/>
    <w:uiPriority w:val="0"/>
    <w:rPr>
      <w:rFonts w:hint="eastAsia" w:ascii="宋体" w:hAnsi="宋体" w:eastAsia="宋体" w:cs="宋体"/>
      <w:color w:val="000000"/>
      <w:sz w:val="18"/>
      <w:szCs w:val="18"/>
      <w:u w:val="none"/>
    </w:rPr>
  </w:style>
  <w:style w:type="paragraph" w:customStyle="1" w:styleId="177">
    <w:name w:val="图表目录1"/>
    <w:basedOn w:val="178"/>
    <w:next w:val="178"/>
    <w:qFormat/>
    <w:uiPriority w:val="0"/>
    <w:pPr>
      <w:ind w:left="200" w:leftChars="200" w:hanging="200" w:hangingChars="200"/>
    </w:pPr>
    <w:rPr>
      <w:rFonts w:ascii="Calibri" w:hAnsi="Calibri" w:eastAsia="仿宋_GB2312" w:cs="宋体"/>
      <w:sz w:val="32"/>
      <w:szCs w:val="32"/>
    </w:rPr>
  </w:style>
  <w:style w:type="paragraph" w:customStyle="1" w:styleId="178">
    <w:name w:val="正文 New New New New New New New New New New New New New New New New New New New New New New New New New New New New New New New New New New New New New New New New New New New New New New New New New New New New New New New New New New New New New New Ne"/>
    <w:basedOn w:val="1"/>
    <w:next w:val="177"/>
    <w:qFormat/>
    <w:uiPriority w:val="0"/>
    <w:rPr>
      <w:rFonts w:ascii="Calibri" w:hAnsi="Calibri" w:eastAsia="宋体" w:cs="宋体"/>
      <w:szCs w:val="24"/>
    </w:rPr>
  </w:style>
  <w:style w:type="character" w:customStyle="1" w:styleId="179">
    <w:name w:val="font11"/>
    <w:basedOn w:val="49"/>
    <w:qFormat/>
    <w:uiPriority w:val="0"/>
    <w:rPr>
      <w:rFonts w:hint="default" w:ascii="Calibri" w:hAnsi="Calibri" w:cs="Calibri"/>
      <w:color w:val="000000"/>
      <w:sz w:val="21"/>
      <w:szCs w:val="21"/>
      <w:u w:val="none"/>
    </w:rPr>
  </w:style>
  <w:style w:type="character" w:customStyle="1" w:styleId="180">
    <w:name w:val="font31"/>
    <w:basedOn w:val="49"/>
    <w:qFormat/>
    <w:uiPriority w:val="0"/>
    <w:rPr>
      <w:rFonts w:hint="eastAsia" w:ascii="宋体" w:hAnsi="宋体" w:eastAsia="宋体" w:cs="宋体"/>
      <w:color w:val="000000"/>
      <w:sz w:val="18"/>
      <w:szCs w:val="18"/>
      <w:u w:val="none"/>
    </w:rPr>
  </w:style>
  <w:style w:type="paragraph" w:customStyle="1" w:styleId="181">
    <w:name w:val="WPSOffice手动目录 1"/>
    <w:qFormat/>
    <w:uiPriority w:val="0"/>
    <w:pPr>
      <w:ind w:leftChars="0"/>
    </w:pPr>
    <w:rPr>
      <w:rFonts w:ascii="Times New Roman" w:hAnsi="Times New Roman" w:eastAsia="宋体" w:cs="Times New Roman"/>
      <w:sz w:val="20"/>
      <w:szCs w:val="20"/>
    </w:rPr>
  </w:style>
  <w:style w:type="paragraph" w:customStyle="1" w:styleId="182">
    <w:name w:val="WPSOffice手动目录 2"/>
    <w:qFormat/>
    <w:uiPriority w:val="0"/>
    <w:pPr>
      <w:ind w:leftChars="200"/>
    </w:pPr>
    <w:rPr>
      <w:rFonts w:ascii="Times New Roman" w:hAnsi="Times New Roman" w:eastAsia="宋体" w:cs="Times New Roman"/>
      <w:sz w:val="20"/>
      <w:szCs w:val="20"/>
    </w:rPr>
  </w:style>
  <w:style w:type="paragraph" w:customStyle="1" w:styleId="183">
    <w:name w:val="PlainText"/>
    <w:basedOn w:val="1"/>
    <w:next w:val="1"/>
    <w:qFormat/>
    <w:uiPriority w:val="0"/>
    <w:rPr>
      <w:szCs w:val="20"/>
    </w:rPr>
  </w:style>
  <w:style w:type="character" w:customStyle="1" w:styleId="184">
    <w:name w:val="NormalCharacter"/>
    <w:semiHidden/>
    <w:qFormat/>
    <w:uiPriority w:val="0"/>
  </w:style>
  <w:style w:type="paragraph" w:customStyle="1" w:styleId="185">
    <w:name w:val="BodyTextIndent"/>
    <w:basedOn w:val="1"/>
    <w:qFormat/>
    <w:uiPriority w:val="0"/>
    <w:pPr>
      <w:spacing w:line="460" w:lineRule="exact"/>
      <w:ind w:firstLine="510"/>
    </w:pPr>
  </w:style>
  <w:style w:type="paragraph" w:customStyle="1" w:styleId="186">
    <w:name w:val="表格文字"/>
    <w:basedOn w:val="1"/>
    <w:qFormat/>
    <w:uiPriority w:val="0"/>
    <w:pPr>
      <w:spacing w:before="25" w:after="25"/>
      <w:jc w:val="left"/>
    </w:pPr>
    <w:rPr>
      <w:bCs/>
      <w:spacing w:val="10"/>
      <w:kern w:val="0"/>
      <w:sz w:val="24"/>
    </w:rPr>
  </w:style>
  <w:style w:type="paragraph" w:customStyle="1" w:styleId="187">
    <w:name w:val="null3"/>
    <w:qFormat/>
    <w:uiPriority w:val="0"/>
    <w:rPr>
      <w:rFonts w:hint="eastAsia" w:ascii="Calibri" w:hAnsi="Calibri" w:eastAsia="宋体" w:cs="Times New Roman"/>
      <w:lang w:val="en-US" w:eastAsia="zh-Hans" w:bidi="ar-SA"/>
    </w:rPr>
  </w:style>
  <w:style w:type="character" w:customStyle="1" w:styleId="188">
    <w:name w:val="正文文本 字符"/>
    <w:link w:val="17"/>
    <w:qFormat/>
    <w:uiPriority w:val="0"/>
    <w:rPr>
      <w:rFonts w:ascii="金山简黑体" w:hAnsi="金山简黑体" w:eastAsia="金山简黑体" w:cs="Times New Roman"/>
      <w:b/>
      <w:spacing w:val="-8"/>
      <w:kern w:val="2"/>
      <w:sz w:val="44"/>
    </w:rPr>
  </w:style>
  <w:style w:type="character" w:customStyle="1" w:styleId="189">
    <w:name w:val="标题 5 字符1"/>
    <w:link w:val="6"/>
    <w:qFormat/>
    <w:uiPriority w:val="0"/>
    <w:rPr>
      <w:rFonts w:ascii="Times New Roman" w:hAnsi="Times New Roman" w:eastAsia="宋体" w:cs="Times New Roman"/>
      <w:b/>
      <w:sz w:val="28"/>
      <w:szCs w:val="24"/>
    </w:rPr>
  </w:style>
  <w:style w:type="character" w:customStyle="1" w:styleId="190">
    <w:name w:val="正文缩进 字符"/>
    <w:link w:val="13"/>
    <w:qFormat/>
    <w:uiPriority w:val="0"/>
    <w:rPr>
      <w:rFonts w:ascii="Times New Roman" w:hAnsi="Times New Roman" w:eastAsia="宋体" w:cs="Times New Roman"/>
    </w:rPr>
  </w:style>
  <w:style w:type="character" w:customStyle="1" w:styleId="191">
    <w:name w:val="文档结构图 字符"/>
    <w:link w:val="14"/>
    <w:qFormat/>
    <w:uiPriority w:val="99"/>
    <w:rPr>
      <w:rFonts w:ascii="Times New Roman" w:hAnsi="Times New Roman" w:eastAsia="宋体" w:cs="Times New Roman"/>
    </w:rPr>
  </w:style>
  <w:style w:type="character" w:customStyle="1" w:styleId="192">
    <w:name w:val="正文文本 3 字符1"/>
    <w:link w:val="16"/>
    <w:qFormat/>
    <w:uiPriority w:val="0"/>
    <w:rPr>
      <w:rFonts w:ascii="Times New Roman" w:hAnsi="Times New Roman" w:eastAsia="宋体" w:cs="Times New Roman"/>
      <w:sz w:val="16"/>
      <w:szCs w:val="16"/>
    </w:rPr>
  </w:style>
  <w:style w:type="character" w:customStyle="1" w:styleId="193">
    <w:name w:val="正文文本缩进 字符"/>
    <w:link w:val="18"/>
    <w:qFormat/>
    <w:uiPriority w:val="99"/>
    <w:rPr>
      <w:rFonts w:ascii="宋体" w:hAnsi="Times New Roman" w:eastAsia="宋体" w:cs="Times New Roman"/>
      <w:spacing w:val="-4"/>
      <w:kern w:val="2"/>
      <w:sz w:val="18"/>
    </w:rPr>
  </w:style>
  <w:style w:type="character" w:customStyle="1" w:styleId="194">
    <w:name w:val="纯文本 字符2"/>
    <w:link w:val="22"/>
    <w:qFormat/>
    <w:uiPriority w:val="0"/>
    <w:rPr>
      <w:rFonts w:ascii="宋体" w:hAnsi="Times New Roman" w:eastAsia="宋体" w:cs="Times New Roman"/>
      <w:kern w:val="2"/>
      <w:sz w:val="21"/>
    </w:rPr>
  </w:style>
  <w:style w:type="character" w:customStyle="1" w:styleId="195">
    <w:name w:val="正文文本缩进 2 字符"/>
    <w:link w:val="25"/>
    <w:qFormat/>
    <w:uiPriority w:val="0"/>
    <w:rPr>
      <w:rFonts w:ascii="Times New Roman" w:hAnsi="Times New Roman" w:eastAsia="宋体" w:cs="Times New Roman"/>
      <w:kern w:val="2"/>
      <w:sz w:val="21"/>
      <w:szCs w:val="24"/>
    </w:rPr>
  </w:style>
  <w:style w:type="character" w:customStyle="1" w:styleId="196">
    <w:name w:val="页脚 字符1"/>
    <w:link w:val="27"/>
    <w:qFormat/>
    <w:uiPriority w:val="99"/>
    <w:rPr>
      <w:rFonts w:ascii="宋体" w:hAnsi="Times New Roman" w:eastAsia="宋体" w:cs="Times New Roman"/>
      <w:kern w:val="2"/>
      <w:sz w:val="18"/>
    </w:rPr>
  </w:style>
  <w:style w:type="character" w:customStyle="1" w:styleId="197">
    <w:name w:val="副标题 字符"/>
    <w:link w:val="31"/>
    <w:qFormat/>
    <w:uiPriority w:val="0"/>
    <w:rPr>
      <w:rFonts w:ascii="Century Gothic" w:hAnsi="Century Gothic" w:eastAsia="宋体" w:cs="Times New Roman"/>
      <w:kern w:val="28"/>
      <w:szCs w:val="21"/>
    </w:rPr>
  </w:style>
  <w:style w:type="character" w:customStyle="1" w:styleId="198">
    <w:name w:val="脚注文本 字符"/>
    <w:link w:val="33"/>
    <w:qFormat/>
    <w:uiPriority w:val="99"/>
    <w:rPr>
      <w:rFonts w:ascii="Times New Roman" w:hAnsi="Times New Roman" w:eastAsia="宋体" w:cs="Times New Roman"/>
      <w:kern w:val="0"/>
      <w:sz w:val="20"/>
      <w:szCs w:val="20"/>
      <w:lang w:val="de-DE"/>
    </w:rPr>
  </w:style>
  <w:style w:type="character" w:customStyle="1" w:styleId="199">
    <w:name w:val="正文文本 2 字符1"/>
    <w:link w:val="39"/>
    <w:qFormat/>
    <w:uiPriority w:val="0"/>
    <w:rPr>
      <w:rFonts w:ascii="Times New Roman" w:hAnsi="Times New Roman" w:eastAsia="宋体" w:cs="Times New Roman"/>
      <w:sz w:val="13"/>
      <w:szCs w:val="20"/>
    </w:rPr>
  </w:style>
  <w:style w:type="character" w:customStyle="1" w:styleId="200">
    <w:name w:val="标题 字符"/>
    <w:link w:val="43"/>
    <w:qFormat/>
    <w:uiPriority w:val="10"/>
    <w:rPr>
      <w:rFonts w:ascii="Cambria" w:hAnsi="Cambria" w:eastAsia="宋体" w:cs="Times New Roman"/>
      <w:b/>
      <w:bCs/>
      <w:kern w:val="0"/>
      <w:sz w:val="32"/>
      <w:szCs w:val="32"/>
    </w:rPr>
  </w:style>
  <w:style w:type="character" w:customStyle="1" w:styleId="201">
    <w:name w:val="批注主题 字符"/>
    <w:link w:val="44"/>
    <w:qFormat/>
    <w:uiPriority w:val="99"/>
    <w:rPr>
      <w:rFonts w:ascii="Times New Roman" w:hAnsi="Times New Roman" w:eastAsia="宋体" w:cs="Times New Roman"/>
      <w:b/>
      <w:bCs/>
      <w:kern w:val="2"/>
      <w:sz w:val="21"/>
      <w:szCs w:val="24"/>
    </w:rPr>
  </w:style>
  <w:style w:type="character" w:customStyle="1" w:styleId="202">
    <w:name w:val="纯文本 字符11"/>
    <w:qFormat/>
    <w:uiPriority w:val="0"/>
    <w:rPr>
      <w:rFonts w:ascii="宋体" w:hAnsi="Times New Roman" w:eastAsia="宋体" w:cs="Times New Roman"/>
      <w:kern w:val="2"/>
      <w:sz w:val="21"/>
    </w:rPr>
  </w:style>
  <w:style w:type="character" w:customStyle="1" w:styleId="203">
    <w:name w:val="font112"/>
    <w:qFormat/>
    <w:uiPriority w:val="0"/>
    <w:rPr>
      <w:rFonts w:ascii="Wingdings" w:hAnsi="Wingdings" w:eastAsia="宋体" w:cs="Wingdings"/>
      <w:color w:val="000000"/>
      <w:sz w:val="18"/>
      <w:szCs w:val="18"/>
      <w:u w:val="none"/>
    </w:rPr>
  </w:style>
  <w:style w:type="character" w:customStyle="1" w:styleId="204">
    <w:name w:val="样式6 Char"/>
    <w:link w:val="205"/>
    <w:qFormat/>
    <w:uiPriority w:val="0"/>
    <w:rPr>
      <w:rFonts w:ascii="Times New Roman" w:hAnsi="Times New Roman" w:eastAsia="宋体" w:cs="Times New Roman"/>
    </w:rPr>
  </w:style>
  <w:style w:type="paragraph" w:customStyle="1" w:styleId="205">
    <w:name w:val="样式6"/>
    <w:basedOn w:val="28"/>
    <w:link w:val="204"/>
    <w:qFormat/>
    <w:uiPriority w:val="0"/>
    <w:pPr>
      <w:pBdr>
        <w:bottom w:val="thickThinSmallGap" w:color="auto" w:sz="12" w:space="1"/>
      </w:pBdr>
      <w:jc w:val="both"/>
    </w:pPr>
    <w:rPr>
      <w:rFonts w:ascii="Times New Roman" w:hAnsi="Times New Roman" w:eastAsia="宋体" w:cs="Times New Roman"/>
      <w:szCs w:val="18"/>
    </w:rPr>
  </w:style>
  <w:style w:type="character" w:customStyle="1" w:styleId="206">
    <w:name w:val="样式5 Char"/>
    <w:link w:val="207"/>
    <w:qFormat/>
    <w:uiPriority w:val="0"/>
    <w:rPr>
      <w:rFonts w:ascii="Times New Roman" w:hAnsi="Times New Roman" w:eastAsia="宋体" w:cs="Times New Roman"/>
      <w:u w:val="single"/>
    </w:rPr>
  </w:style>
  <w:style w:type="paragraph" w:customStyle="1" w:styleId="207">
    <w:name w:val="样式5"/>
    <w:basedOn w:val="22"/>
    <w:link w:val="206"/>
    <w:qFormat/>
    <w:uiPriority w:val="0"/>
    <w:pPr>
      <w:pBdr>
        <w:bottom w:val="thickThinSmallGap" w:color="auto" w:sz="12" w:space="1"/>
      </w:pBdr>
      <w:tabs>
        <w:tab w:val="center" w:pos="4535"/>
      </w:tabs>
      <w:jc w:val="center"/>
    </w:pPr>
    <w:rPr>
      <w:rFonts w:ascii="宋体" w:hAnsi="Times New Roman" w:eastAsia="宋体" w:cs="Times New Roman"/>
      <w:szCs w:val="20"/>
      <w:u w:val="single"/>
    </w:rPr>
  </w:style>
  <w:style w:type="character" w:customStyle="1" w:styleId="208">
    <w:name w:val="font121"/>
    <w:qFormat/>
    <w:uiPriority w:val="0"/>
    <w:rPr>
      <w:rFonts w:hint="default" w:ascii="Arial" w:hAnsi="Arial" w:eastAsia="宋体" w:cs="Arial"/>
      <w:color w:val="000000"/>
      <w:sz w:val="18"/>
      <w:szCs w:val="18"/>
      <w:u w:val="none"/>
    </w:rPr>
  </w:style>
  <w:style w:type="character" w:customStyle="1" w:styleId="209">
    <w:name w:val="正文文本 2 字符"/>
    <w:qFormat/>
    <w:uiPriority w:val="0"/>
    <w:rPr>
      <w:rFonts w:ascii="Times New Roman" w:hAnsi="Times New Roman" w:eastAsia="宋体" w:cs="Times New Roman"/>
      <w:kern w:val="2"/>
      <w:sz w:val="21"/>
      <w:szCs w:val="24"/>
    </w:rPr>
  </w:style>
  <w:style w:type="character" w:customStyle="1" w:styleId="210">
    <w:name w:val="列出段落 字符"/>
    <w:qFormat/>
    <w:uiPriority w:val="0"/>
    <w:rPr>
      <w:rFonts w:ascii="Times New Roman" w:hAnsi="Times New Roman" w:eastAsia="宋体" w:cs="Times New Roman"/>
      <w:kern w:val="2"/>
      <w:sz w:val="21"/>
      <w:szCs w:val="24"/>
    </w:rPr>
  </w:style>
  <w:style w:type="character" w:customStyle="1" w:styleId="211">
    <w:name w:val="dy_biao_content1"/>
    <w:qFormat/>
    <w:uiPriority w:val="0"/>
    <w:rPr>
      <w:rFonts w:hint="eastAsia" w:ascii="宋体" w:hAnsi="宋体" w:eastAsia="宋体" w:cs="Times New Roman"/>
      <w:sz w:val="24"/>
      <w:szCs w:val="24"/>
    </w:rPr>
  </w:style>
  <w:style w:type="character" w:customStyle="1" w:styleId="212">
    <w:name w:val="样式3 Char Char"/>
    <w:qFormat/>
    <w:uiPriority w:val="0"/>
    <w:rPr>
      <w:rFonts w:ascii="Century Gothic" w:hAnsi="Century Gothic" w:eastAsia="宋体" w:cs="Times New Roman"/>
      <w:kern w:val="2"/>
      <w:sz w:val="21"/>
      <w:szCs w:val="21"/>
      <w:lang w:val="en-US" w:eastAsia="zh-CN" w:bidi="ar-SA"/>
    </w:rPr>
  </w:style>
  <w:style w:type="character" w:customStyle="1" w:styleId="213">
    <w:name w:val="px12h161"/>
    <w:qFormat/>
    <w:uiPriority w:val="0"/>
    <w:rPr>
      <w:rFonts w:ascii="Times New Roman" w:hAnsi="Times New Roman" w:eastAsia="宋体" w:cs="Times New Roman"/>
      <w:sz w:val="14"/>
      <w:szCs w:val="14"/>
    </w:rPr>
  </w:style>
  <w:style w:type="character" w:customStyle="1" w:styleId="214">
    <w:name w:val="正文文本 3 字符"/>
    <w:qFormat/>
    <w:uiPriority w:val="0"/>
    <w:rPr>
      <w:rFonts w:ascii="Times New Roman" w:hAnsi="Times New Roman" w:eastAsia="宋体" w:cs="Times New Roman"/>
      <w:kern w:val="2"/>
      <w:sz w:val="16"/>
      <w:szCs w:val="16"/>
    </w:rPr>
  </w:style>
  <w:style w:type="character" w:customStyle="1" w:styleId="215">
    <w:name w:val="Anrede1IhrZeichen"/>
    <w:qFormat/>
    <w:uiPriority w:val="0"/>
    <w:rPr>
      <w:rFonts w:ascii="Arial" w:hAnsi="Arial" w:eastAsia="宋体" w:cs="Times New Roman"/>
      <w:sz w:val="20"/>
    </w:rPr>
  </w:style>
  <w:style w:type="character" w:customStyle="1" w:styleId="216">
    <w:name w:val="纯文本 字符4"/>
    <w:qFormat/>
    <w:uiPriority w:val="0"/>
    <w:rPr>
      <w:rFonts w:ascii="宋体" w:hAnsi="Times New Roman" w:eastAsia="宋体" w:cs="Times New Roman"/>
      <w:kern w:val="2"/>
      <w:sz w:val="21"/>
    </w:rPr>
  </w:style>
  <w:style w:type="character" w:customStyle="1" w:styleId="217">
    <w:name w:val="Char Char2"/>
    <w:qFormat/>
    <w:uiPriority w:val="0"/>
    <w:rPr>
      <w:rFonts w:ascii="Times New Roman" w:hAnsi="Times New Roman" w:eastAsia="宋体" w:cs="Times New Roman"/>
      <w:kern w:val="2"/>
      <w:sz w:val="18"/>
      <w:szCs w:val="18"/>
      <w:lang w:val="en-US" w:eastAsia="zh-CN" w:bidi="ar-SA"/>
    </w:rPr>
  </w:style>
  <w:style w:type="character" w:customStyle="1" w:styleId="218">
    <w:name w:val="_Style 273"/>
    <w:qFormat/>
    <w:uiPriority w:val="32"/>
    <w:rPr>
      <w:rFonts w:ascii="Times New Roman" w:hAnsi="Times New Roman" w:eastAsia="宋体" w:cs="Times New Roman"/>
      <w:b/>
      <w:bCs/>
      <w:smallCaps/>
      <w:color w:val="C0504D"/>
      <w:spacing w:val="5"/>
      <w:u w:val="single"/>
    </w:rPr>
  </w:style>
  <w:style w:type="character" w:customStyle="1" w:styleId="219">
    <w:name w:val="标题 3 Char2"/>
    <w:qFormat/>
    <w:uiPriority w:val="0"/>
    <w:rPr>
      <w:rFonts w:ascii="Times New Roman" w:hAnsi="Times New Roman" w:eastAsia="黑体" w:cs="Times New Roman"/>
      <w:b/>
      <w:sz w:val="28"/>
    </w:rPr>
  </w:style>
  <w:style w:type="character" w:customStyle="1" w:styleId="220">
    <w:name w:val="font141"/>
    <w:qFormat/>
    <w:uiPriority w:val="0"/>
    <w:rPr>
      <w:rFonts w:ascii="Cambria Math" w:hAnsi="Cambria Math" w:eastAsia="Cambria Math" w:cs="Cambria Math"/>
      <w:color w:val="000000"/>
      <w:sz w:val="18"/>
      <w:szCs w:val="18"/>
      <w:u w:val="none"/>
    </w:rPr>
  </w:style>
  <w:style w:type="character" w:customStyle="1" w:styleId="221">
    <w:name w:val="承康医疗 Char"/>
    <w:link w:val="222"/>
    <w:qFormat/>
    <w:uiPriority w:val="0"/>
    <w:rPr>
      <w:rFonts w:ascii="微软雅黑" w:hAnsi="微软雅黑" w:eastAsia="微软雅黑" w:cs="Times New Roman"/>
      <w:kern w:val="0"/>
      <w:szCs w:val="21"/>
    </w:rPr>
  </w:style>
  <w:style w:type="paragraph" w:customStyle="1" w:styleId="222">
    <w:name w:val="承康医疗"/>
    <w:basedOn w:val="1"/>
    <w:link w:val="221"/>
    <w:qFormat/>
    <w:uiPriority w:val="0"/>
    <w:pPr>
      <w:widowControl/>
      <w:jc w:val="left"/>
    </w:pPr>
    <w:rPr>
      <w:rFonts w:ascii="微软雅黑" w:hAnsi="微软雅黑" w:eastAsia="微软雅黑" w:cs="Times New Roman"/>
      <w:kern w:val="0"/>
      <w:szCs w:val="21"/>
    </w:rPr>
  </w:style>
  <w:style w:type="character" w:customStyle="1" w:styleId="223">
    <w:name w:val="纯文本 字符1"/>
    <w:qFormat/>
    <w:uiPriority w:val="0"/>
    <w:rPr>
      <w:rFonts w:ascii="宋体" w:hAnsi="Times New Roman" w:eastAsia="宋体" w:cs="Times New Roman"/>
      <w:kern w:val="2"/>
      <w:sz w:val="21"/>
      <w:lang w:val="en-US" w:eastAsia="zh-CN" w:bidi="ar-SA"/>
    </w:rPr>
  </w:style>
  <w:style w:type="character" w:customStyle="1" w:styleId="224">
    <w:name w:val="_Style 265"/>
    <w:qFormat/>
    <w:uiPriority w:val="0"/>
    <w:rPr>
      <w:rFonts w:ascii="Times New Roman" w:hAnsi="Times New Roman" w:eastAsia="仿宋_GB2312" w:cs="Times New Roman"/>
      <w:iCs/>
      <w:color w:val="auto"/>
      <w:sz w:val="24"/>
    </w:rPr>
  </w:style>
  <w:style w:type="character" w:customStyle="1" w:styleId="225">
    <w:name w:val="副标题 Char1"/>
    <w:qFormat/>
    <w:uiPriority w:val="0"/>
    <w:rPr>
      <w:rFonts w:ascii="Cambria" w:hAnsi="Cambria" w:eastAsia="宋体" w:cs="Times New Roman"/>
      <w:b/>
      <w:bCs/>
      <w:kern w:val="28"/>
      <w:sz w:val="32"/>
      <w:szCs w:val="32"/>
    </w:rPr>
  </w:style>
  <w:style w:type="character" w:customStyle="1" w:styleId="226">
    <w:name w:val="列表段落 字符"/>
    <w:link w:val="148"/>
    <w:qFormat/>
    <w:uiPriority w:val="34"/>
    <w:rPr>
      <w:rFonts w:ascii="Times New Roman" w:hAnsi="Times New Roman" w:eastAsia="宋体" w:cs="Times New Roman"/>
      <w:kern w:val="2"/>
      <w:sz w:val="21"/>
      <w:szCs w:val="21"/>
    </w:rPr>
  </w:style>
  <w:style w:type="character" w:customStyle="1" w:styleId="227">
    <w:name w:val="未处理的提及1"/>
    <w:unhideWhenUsed/>
    <w:qFormat/>
    <w:uiPriority w:val="99"/>
    <w:rPr>
      <w:rFonts w:ascii="Times New Roman" w:hAnsi="Times New Roman" w:eastAsia="宋体" w:cs="Times New Roman"/>
      <w:color w:val="605E5C"/>
      <w:shd w:val="clear" w:color="auto" w:fill="E1DFDD"/>
    </w:rPr>
  </w:style>
  <w:style w:type="character" w:customStyle="1" w:styleId="228">
    <w:name w:val="font131"/>
    <w:qFormat/>
    <w:uiPriority w:val="0"/>
    <w:rPr>
      <w:rFonts w:ascii="Tahoma" w:hAnsi="Tahoma" w:eastAsia="Tahoma" w:cs="Tahoma"/>
      <w:color w:val="000000"/>
      <w:sz w:val="18"/>
      <w:szCs w:val="18"/>
      <w:u w:val="none"/>
    </w:rPr>
  </w:style>
  <w:style w:type="character" w:customStyle="1" w:styleId="229">
    <w:name w:val="font81"/>
    <w:qFormat/>
    <w:uiPriority w:val="0"/>
    <w:rPr>
      <w:rFonts w:hint="default" w:ascii="宋体" w:hAnsi="宋体" w:eastAsia="宋体" w:cs="Times New Roman"/>
      <w:color w:val="000000"/>
      <w:sz w:val="24"/>
      <w:szCs w:val="24"/>
      <w:u w:val="none"/>
    </w:rPr>
  </w:style>
  <w:style w:type="character" w:customStyle="1" w:styleId="230">
    <w:name w:val="Char Char"/>
    <w:qFormat/>
    <w:uiPriority w:val="0"/>
    <w:rPr>
      <w:rFonts w:ascii="Century Gothic" w:hAnsi="Century Gothic" w:eastAsia="宋体" w:cs="Times New Roman"/>
      <w:bCs/>
      <w:kern w:val="28"/>
      <w:sz w:val="21"/>
      <w:szCs w:val="32"/>
    </w:rPr>
  </w:style>
  <w:style w:type="character" w:customStyle="1" w:styleId="231">
    <w:name w:val="_Style 230"/>
    <w:unhideWhenUsed/>
    <w:qFormat/>
    <w:uiPriority w:val="99"/>
    <w:rPr>
      <w:rFonts w:ascii="Times New Roman" w:hAnsi="Times New Roman" w:eastAsia="宋体" w:cs="Times New Roman"/>
      <w:color w:val="605E5C"/>
      <w:shd w:val="clear" w:color="auto" w:fill="E1DFDD"/>
    </w:rPr>
  </w:style>
  <w:style w:type="character" w:customStyle="1" w:styleId="232">
    <w:name w:val="样式8 Char"/>
    <w:link w:val="233"/>
    <w:qFormat/>
    <w:uiPriority w:val="0"/>
    <w:rPr>
      <w:rFonts w:ascii="Times New Roman" w:hAnsi="Times New Roman" w:eastAsia="宋体" w:cs="Times New Roman"/>
    </w:rPr>
  </w:style>
  <w:style w:type="paragraph" w:customStyle="1" w:styleId="233">
    <w:name w:val="样式8"/>
    <w:basedOn w:val="234"/>
    <w:link w:val="232"/>
    <w:qFormat/>
    <w:uiPriority w:val="0"/>
    <w:pPr>
      <w:pBdr>
        <w:top w:val="none" w:color="auto" w:sz="0" w:space="0"/>
        <w:left w:val="none" w:color="auto" w:sz="0" w:space="0"/>
        <w:right w:val="none" w:color="auto" w:sz="0" w:space="0"/>
      </w:pBdr>
      <w:tabs>
        <w:tab w:val="center" w:pos="4153"/>
        <w:tab w:val="right" w:pos="8306"/>
      </w:tabs>
    </w:pPr>
  </w:style>
  <w:style w:type="paragraph" w:customStyle="1" w:styleId="234">
    <w:name w:val="样式7"/>
    <w:basedOn w:val="28"/>
    <w:link w:val="235"/>
    <w:qFormat/>
    <w:uiPriority w:val="0"/>
    <w:pPr>
      <w:pBdr>
        <w:top w:val="single" w:color="auto" w:sz="6" w:space="1"/>
        <w:left w:val="single" w:color="auto" w:sz="6" w:space="4"/>
        <w:bottom w:val="thickThinSmallGap" w:color="auto" w:sz="12" w:space="1"/>
        <w:right w:val="single" w:color="auto" w:sz="6" w:space="4"/>
      </w:pBdr>
    </w:pPr>
    <w:rPr>
      <w:rFonts w:ascii="Times New Roman" w:hAnsi="Times New Roman" w:eastAsia="宋体" w:cs="Times New Roman"/>
      <w:szCs w:val="18"/>
    </w:rPr>
  </w:style>
  <w:style w:type="character" w:customStyle="1" w:styleId="235">
    <w:name w:val="样式7 Char"/>
    <w:link w:val="234"/>
    <w:qFormat/>
    <w:uiPriority w:val="0"/>
    <w:rPr>
      <w:rFonts w:ascii="Times New Roman" w:hAnsi="Times New Roman" w:eastAsia="宋体" w:cs="Times New Roman"/>
    </w:rPr>
  </w:style>
  <w:style w:type="character" w:customStyle="1" w:styleId="236">
    <w:name w:val="Unresolved Mention"/>
    <w:unhideWhenUsed/>
    <w:qFormat/>
    <w:uiPriority w:val="99"/>
    <w:rPr>
      <w:rFonts w:ascii="Times New Roman" w:hAnsi="Times New Roman" w:eastAsia="宋体" w:cs="Times New Roman"/>
      <w:color w:val="605E5C"/>
      <w:shd w:val="clear" w:color="auto" w:fill="E1DFDD"/>
    </w:rPr>
  </w:style>
  <w:style w:type="character" w:customStyle="1" w:styleId="237">
    <w:name w:val="样式3 Char"/>
    <w:link w:val="238"/>
    <w:qFormat/>
    <w:uiPriority w:val="0"/>
    <w:rPr>
      <w:rFonts w:ascii="黑体" w:hAnsi="黑体" w:eastAsia="黑体" w:cs="Times New Roman"/>
      <w:bCs/>
    </w:rPr>
  </w:style>
  <w:style w:type="paragraph" w:customStyle="1" w:styleId="238">
    <w:name w:val="样式3"/>
    <w:basedOn w:val="28"/>
    <w:link w:val="237"/>
    <w:qFormat/>
    <w:uiPriority w:val="0"/>
    <w:pPr>
      <w:pBdr>
        <w:bottom w:val="thickThinSmallGap" w:color="auto" w:sz="12" w:space="1"/>
      </w:pBdr>
      <w:jc w:val="left"/>
    </w:pPr>
    <w:rPr>
      <w:rFonts w:ascii="黑体" w:hAnsi="黑体" w:eastAsia="黑体" w:cs="Times New Roman"/>
      <w:bCs/>
      <w:szCs w:val="18"/>
    </w:rPr>
  </w:style>
  <w:style w:type="character" w:customStyle="1" w:styleId="239">
    <w:name w:val="Date Char Char"/>
    <w:link w:val="240"/>
    <w:qFormat/>
    <w:uiPriority w:val="0"/>
    <w:rPr>
      <w:rFonts w:ascii="Times New Roman" w:hAnsi="Times New Roman" w:eastAsia="宋体" w:cs="Times New Roman"/>
      <w:szCs w:val="20"/>
    </w:rPr>
  </w:style>
  <w:style w:type="paragraph" w:customStyle="1" w:styleId="240">
    <w:name w:val="日期1"/>
    <w:basedOn w:val="1"/>
    <w:next w:val="1"/>
    <w:link w:val="239"/>
    <w:qFormat/>
    <w:uiPriority w:val="0"/>
    <w:rPr>
      <w:rFonts w:ascii="Times New Roman" w:hAnsi="Times New Roman" w:eastAsia="宋体" w:cs="Times New Roman"/>
      <w:szCs w:val="20"/>
    </w:rPr>
  </w:style>
  <w:style w:type="character" w:customStyle="1" w:styleId="241">
    <w:name w:val="脚注文本 字符1"/>
    <w:semiHidden/>
    <w:qFormat/>
    <w:uiPriority w:val="0"/>
    <w:rPr>
      <w:rFonts w:ascii="Times New Roman" w:hAnsi="Times New Roman" w:eastAsia="宋体" w:cs="Times New Roman"/>
      <w:kern w:val="2"/>
      <w:sz w:val="18"/>
      <w:szCs w:val="18"/>
    </w:rPr>
  </w:style>
  <w:style w:type="character" w:customStyle="1" w:styleId="242">
    <w:name w:val="样式4 Char"/>
    <w:link w:val="243"/>
    <w:qFormat/>
    <w:uiPriority w:val="0"/>
    <w:rPr>
      <w:rFonts w:ascii="Times New Roman" w:hAnsi="Times New Roman" w:eastAsia="宋体" w:cs="Times New Roman"/>
      <w:bCs/>
    </w:rPr>
  </w:style>
  <w:style w:type="paragraph" w:customStyle="1" w:styleId="243">
    <w:name w:val="样式4"/>
    <w:basedOn w:val="28"/>
    <w:link w:val="242"/>
    <w:qFormat/>
    <w:uiPriority w:val="0"/>
    <w:pPr>
      <w:pBdr>
        <w:bottom w:val="thickThinSmallGap" w:color="auto" w:sz="12" w:space="1"/>
      </w:pBdr>
      <w:jc w:val="both"/>
    </w:pPr>
    <w:rPr>
      <w:rFonts w:ascii="Times New Roman" w:hAnsi="Times New Roman" w:eastAsia="宋体" w:cs="Times New Roman"/>
      <w:bCs/>
      <w:szCs w:val="18"/>
    </w:rPr>
  </w:style>
  <w:style w:type="character" w:customStyle="1" w:styleId="244">
    <w:name w:val="_Style 243"/>
    <w:qFormat/>
    <w:uiPriority w:val="31"/>
    <w:rPr>
      <w:rFonts w:ascii="Times New Roman" w:hAnsi="Times New Roman" w:eastAsia="宋体" w:cs="Times New Roman"/>
      <w:smallCaps/>
      <w:color w:val="5A5A5A"/>
    </w:rPr>
  </w:style>
  <w:style w:type="character" w:customStyle="1" w:styleId="245">
    <w:name w:val="font151"/>
    <w:qFormat/>
    <w:uiPriority w:val="0"/>
    <w:rPr>
      <w:rFonts w:ascii="Calibri" w:hAnsi="Calibri" w:eastAsia="宋体" w:cs="Calibri"/>
      <w:color w:val="000000"/>
      <w:sz w:val="18"/>
      <w:szCs w:val="18"/>
      <w:u w:val="none"/>
    </w:rPr>
  </w:style>
  <w:style w:type="character" w:customStyle="1" w:styleId="246">
    <w:name w:val="Subtle Reference"/>
    <w:qFormat/>
    <w:uiPriority w:val="31"/>
    <w:rPr>
      <w:rFonts w:ascii="Times New Roman" w:hAnsi="Times New Roman" w:eastAsia="宋体" w:cs="Times New Roman"/>
      <w:smallCaps/>
      <w:color w:val="5A5A5A"/>
    </w:rPr>
  </w:style>
  <w:style w:type="character" w:customStyle="1" w:styleId="247">
    <w:name w:val="标题 Char1"/>
    <w:qFormat/>
    <w:uiPriority w:val="0"/>
    <w:rPr>
      <w:rFonts w:ascii="Calibri Light" w:hAnsi="Calibri Light" w:eastAsia="宋体" w:cs="Times New Roman"/>
      <w:b/>
      <w:bCs/>
      <w:kern w:val="2"/>
      <w:sz w:val="32"/>
      <w:szCs w:val="32"/>
    </w:rPr>
  </w:style>
  <w:style w:type="character" w:customStyle="1" w:styleId="248">
    <w:name w:val="普通文字1 Char1"/>
    <w:qFormat/>
    <w:uiPriority w:val="0"/>
    <w:rPr>
      <w:rFonts w:ascii="宋体" w:hAnsi="Times New Roman" w:eastAsia="宋体" w:cs="Times New Roman"/>
      <w:kern w:val="2"/>
      <w:sz w:val="21"/>
      <w:lang w:val="en-US" w:eastAsia="zh-CN" w:bidi="ar-SA"/>
    </w:rPr>
  </w:style>
  <w:style w:type="paragraph" w:styleId="249">
    <w:name w:val="No Spacing"/>
    <w:qFormat/>
    <w:uiPriority w:val="1"/>
    <w:pPr>
      <w:widowControl w:val="0"/>
      <w:jc w:val="both"/>
    </w:pPr>
    <w:rPr>
      <w:rFonts w:ascii="宋体" w:hAnsi="宋体" w:eastAsia="宋体" w:cs="Times New Roman"/>
      <w:kern w:val="2"/>
      <w:sz w:val="21"/>
      <w:szCs w:val="24"/>
      <w:lang w:val="en-US" w:eastAsia="zh-CN" w:bidi="ar-SA"/>
    </w:rPr>
  </w:style>
  <w:style w:type="paragraph" w:customStyle="1" w:styleId="250">
    <w:name w:val="xl12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251">
    <w:name w:val="Char Char Char Char Char Char Char Char Char Char Char Char1"/>
    <w:basedOn w:val="1"/>
    <w:qFormat/>
    <w:uiPriority w:val="0"/>
    <w:pPr>
      <w:tabs>
        <w:tab w:val="right" w:pos="-2120"/>
      </w:tabs>
      <w:snapToGrid w:val="0"/>
    </w:pPr>
    <w:rPr>
      <w:rFonts w:ascii="Tahoma" w:hAnsi="Tahoma" w:eastAsia="宋体" w:cs="Times New Roman"/>
      <w:spacing w:val="6"/>
      <w:sz w:val="24"/>
      <w:szCs w:val="20"/>
    </w:rPr>
  </w:style>
  <w:style w:type="paragraph" w:customStyle="1" w:styleId="252">
    <w:name w:val="正文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253">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0"/>
      <w:szCs w:val="20"/>
    </w:rPr>
  </w:style>
  <w:style w:type="paragraph" w:customStyle="1" w:styleId="254">
    <w:name w:val="Revision"/>
    <w:semiHidden/>
    <w:qFormat/>
    <w:uiPriority w:val="99"/>
    <w:rPr>
      <w:rFonts w:ascii="宋体" w:hAnsi="宋体" w:eastAsia="宋体" w:cs="Times New Roman"/>
      <w:kern w:val="2"/>
      <w:sz w:val="21"/>
      <w:szCs w:val="24"/>
      <w:lang w:val="en-US" w:eastAsia="zh-CN" w:bidi="ar-SA"/>
    </w:rPr>
  </w:style>
  <w:style w:type="paragraph" w:customStyle="1" w:styleId="255">
    <w:name w:val="xl1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256">
    <w:name w:val="正文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57">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0"/>
      <w:szCs w:val="20"/>
    </w:rPr>
  </w:style>
  <w:style w:type="paragraph" w:customStyle="1" w:styleId="258">
    <w:name w:val="注"/>
    <w:basedOn w:val="1"/>
    <w:qFormat/>
    <w:uiPriority w:val="0"/>
    <w:pPr>
      <w:spacing w:line="360" w:lineRule="auto"/>
      <w:ind w:left="200" w:hanging="200" w:hangingChars="200"/>
    </w:pPr>
    <w:rPr>
      <w:rFonts w:ascii="宋体" w:hAnsi="宋体" w:eastAsia="宋体" w:cs="Times New Roman"/>
      <w:b/>
      <w:szCs w:val="24"/>
    </w:rPr>
  </w:style>
  <w:style w:type="paragraph" w:customStyle="1" w:styleId="259">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0"/>
      <w:szCs w:val="20"/>
    </w:rPr>
  </w:style>
  <w:style w:type="paragraph" w:customStyle="1" w:styleId="260">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0"/>
      <w:szCs w:val="20"/>
    </w:rPr>
  </w:style>
  <w:style w:type="paragraph" w:customStyle="1" w:styleId="261">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b/>
      <w:bCs/>
      <w:kern w:val="0"/>
      <w:sz w:val="20"/>
      <w:szCs w:val="20"/>
    </w:rPr>
  </w:style>
  <w:style w:type="paragraph" w:customStyle="1" w:styleId="262">
    <w:name w:val="xl157"/>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eastAsia="宋体" w:cs="宋体"/>
      <w:kern w:val="0"/>
      <w:sz w:val="20"/>
      <w:szCs w:val="20"/>
    </w:rPr>
  </w:style>
  <w:style w:type="paragraph" w:customStyle="1" w:styleId="263">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0"/>
      <w:szCs w:val="20"/>
    </w:rPr>
  </w:style>
  <w:style w:type="paragraph" w:customStyle="1" w:styleId="264">
    <w:name w:val="xl80"/>
    <w:basedOn w:val="1"/>
    <w:qFormat/>
    <w:uiPriority w:val="0"/>
    <w:pPr>
      <w:widowControl/>
      <w:spacing w:before="100" w:beforeAutospacing="1" w:after="100" w:afterAutospacing="1"/>
      <w:jc w:val="center"/>
      <w:textAlignment w:val="center"/>
    </w:pPr>
    <w:rPr>
      <w:rFonts w:ascii="宋体" w:hAnsi="宋体" w:eastAsia="宋体" w:cs="宋体"/>
      <w:kern w:val="0"/>
      <w:sz w:val="20"/>
      <w:szCs w:val="20"/>
    </w:rPr>
  </w:style>
  <w:style w:type="paragraph" w:customStyle="1" w:styleId="265">
    <w:name w:val="xl141"/>
    <w:basedOn w:val="1"/>
    <w:qFormat/>
    <w:uiPriority w:val="0"/>
    <w:pPr>
      <w:widowControl/>
      <w:shd w:val="clear" w:color="000000" w:fill="FFFFFF"/>
      <w:spacing w:before="100" w:beforeAutospacing="1" w:after="100" w:afterAutospacing="1"/>
      <w:jc w:val="center"/>
    </w:pPr>
    <w:rPr>
      <w:rFonts w:ascii="宋体" w:hAnsi="宋体" w:eastAsia="宋体" w:cs="宋体"/>
      <w:kern w:val="0"/>
      <w:sz w:val="22"/>
      <w:szCs w:val="22"/>
    </w:rPr>
  </w:style>
  <w:style w:type="paragraph" w:customStyle="1" w:styleId="266">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eastAsia="宋体" w:cs="宋体"/>
      <w:kern w:val="0"/>
      <w:sz w:val="20"/>
      <w:szCs w:val="20"/>
    </w:rPr>
  </w:style>
  <w:style w:type="paragraph" w:customStyle="1" w:styleId="267">
    <w:name w:val="正文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268">
    <w:name w:val="正文 New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269">
    <w:name w:val="正文 New New New New New New New New New New New New New New New New New New New New New New New New New New New New New New New New New New New New New New New"/>
    <w:qFormat/>
    <w:uiPriority w:val="0"/>
    <w:pPr>
      <w:widowControl w:val="0"/>
      <w:spacing w:line="460" w:lineRule="exact"/>
      <w:jc w:val="both"/>
    </w:pPr>
    <w:rPr>
      <w:rFonts w:ascii="宋体" w:hAnsi="宋体" w:eastAsia="宋体" w:cs="Times New Roman"/>
      <w:spacing w:val="6"/>
      <w:kern w:val="2"/>
      <w:sz w:val="24"/>
      <w:szCs w:val="24"/>
      <w:lang w:val="en-US" w:eastAsia="zh-CN" w:bidi="ar-SA"/>
    </w:rPr>
  </w:style>
  <w:style w:type="paragraph" w:customStyle="1" w:styleId="270">
    <w:name w:val="正文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271">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eastAsia="宋体" w:cs="宋体"/>
      <w:b/>
      <w:bCs/>
      <w:kern w:val="0"/>
      <w:sz w:val="20"/>
      <w:szCs w:val="20"/>
    </w:rPr>
  </w:style>
  <w:style w:type="paragraph" w:customStyle="1" w:styleId="272">
    <w:name w:val="正文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273">
    <w:name w:val="正文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74">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275">
    <w:name w:val="正文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276">
    <w:name w:val="_Style 275"/>
    <w:unhideWhenUsed/>
    <w:qFormat/>
    <w:uiPriority w:val="99"/>
    <w:rPr>
      <w:rFonts w:ascii="宋体" w:hAnsi="宋体" w:eastAsia="宋体" w:cs="Times New Roman"/>
      <w:kern w:val="2"/>
      <w:sz w:val="21"/>
      <w:szCs w:val="24"/>
      <w:lang w:val="en-US" w:eastAsia="zh-CN" w:bidi="ar-SA"/>
    </w:rPr>
  </w:style>
  <w:style w:type="paragraph" w:customStyle="1" w:styleId="277">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0"/>
      <w:szCs w:val="20"/>
    </w:rPr>
  </w:style>
  <w:style w:type="paragraph" w:customStyle="1" w:styleId="278">
    <w:name w:val="Table Paragraph"/>
    <w:basedOn w:val="1"/>
    <w:qFormat/>
    <w:uiPriority w:val="1"/>
    <w:pPr>
      <w:widowControl/>
      <w:spacing w:before="40"/>
      <w:ind w:left="327"/>
      <w:jc w:val="left"/>
    </w:pPr>
    <w:rPr>
      <w:rFonts w:ascii="宋体" w:hAnsi="宋体" w:eastAsia="宋体" w:cs="宋体"/>
      <w:kern w:val="0"/>
      <w:sz w:val="24"/>
      <w:szCs w:val="20"/>
      <w:lang w:val="zh-CN" w:bidi="zh-CN"/>
    </w:rPr>
  </w:style>
  <w:style w:type="paragraph" w:customStyle="1" w:styleId="279">
    <w:name w:val="题目"/>
    <w:basedOn w:val="1"/>
    <w:qFormat/>
    <w:uiPriority w:val="0"/>
    <w:pPr>
      <w:snapToGrid w:val="0"/>
      <w:spacing w:line="480" w:lineRule="auto"/>
      <w:jc w:val="center"/>
    </w:pPr>
    <w:rPr>
      <w:rFonts w:ascii="方正小标宋_GBK" w:hAnsi="宋体" w:eastAsia="方正小标宋_GBK" w:cs="Times New Roman"/>
      <w:sz w:val="44"/>
      <w:szCs w:val="44"/>
    </w:rPr>
  </w:style>
  <w:style w:type="paragraph" w:customStyle="1" w:styleId="280">
    <w:name w:val="xl147"/>
    <w:basedOn w:val="1"/>
    <w:qFormat/>
    <w:uiPriority w:val="0"/>
    <w:pPr>
      <w:widowControl/>
      <w:spacing w:before="100" w:beforeAutospacing="1" w:after="100" w:afterAutospacing="1"/>
      <w:jc w:val="left"/>
    </w:pPr>
    <w:rPr>
      <w:rFonts w:ascii="宋体" w:hAnsi="宋体" w:eastAsia="宋体" w:cs="宋体"/>
      <w:kern w:val="0"/>
      <w:sz w:val="20"/>
      <w:szCs w:val="20"/>
    </w:rPr>
  </w:style>
  <w:style w:type="paragraph" w:customStyle="1" w:styleId="281">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0"/>
      <w:szCs w:val="20"/>
    </w:rPr>
  </w:style>
  <w:style w:type="paragraph" w:customStyle="1" w:styleId="282">
    <w:name w:val="xl16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color w:val="000000"/>
      <w:kern w:val="0"/>
      <w:sz w:val="24"/>
      <w:szCs w:val="24"/>
    </w:rPr>
  </w:style>
  <w:style w:type="paragraph" w:customStyle="1" w:styleId="283">
    <w:name w:val="正文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84">
    <w:name w:val="xl13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color w:val="000000"/>
      <w:kern w:val="0"/>
      <w:sz w:val="24"/>
      <w:szCs w:val="24"/>
    </w:rPr>
  </w:style>
  <w:style w:type="paragraph" w:customStyle="1" w:styleId="285">
    <w:name w:val="xl1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0"/>
      <w:szCs w:val="20"/>
    </w:rPr>
  </w:style>
  <w:style w:type="paragraph" w:customStyle="1" w:styleId="286">
    <w:name w:val="正文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87">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b/>
      <w:bCs/>
      <w:kern w:val="0"/>
      <w:sz w:val="20"/>
      <w:szCs w:val="20"/>
    </w:rPr>
  </w:style>
  <w:style w:type="paragraph" w:customStyle="1" w:styleId="288">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0"/>
      <w:szCs w:val="20"/>
    </w:rPr>
  </w:style>
  <w:style w:type="paragraph" w:customStyle="1" w:styleId="289">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eastAsia="宋体" w:cs="宋体"/>
      <w:kern w:val="0"/>
      <w:sz w:val="20"/>
      <w:szCs w:val="20"/>
    </w:rPr>
  </w:style>
  <w:style w:type="paragraph" w:customStyle="1" w:styleId="290">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eastAsia="宋体" w:cs="宋体"/>
      <w:kern w:val="0"/>
      <w:sz w:val="20"/>
      <w:szCs w:val="20"/>
    </w:rPr>
  </w:style>
  <w:style w:type="paragraph" w:customStyle="1" w:styleId="291">
    <w:name w:val="正文 New New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92">
    <w:name w:val="正文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293">
    <w:name w:val="正文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94">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0"/>
      <w:szCs w:val="20"/>
    </w:rPr>
  </w:style>
  <w:style w:type="paragraph" w:customStyle="1" w:styleId="295">
    <w:name w:val="Char2"/>
    <w:basedOn w:val="1"/>
    <w:qFormat/>
    <w:uiPriority w:val="0"/>
    <w:pPr>
      <w:widowControl/>
      <w:spacing w:after="160" w:line="240" w:lineRule="exact"/>
      <w:jc w:val="left"/>
    </w:pPr>
    <w:rPr>
      <w:rFonts w:ascii="宋体" w:hAnsi="宋体" w:eastAsia="宋体" w:cs="Times New Roman"/>
      <w:szCs w:val="20"/>
    </w:rPr>
  </w:style>
  <w:style w:type="paragraph" w:customStyle="1" w:styleId="296">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0"/>
      <w:szCs w:val="20"/>
    </w:rPr>
  </w:style>
  <w:style w:type="paragraph" w:customStyle="1" w:styleId="297">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b/>
      <w:bCs/>
      <w:kern w:val="0"/>
      <w:sz w:val="20"/>
      <w:szCs w:val="20"/>
    </w:rPr>
  </w:style>
  <w:style w:type="paragraph" w:customStyle="1" w:styleId="298">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b/>
      <w:bCs/>
      <w:kern w:val="0"/>
      <w:sz w:val="20"/>
      <w:szCs w:val="20"/>
    </w:rPr>
  </w:style>
  <w:style w:type="paragraph" w:customStyle="1" w:styleId="299">
    <w:name w:val="p2"/>
    <w:basedOn w:val="1"/>
    <w:qFormat/>
    <w:uiPriority w:val="0"/>
    <w:pPr>
      <w:widowControl/>
      <w:spacing w:line="480" w:lineRule="auto"/>
      <w:ind w:firstLine="420"/>
      <w:jc w:val="left"/>
    </w:pPr>
    <w:rPr>
      <w:rFonts w:ascii="宋体" w:hAnsi="宋体" w:eastAsia="宋体" w:cs="宋体"/>
      <w:kern w:val="0"/>
      <w:szCs w:val="21"/>
    </w:rPr>
  </w:style>
  <w:style w:type="paragraph" w:customStyle="1" w:styleId="300">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eastAsia="宋体" w:cs="宋体"/>
      <w:kern w:val="0"/>
      <w:sz w:val="24"/>
      <w:szCs w:val="24"/>
    </w:rPr>
  </w:style>
  <w:style w:type="paragraph" w:customStyle="1" w:styleId="301">
    <w:name w:val="正文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302">
    <w:name w:val="纯文本 New New New"/>
    <w:basedOn w:val="303"/>
    <w:qFormat/>
    <w:uiPriority w:val="0"/>
  </w:style>
  <w:style w:type="paragraph" w:customStyle="1" w:styleId="303">
    <w:name w:val="正文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304">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b/>
      <w:bCs/>
      <w:kern w:val="0"/>
      <w:sz w:val="20"/>
      <w:szCs w:val="20"/>
    </w:rPr>
  </w:style>
  <w:style w:type="paragraph" w:customStyle="1" w:styleId="305">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0"/>
      <w:szCs w:val="20"/>
    </w:rPr>
  </w:style>
  <w:style w:type="paragraph" w:customStyle="1" w:styleId="306">
    <w:name w:val="副标题 New"/>
    <w:basedOn w:val="1"/>
    <w:next w:val="1"/>
    <w:qFormat/>
    <w:uiPriority w:val="0"/>
    <w:pPr>
      <w:numPr>
        <w:ilvl w:val="0"/>
        <w:numId w:val="3"/>
      </w:numPr>
      <w:jc w:val="left"/>
      <w:outlineLvl w:val="1"/>
    </w:pPr>
    <w:rPr>
      <w:rFonts w:ascii="Century Gothic" w:hAnsi="Century Gothic" w:eastAsia="宋体" w:cs="Century Gothic"/>
      <w:kern w:val="28"/>
      <w:szCs w:val="21"/>
    </w:rPr>
  </w:style>
  <w:style w:type="paragraph" w:customStyle="1" w:styleId="307">
    <w:name w:val="样式 黑体 居中 首行缩进:  0.35 厘米 行距: 1.5 倍行距"/>
    <w:basedOn w:val="1"/>
    <w:qFormat/>
    <w:uiPriority w:val="0"/>
    <w:pPr>
      <w:widowControl/>
      <w:jc w:val="center"/>
    </w:pPr>
    <w:rPr>
      <w:rFonts w:ascii="黑体" w:hAnsi="黑体" w:eastAsia="黑体" w:cs="Times New Roman"/>
      <w:kern w:val="0"/>
      <w:sz w:val="24"/>
      <w:szCs w:val="20"/>
    </w:rPr>
  </w:style>
  <w:style w:type="paragraph" w:customStyle="1" w:styleId="308">
    <w:name w:val="无间隔11"/>
    <w:basedOn w:val="1"/>
    <w:qFormat/>
    <w:uiPriority w:val="0"/>
    <w:pPr>
      <w:widowControl/>
      <w:jc w:val="left"/>
    </w:pPr>
    <w:rPr>
      <w:rFonts w:ascii="宋体" w:hAnsi="宋体" w:eastAsia="宋体" w:cs="Times New Roman"/>
      <w:kern w:val="0"/>
      <w:sz w:val="22"/>
      <w:szCs w:val="20"/>
      <w:lang w:eastAsia="en-US" w:bidi="en-US"/>
    </w:rPr>
  </w:style>
  <w:style w:type="paragraph" w:customStyle="1" w:styleId="309">
    <w:name w:val="xl1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310">
    <w:name w:val="TOC Heading"/>
    <w:basedOn w:val="2"/>
    <w:next w:val="1"/>
    <w:unhideWhenUsed/>
    <w:qFormat/>
    <w:uiPriority w:val="39"/>
    <w:pPr>
      <w:widowControl/>
      <w:numPr>
        <w:ilvl w:val="0"/>
        <w:numId w:val="0"/>
      </w:numPr>
      <w:adjustRightInd/>
      <w:spacing w:before="240" w:after="0" w:line="259" w:lineRule="auto"/>
      <w:jc w:val="left"/>
      <w:textAlignment w:val="auto"/>
      <w:outlineLvl w:val="9"/>
    </w:pPr>
    <w:rPr>
      <w:rFonts w:ascii="Cambria" w:hAnsi="Cambria" w:eastAsia="宋体" w:cs="Times New Roman"/>
      <w:b w:val="0"/>
      <w:color w:val="366091"/>
      <w:spacing w:val="0"/>
      <w:kern w:val="0"/>
      <w:sz w:val="32"/>
      <w:szCs w:val="32"/>
    </w:rPr>
  </w:style>
  <w:style w:type="paragraph" w:customStyle="1" w:styleId="311">
    <w:name w:val="正文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312">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0"/>
      <w:szCs w:val="20"/>
    </w:rPr>
  </w:style>
  <w:style w:type="paragraph" w:customStyle="1" w:styleId="313">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color w:val="000000"/>
      <w:kern w:val="0"/>
      <w:sz w:val="24"/>
      <w:szCs w:val="24"/>
    </w:rPr>
  </w:style>
  <w:style w:type="paragraph" w:customStyle="1" w:styleId="314">
    <w:name w:val="xl71"/>
    <w:basedOn w:val="1"/>
    <w:qFormat/>
    <w:uiPriority w:val="0"/>
    <w:pPr>
      <w:widowControl/>
      <w:spacing w:before="100" w:beforeAutospacing="1" w:after="100" w:afterAutospacing="1"/>
      <w:jc w:val="left"/>
      <w:textAlignment w:val="center"/>
    </w:pPr>
    <w:rPr>
      <w:rFonts w:ascii="宋体" w:hAnsi="宋体" w:eastAsia="宋体" w:cs="宋体"/>
      <w:kern w:val="0"/>
      <w:sz w:val="20"/>
      <w:szCs w:val="20"/>
    </w:rPr>
  </w:style>
  <w:style w:type="paragraph" w:customStyle="1" w:styleId="315">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0"/>
      <w:szCs w:val="20"/>
    </w:rPr>
  </w:style>
  <w:style w:type="paragraph" w:customStyle="1" w:styleId="316">
    <w:name w:val="default"/>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317">
    <w:name w:val="列表段落2"/>
    <w:basedOn w:val="1"/>
    <w:qFormat/>
    <w:uiPriority w:val="0"/>
    <w:pPr>
      <w:ind w:firstLine="420" w:firstLineChars="200"/>
    </w:pPr>
    <w:rPr>
      <w:rFonts w:ascii="Calibri" w:hAnsi="Calibri" w:eastAsia="宋体" w:cs="Times New Roman"/>
      <w:szCs w:val="22"/>
    </w:rPr>
  </w:style>
  <w:style w:type="paragraph" w:customStyle="1" w:styleId="318">
    <w:name w:val="正文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319">
    <w:name w:val="正文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320">
    <w:name w:val="font5"/>
    <w:basedOn w:val="1"/>
    <w:qFormat/>
    <w:uiPriority w:val="0"/>
    <w:pPr>
      <w:widowControl/>
      <w:spacing w:before="100" w:beforeAutospacing="1" w:after="100" w:afterAutospacing="1"/>
      <w:jc w:val="left"/>
    </w:pPr>
    <w:rPr>
      <w:rFonts w:ascii="宋体" w:hAnsi="宋体" w:eastAsia="宋体" w:cs="宋体"/>
      <w:color w:val="000000"/>
      <w:kern w:val="0"/>
      <w:sz w:val="24"/>
      <w:szCs w:val="24"/>
    </w:rPr>
  </w:style>
  <w:style w:type="paragraph" w:customStyle="1" w:styleId="321">
    <w:name w:val="正文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322">
    <w:name w:val="xl88"/>
    <w:basedOn w:val="1"/>
    <w:qFormat/>
    <w:uiPriority w:val="0"/>
    <w:pPr>
      <w:widowControl/>
      <w:spacing w:before="100" w:beforeAutospacing="1" w:after="100" w:afterAutospacing="1"/>
      <w:jc w:val="left"/>
      <w:textAlignment w:val="center"/>
    </w:pPr>
    <w:rPr>
      <w:rFonts w:ascii="宋体" w:hAnsi="宋体" w:eastAsia="宋体" w:cs="宋体"/>
      <w:kern w:val="0"/>
      <w:sz w:val="20"/>
      <w:szCs w:val="20"/>
    </w:rPr>
  </w:style>
  <w:style w:type="paragraph" w:customStyle="1" w:styleId="323">
    <w:name w:val="xl138"/>
    <w:basedOn w:val="1"/>
    <w:qFormat/>
    <w:uiPriority w:val="0"/>
    <w:pPr>
      <w:widowControl/>
      <w:spacing w:before="100" w:beforeAutospacing="1" w:after="100" w:afterAutospacing="1"/>
      <w:jc w:val="center"/>
    </w:pPr>
    <w:rPr>
      <w:rFonts w:ascii="宋体" w:hAnsi="宋体" w:eastAsia="宋体" w:cs="宋体"/>
      <w:b/>
      <w:bCs/>
      <w:kern w:val="0"/>
      <w:sz w:val="22"/>
      <w:szCs w:val="22"/>
    </w:rPr>
  </w:style>
  <w:style w:type="paragraph" w:customStyle="1" w:styleId="324">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eastAsia="宋体" w:cs="宋体"/>
      <w:b/>
      <w:bCs/>
      <w:kern w:val="0"/>
      <w:sz w:val="20"/>
      <w:szCs w:val="20"/>
    </w:rPr>
  </w:style>
  <w:style w:type="paragraph" w:customStyle="1" w:styleId="325">
    <w:name w:val="xl98"/>
    <w:basedOn w:val="1"/>
    <w:qFormat/>
    <w:uiPriority w:val="0"/>
    <w:pPr>
      <w:widowControl/>
      <w:spacing w:before="100" w:beforeAutospacing="1" w:after="100" w:afterAutospacing="1"/>
      <w:jc w:val="left"/>
      <w:textAlignment w:val="center"/>
    </w:pPr>
    <w:rPr>
      <w:rFonts w:ascii="宋体" w:hAnsi="宋体" w:eastAsia="宋体" w:cs="宋体"/>
      <w:kern w:val="0"/>
      <w:sz w:val="20"/>
      <w:szCs w:val="20"/>
    </w:rPr>
  </w:style>
  <w:style w:type="paragraph" w:customStyle="1" w:styleId="326">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b/>
      <w:bCs/>
      <w:kern w:val="0"/>
      <w:sz w:val="22"/>
      <w:szCs w:val="22"/>
    </w:rPr>
  </w:style>
  <w:style w:type="paragraph" w:customStyle="1" w:styleId="327">
    <w:name w:val="文档正文"/>
    <w:basedOn w:val="1"/>
    <w:qFormat/>
    <w:uiPriority w:val="0"/>
    <w:pPr>
      <w:adjustRightInd w:val="0"/>
      <w:snapToGrid w:val="0"/>
      <w:spacing w:line="360" w:lineRule="auto"/>
      <w:ind w:left="13" w:leftChars="-45" w:hanging="107" w:hangingChars="51"/>
    </w:pPr>
    <w:rPr>
      <w:rFonts w:ascii="宋体" w:hAnsi="宋体" w:eastAsia="宋体" w:cs="Times New Roman"/>
      <w:color w:val="FF0000"/>
      <w:kern w:val="0"/>
      <w:szCs w:val="20"/>
    </w:rPr>
  </w:style>
  <w:style w:type="paragraph" w:customStyle="1" w:styleId="328">
    <w:name w:val="清單段落1"/>
    <w:basedOn w:val="1"/>
    <w:qFormat/>
    <w:uiPriority w:val="34"/>
    <w:pPr>
      <w:ind w:left="720"/>
      <w:contextualSpacing/>
    </w:pPr>
    <w:rPr>
      <w:rFonts w:ascii="宋体" w:hAnsi="宋体" w:eastAsia="宋体" w:cs="Times New Roman"/>
      <w:szCs w:val="24"/>
    </w:rPr>
  </w:style>
  <w:style w:type="paragraph" w:customStyle="1" w:styleId="329">
    <w:name w:val="正文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330">
    <w:name w:val="附件正文"/>
    <w:qFormat/>
    <w:uiPriority w:val="0"/>
    <w:pPr>
      <w:snapToGrid w:val="0"/>
      <w:spacing w:line="500" w:lineRule="exact"/>
      <w:ind w:firstLine="540" w:firstLineChars="225"/>
    </w:pPr>
    <w:rPr>
      <w:rFonts w:ascii="宋体" w:hAnsi="宋体" w:eastAsia="宋体" w:cs="Times New Roman"/>
      <w:kern w:val="2"/>
      <w:sz w:val="24"/>
      <w:szCs w:val="21"/>
      <w:lang w:val="en-US" w:eastAsia="zh-CN" w:bidi="ar-SA"/>
    </w:rPr>
  </w:style>
  <w:style w:type="paragraph" w:customStyle="1" w:styleId="331">
    <w:name w:val="说明"/>
    <w:basedOn w:val="1"/>
    <w:qFormat/>
    <w:uiPriority w:val="0"/>
    <w:pPr>
      <w:ind w:left="1" w:leftChars="-52" w:hanging="110" w:hangingChars="61"/>
      <w:jc w:val="center"/>
    </w:pPr>
    <w:rPr>
      <w:rFonts w:ascii="宋体" w:hAnsi="宋体" w:eastAsia="宋体" w:cs="Times New Roman"/>
      <w:szCs w:val="20"/>
    </w:rPr>
  </w:style>
  <w:style w:type="paragraph" w:customStyle="1" w:styleId="332">
    <w:name w:val="xl13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333">
    <w:name w:val="正文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334">
    <w:name w:val="xl13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22"/>
      <w:szCs w:val="22"/>
    </w:rPr>
  </w:style>
  <w:style w:type="paragraph" w:customStyle="1" w:styleId="335">
    <w:name w:val="xl1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2"/>
      <w:szCs w:val="22"/>
    </w:rPr>
  </w:style>
  <w:style w:type="paragraph" w:customStyle="1" w:styleId="336">
    <w:name w:val="font6"/>
    <w:basedOn w:val="1"/>
    <w:qFormat/>
    <w:uiPriority w:val="0"/>
    <w:pPr>
      <w:widowControl/>
      <w:spacing w:before="100" w:beforeAutospacing="1" w:after="100" w:afterAutospacing="1"/>
      <w:jc w:val="left"/>
    </w:pPr>
    <w:rPr>
      <w:rFonts w:ascii="宋体" w:hAnsi="宋体" w:eastAsia="宋体" w:cs="宋体"/>
      <w:kern w:val="0"/>
      <w:sz w:val="20"/>
      <w:szCs w:val="20"/>
    </w:rPr>
  </w:style>
  <w:style w:type="paragraph" w:customStyle="1" w:styleId="337">
    <w:name w:val="xl65"/>
    <w:basedOn w:val="1"/>
    <w:qFormat/>
    <w:uiPriority w:val="0"/>
    <w:pPr>
      <w:widowControl/>
      <w:spacing w:before="100" w:beforeAutospacing="1" w:after="100" w:afterAutospacing="1"/>
      <w:jc w:val="left"/>
      <w:textAlignment w:val="center"/>
    </w:pPr>
    <w:rPr>
      <w:rFonts w:ascii="宋体" w:hAnsi="宋体" w:eastAsia="宋体" w:cs="宋体"/>
      <w:kern w:val="0"/>
      <w:sz w:val="24"/>
      <w:szCs w:val="24"/>
    </w:rPr>
  </w:style>
  <w:style w:type="paragraph" w:customStyle="1" w:styleId="338">
    <w:name w:val="清單段落"/>
    <w:basedOn w:val="1"/>
    <w:qFormat/>
    <w:uiPriority w:val="99"/>
    <w:pPr>
      <w:ind w:left="480" w:leftChars="200"/>
    </w:pPr>
    <w:rPr>
      <w:rFonts w:ascii="宋体" w:hAnsi="宋体" w:eastAsia="宋体" w:cs="Times New Roman"/>
      <w:szCs w:val="24"/>
    </w:rPr>
  </w:style>
  <w:style w:type="paragraph" w:customStyle="1" w:styleId="339">
    <w:name w:val="列表段落1"/>
    <w:basedOn w:val="1"/>
    <w:qFormat/>
    <w:uiPriority w:val="34"/>
    <w:pPr>
      <w:ind w:firstLine="420" w:firstLineChars="200"/>
    </w:pPr>
    <w:rPr>
      <w:rFonts w:ascii="宋体" w:hAnsi="宋体" w:eastAsia="宋体" w:cs="Times New Roman"/>
      <w:szCs w:val="24"/>
    </w:rPr>
  </w:style>
  <w:style w:type="paragraph" w:customStyle="1" w:styleId="340">
    <w:name w:val="正文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341">
    <w:name w:val="AbsatzTableFormat"/>
    <w:basedOn w:val="1"/>
    <w:qFormat/>
    <w:uiPriority w:val="0"/>
    <w:pPr>
      <w:widowControl/>
      <w:jc w:val="left"/>
    </w:pPr>
    <w:rPr>
      <w:rFonts w:ascii="Times New Roman" w:hAnsi="Times New Roman" w:eastAsia="宋体" w:cs="Times New Roman"/>
      <w:bCs/>
      <w:kern w:val="0"/>
      <w:sz w:val="22"/>
      <w:szCs w:val="20"/>
      <w:lang w:val="pt-BR" w:eastAsia="en-US"/>
    </w:rPr>
  </w:style>
  <w:style w:type="paragraph" w:customStyle="1" w:styleId="342">
    <w:name w:val="p1"/>
    <w:basedOn w:val="1"/>
    <w:qFormat/>
    <w:uiPriority w:val="0"/>
    <w:pPr>
      <w:widowControl/>
      <w:spacing w:line="480" w:lineRule="auto"/>
      <w:jc w:val="center"/>
    </w:pPr>
    <w:rPr>
      <w:rFonts w:ascii="宋体" w:hAnsi="宋体" w:eastAsia="宋体" w:cs="宋体"/>
      <w:kern w:val="0"/>
      <w:sz w:val="28"/>
      <w:szCs w:val="28"/>
    </w:rPr>
  </w:style>
  <w:style w:type="paragraph" w:customStyle="1" w:styleId="343">
    <w:name w:val="正文 New New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344">
    <w:name w:val="xl109"/>
    <w:basedOn w:val="1"/>
    <w:qFormat/>
    <w:uiPriority w:val="0"/>
    <w:pPr>
      <w:widowControl/>
      <w:spacing w:before="100" w:beforeAutospacing="1" w:after="100" w:afterAutospacing="1"/>
      <w:jc w:val="left"/>
      <w:textAlignment w:val="center"/>
    </w:pPr>
    <w:rPr>
      <w:rFonts w:ascii="宋体" w:hAnsi="宋体" w:eastAsia="宋体" w:cs="宋体"/>
      <w:color w:val="FF0000"/>
      <w:kern w:val="0"/>
      <w:sz w:val="20"/>
      <w:szCs w:val="20"/>
    </w:rPr>
  </w:style>
  <w:style w:type="paragraph" w:customStyle="1" w:styleId="345">
    <w:name w:val="正文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346">
    <w:name w:val="xl142"/>
    <w:basedOn w:val="1"/>
    <w:qFormat/>
    <w:uiPriority w:val="0"/>
    <w:pPr>
      <w:widowControl/>
      <w:shd w:val="clear" w:color="000000" w:fill="FFFFFF"/>
      <w:spacing w:before="100" w:beforeAutospacing="1" w:after="100" w:afterAutospacing="1"/>
      <w:jc w:val="left"/>
    </w:pPr>
    <w:rPr>
      <w:rFonts w:ascii="宋体" w:hAnsi="宋体" w:eastAsia="宋体" w:cs="宋体"/>
      <w:kern w:val="0"/>
      <w:sz w:val="22"/>
      <w:szCs w:val="22"/>
    </w:rPr>
  </w:style>
  <w:style w:type="paragraph" w:customStyle="1" w:styleId="347">
    <w:name w:val="Char2 Char Char Char Char Char Char"/>
    <w:basedOn w:val="14"/>
    <w:qFormat/>
    <w:uiPriority w:val="0"/>
    <w:pPr>
      <w:shd w:val="clear" w:color="auto" w:fill="000080"/>
    </w:pPr>
    <w:rPr>
      <w:rFonts w:ascii="Tahoma" w:hAnsi="Tahoma" w:eastAsia="宋体" w:cs="Times New Roman"/>
      <w:sz w:val="24"/>
      <w:szCs w:val="24"/>
    </w:rPr>
  </w:style>
  <w:style w:type="paragraph" w:customStyle="1" w:styleId="348">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eastAsia="宋体" w:cs="宋体"/>
      <w:b/>
      <w:bCs/>
      <w:kern w:val="0"/>
      <w:sz w:val="20"/>
      <w:szCs w:val="20"/>
    </w:rPr>
  </w:style>
  <w:style w:type="paragraph" w:customStyle="1" w:styleId="349">
    <w:name w:val="xl1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350">
    <w:name w:val="xl1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22"/>
      <w:szCs w:val="22"/>
    </w:rPr>
  </w:style>
  <w:style w:type="paragraph" w:customStyle="1" w:styleId="351">
    <w:name w:val="xl1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color w:val="000000"/>
      <w:kern w:val="0"/>
      <w:sz w:val="32"/>
      <w:szCs w:val="32"/>
    </w:rPr>
  </w:style>
  <w:style w:type="paragraph" w:customStyle="1" w:styleId="352">
    <w:name w:val="xl145"/>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353">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kern w:val="0"/>
      <w:sz w:val="24"/>
      <w:szCs w:val="24"/>
    </w:rPr>
  </w:style>
  <w:style w:type="paragraph" w:customStyle="1" w:styleId="354">
    <w:name w:val="Char1 Char Char"/>
    <w:basedOn w:val="1"/>
    <w:qFormat/>
    <w:uiPriority w:val="0"/>
    <w:pPr>
      <w:adjustRightInd w:val="0"/>
      <w:spacing w:line="360" w:lineRule="auto"/>
    </w:pPr>
    <w:rPr>
      <w:rFonts w:ascii="Times New Roman" w:hAnsi="Times New Roman" w:eastAsia="宋体" w:cs="Times New Roman"/>
      <w:kern w:val="0"/>
      <w:sz w:val="24"/>
      <w:szCs w:val="20"/>
    </w:rPr>
  </w:style>
  <w:style w:type="paragraph" w:customStyle="1" w:styleId="355">
    <w:name w:val="xl159"/>
    <w:basedOn w:val="1"/>
    <w:qFormat/>
    <w:uiPriority w:val="0"/>
    <w:pPr>
      <w:widowControl/>
      <w:pBdr>
        <w:top w:val="single" w:color="auto" w:sz="4" w:space="0"/>
        <w:left w:val="single" w:color="auto" w:sz="4" w:space="0"/>
        <w:bottom w:val="single" w:color="auto" w:sz="4" w:space="0"/>
        <w:right w:val="single" w:color="auto" w:sz="8" w:space="0"/>
      </w:pBdr>
      <w:shd w:val="clear" w:color="000000" w:fill="FFFFFF"/>
      <w:spacing w:before="100" w:beforeAutospacing="1" w:after="100" w:afterAutospacing="1"/>
      <w:jc w:val="left"/>
    </w:pPr>
    <w:rPr>
      <w:rFonts w:ascii="宋体" w:hAnsi="宋体" w:eastAsia="宋体" w:cs="宋体"/>
      <w:kern w:val="0"/>
      <w:sz w:val="20"/>
      <w:szCs w:val="20"/>
    </w:rPr>
  </w:style>
  <w:style w:type="paragraph" w:customStyle="1" w:styleId="356">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b/>
      <w:bCs/>
      <w:kern w:val="0"/>
      <w:sz w:val="20"/>
      <w:szCs w:val="20"/>
    </w:rPr>
  </w:style>
  <w:style w:type="paragraph" w:customStyle="1" w:styleId="357">
    <w:name w:val="正文 New New New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35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0"/>
      <w:szCs w:val="20"/>
    </w:rPr>
  </w:style>
  <w:style w:type="paragraph" w:customStyle="1" w:styleId="359">
    <w:name w:val="xl15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eastAsia="宋体" w:cs="宋体"/>
      <w:kern w:val="0"/>
      <w:sz w:val="20"/>
      <w:szCs w:val="20"/>
    </w:rPr>
  </w:style>
  <w:style w:type="paragraph" w:customStyle="1" w:styleId="360">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361">
    <w:name w:val="纯文本 New"/>
    <w:basedOn w:val="72"/>
    <w:qFormat/>
    <w:uiPriority w:val="0"/>
    <w:pPr>
      <w:widowControl/>
      <w:spacing w:before="100" w:beforeAutospacing="1" w:after="100" w:afterAutospacing="1"/>
      <w:jc w:val="left"/>
    </w:pPr>
    <w:rPr>
      <w:rFonts w:ascii="宋体" w:hAnsi="宋体" w:eastAsia="宋体" w:cs="宋体"/>
      <w:sz w:val="24"/>
      <w:szCs w:val="24"/>
    </w:rPr>
  </w:style>
  <w:style w:type="paragraph" w:customStyle="1" w:styleId="362">
    <w:name w:val="正文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363">
    <w:name w:val="正文 New New New New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364">
    <w:name w:val="Bullet_Title"/>
    <w:basedOn w:val="1"/>
    <w:qFormat/>
    <w:uiPriority w:val="0"/>
    <w:pPr>
      <w:tabs>
        <w:tab w:val="left" w:pos="814"/>
      </w:tabs>
      <w:spacing w:after="78" w:line="300" w:lineRule="auto"/>
      <w:ind w:left="794" w:hanging="340"/>
    </w:pPr>
    <w:rPr>
      <w:rFonts w:ascii="Arial Narrow" w:hAnsi="Arial Narrow" w:eastAsia="宋体" w:cs="Times New Roman"/>
      <w:sz w:val="24"/>
      <w:szCs w:val="20"/>
    </w:rPr>
  </w:style>
  <w:style w:type="paragraph" w:customStyle="1" w:styleId="365">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eastAsia="宋体" w:cs="宋体"/>
      <w:kern w:val="0"/>
      <w:sz w:val="24"/>
      <w:szCs w:val="24"/>
    </w:rPr>
  </w:style>
  <w:style w:type="paragraph" w:customStyle="1" w:styleId="366">
    <w:name w:val="xl94"/>
    <w:basedOn w:val="1"/>
    <w:qFormat/>
    <w:uiPriority w:val="0"/>
    <w:pPr>
      <w:widowControl/>
      <w:spacing w:before="100" w:beforeAutospacing="1" w:after="100" w:afterAutospacing="1"/>
      <w:jc w:val="left"/>
      <w:textAlignment w:val="center"/>
    </w:pPr>
    <w:rPr>
      <w:rFonts w:ascii="宋体" w:hAnsi="宋体" w:eastAsia="宋体" w:cs="宋体"/>
      <w:kern w:val="0"/>
      <w:sz w:val="20"/>
      <w:szCs w:val="20"/>
    </w:rPr>
  </w:style>
  <w:style w:type="paragraph" w:customStyle="1" w:styleId="367">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eastAsia="宋体" w:cs="宋体"/>
      <w:b/>
      <w:bCs/>
      <w:kern w:val="0"/>
      <w:sz w:val="20"/>
      <w:szCs w:val="20"/>
    </w:rPr>
  </w:style>
  <w:style w:type="paragraph" w:customStyle="1" w:styleId="368">
    <w:name w:val="正文 New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369">
    <w:name w:val="para"/>
    <w:basedOn w:val="1"/>
    <w:qFormat/>
    <w:uiPriority w:val="0"/>
    <w:pPr>
      <w:widowControl/>
      <w:adjustRightInd w:val="0"/>
      <w:spacing w:before="160" w:line="360" w:lineRule="auto"/>
      <w:ind w:firstLine="425"/>
      <w:textAlignment w:val="baseline"/>
    </w:pPr>
    <w:rPr>
      <w:rFonts w:ascii="宋体" w:hAnsi="宋体" w:eastAsia="宋体" w:cs="Times New Roman"/>
      <w:kern w:val="0"/>
      <w:sz w:val="24"/>
      <w:szCs w:val="20"/>
      <w:lang w:eastAsia="en-US"/>
    </w:rPr>
  </w:style>
  <w:style w:type="paragraph" w:customStyle="1" w:styleId="370">
    <w:name w:val="正文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371">
    <w:name w:val="font7"/>
    <w:basedOn w:val="1"/>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372">
    <w:name w:val="正文 New New New New New New New New New New New New New New New New New New New New New New New New New New New New New New New New New New New New New New New New"/>
    <w:qFormat/>
    <w:uiPriority w:val="0"/>
    <w:pPr>
      <w:widowControl w:val="0"/>
      <w:spacing w:line="460" w:lineRule="exact"/>
      <w:jc w:val="both"/>
    </w:pPr>
    <w:rPr>
      <w:rFonts w:ascii="宋体" w:hAnsi="宋体" w:eastAsia="宋体" w:cs="Times New Roman"/>
      <w:spacing w:val="6"/>
      <w:kern w:val="2"/>
      <w:sz w:val="24"/>
      <w:szCs w:val="24"/>
      <w:lang w:val="en-US" w:eastAsia="zh-CN" w:bidi="ar-SA"/>
    </w:rPr>
  </w:style>
  <w:style w:type="paragraph" w:customStyle="1" w:styleId="373">
    <w:name w:val="xl1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374">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b/>
      <w:bCs/>
      <w:kern w:val="0"/>
      <w:sz w:val="20"/>
      <w:szCs w:val="20"/>
    </w:rPr>
  </w:style>
  <w:style w:type="paragraph" w:customStyle="1" w:styleId="375">
    <w:name w:val="副标题 New New"/>
    <w:basedOn w:val="1"/>
    <w:next w:val="1"/>
    <w:qFormat/>
    <w:uiPriority w:val="0"/>
    <w:pPr>
      <w:tabs>
        <w:tab w:val="left" w:pos="840"/>
      </w:tabs>
      <w:ind w:left="840" w:hanging="420"/>
      <w:jc w:val="left"/>
      <w:outlineLvl w:val="1"/>
    </w:pPr>
    <w:rPr>
      <w:rFonts w:ascii="Century Gothic" w:hAnsi="Century Gothic" w:eastAsia="宋体" w:cs="Century Gothic"/>
      <w:kern w:val="28"/>
      <w:szCs w:val="21"/>
    </w:rPr>
  </w:style>
  <w:style w:type="paragraph" w:customStyle="1" w:styleId="376">
    <w:name w:val="正文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377">
    <w:name w:val="_Style 376"/>
    <w:basedOn w:val="2"/>
    <w:next w:val="1"/>
    <w:qFormat/>
    <w:uiPriority w:val="39"/>
    <w:pPr>
      <w:widowControl/>
      <w:numPr>
        <w:ilvl w:val="0"/>
        <w:numId w:val="0"/>
      </w:numPr>
      <w:adjustRightInd/>
      <w:spacing w:before="240" w:after="0" w:line="259" w:lineRule="auto"/>
      <w:jc w:val="left"/>
      <w:textAlignment w:val="auto"/>
      <w:outlineLvl w:val="9"/>
    </w:pPr>
    <w:rPr>
      <w:rFonts w:ascii="Cambria" w:hAnsi="Cambria" w:eastAsia="宋体" w:cs="Times New Roman"/>
      <w:b w:val="0"/>
      <w:color w:val="365F91"/>
      <w:spacing w:val="0"/>
      <w:kern w:val="0"/>
      <w:sz w:val="32"/>
      <w:szCs w:val="32"/>
    </w:rPr>
  </w:style>
  <w:style w:type="paragraph" w:customStyle="1" w:styleId="378">
    <w:name w:val="Char Char Char Char Char Char Char Char Char Char"/>
    <w:basedOn w:val="1"/>
    <w:qFormat/>
    <w:uiPriority w:val="0"/>
    <w:pPr>
      <w:tabs>
        <w:tab w:val="left" w:pos="360"/>
      </w:tabs>
      <w:ind w:left="360" w:hanging="360" w:hangingChars="200"/>
    </w:pPr>
    <w:rPr>
      <w:rFonts w:ascii="宋体" w:hAnsi="宋体" w:eastAsia="宋体" w:cs="Times New Roman"/>
      <w:szCs w:val="20"/>
    </w:rPr>
  </w:style>
  <w:style w:type="paragraph" w:customStyle="1" w:styleId="379">
    <w:name w:val="xl1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380">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kern w:val="0"/>
      <w:sz w:val="24"/>
      <w:szCs w:val="24"/>
    </w:rPr>
  </w:style>
  <w:style w:type="paragraph" w:customStyle="1" w:styleId="381">
    <w:name w:val="副标题 New New New"/>
    <w:basedOn w:val="252"/>
    <w:next w:val="252"/>
    <w:qFormat/>
    <w:uiPriority w:val="0"/>
    <w:pPr>
      <w:numPr>
        <w:ilvl w:val="0"/>
        <w:numId w:val="4"/>
      </w:numPr>
      <w:jc w:val="left"/>
      <w:outlineLvl w:val="1"/>
    </w:pPr>
    <w:rPr>
      <w:rFonts w:ascii="Century Gothic" w:hAnsi="Century Gothic"/>
      <w:bCs/>
      <w:kern w:val="28"/>
      <w:szCs w:val="32"/>
    </w:rPr>
  </w:style>
  <w:style w:type="paragraph" w:customStyle="1" w:styleId="382">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b/>
      <w:bCs/>
      <w:kern w:val="0"/>
      <w:sz w:val="20"/>
      <w:szCs w:val="20"/>
    </w:rPr>
  </w:style>
  <w:style w:type="paragraph" w:customStyle="1" w:styleId="383">
    <w:name w:val="正文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384">
    <w:name w:val="xl146"/>
    <w:basedOn w:val="1"/>
    <w:qFormat/>
    <w:uiPriority w:val="0"/>
    <w:pPr>
      <w:widowControl/>
      <w:spacing w:before="100" w:beforeAutospacing="1" w:after="100" w:afterAutospacing="1"/>
      <w:jc w:val="center"/>
    </w:pPr>
    <w:rPr>
      <w:rFonts w:ascii="宋体" w:hAnsi="宋体" w:eastAsia="宋体" w:cs="宋体"/>
      <w:kern w:val="0"/>
      <w:sz w:val="24"/>
      <w:szCs w:val="24"/>
    </w:rPr>
  </w:style>
  <w:style w:type="paragraph" w:customStyle="1" w:styleId="385">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eastAsia="宋体" w:cs="宋体"/>
      <w:kern w:val="0"/>
      <w:sz w:val="20"/>
      <w:szCs w:val="20"/>
    </w:rPr>
  </w:style>
  <w:style w:type="paragraph" w:customStyle="1" w:styleId="386">
    <w:name w:val="xl1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eastAsia="宋体" w:cs="宋体"/>
      <w:kern w:val="0"/>
      <w:sz w:val="24"/>
      <w:szCs w:val="24"/>
    </w:rPr>
  </w:style>
  <w:style w:type="paragraph" w:customStyle="1" w:styleId="387">
    <w:name w:val="H-TextFormat"/>
    <w:qFormat/>
    <w:uiPriority w:val="0"/>
    <w:pPr>
      <w:autoSpaceDE w:val="0"/>
      <w:autoSpaceDN w:val="0"/>
      <w:adjustRightInd w:val="0"/>
    </w:pPr>
    <w:rPr>
      <w:rFonts w:ascii="Arial" w:hAnsi="Arial" w:eastAsia="宋体" w:cs="Arial"/>
      <w:sz w:val="22"/>
      <w:szCs w:val="22"/>
      <w:lang w:val="en-US" w:eastAsia="en-US" w:bidi="ar-SA"/>
    </w:rPr>
  </w:style>
  <w:style w:type="paragraph" w:customStyle="1" w:styleId="388">
    <w:name w:val="正文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389">
    <w:name w:val="正文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390">
    <w:name w:val="xl140"/>
    <w:basedOn w:val="1"/>
    <w:qFormat/>
    <w:uiPriority w:val="0"/>
    <w:pPr>
      <w:widowControl/>
      <w:spacing w:before="100" w:beforeAutospacing="1" w:after="100" w:afterAutospacing="1"/>
      <w:jc w:val="center"/>
    </w:pPr>
    <w:rPr>
      <w:rFonts w:ascii="宋体" w:hAnsi="宋体" w:eastAsia="宋体" w:cs="宋体"/>
      <w:kern w:val="0"/>
      <w:sz w:val="22"/>
      <w:szCs w:val="22"/>
    </w:rPr>
  </w:style>
  <w:style w:type="paragraph" w:customStyle="1" w:styleId="391">
    <w:name w:val="正文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392">
    <w:name w:val="xl1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393">
    <w:name w:val="正文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394">
    <w:name w:val="xl144"/>
    <w:basedOn w:val="1"/>
    <w:qFormat/>
    <w:uiPriority w:val="0"/>
    <w:pPr>
      <w:widowControl/>
      <w:spacing w:before="100" w:beforeAutospacing="1" w:after="100" w:afterAutospacing="1"/>
      <w:jc w:val="left"/>
      <w:textAlignment w:val="top"/>
    </w:pPr>
    <w:rPr>
      <w:rFonts w:ascii="宋体" w:hAnsi="宋体" w:eastAsia="宋体" w:cs="宋体"/>
      <w:kern w:val="0"/>
      <w:sz w:val="24"/>
      <w:szCs w:val="24"/>
    </w:rPr>
  </w:style>
  <w:style w:type="paragraph" w:customStyle="1" w:styleId="395">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eastAsia="宋体" w:cs="宋体"/>
      <w:b/>
      <w:bCs/>
      <w:kern w:val="0"/>
      <w:sz w:val="20"/>
      <w:szCs w:val="20"/>
    </w:rPr>
  </w:style>
  <w:style w:type="paragraph" w:customStyle="1" w:styleId="396">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eastAsia="宋体" w:cs="宋体"/>
      <w:kern w:val="0"/>
      <w:sz w:val="24"/>
      <w:szCs w:val="24"/>
    </w:rPr>
  </w:style>
  <w:style w:type="paragraph" w:customStyle="1" w:styleId="397">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0"/>
      <w:szCs w:val="20"/>
    </w:rPr>
  </w:style>
  <w:style w:type="paragraph" w:customStyle="1" w:styleId="398">
    <w:name w:val="xl143"/>
    <w:basedOn w:val="1"/>
    <w:qFormat/>
    <w:uiPriority w:val="0"/>
    <w:pPr>
      <w:widowControl/>
      <w:spacing w:before="100" w:beforeAutospacing="1" w:after="100" w:afterAutospacing="1"/>
      <w:jc w:val="center"/>
    </w:pPr>
    <w:rPr>
      <w:rFonts w:ascii="宋体" w:hAnsi="宋体" w:eastAsia="宋体" w:cs="宋体"/>
      <w:color w:val="FF0000"/>
      <w:kern w:val="0"/>
      <w:sz w:val="22"/>
      <w:szCs w:val="22"/>
    </w:rPr>
  </w:style>
  <w:style w:type="paragraph" w:customStyle="1" w:styleId="399">
    <w:name w:val="正文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400">
    <w:name w:val="纯文本 New New"/>
    <w:basedOn w:val="272"/>
    <w:qFormat/>
    <w:uiPriority w:val="0"/>
    <w:pPr>
      <w:widowControl/>
      <w:spacing w:before="100" w:beforeAutospacing="1" w:after="100" w:afterAutospacing="1"/>
      <w:jc w:val="left"/>
    </w:pPr>
    <w:rPr>
      <w:rFonts w:cs="宋体"/>
      <w:sz w:val="24"/>
      <w:szCs w:val="24"/>
    </w:rPr>
  </w:style>
  <w:style w:type="paragraph" w:customStyle="1" w:styleId="401">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b/>
      <w:bCs/>
      <w:kern w:val="0"/>
      <w:sz w:val="20"/>
      <w:szCs w:val="20"/>
    </w:rPr>
  </w:style>
  <w:style w:type="paragraph" w:customStyle="1" w:styleId="402">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eastAsia="宋体" w:cs="宋体"/>
      <w:b/>
      <w:bCs/>
      <w:kern w:val="0"/>
      <w:sz w:val="20"/>
      <w:szCs w:val="20"/>
    </w:rPr>
  </w:style>
  <w:style w:type="paragraph" w:customStyle="1" w:styleId="403">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0"/>
      <w:szCs w:val="20"/>
    </w:rPr>
  </w:style>
  <w:style w:type="paragraph" w:customStyle="1" w:styleId="404">
    <w:name w:val="Char Char Char Char Char Char"/>
    <w:basedOn w:val="1"/>
    <w:qFormat/>
    <w:uiPriority w:val="0"/>
    <w:rPr>
      <w:rFonts w:ascii="Tahoma" w:hAnsi="Tahoma" w:eastAsia="宋体" w:cs="Times New Roman"/>
      <w:sz w:val="24"/>
      <w:szCs w:val="20"/>
    </w:rPr>
  </w:style>
  <w:style w:type="paragraph" w:customStyle="1" w:styleId="405">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0"/>
      <w:szCs w:val="20"/>
    </w:rPr>
  </w:style>
  <w:style w:type="paragraph" w:customStyle="1" w:styleId="406">
    <w:name w:val="Char Char3 Char Char Char Char"/>
    <w:basedOn w:val="1"/>
    <w:qFormat/>
    <w:uiPriority w:val="0"/>
    <w:pPr>
      <w:widowControl/>
      <w:spacing w:after="160" w:line="240" w:lineRule="exact"/>
      <w:jc w:val="left"/>
    </w:pPr>
    <w:rPr>
      <w:rFonts w:ascii="Arial" w:hAnsi="Arial" w:eastAsia="Times New Roman" w:cs="Verdana"/>
      <w:b/>
      <w:kern w:val="0"/>
      <w:sz w:val="24"/>
      <w:szCs w:val="24"/>
      <w:lang w:eastAsia="en-US"/>
    </w:rPr>
  </w:style>
  <w:style w:type="paragraph" w:customStyle="1" w:styleId="407">
    <w:name w:val="g3"/>
    <w:basedOn w:val="1"/>
    <w:qFormat/>
    <w:uiPriority w:val="0"/>
    <w:pPr>
      <w:widowControl/>
      <w:spacing w:before="100" w:beforeAutospacing="1" w:after="100" w:afterAutospacing="1" w:line="675" w:lineRule="atLeast"/>
      <w:jc w:val="left"/>
    </w:pPr>
    <w:rPr>
      <w:rFonts w:ascii="华文中宋" w:hAnsi="华文中宋" w:eastAsia="华文中宋" w:cs="Times New Roman"/>
      <w:kern w:val="0"/>
      <w:sz w:val="42"/>
      <w:szCs w:val="42"/>
    </w:rPr>
  </w:style>
  <w:style w:type="paragraph" w:customStyle="1" w:styleId="408">
    <w:name w:val="xl13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kern w:val="0"/>
      <w:sz w:val="24"/>
      <w:szCs w:val="24"/>
    </w:rPr>
  </w:style>
  <w:style w:type="paragraph" w:customStyle="1" w:styleId="409">
    <w:name w:val="正文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410">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0"/>
      <w:szCs w:val="20"/>
    </w:rPr>
  </w:style>
  <w:style w:type="paragraph" w:customStyle="1" w:styleId="411">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0"/>
      <w:szCs w:val="20"/>
    </w:rPr>
  </w:style>
  <w:style w:type="paragraph" w:customStyle="1" w:styleId="412">
    <w:name w:val="xl16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eastAsia="宋体" w:cs="宋体"/>
      <w:b/>
      <w:bCs/>
      <w:color w:val="000000"/>
      <w:kern w:val="0"/>
      <w:sz w:val="24"/>
      <w:szCs w:val="24"/>
    </w:rPr>
  </w:style>
  <w:style w:type="paragraph" w:customStyle="1" w:styleId="413">
    <w:name w:val="普通(网站) New"/>
    <w:basedOn w:val="268"/>
    <w:qFormat/>
    <w:uiPriority w:val="0"/>
    <w:pPr>
      <w:widowControl/>
      <w:spacing w:before="100" w:beforeAutospacing="1" w:after="100" w:afterAutospacing="1"/>
      <w:jc w:val="left"/>
    </w:pPr>
    <w:rPr>
      <w:kern w:val="0"/>
      <w:sz w:val="24"/>
      <w:szCs w:val="24"/>
    </w:rPr>
  </w:style>
  <w:style w:type="paragraph" w:customStyle="1" w:styleId="414">
    <w:name w:val="Char Char Char1"/>
    <w:basedOn w:val="1"/>
    <w:qFormat/>
    <w:uiPriority w:val="0"/>
    <w:pPr>
      <w:ind w:firstLine="200" w:firstLineChars="200"/>
    </w:pPr>
    <w:rPr>
      <w:rFonts w:ascii="宋体" w:hAnsi="宋体" w:eastAsia="宋体" w:cs="Times New Roman"/>
      <w:sz w:val="24"/>
      <w:szCs w:val="24"/>
    </w:rPr>
  </w:style>
  <w:style w:type="paragraph" w:customStyle="1" w:styleId="415">
    <w:name w:val="xl16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416">
    <w:name w:val="xl139"/>
    <w:basedOn w:val="1"/>
    <w:qFormat/>
    <w:uiPriority w:val="0"/>
    <w:pPr>
      <w:widowControl/>
      <w:shd w:val="clear" w:color="000000" w:fill="FFFFFF"/>
      <w:spacing w:before="100" w:beforeAutospacing="1" w:after="100" w:afterAutospacing="1"/>
      <w:jc w:val="center"/>
    </w:pPr>
    <w:rPr>
      <w:rFonts w:ascii="宋体" w:hAnsi="宋体" w:eastAsia="宋体" w:cs="宋体"/>
      <w:b/>
      <w:bCs/>
      <w:kern w:val="0"/>
      <w:sz w:val="22"/>
      <w:szCs w:val="22"/>
    </w:rPr>
  </w:style>
  <w:style w:type="character" w:customStyle="1" w:styleId="417">
    <w:name w:val="fontstyle01"/>
    <w:qFormat/>
    <w:uiPriority w:val="0"/>
    <w:rPr>
      <w:rFonts w:hint="eastAsia" w:ascii="宋体" w:hAnsi="宋体" w:eastAsia="宋体" w:cs="Times New Roman"/>
      <w:color w:val="000000"/>
      <w:sz w:val="24"/>
      <w:szCs w:val="24"/>
    </w:rPr>
  </w:style>
  <w:style w:type="character" w:customStyle="1" w:styleId="418">
    <w:name w:val="font12"/>
    <w:qFormat/>
    <w:uiPriority w:val="0"/>
    <w:rPr>
      <w:rFonts w:hint="eastAsia" w:ascii="宋体" w:hAnsi="宋体" w:eastAsia="宋体" w:cs="宋体"/>
      <w:color w:val="000000"/>
      <w:sz w:val="24"/>
      <w:szCs w:val="24"/>
      <w:u w:val="none"/>
    </w:rPr>
  </w:style>
  <w:style w:type="table" w:customStyle="1" w:styleId="419">
    <w:name w:val="Table Normal"/>
    <w:unhideWhenUsed/>
    <w:qFormat/>
    <w:uiPriority w:val="0"/>
    <w:rPr>
      <w:lang w:val="en-US" w:eastAsia="zh-CN" w:bidi="ar-SA"/>
    </w:rPr>
    <w:tblPr>
      <w:tblCellMar>
        <w:top w:w="0" w:type="dxa"/>
        <w:left w:w="0" w:type="dxa"/>
        <w:bottom w:w="0" w:type="dxa"/>
        <w:right w:w="0" w:type="dxa"/>
      </w:tblCellMar>
    </w:tblPr>
  </w:style>
  <w:style w:type="character" w:customStyle="1" w:styleId="420">
    <w:name w:val="批注主题 Char1"/>
    <w:qFormat/>
    <w:uiPriority w:val="0"/>
    <w:rPr>
      <w:rFonts w:ascii="Times New Roman" w:hAnsi="Times New Roman" w:eastAsia="宋体" w:cs="Times New Roman"/>
      <w:b/>
      <w:bCs/>
      <w:kern w:val="2"/>
      <w:sz w:val="21"/>
      <w:szCs w:val="24"/>
    </w:rPr>
  </w:style>
  <w:style w:type="character" w:customStyle="1" w:styleId="421">
    <w:name w:val="段 Char"/>
    <w:link w:val="422"/>
    <w:qFormat/>
    <w:uiPriority w:val="0"/>
    <w:rPr>
      <w:rFonts w:ascii="宋体" w:hAnsi="Times New Roman" w:eastAsia="宋体" w:cs="Times New Roman"/>
      <w:kern w:val="2"/>
      <w:sz w:val="24"/>
      <w:szCs w:val="24"/>
      <w:lang w:val="en-US" w:eastAsia="zh-CN" w:bidi="ar-SA"/>
    </w:rPr>
  </w:style>
  <w:style w:type="paragraph" w:customStyle="1" w:styleId="422">
    <w:name w:val="段"/>
    <w:link w:val="421"/>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kern w:val="2"/>
      <w:sz w:val="24"/>
      <w:szCs w:val="24"/>
      <w:lang w:val="en-US" w:eastAsia="zh-CN" w:bidi="ar-SA"/>
    </w:rPr>
  </w:style>
  <w:style w:type="character" w:customStyle="1" w:styleId="423">
    <w:name w:val="文档结构图 Char1"/>
    <w:qFormat/>
    <w:uiPriority w:val="0"/>
    <w:rPr>
      <w:rFonts w:ascii="宋体" w:hAnsi="Times New Roman" w:eastAsia="宋体" w:cs="Times New Roman"/>
      <w:kern w:val="2"/>
      <w:sz w:val="18"/>
      <w:szCs w:val="18"/>
    </w:rPr>
  </w:style>
  <w:style w:type="character" w:customStyle="1" w:styleId="424">
    <w:name w:val="批注框文本 Char1"/>
    <w:qFormat/>
    <w:uiPriority w:val="0"/>
    <w:rPr>
      <w:rFonts w:ascii="Times New Roman" w:hAnsi="Times New Roman" w:eastAsia="宋体" w:cs="Times New Roman"/>
      <w:kern w:val="2"/>
      <w:sz w:val="18"/>
      <w:szCs w:val="18"/>
    </w:rPr>
  </w:style>
  <w:style w:type="character" w:customStyle="1" w:styleId="425">
    <w:name w:val="批注文字 Char1"/>
    <w:qFormat/>
    <w:uiPriority w:val="0"/>
    <w:rPr>
      <w:rFonts w:ascii="Times New Roman" w:hAnsi="Times New Roman" w:eastAsia="宋体" w:cs="Times New Roman"/>
      <w:kern w:val="2"/>
      <w:sz w:val="21"/>
      <w:szCs w:val="24"/>
    </w:rPr>
  </w:style>
  <w:style w:type="character" w:customStyle="1" w:styleId="426">
    <w:name w:val="正文文本 Char1"/>
    <w:qFormat/>
    <w:uiPriority w:val="0"/>
    <w:rPr>
      <w:rFonts w:ascii="Times New Roman" w:hAnsi="Times New Roman" w:eastAsia="宋体" w:cs="Times New Roman"/>
      <w:kern w:val="2"/>
      <w:sz w:val="21"/>
      <w:szCs w:val="24"/>
    </w:rPr>
  </w:style>
  <w:style w:type="character" w:customStyle="1" w:styleId="427">
    <w:name w:val="脚注文本 Char1"/>
    <w:qFormat/>
    <w:uiPriority w:val="0"/>
    <w:rPr>
      <w:rFonts w:ascii="Times New Roman" w:hAnsi="Times New Roman" w:eastAsia="宋体" w:cs="Times New Roman"/>
      <w:kern w:val="2"/>
      <w:sz w:val="18"/>
      <w:szCs w:val="18"/>
    </w:rPr>
  </w:style>
  <w:style w:type="character" w:customStyle="1" w:styleId="428">
    <w:name w:val="页眉 Char1"/>
    <w:qFormat/>
    <w:uiPriority w:val="0"/>
    <w:rPr>
      <w:rFonts w:ascii="Times New Roman" w:hAnsi="Times New Roman" w:eastAsia="宋体" w:cs="Times New Roman"/>
      <w:kern w:val="2"/>
      <w:sz w:val="18"/>
      <w:szCs w:val="18"/>
    </w:rPr>
  </w:style>
  <w:style w:type="character" w:customStyle="1" w:styleId="429">
    <w:name w:val="一级条标题 Char"/>
    <w:link w:val="430"/>
    <w:qFormat/>
    <w:uiPriority w:val="0"/>
    <w:rPr>
      <w:rFonts w:ascii="黑体" w:hAnsi="Times New Roman" w:eastAsia="黑体" w:cs="Times New Roman"/>
      <w:kern w:val="2"/>
      <w:sz w:val="21"/>
      <w:szCs w:val="21"/>
      <w:lang w:val="en-US" w:eastAsia="zh-CN" w:bidi="ar-SA"/>
    </w:rPr>
  </w:style>
  <w:style w:type="paragraph" w:customStyle="1" w:styleId="430">
    <w:name w:val="一级条标题"/>
    <w:next w:val="422"/>
    <w:link w:val="429"/>
    <w:qFormat/>
    <w:uiPriority w:val="0"/>
    <w:pPr>
      <w:tabs>
        <w:tab w:val="left" w:pos="1440"/>
      </w:tabs>
      <w:spacing w:beforeLines="50" w:afterLines="50"/>
      <w:ind w:left="1440" w:hanging="720"/>
      <w:outlineLvl w:val="2"/>
    </w:pPr>
    <w:rPr>
      <w:rFonts w:ascii="黑体" w:hAnsi="Times New Roman" w:eastAsia="黑体" w:cs="Times New Roman"/>
      <w:kern w:val="2"/>
      <w:sz w:val="21"/>
      <w:szCs w:val="21"/>
      <w:lang w:val="en-US" w:eastAsia="zh-CN" w:bidi="ar-SA"/>
    </w:rPr>
  </w:style>
  <w:style w:type="character" w:customStyle="1" w:styleId="431">
    <w:name w:val="页脚 Char1"/>
    <w:qFormat/>
    <w:uiPriority w:val="0"/>
    <w:rPr>
      <w:rFonts w:ascii="Times New Roman" w:hAnsi="Times New Roman" w:eastAsia="宋体" w:cs="Times New Roman"/>
      <w:kern w:val="2"/>
      <w:sz w:val="18"/>
      <w:szCs w:val="18"/>
    </w:rPr>
  </w:style>
  <w:style w:type="character" w:customStyle="1" w:styleId="432">
    <w:name w:val="二级条标题 Char"/>
    <w:link w:val="433"/>
    <w:qFormat/>
    <w:uiPriority w:val="0"/>
    <w:rPr>
      <w:rFonts w:ascii="Times New Roman" w:hAnsi="Times New Roman" w:eastAsia="宋体" w:cs="Times New Roman"/>
      <w:kern w:val="0"/>
    </w:rPr>
  </w:style>
  <w:style w:type="paragraph" w:customStyle="1" w:styleId="433">
    <w:name w:val="二级条标题"/>
    <w:basedOn w:val="430"/>
    <w:next w:val="1"/>
    <w:link w:val="432"/>
    <w:qFormat/>
    <w:uiPriority w:val="0"/>
    <w:pPr>
      <w:spacing w:beforeLines="0" w:afterLines="0"/>
      <w:ind w:left="0" w:firstLine="0"/>
      <w:jc w:val="both"/>
      <w:outlineLvl w:val="3"/>
    </w:pPr>
    <w:rPr>
      <w:kern w:val="0"/>
    </w:rPr>
  </w:style>
  <w:style w:type="character" w:customStyle="1" w:styleId="434">
    <w:name w:val="日期 Char1"/>
    <w:qFormat/>
    <w:uiPriority w:val="0"/>
    <w:rPr>
      <w:rFonts w:ascii="Times New Roman" w:hAnsi="Times New Roman" w:eastAsia="宋体" w:cs="Times New Roman"/>
      <w:kern w:val="2"/>
      <w:sz w:val="21"/>
      <w:szCs w:val="24"/>
    </w:rPr>
  </w:style>
  <w:style w:type="paragraph" w:customStyle="1" w:styleId="435">
    <w:name w:val="封面标准文稿编辑信息"/>
    <w:qFormat/>
    <w:uiPriority w:val="0"/>
    <w:pPr>
      <w:spacing w:before="180" w:line="180" w:lineRule="exact"/>
      <w:jc w:val="center"/>
    </w:pPr>
    <w:rPr>
      <w:rFonts w:ascii="宋体" w:hAnsi="Times New Roman" w:eastAsia="宋体" w:cs="Times New Roman"/>
      <w:kern w:val="2"/>
      <w:sz w:val="21"/>
      <w:szCs w:val="24"/>
      <w:lang w:val="en-US" w:eastAsia="zh-CN" w:bidi="ar-SA"/>
    </w:rPr>
  </w:style>
  <w:style w:type="paragraph" w:customStyle="1" w:styleId="436">
    <w:name w:val="附录标识"/>
    <w:next w:val="17"/>
    <w:qFormat/>
    <w:uiPriority w:val="0"/>
    <w:pPr>
      <w:numPr>
        <w:ilvl w:val="0"/>
        <w:numId w:val="5"/>
      </w:numPr>
      <w:shd w:val="clear" w:color="FFFFFF" w:fill="FFFFFF"/>
      <w:tabs>
        <w:tab w:val="left" w:pos="6405"/>
      </w:tabs>
      <w:spacing w:before="640" w:after="100"/>
      <w:jc w:val="center"/>
      <w:outlineLvl w:val="0"/>
    </w:pPr>
    <w:rPr>
      <w:rFonts w:ascii="黑体" w:hAnsi="Times New Roman" w:eastAsia="黑体" w:cs="Times New Roman"/>
      <w:sz w:val="21"/>
      <w:lang w:val="en-US" w:eastAsia="zh-CN" w:bidi="ar-SA"/>
    </w:rPr>
  </w:style>
  <w:style w:type="paragraph" w:customStyle="1" w:styleId="437">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438">
    <w:name w:val="附录三级条标题"/>
    <w:basedOn w:val="439"/>
    <w:next w:val="422"/>
    <w:qFormat/>
    <w:uiPriority w:val="0"/>
    <w:pPr>
      <w:numPr>
        <w:ilvl w:val="4"/>
        <w:numId w:val="5"/>
      </w:numPr>
      <w:tabs>
        <w:tab w:val="left" w:pos="1588"/>
        <w:tab w:val="left" w:pos="2155"/>
      </w:tabs>
      <w:outlineLvl w:val="4"/>
    </w:pPr>
  </w:style>
  <w:style w:type="paragraph" w:customStyle="1" w:styleId="439">
    <w:name w:val="附录二级条标题"/>
    <w:basedOn w:val="440"/>
    <w:next w:val="422"/>
    <w:qFormat/>
    <w:uiPriority w:val="0"/>
    <w:pPr>
      <w:numPr>
        <w:ilvl w:val="3"/>
        <w:numId w:val="5"/>
      </w:numPr>
      <w:tabs>
        <w:tab w:val="left" w:pos="1588"/>
      </w:tabs>
      <w:ind w:left="466"/>
      <w:outlineLvl w:val="3"/>
    </w:pPr>
  </w:style>
  <w:style w:type="paragraph" w:customStyle="1" w:styleId="440">
    <w:name w:val="附录一级条标题"/>
    <w:basedOn w:val="1"/>
    <w:next w:val="422"/>
    <w:qFormat/>
    <w:uiPriority w:val="0"/>
    <w:pPr>
      <w:widowControl/>
      <w:numPr>
        <w:ilvl w:val="2"/>
        <w:numId w:val="5"/>
      </w:numPr>
      <w:wordWrap w:val="0"/>
      <w:overflowPunct w:val="0"/>
      <w:autoSpaceDE w:val="0"/>
      <w:autoSpaceDN w:val="0"/>
      <w:textAlignment w:val="baseline"/>
      <w:outlineLvl w:val="2"/>
    </w:pPr>
    <w:rPr>
      <w:rFonts w:ascii="黑体" w:hAnsi="Times New Roman" w:eastAsia="黑体" w:cs="Times New Roman"/>
      <w:kern w:val="21"/>
      <w:szCs w:val="20"/>
    </w:rPr>
  </w:style>
  <w:style w:type="paragraph" w:customStyle="1" w:styleId="441">
    <w:name w:val="示例×："/>
    <w:basedOn w:val="1"/>
    <w:next w:val="1"/>
    <w:qFormat/>
    <w:uiPriority w:val="0"/>
    <w:pPr>
      <w:tabs>
        <w:tab w:val="left" w:pos="630"/>
        <w:tab w:val="left" w:pos="760"/>
      </w:tabs>
      <w:autoSpaceDE w:val="0"/>
      <w:autoSpaceDN w:val="0"/>
      <w:ind w:left="20" w:firstLine="380"/>
    </w:pPr>
    <w:rPr>
      <w:rFonts w:ascii="宋体" w:hAnsi="Times New Roman" w:eastAsia="宋体" w:cs="Times New Roman"/>
      <w:kern w:val="0"/>
      <w:sz w:val="18"/>
      <w:szCs w:val="20"/>
    </w:rPr>
  </w:style>
  <w:style w:type="paragraph" w:customStyle="1" w:styleId="442">
    <w:name w:val="二级无"/>
    <w:basedOn w:val="1"/>
    <w:qFormat/>
    <w:uiPriority w:val="0"/>
    <w:pPr>
      <w:widowControl/>
      <w:tabs>
        <w:tab w:val="left" w:pos="2160"/>
      </w:tabs>
      <w:ind w:hanging="720"/>
      <w:jc w:val="left"/>
      <w:outlineLvl w:val="3"/>
    </w:pPr>
    <w:rPr>
      <w:rFonts w:ascii="宋体" w:hAnsi="Times New Roman" w:eastAsia="宋体" w:cs="Times New Roman"/>
      <w:kern w:val="0"/>
      <w:szCs w:val="21"/>
    </w:rPr>
  </w:style>
  <w:style w:type="paragraph" w:customStyle="1" w:styleId="443">
    <w:name w:val="前言、引言标题"/>
    <w:next w:val="1"/>
    <w:qFormat/>
    <w:uiPriority w:val="0"/>
    <w:pPr>
      <w:shd w:val="clear" w:color="FFFFFF" w:fill="FFFFFF"/>
      <w:spacing w:before="567" w:after="680"/>
      <w:jc w:val="center"/>
      <w:outlineLvl w:val="0"/>
    </w:pPr>
    <w:rPr>
      <w:rFonts w:ascii="黑体" w:hAnsi="Times New Roman" w:eastAsia="黑体" w:cs="Times New Roman"/>
      <w:spacing w:val="200"/>
      <w:kern w:val="2"/>
      <w:sz w:val="32"/>
      <w:szCs w:val="24"/>
      <w:lang w:val="en-US" w:eastAsia="zh-CN" w:bidi="ar-SA"/>
    </w:rPr>
  </w:style>
  <w:style w:type="paragraph" w:customStyle="1" w:styleId="444">
    <w:name w:val="章标题"/>
    <w:next w:val="1"/>
    <w:qFormat/>
    <w:uiPriority w:val="0"/>
    <w:pPr>
      <w:spacing w:before="50" w:after="50" w:line="360" w:lineRule="auto"/>
      <w:jc w:val="both"/>
      <w:outlineLvl w:val="1"/>
    </w:pPr>
    <w:rPr>
      <w:rFonts w:ascii="黑体" w:hAnsi="Times New Roman" w:eastAsia="黑体" w:cs="Times New Roman"/>
      <w:kern w:val="2"/>
      <w:sz w:val="21"/>
      <w:szCs w:val="24"/>
      <w:lang w:val="en-US" w:eastAsia="zh-CN" w:bidi="ar-SA"/>
    </w:rPr>
  </w:style>
  <w:style w:type="paragraph" w:customStyle="1" w:styleId="445">
    <w:name w:val="三级无"/>
    <w:basedOn w:val="1"/>
    <w:qFormat/>
    <w:uiPriority w:val="0"/>
    <w:pPr>
      <w:widowControl/>
      <w:tabs>
        <w:tab w:val="left" w:pos="2880"/>
      </w:tabs>
      <w:ind w:left="2880" w:hanging="720"/>
      <w:jc w:val="left"/>
      <w:outlineLvl w:val="4"/>
    </w:pPr>
    <w:rPr>
      <w:rFonts w:ascii="宋体" w:hAnsi="Times New Roman" w:eastAsia="宋体" w:cs="Times New Roman"/>
      <w:kern w:val="0"/>
      <w:szCs w:val="21"/>
    </w:rPr>
  </w:style>
  <w:style w:type="paragraph" w:customStyle="1" w:styleId="446">
    <w:name w:val="其他标准称谓"/>
    <w:qFormat/>
    <w:uiPriority w:val="0"/>
    <w:pPr>
      <w:spacing w:line="0" w:lineRule="atLeast"/>
      <w:jc w:val="distribute"/>
    </w:pPr>
    <w:rPr>
      <w:rFonts w:ascii="黑体" w:hAnsi="宋体" w:eastAsia="黑体" w:cs="Times New Roman"/>
      <w:kern w:val="2"/>
      <w:sz w:val="52"/>
      <w:szCs w:val="24"/>
      <w:lang w:val="en-US" w:eastAsia="zh-CN" w:bidi="ar-SA"/>
    </w:rPr>
  </w:style>
  <w:style w:type="paragraph" w:customStyle="1" w:styleId="447">
    <w:name w:val="字母编号列项"/>
    <w:qFormat/>
    <w:uiPriority w:val="0"/>
    <w:pPr>
      <w:ind w:left="840" w:leftChars="200" w:hanging="420" w:hangingChars="200"/>
      <w:jc w:val="both"/>
    </w:pPr>
    <w:rPr>
      <w:rFonts w:ascii="宋体" w:hAnsi="Times New Roman" w:eastAsia="宋体" w:cs="Times New Roman"/>
      <w:kern w:val="2"/>
      <w:sz w:val="21"/>
      <w:szCs w:val="24"/>
      <w:lang w:val="en-US" w:eastAsia="zh-CN" w:bidi="ar-SA"/>
    </w:rPr>
  </w:style>
  <w:style w:type="paragraph" w:customStyle="1" w:styleId="448">
    <w:name w:val="三级条标题"/>
    <w:basedOn w:val="433"/>
    <w:next w:val="422"/>
    <w:qFormat/>
    <w:uiPriority w:val="0"/>
    <w:pPr>
      <w:ind w:left="1052"/>
      <w:outlineLvl w:val="4"/>
    </w:pPr>
  </w:style>
  <w:style w:type="paragraph" w:customStyle="1" w:styleId="449">
    <w:name w:val="五级条标题"/>
    <w:basedOn w:val="450"/>
    <w:next w:val="422"/>
    <w:qFormat/>
    <w:uiPriority w:val="0"/>
    <w:pPr>
      <w:tabs>
        <w:tab w:val="left" w:pos="1440"/>
      </w:tabs>
      <w:outlineLvl w:val="6"/>
    </w:pPr>
  </w:style>
  <w:style w:type="paragraph" w:customStyle="1" w:styleId="450">
    <w:name w:val="四级条标题"/>
    <w:basedOn w:val="448"/>
    <w:next w:val="422"/>
    <w:qFormat/>
    <w:uiPriority w:val="0"/>
    <w:pPr>
      <w:ind w:left="0"/>
      <w:outlineLvl w:val="5"/>
    </w:pPr>
  </w:style>
  <w:style w:type="paragraph" w:customStyle="1" w:styleId="451">
    <w:name w:val="附录五级条标题"/>
    <w:basedOn w:val="452"/>
    <w:next w:val="422"/>
    <w:qFormat/>
    <w:uiPriority w:val="0"/>
    <w:pPr>
      <w:numPr>
        <w:ilvl w:val="6"/>
        <w:numId w:val="5"/>
      </w:numPr>
      <w:tabs>
        <w:tab w:val="left" w:pos="1588"/>
        <w:tab w:val="left" w:pos="2155"/>
        <w:tab w:val="left" w:pos="3141"/>
        <w:tab w:val="left" w:pos="3566"/>
      </w:tabs>
      <w:outlineLvl w:val="6"/>
    </w:pPr>
  </w:style>
  <w:style w:type="paragraph" w:customStyle="1" w:styleId="452">
    <w:name w:val="附录四级条标题"/>
    <w:basedOn w:val="438"/>
    <w:next w:val="422"/>
    <w:qFormat/>
    <w:uiPriority w:val="0"/>
    <w:pPr>
      <w:numPr>
        <w:ilvl w:val="5"/>
        <w:numId w:val="5"/>
      </w:numPr>
      <w:outlineLvl w:val="5"/>
    </w:pPr>
  </w:style>
  <w:style w:type="paragraph" w:customStyle="1" w:styleId="453">
    <w:name w:val="附录章标题"/>
    <w:next w:val="422"/>
    <w:qFormat/>
    <w:uiPriority w:val="0"/>
    <w:pPr>
      <w:numPr>
        <w:ilvl w:val="1"/>
        <w:numId w:val="5"/>
      </w:numPr>
      <w:overflowPunct w:val="0"/>
      <w:autoSpaceDE w:val="0"/>
      <w:spacing w:beforeLines="50" w:line="240" w:lineRule="atLeast"/>
      <w:ind w:left="-8"/>
      <w:jc w:val="both"/>
      <w:textAlignment w:val="baseline"/>
      <w:outlineLvl w:val="1"/>
    </w:pPr>
    <w:rPr>
      <w:rFonts w:ascii="黑体" w:hAnsi="宋体" w:eastAsia="黑体" w:cs="宋体"/>
      <w:kern w:val="21"/>
      <w:sz w:val="21"/>
      <w:szCs w:val="21"/>
      <w:lang w:val="en-US" w:eastAsia="zh-CN" w:bidi="ar-SA"/>
    </w:rPr>
  </w:style>
  <w:style w:type="paragraph" w:customStyle="1" w:styleId="454">
    <w:name w:val="一级无"/>
    <w:basedOn w:val="1"/>
    <w:qFormat/>
    <w:uiPriority w:val="0"/>
    <w:pPr>
      <w:widowControl/>
      <w:ind w:left="2100"/>
      <w:jc w:val="left"/>
      <w:outlineLvl w:val="2"/>
    </w:pPr>
    <w:rPr>
      <w:rFonts w:ascii="宋体" w:hAnsi="Times New Roman" w:eastAsia="宋体" w:cs="Times New Roman"/>
      <w:kern w:val="0"/>
      <w:szCs w:val="21"/>
    </w:rPr>
  </w:style>
  <w:style w:type="paragraph" w:customStyle="1" w:styleId="455">
    <w:name w:val="修订版本号"/>
    <w:semiHidden/>
    <w:qFormat/>
    <w:uiPriority w:val="99"/>
    <w:rPr>
      <w:rFonts w:ascii="Times New Roman" w:hAnsi="Times New Roman" w:eastAsia="宋体" w:cs="Times New Roman"/>
      <w:kern w:val="2"/>
      <w:sz w:val="21"/>
      <w:szCs w:val="24"/>
      <w:lang w:val="en-US" w:eastAsia="zh-CN" w:bidi="ar-SA"/>
    </w:rPr>
  </w:style>
  <w:style w:type="paragraph" w:customStyle="1" w:styleId="456">
    <w:name w:val="List Paragraph_03e83be8-e6bf-4408-89ee-7cd2fc1609a6"/>
    <w:basedOn w:val="1"/>
    <w:qFormat/>
    <w:uiPriority w:val="34"/>
    <w:pPr>
      <w:ind w:firstLine="420" w:firstLineChars="200"/>
    </w:pPr>
    <w:rPr>
      <w:rFonts w:ascii="Calibri" w:hAnsi="Calibri" w:eastAsia="宋体" w:cs="宋体"/>
      <w:szCs w:val="22"/>
    </w:rPr>
  </w:style>
  <w:style w:type="paragraph" w:customStyle="1" w:styleId="457">
    <w:name w:val="条文脚注"/>
    <w:basedOn w:val="33"/>
    <w:qFormat/>
    <w:uiPriority w:val="0"/>
    <w:pPr>
      <w:tabs>
        <w:tab w:val="left" w:pos="2940"/>
      </w:tabs>
      <w:snapToGrid w:val="0"/>
      <w:ind w:left="780" w:leftChars="200" w:hanging="360" w:hangingChars="200"/>
      <w:jc w:val="both"/>
    </w:pPr>
    <w:rPr>
      <w:rFonts w:ascii="宋体"/>
      <w:sz w:val="18"/>
      <w:lang w:val="en-US" w:eastAsia="zh-C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中国科学院昆明动物研究所便携式宽带科学鱼探仪系统7.29王国玺修改稿.dotx</Template>
  <Company>Microsoft</Company>
  <Pages>79</Pages>
  <Words>22359</Words>
  <Characters>23687</Characters>
  <Lines>339</Lines>
  <Paragraphs>95</Paragraphs>
  <TotalTime>49</TotalTime>
  <ScaleCrop>false</ScaleCrop>
  <LinksUpToDate>false</LinksUpToDate>
  <CharactersWithSpaces>23852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2021-09-17T14:50:00Z</dcterms:created>
  <dc:creator>h</dc:creator>
  <cp:lastModifiedBy>怒江州国有资本投资运营管理有限公司</cp:lastModifiedBy>
  <cp:lastPrinted>2022-04-06T02:16:00Z</cp:lastPrinted>
  <dcterms:modified xsi:type="dcterms:W3CDTF">2026-05-19T02:31:09Z</dcterms:modified>
  <dc:title>招标文件</dc:title>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1F22C0CFFDF246E28382C3D5AA6E8847_13</vt:lpwstr>
  </property>
  <property fmtid="{D5CDD505-2E9C-101B-9397-08002B2CF9AE}" pid="4" name="KSOTemplateDocerSaveRecord">
    <vt:lpwstr>eyJoZGlkIjoiN2Y0MTIzOTEyZTJlMjMxODMzYWJkNWQ1YzEzZTlmM2MiLCJ1c2VySWQiOiI4NjM2MDY5NzQifQ==</vt:lpwstr>
  </property>
</Properties>
</file>