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114BF">
      <w:pPr>
        <w:pStyle w:val="17"/>
        <w:widowControl/>
        <w:shd w:val="clear" w:color="auto" w:fill="FFFFFF"/>
        <w:spacing w:before="75" w:beforeAutospacing="0" w:after="75" w:afterAutospacing="0"/>
        <w:jc w:val="center"/>
        <w:rPr>
          <w:rStyle w:val="26"/>
          <w:rFonts w:ascii="宋体" w:hAnsi="宋体" w:eastAsia="宋体" w:cs="宋体"/>
          <w:bCs/>
          <w:color w:val="auto"/>
          <w:sz w:val="72"/>
          <w:szCs w:val="72"/>
          <w:shd w:val="clear" w:color="auto" w:fill="FFFFFF"/>
        </w:rPr>
      </w:pPr>
      <w:bookmarkStart w:id="25" w:name="_GoBack"/>
      <w:bookmarkEnd w:id="25"/>
    </w:p>
    <w:p w14:paraId="233DFD11">
      <w:pPr>
        <w:pStyle w:val="17"/>
        <w:widowControl/>
        <w:shd w:val="clear" w:color="auto" w:fill="FFFFFF"/>
        <w:spacing w:before="75" w:beforeAutospacing="0" w:after="75" w:afterAutospacing="0"/>
        <w:jc w:val="center"/>
        <w:rPr>
          <w:rStyle w:val="26"/>
          <w:rFonts w:ascii="宋体" w:hAnsi="宋体" w:eastAsia="宋体" w:cs="宋体"/>
          <w:bCs/>
          <w:color w:val="auto"/>
          <w:sz w:val="72"/>
          <w:szCs w:val="72"/>
          <w:shd w:val="clear" w:color="auto" w:fill="FFFFFF"/>
        </w:rPr>
      </w:pPr>
    </w:p>
    <w:p w14:paraId="73C2BC22">
      <w:pPr>
        <w:pStyle w:val="17"/>
        <w:widowControl/>
        <w:shd w:val="clear" w:color="auto" w:fill="FFFFFF"/>
        <w:spacing w:before="75" w:beforeAutospacing="0" w:after="75" w:afterAutospacing="0"/>
        <w:jc w:val="center"/>
        <w:rPr>
          <w:rFonts w:hint="eastAsia" w:ascii="微软雅黑" w:hAnsi="微软雅黑" w:eastAsia="宋体" w:cs="微软雅黑"/>
          <w:color w:val="auto"/>
          <w:sz w:val="72"/>
          <w:szCs w:val="72"/>
          <w:lang w:eastAsia="zh-CN"/>
        </w:rPr>
      </w:pPr>
      <w:r>
        <w:rPr>
          <w:rStyle w:val="26"/>
          <w:rFonts w:hint="eastAsia" w:ascii="宋体" w:hAnsi="宋体" w:eastAsia="宋体" w:cs="宋体"/>
          <w:bCs/>
          <w:color w:val="auto"/>
          <w:sz w:val="72"/>
          <w:szCs w:val="72"/>
          <w:shd w:val="clear" w:color="auto" w:fill="FFFFFF"/>
          <w:lang w:eastAsia="zh-CN"/>
        </w:rPr>
        <w:t>福建省翔安监狱</w:t>
      </w:r>
    </w:p>
    <w:p w14:paraId="30BD3ECE">
      <w:pPr>
        <w:pStyle w:val="17"/>
        <w:widowControl/>
        <w:shd w:val="clear" w:color="auto" w:fill="FFFFFF"/>
        <w:spacing w:before="75" w:beforeAutospacing="0" w:after="75" w:afterAutospacing="0"/>
        <w:jc w:val="center"/>
        <w:rPr>
          <w:rFonts w:ascii="微软雅黑" w:hAnsi="微软雅黑" w:eastAsia="微软雅黑" w:cs="微软雅黑"/>
          <w:color w:val="auto"/>
          <w:sz w:val="72"/>
          <w:szCs w:val="72"/>
        </w:rPr>
      </w:pPr>
      <w:r>
        <w:rPr>
          <w:rStyle w:val="26"/>
          <w:rFonts w:hint="eastAsia" w:ascii="宋体" w:hAnsi="宋体" w:eastAsia="宋体" w:cs="宋体"/>
          <w:bCs/>
          <w:color w:val="auto"/>
          <w:sz w:val="72"/>
          <w:szCs w:val="72"/>
          <w:shd w:val="clear" w:color="auto" w:fill="FFFFFF"/>
        </w:rPr>
        <w:t>竞争性磋商文件</w:t>
      </w:r>
    </w:p>
    <w:p w14:paraId="190E11A2">
      <w:pPr>
        <w:pStyle w:val="17"/>
        <w:widowControl/>
        <w:shd w:val="clear" w:color="auto" w:fill="FFFFFF"/>
        <w:spacing w:before="75" w:beforeAutospacing="0" w:after="75" w:afterAutospacing="0"/>
        <w:jc w:val="center"/>
        <w:rPr>
          <w:rFonts w:ascii="微软雅黑" w:hAnsi="微软雅黑" w:eastAsia="微软雅黑" w:cs="微软雅黑"/>
          <w:color w:val="auto"/>
          <w:sz w:val="19"/>
          <w:szCs w:val="19"/>
        </w:rPr>
      </w:pPr>
      <w:r>
        <w:rPr>
          <w:rFonts w:hint="eastAsia" w:ascii="微软雅黑" w:hAnsi="微软雅黑" w:eastAsia="微软雅黑" w:cs="微软雅黑"/>
          <w:color w:val="auto"/>
          <w:shd w:val="clear" w:color="auto" w:fill="FFFFFF"/>
        </w:rPr>
        <w:t> </w:t>
      </w:r>
    </w:p>
    <w:p w14:paraId="6D548AC0">
      <w:pPr>
        <w:pStyle w:val="17"/>
        <w:widowControl/>
        <w:shd w:val="clear" w:color="auto" w:fill="FFFFFF"/>
        <w:spacing w:before="75" w:beforeAutospacing="0" w:after="75" w:afterAutospacing="0"/>
        <w:rPr>
          <w:rStyle w:val="26"/>
          <w:rFonts w:ascii="宋体" w:hAnsi="宋体" w:eastAsia="宋体" w:cs="宋体"/>
          <w:bCs/>
          <w:color w:val="auto"/>
          <w:sz w:val="72"/>
          <w:szCs w:val="72"/>
          <w:shd w:val="clear" w:color="auto" w:fill="FFFFFF"/>
        </w:rPr>
      </w:pPr>
      <w:r>
        <w:rPr>
          <w:rStyle w:val="26"/>
          <w:rFonts w:hint="eastAsia" w:ascii="宋体" w:hAnsi="宋体" w:eastAsia="宋体" w:cs="宋体"/>
          <w:bCs/>
          <w:color w:val="auto"/>
          <w:sz w:val="72"/>
          <w:szCs w:val="72"/>
          <w:shd w:val="clear" w:color="auto" w:fill="FFFFFF"/>
        </w:rPr>
        <w:t> </w:t>
      </w:r>
    </w:p>
    <w:p w14:paraId="6E587458">
      <w:pPr>
        <w:pStyle w:val="17"/>
        <w:widowControl/>
        <w:shd w:val="clear" w:color="auto" w:fill="FFFFFF"/>
        <w:tabs>
          <w:tab w:val="left" w:pos="5691"/>
        </w:tabs>
        <w:spacing w:before="75" w:beforeAutospacing="0" w:after="75" w:afterAutospacing="0"/>
        <w:rPr>
          <w:rStyle w:val="26"/>
          <w:rFonts w:ascii="宋体" w:hAnsi="宋体" w:eastAsia="宋体" w:cs="宋体"/>
          <w:bCs/>
          <w:color w:val="auto"/>
          <w:sz w:val="72"/>
          <w:szCs w:val="72"/>
          <w:shd w:val="clear" w:color="auto" w:fill="FFFFFF"/>
        </w:rPr>
      </w:pPr>
      <w:r>
        <w:rPr>
          <w:rStyle w:val="26"/>
          <w:rFonts w:hint="eastAsia" w:ascii="宋体" w:hAnsi="宋体" w:eastAsia="宋体" w:cs="宋体"/>
          <w:bCs/>
          <w:color w:val="auto"/>
          <w:sz w:val="72"/>
          <w:szCs w:val="72"/>
          <w:shd w:val="clear" w:color="auto" w:fill="FFFFFF"/>
        </w:rPr>
        <w:tab/>
      </w:r>
    </w:p>
    <w:p w14:paraId="36D2A818">
      <w:pPr>
        <w:pStyle w:val="17"/>
        <w:widowControl/>
        <w:shd w:val="clear" w:color="auto" w:fill="FFFFFF"/>
        <w:spacing w:before="75" w:beforeAutospacing="0" w:after="75" w:afterAutospacing="0"/>
        <w:jc w:val="center"/>
        <w:rPr>
          <w:rStyle w:val="26"/>
          <w:rFonts w:hint="eastAsia" w:ascii="宋体" w:hAnsi="宋体" w:eastAsia="宋体" w:cs="宋体"/>
          <w:bCs/>
          <w:color w:val="auto"/>
          <w:sz w:val="30"/>
          <w:szCs w:val="30"/>
          <w:u w:val="single"/>
          <w:shd w:val="clear" w:color="auto" w:fill="FFFFFF"/>
          <w:lang w:eastAsia="zh-CN"/>
        </w:rPr>
      </w:pPr>
      <w:r>
        <w:rPr>
          <w:rStyle w:val="26"/>
          <w:rFonts w:hint="eastAsia" w:ascii="宋体" w:hAnsi="宋体" w:eastAsia="宋体" w:cs="宋体"/>
          <w:bCs/>
          <w:color w:val="auto"/>
          <w:sz w:val="30"/>
          <w:szCs w:val="30"/>
          <w:shd w:val="clear" w:color="auto" w:fill="FFFFFF"/>
        </w:rPr>
        <w:t>项目名称：</w:t>
      </w:r>
      <w:r>
        <w:rPr>
          <w:rStyle w:val="26"/>
          <w:rFonts w:hint="eastAsia" w:ascii="宋体" w:hAnsi="宋体" w:eastAsia="宋体" w:cs="宋体"/>
          <w:bCs/>
          <w:color w:val="auto"/>
          <w:sz w:val="30"/>
          <w:szCs w:val="30"/>
          <w:u w:val="single"/>
          <w:shd w:val="clear" w:color="auto" w:fill="FFFFFF"/>
          <w:lang w:eastAsia="zh-CN"/>
        </w:rPr>
        <w:t>福建省翔安监狱二层高压电网工程项目</w:t>
      </w:r>
    </w:p>
    <w:p w14:paraId="74B72C2E">
      <w:pPr>
        <w:pStyle w:val="17"/>
        <w:widowControl/>
        <w:shd w:val="clear" w:color="auto" w:fill="FFFFFF"/>
        <w:spacing w:before="75" w:beforeAutospacing="0" w:after="75" w:afterAutospacing="0"/>
        <w:jc w:val="center"/>
        <w:rPr>
          <w:rFonts w:hint="eastAsia" w:ascii="微软雅黑" w:hAnsi="微软雅黑" w:eastAsia="宋体" w:cs="微软雅黑"/>
          <w:color w:val="auto"/>
          <w:sz w:val="19"/>
          <w:szCs w:val="19"/>
          <w:lang w:eastAsia="zh-CN"/>
        </w:rPr>
      </w:pPr>
      <w:r>
        <w:rPr>
          <w:rStyle w:val="26"/>
          <w:rFonts w:hint="eastAsia" w:ascii="宋体" w:hAnsi="宋体" w:eastAsia="宋体" w:cs="宋体"/>
          <w:bCs/>
          <w:color w:val="auto"/>
          <w:sz w:val="30"/>
          <w:szCs w:val="30"/>
          <w:shd w:val="clear" w:color="auto" w:fill="FFFFFF"/>
        </w:rPr>
        <w:t>项目编号：</w:t>
      </w:r>
      <w:r>
        <w:rPr>
          <w:rFonts w:hint="eastAsia" w:ascii="宋体" w:hAnsi="宋体" w:eastAsia="宋体" w:cs="宋体"/>
          <w:b/>
          <w:bCs/>
          <w:color w:val="auto"/>
          <w:sz w:val="30"/>
          <w:szCs w:val="30"/>
          <w:u w:val="single"/>
          <w:shd w:val="clear" w:color="auto" w:fill="FFFFFF"/>
          <w:lang w:eastAsia="zh-CN"/>
        </w:rPr>
        <w:t>XFZB-2024-FS122</w:t>
      </w:r>
    </w:p>
    <w:p w14:paraId="294156B7">
      <w:pPr>
        <w:pStyle w:val="17"/>
        <w:widowControl/>
        <w:shd w:val="clear" w:color="auto" w:fill="FFFFFF"/>
        <w:spacing w:before="75" w:beforeAutospacing="0" w:after="75" w:afterAutospacing="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w:t>
      </w:r>
    </w:p>
    <w:p w14:paraId="1DBB476C">
      <w:pPr>
        <w:pStyle w:val="17"/>
        <w:widowControl/>
        <w:shd w:val="clear" w:color="auto" w:fill="FFFFFF"/>
        <w:spacing w:before="75" w:beforeAutospacing="0" w:after="75" w:afterAutospacing="0"/>
        <w:rPr>
          <w:rFonts w:ascii="微软雅黑" w:hAnsi="微软雅黑" w:eastAsia="微软雅黑" w:cs="微软雅黑"/>
          <w:color w:val="auto"/>
          <w:shd w:val="clear" w:color="auto" w:fill="FFFFFF"/>
        </w:rPr>
      </w:pPr>
    </w:p>
    <w:p w14:paraId="5DC336C3">
      <w:pPr>
        <w:pStyle w:val="17"/>
        <w:widowControl/>
        <w:shd w:val="clear" w:color="auto" w:fill="FFFFFF"/>
        <w:spacing w:before="75" w:beforeAutospacing="0" w:after="75" w:afterAutospacing="0"/>
        <w:rPr>
          <w:rFonts w:ascii="微软雅黑" w:hAnsi="微软雅黑" w:eastAsia="微软雅黑" w:cs="微软雅黑"/>
          <w:color w:val="auto"/>
          <w:shd w:val="clear" w:color="auto" w:fill="FFFFFF"/>
        </w:rPr>
      </w:pPr>
    </w:p>
    <w:p w14:paraId="3BB3C91E">
      <w:pPr>
        <w:pStyle w:val="17"/>
        <w:widowControl/>
        <w:shd w:val="clear" w:color="auto" w:fill="FFFFFF"/>
        <w:spacing w:before="75" w:beforeAutospacing="0" w:after="75" w:afterAutospacing="0"/>
        <w:jc w:val="center"/>
        <w:rPr>
          <w:rFonts w:hint="eastAsia" w:ascii="宋体" w:hAnsi="宋体" w:eastAsia="宋体" w:cs="宋体"/>
          <w:b/>
          <w:bCs/>
          <w:color w:val="auto"/>
          <w:sz w:val="28"/>
          <w:szCs w:val="28"/>
          <w:shd w:val="clear" w:color="auto" w:fill="FFFFFF"/>
          <w:lang w:eastAsia="zh-CN"/>
        </w:rPr>
      </w:pPr>
      <w:r>
        <w:rPr>
          <w:rFonts w:hint="eastAsia" w:ascii="微软雅黑" w:hAnsi="微软雅黑" w:eastAsia="微软雅黑" w:cs="微软雅黑"/>
          <w:color w:val="auto"/>
          <w:sz w:val="19"/>
          <w:szCs w:val="19"/>
          <w:shd w:val="clear" w:color="auto" w:fill="FFFFFF"/>
        </w:rPr>
        <w:t> </w:t>
      </w:r>
      <w:r>
        <w:rPr>
          <w:rFonts w:hint="eastAsia" w:ascii="宋体" w:hAnsi="宋体" w:eastAsia="宋体" w:cs="宋体"/>
          <w:b/>
          <w:bCs/>
          <w:color w:val="auto"/>
          <w:sz w:val="28"/>
          <w:szCs w:val="28"/>
          <w:shd w:val="clear" w:color="auto" w:fill="FFFFFF"/>
        </w:rPr>
        <w:t>采购人：</w:t>
      </w:r>
      <w:r>
        <w:rPr>
          <w:rFonts w:hint="eastAsia" w:ascii="宋体" w:hAnsi="宋体" w:eastAsia="宋体" w:cs="宋体"/>
          <w:b/>
          <w:bCs/>
          <w:color w:val="auto"/>
          <w:sz w:val="28"/>
          <w:szCs w:val="28"/>
          <w:shd w:val="clear" w:color="auto" w:fill="FFFFFF"/>
          <w:lang w:eastAsia="zh-CN"/>
        </w:rPr>
        <w:t>福建省翔安监狱</w:t>
      </w:r>
    </w:p>
    <w:p w14:paraId="570E1E99">
      <w:pPr>
        <w:pStyle w:val="17"/>
        <w:widowControl/>
        <w:shd w:val="clear" w:color="auto" w:fill="FFFFFF"/>
        <w:spacing w:before="75" w:beforeAutospacing="0" w:after="75" w:afterAutospacing="0"/>
        <w:jc w:val="center"/>
        <w:rPr>
          <w:rFonts w:ascii="宋体" w:hAnsi="宋体" w:eastAsia="宋体" w:cs="宋体"/>
          <w:b/>
          <w:bCs/>
          <w:color w:val="auto"/>
          <w:sz w:val="28"/>
          <w:szCs w:val="28"/>
          <w:shd w:val="clear" w:color="auto" w:fill="FFFFFF"/>
        </w:rPr>
      </w:pPr>
      <w:r>
        <w:rPr>
          <w:rFonts w:hint="eastAsia" w:ascii="宋体" w:hAnsi="宋体" w:eastAsia="宋体" w:cs="宋体"/>
          <w:b/>
          <w:bCs/>
          <w:color w:val="auto"/>
          <w:sz w:val="28"/>
          <w:szCs w:val="28"/>
          <w:shd w:val="clear" w:color="auto" w:fill="FFFFFF"/>
        </w:rPr>
        <w:t>采购代理机构: 福建信发招标代理有限公司 </w:t>
      </w:r>
    </w:p>
    <w:p w14:paraId="55B8B975">
      <w:pPr>
        <w:pStyle w:val="17"/>
        <w:widowControl/>
        <w:shd w:val="clear" w:color="auto" w:fill="FFFFFF"/>
        <w:spacing w:before="75" w:beforeAutospacing="0" w:after="75" w:afterAutospacing="0"/>
        <w:jc w:val="center"/>
        <w:rPr>
          <w:rFonts w:ascii="宋体" w:hAnsi="宋体" w:eastAsia="宋体" w:cs="宋体"/>
          <w:b/>
          <w:bCs/>
          <w:color w:val="auto"/>
          <w:sz w:val="28"/>
          <w:szCs w:val="28"/>
          <w:shd w:val="clear" w:color="auto" w:fill="FFFFFF"/>
        </w:rPr>
      </w:pPr>
      <w:r>
        <w:rPr>
          <w:rFonts w:hint="eastAsia" w:ascii="宋体" w:hAnsi="宋体" w:eastAsia="宋体" w:cs="宋体"/>
          <w:b/>
          <w:bCs/>
          <w:color w:val="auto"/>
          <w:sz w:val="28"/>
          <w:szCs w:val="28"/>
          <w:shd w:val="clear" w:color="auto" w:fill="FFFFFF"/>
        </w:rPr>
        <w:t>202</w:t>
      </w:r>
      <w:r>
        <w:rPr>
          <w:rFonts w:hint="eastAsia" w:ascii="宋体" w:hAnsi="宋体" w:eastAsia="宋体" w:cs="宋体"/>
          <w:b/>
          <w:bCs/>
          <w:color w:val="auto"/>
          <w:sz w:val="28"/>
          <w:szCs w:val="28"/>
          <w:shd w:val="clear" w:color="auto" w:fill="FFFFFF"/>
          <w:lang w:val="en-US" w:eastAsia="zh-CN"/>
        </w:rPr>
        <w:t>4</w:t>
      </w:r>
      <w:r>
        <w:rPr>
          <w:rFonts w:hint="eastAsia" w:ascii="宋体" w:hAnsi="宋体" w:eastAsia="宋体" w:cs="宋体"/>
          <w:b/>
          <w:bCs/>
          <w:color w:val="auto"/>
          <w:sz w:val="28"/>
          <w:szCs w:val="28"/>
          <w:shd w:val="clear" w:color="auto" w:fill="FFFFFF"/>
        </w:rPr>
        <w:t>年</w:t>
      </w:r>
      <w:r>
        <w:rPr>
          <w:rFonts w:hint="eastAsia" w:ascii="宋体" w:hAnsi="宋体" w:eastAsia="宋体" w:cs="宋体"/>
          <w:b/>
          <w:bCs/>
          <w:color w:val="auto"/>
          <w:sz w:val="28"/>
          <w:szCs w:val="28"/>
          <w:shd w:val="clear" w:color="auto" w:fill="FFFFFF"/>
          <w:lang w:val="en-US" w:eastAsia="zh-CN"/>
        </w:rPr>
        <w:t>9</w:t>
      </w:r>
      <w:r>
        <w:rPr>
          <w:rFonts w:hint="eastAsia" w:ascii="宋体" w:hAnsi="宋体" w:eastAsia="宋体" w:cs="宋体"/>
          <w:b/>
          <w:bCs/>
          <w:color w:val="auto"/>
          <w:sz w:val="28"/>
          <w:szCs w:val="28"/>
          <w:shd w:val="clear" w:color="auto" w:fill="FFFFFF"/>
        </w:rPr>
        <w:t>月</w:t>
      </w:r>
    </w:p>
    <w:p w14:paraId="0CE97F51">
      <w:pPr>
        <w:rPr>
          <w:rFonts w:ascii="宋体" w:hAnsi="宋体" w:eastAsia="宋体" w:cs="宋体"/>
          <w:b/>
          <w:bCs/>
          <w:color w:val="auto"/>
          <w:sz w:val="28"/>
          <w:szCs w:val="28"/>
          <w:shd w:val="clear" w:color="auto" w:fill="FFFFFF"/>
        </w:rPr>
      </w:pPr>
      <w:r>
        <w:rPr>
          <w:rFonts w:hint="eastAsia" w:ascii="宋体" w:hAnsi="宋体" w:eastAsia="宋体" w:cs="宋体"/>
          <w:b/>
          <w:bCs/>
          <w:color w:val="auto"/>
          <w:sz w:val="28"/>
          <w:szCs w:val="28"/>
          <w:shd w:val="clear" w:color="auto" w:fill="FFFFFF"/>
        </w:rPr>
        <w:br w:type="page"/>
      </w:r>
    </w:p>
    <w:p w14:paraId="361BE673">
      <w:pPr>
        <w:jc w:val="center"/>
        <w:rPr>
          <w:rStyle w:val="33"/>
          <w:rFonts w:ascii="宋体" w:hAnsi="宋体" w:cs="宋体"/>
          <w:color w:val="auto"/>
        </w:rPr>
      </w:pPr>
      <w:r>
        <w:rPr>
          <w:rStyle w:val="33"/>
          <w:rFonts w:hint="eastAsia" w:ascii="宋体" w:hAnsi="宋体" w:cs="宋体"/>
          <w:b/>
          <w:color w:val="auto"/>
          <w:sz w:val="44"/>
          <w:szCs w:val="44"/>
        </w:rPr>
        <w:t>目   录</w:t>
      </w:r>
    </w:p>
    <w:p w14:paraId="11C260DC">
      <w:pPr>
        <w:pStyle w:val="34"/>
        <w:snapToGrid w:val="0"/>
        <w:spacing w:line="480" w:lineRule="exact"/>
        <w:ind w:firstLine="480" w:firstLineChars="200"/>
        <w:jc w:val="left"/>
        <w:rPr>
          <w:rStyle w:val="33"/>
          <w:rFonts w:ascii="宋体" w:hAnsi="宋体" w:cs="宋体"/>
          <w:color w:val="auto"/>
        </w:rPr>
      </w:pPr>
      <w:r>
        <w:rPr>
          <w:rStyle w:val="33"/>
          <w:rFonts w:hint="eastAsia" w:ascii="宋体" w:hAnsi="宋体" w:cs="宋体"/>
          <w:color w:val="auto"/>
        </w:rPr>
        <w:t>第一章 采购邀请书 ·····························3</w:t>
      </w:r>
    </w:p>
    <w:p w14:paraId="4F3CDA9F">
      <w:pPr>
        <w:pStyle w:val="34"/>
        <w:snapToGrid w:val="0"/>
        <w:spacing w:line="480" w:lineRule="exact"/>
        <w:ind w:firstLine="720" w:firstLineChars="300"/>
        <w:jc w:val="left"/>
        <w:rPr>
          <w:rStyle w:val="33"/>
          <w:rFonts w:ascii="宋体" w:hAnsi="宋体" w:cs="宋体"/>
          <w:color w:val="auto"/>
        </w:rPr>
      </w:pPr>
      <w:r>
        <w:rPr>
          <w:rStyle w:val="33"/>
          <w:rFonts w:hint="eastAsia" w:ascii="宋体" w:hAnsi="宋体" w:cs="宋体"/>
          <w:color w:val="auto"/>
        </w:rPr>
        <w:t xml:space="preserve"> 竞争性磋商采购公告····························3</w:t>
      </w:r>
    </w:p>
    <w:p w14:paraId="07962E1B">
      <w:pPr>
        <w:pStyle w:val="34"/>
        <w:snapToGrid w:val="0"/>
        <w:spacing w:line="480" w:lineRule="exact"/>
        <w:ind w:firstLine="480" w:firstLineChars="200"/>
        <w:jc w:val="left"/>
        <w:rPr>
          <w:rStyle w:val="33"/>
          <w:rFonts w:ascii="宋体" w:hAnsi="宋体" w:cs="宋体"/>
          <w:color w:val="auto"/>
        </w:rPr>
      </w:pPr>
      <w:r>
        <w:rPr>
          <w:rStyle w:val="33"/>
          <w:rFonts w:hint="eastAsia" w:ascii="宋体" w:hAnsi="宋体" w:cs="宋体"/>
          <w:color w:val="auto"/>
        </w:rPr>
        <w:t>第二章 竞争性磋商须知·························7</w:t>
      </w:r>
    </w:p>
    <w:p w14:paraId="15381217">
      <w:pPr>
        <w:pStyle w:val="34"/>
        <w:snapToGrid w:val="0"/>
        <w:spacing w:line="480" w:lineRule="exact"/>
        <w:ind w:firstLine="720" w:firstLineChars="300"/>
        <w:jc w:val="left"/>
        <w:rPr>
          <w:rStyle w:val="33"/>
          <w:rFonts w:ascii="宋体" w:hAnsi="宋体" w:cs="宋体"/>
          <w:color w:val="auto"/>
        </w:rPr>
      </w:pPr>
      <w:r>
        <w:rPr>
          <w:rStyle w:val="33"/>
          <w:rFonts w:hint="eastAsia" w:ascii="宋体" w:hAnsi="宋体" w:cs="宋体"/>
          <w:color w:val="auto"/>
        </w:rPr>
        <w:t>第1节  竞争性磋商须知前附表·························7</w:t>
      </w:r>
    </w:p>
    <w:p w14:paraId="5F8657AD">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 xml:space="preserve">一、 </w:t>
      </w:r>
      <w:r>
        <w:rPr>
          <w:rStyle w:val="26"/>
          <w:rFonts w:hint="eastAsia" w:ascii="宋体" w:hAnsi="宋体" w:eastAsia="宋体" w:cs="宋体"/>
          <w:b w:val="0"/>
          <w:color w:val="auto"/>
          <w:sz w:val="24"/>
        </w:rPr>
        <w:t>磋商小组</w:t>
      </w:r>
      <w:r>
        <w:rPr>
          <w:rStyle w:val="33"/>
          <w:rFonts w:hint="eastAsia" w:ascii="宋体" w:hAnsi="宋体" w:cs="宋体"/>
          <w:color w:val="auto"/>
        </w:rPr>
        <w:t>·······························12</w:t>
      </w:r>
    </w:p>
    <w:p w14:paraId="4E25850B">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二、 磋商程序······························13</w:t>
      </w:r>
    </w:p>
    <w:p w14:paraId="66E5C914">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三、综合评分的标准和方法·······························14</w:t>
      </w:r>
    </w:p>
    <w:p w14:paraId="3ECD580C">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四、评审报告·······························18</w:t>
      </w:r>
    </w:p>
    <w:p w14:paraId="227FC659">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五、其他规定·······························18</w:t>
      </w:r>
    </w:p>
    <w:p w14:paraId="72DCAB60">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第2节 竞争性磋商须知·······························19</w:t>
      </w:r>
    </w:p>
    <w:p w14:paraId="655DD838">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一、总则·····························19</w:t>
      </w:r>
    </w:p>
    <w:p w14:paraId="2E4D8D27">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二、竞争性磋商文件·························20</w:t>
      </w:r>
    </w:p>
    <w:p w14:paraId="45CD531C">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三、响应文件编制···························21</w:t>
      </w:r>
    </w:p>
    <w:p w14:paraId="307817D9">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四、竞争性磋商·························25</w:t>
      </w:r>
    </w:p>
    <w:p w14:paraId="507ECAC0">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五、合同授予·····························28</w:t>
      </w:r>
    </w:p>
    <w:p w14:paraId="497E5880">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六、询问、质疑与投诉··························30</w:t>
      </w:r>
    </w:p>
    <w:p w14:paraId="5A4B9C81">
      <w:pPr>
        <w:spacing w:line="480" w:lineRule="exact"/>
        <w:ind w:firstLine="720" w:firstLineChars="300"/>
        <w:jc w:val="left"/>
        <w:rPr>
          <w:rStyle w:val="33"/>
          <w:rFonts w:ascii="宋体" w:hAnsi="宋体" w:cs="宋体"/>
          <w:color w:val="auto"/>
        </w:rPr>
      </w:pPr>
      <w:r>
        <w:rPr>
          <w:rStyle w:val="33"/>
          <w:rFonts w:hint="eastAsia" w:ascii="宋体" w:hAnsi="宋体" w:cs="宋体"/>
          <w:color w:val="auto"/>
        </w:rPr>
        <w:t>七、有关信息公告和监督部门·····························32</w:t>
      </w:r>
    </w:p>
    <w:p w14:paraId="18BE3B4E">
      <w:pPr>
        <w:spacing w:line="480" w:lineRule="exact"/>
        <w:ind w:firstLine="720" w:firstLineChars="300"/>
        <w:jc w:val="left"/>
        <w:rPr>
          <w:rStyle w:val="33"/>
          <w:rFonts w:ascii="宋体" w:hAnsi="宋体" w:cs="宋体"/>
          <w:color w:val="auto"/>
        </w:rPr>
      </w:pPr>
      <w:r>
        <w:rPr>
          <w:rStyle w:val="33"/>
          <w:rFonts w:hint="eastAsia" w:ascii="宋体" w:hAnsi="宋体" w:eastAsia="宋体" w:cs="宋体"/>
          <w:color w:val="auto"/>
        </w:rPr>
        <w:t>八、根据采购项目特点或政策需要补充的其他内容·················</w:t>
      </w:r>
      <w:r>
        <w:rPr>
          <w:rStyle w:val="33"/>
          <w:rFonts w:hint="eastAsia" w:ascii="宋体" w:hAnsi="宋体" w:cs="宋体"/>
          <w:color w:val="auto"/>
        </w:rPr>
        <w:t>32</w:t>
      </w:r>
    </w:p>
    <w:p w14:paraId="661442A4">
      <w:pPr>
        <w:spacing w:line="480" w:lineRule="exact"/>
        <w:ind w:firstLine="480" w:firstLineChars="200"/>
        <w:jc w:val="left"/>
        <w:rPr>
          <w:rStyle w:val="33"/>
          <w:rFonts w:ascii="宋体" w:hAnsi="宋体" w:eastAsia="宋体" w:cs="宋体"/>
          <w:color w:val="auto"/>
        </w:rPr>
      </w:pPr>
      <w:r>
        <w:rPr>
          <w:rStyle w:val="33"/>
          <w:rFonts w:hint="eastAsia" w:ascii="宋体" w:hAnsi="宋体" w:eastAsia="宋体" w:cs="宋体"/>
          <w:color w:val="auto"/>
        </w:rPr>
        <w:t>第三章 采购内容及要求··························33</w:t>
      </w:r>
    </w:p>
    <w:p w14:paraId="53D15FC6">
      <w:pPr>
        <w:spacing w:line="480" w:lineRule="exact"/>
        <w:ind w:firstLine="480" w:firstLineChars="200"/>
        <w:jc w:val="left"/>
        <w:rPr>
          <w:rStyle w:val="33"/>
          <w:rFonts w:ascii="宋体" w:hAnsi="宋体" w:eastAsia="宋体" w:cs="宋体"/>
          <w:color w:val="auto"/>
        </w:rPr>
      </w:pPr>
      <w:r>
        <w:rPr>
          <w:rStyle w:val="33"/>
          <w:rFonts w:hint="eastAsia" w:ascii="宋体" w:hAnsi="宋体" w:eastAsia="宋体" w:cs="宋体"/>
          <w:color w:val="auto"/>
        </w:rPr>
        <w:t>第四章 合同主要条款及格式·····················39</w:t>
      </w:r>
    </w:p>
    <w:p w14:paraId="65849D23">
      <w:pPr>
        <w:spacing w:line="480" w:lineRule="exact"/>
        <w:ind w:firstLine="480" w:firstLineChars="200"/>
        <w:jc w:val="left"/>
        <w:rPr>
          <w:rStyle w:val="33"/>
          <w:rFonts w:ascii="宋体" w:hAnsi="宋体" w:eastAsia="宋体" w:cs="宋体"/>
          <w:color w:val="auto"/>
        </w:rPr>
      </w:pPr>
      <w:r>
        <w:rPr>
          <w:rStyle w:val="33"/>
          <w:rFonts w:hint="eastAsia" w:ascii="宋体" w:hAnsi="宋体" w:eastAsia="宋体" w:cs="宋体"/>
          <w:color w:val="auto"/>
        </w:rPr>
        <w:t>第五章 首次响应文件格式···························42</w:t>
      </w:r>
    </w:p>
    <w:p w14:paraId="12539D9E">
      <w:pPr>
        <w:spacing w:line="480" w:lineRule="exact"/>
        <w:jc w:val="left"/>
        <w:rPr>
          <w:rStyle w:val="33"/>
          <w:rFonts w:ascii="宋体" w:hAnsi="宋体" w:cs="宋体"/>
          <w:color w:val="auto"/>
        </w:rPr>
      </w:pPr>
    </w:p>
    <w:p w14:paraId="558E9E31">
      <w:pPr>
        <w:spacing w:line="480" w:lineRule="exact"/>
        <w:ind w:firstLine="566" w:firstLineChars="236"/>
        <w:jc w:val="left"/>
        <w:rPr>
          <w:rStyle w:val="33"/>
          <w:rFonts w:ascii="宋体" w:hAnsi="宋体" w:cs="宋体"/>
          <w:color w:val="auto"/>
        </w:rPr>
      </w:pPr>
      <w:r>
        <w:rPr>
          <w:rStyle w:val="33"/>
          <w:rFonts w:hint="eastAsia" w:ascii="宋体" w:hAnsi="宋体" w:cs="宋体"/>
          <w:color w:val="auto"/>
        </w:rPr>
        <w:t>注：本竞争性磋商文件共</w:t>
      </w:r>
      <w:r>
        <w:rPr>
          <w:rStyle w:val="33"/>
          <w:rFonts w:hint="eastAsia" w:ascii="宋体" w:hAnsi="宋体" w:cs="宋体"/>
          <w:color w:val="auto"/>
          <w:lang w:val="en-US" w:eastAsia="zh-CN"/>
        </w:rPr>
        <w:t>79</w:t>
      </w:r>
      <w:r>
        <w:rPr>
          <w:rStyle w:val="33"/>
          <w:rFonts w:hint="eastAsia" w:ascii="宋体" w:hAnsi="宋体" w:cs="宋体"/>
          <w:color w:val="auto"/>
        </w:rPr>
        <w:t>页（包含封面及目录），请供应商领取竞争性磋商文件时自行核对，如发现缺、损等情况，及时向福建信发招标代理有限公司提出，否则，由此造成的一切后果由供应商自负。</w:t>
      </w:r>
    </w:p>
    <w:p w14:paraId="31578311">
      <w:pPr>
        <w:pStyle w:val="17"/>
        <w:widowControl/>
        <w:shd w:val="clear" w:color="auto" w:fill="FFFFFF"/>
        <w:spacing w:before="75" w:beforeAutospacing="0" w:after="75" w:afterAutospacing="0"/>
        <w:jc w:val="center"/>
        <w:rPr>
          <w:color w:val="auto"/>
        </w:rPr>
      </w:pPr>
      <w:r>
        <w:rPr>
          <w:rStyle w:val="26"/>
          <w:rFonts w:hint="eastAsia" w:ascii="宋体" w:hAnsi="宋体" w:cs="宋体"/>
          <w:color w:val="auto"/>
          <w:sz w:val="31"/>
          <w:szCs w:val="31"/>
        </w:rPr>
        <w:br w:type="page"/>
      </w:r>
    </w:p>
    <w:p w14:paraId="6F2DDADD">
      <w:pPr>
        <w:pStyle w:val="17"/>
        <w:widowControl/>
        <w:spacing w:before="75" w:beforeAutospacing="0" w:after="75" w:afterAutospacing="0"/>
        <w:jc w:val="center"/>
        <w:rPr>
          <w:color w:val="auto"/>
        </w:rPr>
      </w:pPr>
      <w:r>
        <w:rPr>
          <w:rStyle w:val="26"/>
          <w:rFonts w:hint="eastAsia" w:ascii="宋体" w:hAnsi="宋体" w:eastAsia="宋体" w:cs="宋体"/>
          <w:bCs/>
          <w:color w:val="auto"/>
          <w:sz w:val="43"/>
          <w:szCs w:val="43"/>
        </w:rPr>
        <w:t>第一章  采购邀请书</w:t>
      </w:r>
      <w:r>
        <w:rPr>
          <w:color w:val="auto"/>
        </w:rPr>
        <w:t> </w:t>
      </w:r>
    </w:p>
    <w:p w14:paraId="7FE9E541">
      <w:pPr>
        <w:pStyle w:val="17"/>
        <w:widowControl/>
        <w:spacing w:before="75" w:beforeAutospacing="0" w:after="75" w:afterAutospacing="0"/>
        <w:jc w:val="center"/>
        <w:rPr>
          <w:color w:val="auto"/>
        </w:rPr>
      </w:pPr>
      <w:r>
        <w:rPr>
          <w:rStyle w:val="26"/>
          <w:rFonts w:hint="eastAsia" w:ascii="宋体" w:hAnsi="宋体" w:eastAsia="宋体" w:cs="宋体"/>
          <w:bCs/>
          <w:color w:val="auto"/>
          <w:sz w:val="36"/>
          <w:szCs w:val="36"/>
        </w:rPr>
        <w:t>竞争性磋商采购公告</w:t>
      </w:r>
    </w:p>
    <w:p w14:paraId="5F394469">
      <w:pPr>
        <w:pStyle w:val="17"/>
        <w:widowControl/>
        <w:spacing w:before="75" w:beforeAutospacing="0" w:after="75" w:afterAutospacing="0"/>
        <w:jc w:val="center"/>
        <w:rPr>
          <w:color w:val="auto"/>
        </w:rPr>
      </w:pPr>
      <w:r>
        <w:rPr>
          <w:color w:val="auto"/>
        </w:rPr>
        <w:t> </w:t>
      </w:r>
    </w:p>
    <w:p w14:paraId="40519BAE">
      <w:pPr>
        <w:pStyle w:val="17"/>
        <w:widowControl/>
        <w:spacing w:before="75" w:beforeAutospacing="0" w:after="75" w:afterAutospacing="0" w:line="435" w:lineRule="atLeast"/>
        <w:rPr>
          <w:color w:val="auto"/>
        </w:rPr>
      </w:pPr>
      <w:r>
        <w:rPr>
          <w:rFonts w:hint="eastAsia" w:ascii="宋体" w:hAnsi="宋体" w:eastAsia="宋体" w:cs="宋体"/>
          <w:color w:val="auto"/>
        </w:rPr>
        <w:t>   </w:t>
      </w:r>
      <w:r>
        <w:rPr>
          <w:rFonts w:hint="eastAsia" w:ascii="宋体" w:hAnsi="宋体" w:eastAsia="宋体" w:cs="宋体"/>
          <w:color w:val="auto"/>
          <w:u w:val="single"/>
          <w:lang w:eastAsia="zh-CN"/>
        </w:rPr>
        <w:t>福建省翔安监狱</w:t>
      </w:r>
      <w:r>
        <w:rPr>
          <w:rFonts w:hint="eastAsia" w:ascii="宋体" w:hAnsi="宋体" w:eastAsia="宋体" w:cs="宋体"/>
          <w:color w:val="auto"/>
        </w:rPr>
        <w:t>已根据政府采购相关法律法规，经相应程序确定采用</w:t>
      </w:r>
      <w:r>
        <w:rPr>
          <w:rFonts w:hint="eastAsia" w:ascii="宋体" w:hAnsi="宋体" w:eastAsia="宋体" w:cs="宋体"/>
          <w:color w:val="auto"/>
          <w:u w:val="single"/>
        </w:rPr>
        <w:t>竞争性磋商</w:t>
      </w:r>
      <w:r>
        <w:rPr>
          <w:rFonts w:hint="eastAsia" w:ascii="宋体" w:hAnsi="宋体" w:eastAsia="宋体" w:cs="宋体"/>
          <w:color w:val="auto"/>
        </w:rPr>
        <w:t>方式组织</w:t>
      </w:r>
      <w:r>
        <w:rPr>
          <w:rFonts w:hint="eastAsia" w:ascii="宋体" w:hAnsi="宋体" w:eastAsia="宋体" w:cs="宋体"/>
          <w:color w:val="auto"/>
          <w:u w:val="single"/>
          <w:lang w:eastAsia="zh-CN"/>
        </w:rPr>
        <w:t>福建省翔安监狱二层高压电网工程项目</w:t>
      </w:r>
      <w:r>
        <w:rPr>
          <w:rFonts w:hint="eastAsia" w:ascii="宋体" w:hAnsi="宋体" w:eastAsia="宋体" w:cs="宋体"/>
          <w:color w:val="auto"/>
        </w:rPr>
        <w:t>（以下简称：“本项目”）的政府采购活动，现欢迎国内合格的供应商前来参加。本项目由采购人委托</w:t>
      </w:r>
      <w:r>
        <w:rPr>
          <w:rFonts w:hint="eastAsia" w:ascii="宋体" w:hAnsi="宋体" w:eastAsia="宋体" w:cs="宋体"/>
          <w:color w:val="auto"/>
          <w:u w:val="single"/>
        </w:rPr>
        <w:t>福建信发招标代理有限公司</w:t>
      </w:r>
      <w:r>
        <w:rPr>
          <w:rFonts w:hint="eastAsia" w:ascii="宋体" w:hAnsi="宋体" w:eastAsia="宋体" w:cs="宋体"/>
          <w:color w:val="auto"/>
        </w:rPr>
        <w:t>开展竞争性磋商活动。</w:t>
      </w:r>
    </w:p>
    <w:p w14:paraId="78991D07">
      <w:pPr>
        <w:pStyle w:val="17"/>
        <w:widowControl/>
        <w:spacing w:before="75" w:beforeAutospacing="0" w:after="75" w:afterAutospacing="0" w:line="435" w:lineRule="atLeast"/>
        <w:rPr>
          <w:color w:val="auto"/>
        </w:rPr>
      </w:pPr>
      <w:r>
        <w:rPr>
          <w:rFonts w:hint="eastAsia" w:ascii="宋体" w:hAnsi="宋体" w:eastAsia="宋体" w:cs="宋体"/>
          <w:color w:val="auto"/>
        </w:rPr>
        <w:t>   1.项目名称：</w:t>
      </w:r>
      <w:r>
        <w:rPr>
          <w:rFonts w:hint="eastAsia" w:ascii="宋体" w:hAnsi="宋体" w:eastAsia="宋体" w:cs="宋体"/>
          <w:color w:val="auto"/>
          <w:lang w:eastAsia="zh-CN"/>
        </w:rPr>
        <w:t>福建省翔安监狱二层高压电网工程项目</w:t>
      </w:r>
      <w:r>
        <w:rPr>
          <w:rFonts w:hint="eastAsia" w:ascii="宋体" w:hAnsi="宋体" w:eastAsia="宋体" w:cs="宋体"/>
          <w:color w:val="auto"/>
        </w:rPr>
        <w:t>。</w:t>
      </w:r>
    </w:p>
    <w:p w14:paraId="2B68F48C">
      <w:pPr>
        <w:pStyle w:val="17"/>
        <w:widowControl/>
        <w:spacing w:before="75" w:beforeAutospacing="0" w:after="75" w:afterAutospacing="0" w:line="435" w:lineRule="atLeast"/>
        <w:rPr>
          <w:color w:val="auto"/>
        </w:rPr>
      </w:pPr>
      <w:r>
        <w:rPr>
          <w:rFonts w:hint="eastAsia" w:ascii="宋体" w:hAnsi="宋体" w:eastAsia="宋体" w:cs="宋体"/>
          <w:color w:val="auto"/>
        </w:rPr>
        <w:t>   2.项目编号：</w:t>
      </w:r>
      <w:r>
        <w:rPr>
          <w:rFonts w:hint="eastAsia" w:ascii="宋体" w:hAnsi="宋体" w:eastAsia="宋体" w:cs="宋体"/>
          <w:color w:val="auto"/>
          <w:lang w:eastAsia="zh-CN"/>
        </w:rPr>
        <w:t>XFZB-2024-FS122</w:t>
      </w:r>
      <w:r>
        <w:rPr>
          <w:rFonts w:hint="eastAsia" w:ascii="宋体" w:hAnsi="宋体" w:eastAsia="宋体" w:cs="宋体"/>
          <w:color w:val="auto"/>
        </w:rPr>
        <w:t>。</w:t>
      </w:r>
    </w:p>
    <w:p w14:paraId="75DC61EF">
      <w:pPr>
        <w:pStyle w:val="17"/>
        <w:widowControl/>
        <w:spacing w:before="75" w:beforeAutospacing="0" w:after="75" w:afterAutospacing="0" w:line="435" w:lineRule="atLeast"/>
        <w:rPr>
          <w:color w:val="auto"/>
        </w:rPr>
      </w:pPr>
      <w:r>
        <w:rPr>
          <w:rFonts w:hint="eastAsia" w:ascii="宋体" w:hAnsi="宋体" w:eastAsia="宋体" w:cs="宋体"/>
          <w:color w:val="auto"/>
        </w:rPr>
        <w:t>   3.采购内容及要求：</w:t>
      </w:r>
    </w:p>
    <w:p w14:paraId="1492FEB7">
      <w:pPr>
        <w:pStyle w:val="17"/>
        <w:widowControl/>
        <w:spacing w:beforeAutospacing="0" w:afterAutospacing="0" w:line="360" w:lineRule="exact"/>
        <w:ind w:firstLine="420"/>
        <w:rPr>
          <w:rFonts w:ascii="宋体" w:hAnsi="宋体" w:eastAsia="宋体" w:cs="宋体"/>
          <w:b/>
          <w:bCs/>
          <w:color w:val="auto"/>
        </w:rPr>
      </w:pPr>
      <w:r>
        <w:rPr>
          <w:rFonts w:hint="eastAsia" w:ascii="宋体" w:hAnsi="宋体" w:eastAsia="宋体" w:cs="宋体"/>
          <w:b/>
          <w:bCs/>
          <w:color w:val="auto"/>
          <w:shd w:val="clear" w:color="auto" w:fill="FFFFFF"/>
        </w:rPr>
        <w:t>采购包1：</w:t>
      </w:r>
    </w:p>
    <w:p w14:paraId="6471EDEC">
      <w:pPr>
        <w:pStyle w:val="17"/>
        <w:widowControl/>
        <w:spacing w:beforeAutospacing="0" w:afterAutospacing="0" w:line="360" w:lineRule="exact"/>
        <w:ind w:firstLine="420"/>
        <w:rPr>
          <w:rFonts w:hint="default" w:ascii="宋体" w:hAnsi="宋体" w:eastAsia="宋体" w:cs="宋体"/>
          <w:color w:val="auto"/>
          <w:lang w:val="en-US" w:eastAsia="zh-CN"/>
        </w:rPr>
      </w:pPr>
      <w:r>
        <w:rPr>
          <w:rFonts w:hint="eastAsia" w:ascii="宋体" w:hAnsi="宋体" w:eastAsia="宋体" w:cs="宋体"/>
          <w:color w:val="auto"/>
          <w:shd w:val="clear" w:color="auto" w:fill="FFFFFF"/>
        </w:rPr>
        <w:t>采购包预算金额（元）:</w:t>
      </w:r>
      <w:r>
        <w:rPr>
          <w:rFonts w:hint="eastAsia" w:ascii="宋体" w:hAnsi="宋体" w:eastAsia="宋体" w:cs="宋体"/>
          <w:color w:val="auto"/>
          <w:lang w:val="en-US" w:eastAsia="zh-CN"/>
        </w:rPr>
        <w:t>809190.47</w:t>
      </w:r>
    </w:p>
    <w:p w14:paraId="43503E10">
      <w:pPr>
        <w:pStyle w:val="17"/>
        <w:widowControl/>
        <w:spacing w:beforeAutospacing="0" w:afterAutospacing="0" w:line="360" w:lineRule="exact"/>
        <w:ind w:firstLine="420"/>
        <w:rPr>
          <w:rFonts w:hint="eastAsia" w:ascii="宋体" w:hAnsi="宋体" w:eastAsia="宋体" w:cs="宋体"/>
          <w:color w:val="auto"/>
          <w:lang w:val="en-US" w:eastAsia="zh-CN"/>
        </w:rPr>
      </w:pPr>
      <w:r>
        <w:rPr>
          <w:rFonts w:hint="eastAsia" w:ascii="宋体" w:hAnsi="宋体" w:eastAsia="宋体" w:cs="宋体"/>
          <w:color w:val="auto"/>
          <w:shd w:val="clear" w:color="auto" w:fill="FFFFFF"/>
        </w:rPr>
        <w:t>采购包最高限价（元）:</w:t>
      </w:r>
      <w:r>
        <w:rPr>
          <w:rFonts w:hint="eastAsia" w:ascii="宋体" w:hAnsi="宋体" w:eastAsia="宋体" w:cs="宋体"/>
          <w:color w:val="auto"/>
          <w:shd w:val="clear" w:color="auto" w:fill="FFFFFF"/>
          <w:lang w:eastAsia="zh-CN"/>
        </w:rPr>
        <w:t>809190.47</w:t>
      </w:r>
    </w:p>
    <w:p w14:paraId="69D37356">
      <w:pPr>
        <w:pStyle w:val="17"/>
        <w:widowControl/>
        <w:spacing w:beforeAutospacing="0" w:afterAutospacing="0" w:line="360" w:lineRule="exact"/>
        <w:ind w:firstLine="420"/>
        <w:rPr>
          <w:rFonts w:hint="default" w:ascii="宋体" w:hAnsi="宋体" w:eastAsia="宋体" w:cs="宋体"/>
          <w:color w:val="auto"/>
          <w:lang w:val="en-US" w:eastAsia="zh-CN"/>
        </w:rPr>
      </w:pPr>
      <w:r>
        <w:rPr>
          <w:rFonts w:hint="eastAsia" w:ascii="宋体" w:hAnsi="宋体" w:eastAsia="宋体" w:cs="宋体"/>
          <w:color w:val="auto"/>
          <w:shd w:val="clear" w:color="auto" w:fill="FFFFFF"/>
        </w:rPr>
        <w:t>采购包保证金金额（元）:</w:t>
      </w:r>
      <w:bookmarkStart w:id="0" w:name="OLE_LINK6"/>
      <w:r>
        <w:rPr>
          <w:rFonts w:hint="eastAsia" w:ascii="宋体" w:hAnsi="宋体" w:eastAsia="宋体" w:cs="宋体"/>
          <w:color w:val="auto"/>
          <w:shd w:val="clear" w:color="auto" w:fill="FFFFFF"/>
        </w:rPr>
        <w:t xml:space="preserve"> </w:t>
      </w:r>
      <w:bookmarkEnd w:id="0"/>
      <w:r>
        <w:rPr>
          <w:rFonts w:hint="eastAsia" w:ascii="宋体" w:hAnsi="宋体" w:eastAsia="宋体" w:cs="宋体"/>
          <w:color w:val="auto"/>
          <w:lang w:val="en-US" w:eastAsia="zh-CN"/>
        </w:rPr>
        <w:t>8090</w:t>
      </w:r>
    </w:p>
    <w:tbl>
      <w:tblPr>
        <w:tblStyle w:val="23"/>
        <w:tblW w:w="5014"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948"/>
        <w:gridCol w:w="1574"/>
        <w:gridCol w:w="1456"/>
        <w:gridCol w:w="955"/>
        <w:gridCol w:w="962"/>
        <w:gridCol w:w="955"/>
        <w:gridCol w:w="961"/>
        <w:gridCol w:w="955"/>
      </w:tblGrid>
      <w:tr w14:paraId="2FF9515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541" w:type="pct"/>
            <w:tcBorders>
              <w:top w:val="outset" w:color="auto" w:sz="6" w:space="0"/>
              <w:left w:val="outset" w:color="auto" w:sz="6" w:space="0"/>
              <w:bottom w:val="outset" w:color="auto" w:sz="6" w:space="0"/>
              <w:right w:val="outset" w:color="auto" w:sz="6" w:space="0"/>
            </w:tcBorders>
            <w:shd w:val="clear" w:color="auto" w:fill="auto"/>
            <w:vAlign w:val="center"/>
          </w:tcPr>
          <w:p w14:paraId="5E5DF1A5">
            <w:pPr>
              <w:widowControl/>
              <w:jc w:val="center"/>
              <w:rPr>
                <w:color w:val="auto"/>
              </w:rPr>
            </w:pPr>
            <w:bookmarkStart w:id="1" w:name="OLE_LINK15"/>
            <w:r>
              <w:rPr>
                <w:rFonts w:ascii="宋体" w:hAnsi="宋体" w:eastAsia="宋体" w:cs="宋体"/>
                <w:color w:val="auto"/>
                <w:kern w:val="0"/>
                <w:sz w:val="24"/>
              </w:rPr>
              <w:t>合同包</w:t>
            </w:r>
          </w:p>
        </w:tc>
        <w:tc>
          <w:tcPr>
            <w:tcW w:w="898" w:type="pct"/>
            <w:tcBorders>
              <w:top w:val="outset" w:color="auto" w:sz="6" w:space="0"/>
              <w:left w:val="outset" w:color="auto" w:sz="6" w:space="0"/>
              <w:bottom w:val="outset" w:color="auto" w:sz="6" w:space="0"/>
              <w:right w:val="outset" w:color="auto" w:sz="6" w:space="0"/>
            </w:tcBorders>
            <w:shd w:val="clear" w:color="auto" w:fill="auto"/>
            <w:vAlign w:val="center"/>
          </w:tcPr>
          <w:p w14:paraId="419F21CB">
            <w:pPr>
              <w:widowControl/>
              <w:jc w:val="center"/>
              <w:rPr>
                <w:color w:val="auto"/>
              </w:rPr>
            </w:pPr>
            <w:r>
              <w:rPr>
                <w:rFonts w:hint="eastAsia" w:ascii="宋体" w:hAnsi="宋体" w:eastAsia="宋体" w:cs="宋体"/>
                <w:color w:val="auto"/>
                <w:kern w:val="0"/>
                <w:sz w:val="24"/>
              </w:rPr>
              <w:t xml:space="preserve"> 品目编码及品目名称</w:t>
            </w:r>
          </w:p>
        </w:tc>
        <w:tc>
          <w:tcPr>
            <w:tcW w:w="831" w:type="pct"/>
            <w:tcBorders>
              <w:top w:val="outset" w:color="auto" w:sz="6" w:space="0"/>
              <w:left w:val="outset" w:color="auto" w:sz="6" w:space="0"/>
              <w:bottom w:val="outset" w:color="auto" w:sz="6" w:space="0"/>
              <w:right w:val="outset" w:color="auto" w:sz="6" w:space="0"/>
            </w:tcBorders>
            <w:shd w:val="clear" w:color="auto" w:fill="auto"/>
            <w:vAlign w:val="center"/>
          </w:tcPr>
          <w:p w14:paraId="03CF5917">
            <w:pPr>
              <w:widowControl/>
              <w:jc w:val="center"/>
              <w:rPr>
                <w:color w:val="auto"/>
              </w:rPr>
            </w:pPr>
            <w:r>
              <w:rPr>
                <w:rFonts w:ascii="宋体" w:hAnsi="宋体" w:eastAsia="宋体" w:cs="宋体"/>
                <w:color w:val="auto"/>
                <w:kern w:val="0"/>
                <w:sz w:val="24"/>
              </w:rPr>
              <w:t>采购标的</w:t>
            </w:r>
          </w:p>
        </w:tc>
        <w:tc>
          <w:tcPr>
            <w:tcW w:w="545" w:type="pct"/>
            <w:tcBorders>
              <w:top w:val="outset" w:color="auto" w:sz="6" w:space="0"/>
              <w:left w:val="outset" w:color="auto" w:sz="6" w:space="0"/>
              <w:bottom w:val="outset" w:color="auto" w:sz="6" w:space="0"/>
              <w:right w:val="outset" w:color="auto" w:sz="6" w:space="0"/>
            </w:tcBorders>
            <w:shd w:val="clear" w:color="auto" w:fill="auto"/>
            <w:vAlign w:val="center"/>
          </w:tcPr>
          <w:p w14:paraId="5469BD94">
            <w:pPr>
              <w:widowControl/>
              <w:jc w:val="center"/>
              <w:rPr>
                <w:color w:val="auto"/>
              </w:rPr>
            </w:pPr>
            <w:r>
              <w:rPr>
                <w:rFonts w:ascii="宋体" w:hAnsi="宋体" w:eastAsia="宋体" w:cs="宋体"/>
                <w:color w:val="auto"/>
                <w:kern w:val="0"/>
                <w:sz w:val="24"/>
              </w:rPr>
              <w:t>数量</w:t>
            </w:r>
          </w:p>
        </w:tc>
        <w:tc>
          <w:tcPr>
            <w:tcW w:w="549" w:type="pct"/>
            <w:tcBorders>
              <w:top w:val="outset" w:color="auto" w:sz="6" w:space="0"/>
              <w:left w:val="outset" w:color="auto" w:sz="6" w:space="0"/>
              <w:bottom w:val="outset" w:color="auto" w:sz="6" w:space="0"/>
              <w:right w:val="outset" w:color="auto" w:sz="6" w:space="0"/>
            </w:tcBorders>
            <w:shd w:val="clear" w:color="auto" w:fill="auto"/>
            <w:vAlign w:val="center"/>
          </w:tcPr>
          <w:p w14:paraId="473FCE0C">
            <w:pPr>
              <w:widowControl/>
              <w:wordWrap w:val="0"/>
              <w:spacing w:line="360" w:lineRule="exact"/>
              <w:jc w:val="left"/>
              <w:rPr>
                <w:rFonts w:ascii="宋体" w:hAnsi="宋体" w:eastAsia="宋体" w:cs="宋体"/>
                <w:color w:val="auto"/>
                <w:kern w:val="0"/>
                <w:sz w:val="24"/>
              </w:rPr>
            </w:pPr>
            <w:r>
              <w:rPr>
                <w:rFonts w:hint="eastAsia" w:ascii="宋体" w:hAnsi="宋体" w:eastAsia="宋体" w:cs="宋体"/>
                <w:color w:val="auto"/>
                <w:kern w:val="0"/>
                <w:sz w:val="24"/>
              </w:rPr>
              <w:t>所属行业</w:t>
            </w:r>
          </w:p>
        </w:tc>
        <w:tc>
          <w:tcPr>
            <w:tcW w:w="545" w:type="pct"/>
            <w:tcBorders>
              <w:top w:val="outset" w:color="auto" w:sz="6" w:space="0"/>
              <w:left w:val="outset" w:color="auto" w:sz="6" w:space="0"/>
              <w:bottom w:val="outset" w:color="auto" w:sz="6" w:space="0"/>
              <w:right w:val="outset" w:color="auto" w:sz="6" w:space="0"/>
            </w:tcBorders>
            <w:shd w:val="clear" w:color="auto" w:fill="auto"/>
            <w:vAlign w:val="center"/>
          </w:tcPr>
          <w:p w14:paraId="4CEBCA4C">
            <w:pPr>
              <w:widowControl/>
              <w:jc w:val="center"/>
              <w:rPr>
                <w:color w:val="auto"/>
              </w:rPr>
            </w:pPr>
            <w:r>
              <w:rPr>
                <w:rFonts w:ascii="宋体" w:hAnsi="宋体" w:eastAsia="宋体" w:cs="宋体"/>
                <w:color w:val="auto"/>
                <w:kern w:val="0"/>
                <w:sz w:val="24"/>
              </w:rPr>
              <w:t>允许进口</w:t>
            </w:r>
          </w:p>
        </w:tc>
        <w:tc>
          <w:tcPr>
            <w:tcW w:w="545" w:type="pct"/>
            <w:tcBorders>
              <w:top w:val="outset" w:color="auto" w:sz="6" w:space="0"/>
              <w:left w:val="outset" w:color="auto" w:sz="6" w:space="0"/>
              <w:bottom w:val="outset" w:color="auto" w:sz="6" w:space="0"/>
              <w:right w:val="outset" w:color="auto" w:sz="6" w:space="0"/>
            </w:tcBorders>
            <w:shd w:val="clear" w:color="auto" w:fill="auto"/>
            <w:vAlign w:val="center"/>
          </w:tcPr>
          <w:p w14:paraId="608AE3F8">
            <w:pPr>
              <w:widowControl/>
              <w:jc w:val="center"/>
              <w:rPr>
                <w:color w:val="auto"/>
              </w:rPr>
            </w:pPr>
            <w:r>
              <w:rPr>
                <w:rFonts w:hint="eastAsia" w:ascii="宋体" w:hAnsi="宋体" w:eastAsia="宋体" w:cs="宋体"/>
                <w:color w:val="auto"/>
                <w:kern w:val="0"/>
                <w:sz w:val="24"/>
              </w:rPr>
              <w:t>标的金额 （元）</w:t>
            </w:r>
          </w:p>
        </w:tc>
        <w:tc>
          <w:tcPr>
            <w:tcW w:w="545" w:type="pct"/>
            <w:tcBorders>
              <w:top w:val="outset" w:color="auto" w:sz="6" w:space="0"/>
              <w:left w:val="outset" w:color="auto" w:sz="6" w:space="0"/>
              <w:bottom w:val="outset" w:color="auto" w:sz="6" w:space="0"/>
              <w:right w:val="outset" w:color="auto" w:sz="6" w:space="0"/>
            </w:tcBorders>
            <w:shd w:val="clear" w:color="auto" w:fill="auto"/>
            <w:vAlign w:val="center"/>
          </w:tcPr>
          <w:p w14:paraId="1F068684">
            <w:pPr>
              <w:widowControl/>
              <w:jc w:val="center"/>
              <w:rPr>
                <w:rFonts w:eastAsia="宋体"/>
                <w:color w:val="auto"/>
              </w:rPr>
            </w:pPr>
            <w:r>
              <w:rPr>
                <w:rFonts w:ascii="宋体" w:hAnsi="宋体" w:eastAsia="宋体" w:cs="宋体"/>
                <w:color w:val="auto"/>
                <w:kern w:val="0"/>
                <w:sz w:val="24"/>
              </w:rPr>
              <w:t>磋商保证金</w:t>
            </w:r>
            <w:r>
              <w:rPr>
                <w:rFonts w:hint="eastAsia" w:ascii="宋体" w:hAnsi="宋体" w:eastAsia="宋体" w:cs="宋体"/>
                <w:color w:val="auto"/>
                <w:kern w:val="0"/>
                <w:sz w:val="24"/>
              </w:rPr>
              <w:t>（元）</w:t>
            </w:r>
          </w:p>
        </w:tc>
      </w:tr>
      <w:tr w14:paraId="00C237E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541" w:type="pct"/>
            <w:tcBorders>
              <w:top w:val="outset" w:color="auto" w:sz="6" w:space="0"/>
              <w:left w:val="outset" w:color="auto" w:sz="6" w:space="0"/>
              <w:bottom w:val="outset" w:color="auto" w:sz="6" w:space="0"/>
              <w:right w:val="outset" w:color="auto" w:sz="6" w:space="0"/>
            </w:tcBorders>
            <w:shd w:val="clear" w:color="auto" w:fill="auto"/>
            <w:vAlign w:val="center"/>
          </w:tcPr>
          <w:p w14:paraId="3282E0D0">
            <w:pPr>
              <w:widowControl/>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p>
        </w:tc>
        <w:tc>
          <w:tcPr>
            <w:tcW w:w="898" w:type="pct"/>
            <w:tcBorders>
              <w:top w:val="outset" w:color="auto" w:sz="6" w:space="0"/>
              <w:left w:val="outset" w:color="auto" w:sz="6" w:space="0"/>
              <w:bottom w:val="outset" w:color="auto" w:sz="6" w:space="0"/>
              <w:right w:val="outset" w:color="auto" w:sz="6" w:space="0"/>
            </w:tcBorders>
            <w:shd w:val="clear" w:color="auto" w:fill="auto"/>
            <w:vAlign w:val="center"/>
          </w:tcPr>
          <w:p w14:paraId="38F89E71">
            <w:pPr>
              <w:widowControl/>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B06039900</w:t>
            </w:r>
          </w:p>
          <w:p w14:paraId="12377AF3">
            <w:pPr>
              <w:widowControl/>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-其他电力系统安</w:t>
            </w:r>
          </w:p>
        </w:tc>
        <w:tc>
          <w:tcPr>
            <w:tcW w:w="831" w:type="pct"/>
            <w:tcBorders>
              <w:top w:val="outset" w:color="auto" w:sz="6" w:space="0"/>
              <w:left w:val="outset" w:color="auto" w:sz="6" w:space="0"/>
              <w:bottom w:val="outset" w:color="auto" w:sz="6" w:space="0"/>
              <w:right w:val="outset" w:color="auto" w:sz="6" w:space="0"/>
            </w:tcBorders>
            <w:shd w:val="clear" w:color="auto" w:fill="auto"/>
            <w:vAlign w:val="center"/>
          </w:tcPr>
          <w:p w14:paraId="31620943">
            <w:pPr>
              <w:widowControl/>
              <w:jc w:val="center"/>
              <w:rPr>
                <w:rFonts w:hint="eastAsia" w:ascii="宋体" w:hAnsi="宋体" w:eastAsia="宋体" w:cs="宋体"/>
                <w:color w:val="auto"/>
                <w:kern w:val="0"/>
                <w:sz w:val="24"/>
                <w:szCs w:val="24"/>
              </w:rPr>
            </w:pPr>
            <w:r>
              <w:rPr>
                <w:rFonts w:hint="eastAsia" w:ascii="宋体" w:hAnsi="宋体" w:eastAsia="宋体" w:cs="宋体"/>
                <w:color w:val="auto"/>
                <w:sz w:val="24"/>
                <w:szCs w:val="24"/>
                <w:lang w:eastAsia="zh-CN"/>
              </w:rPr>
              <w:t>福建省翔安监狱二层高压电网工程项目</w:t>
            </w:r>
          </w:p>
        </w:tc>
        <w:tc>
          <w:tcPr>
            <w:tcW w:w="545" w:type="pct"/>
            <w:tcBorders>
              <w:top w:val="outset" w:color="auto" w:sz="6" w:space="0"/>
              <w:left w:val="outset" w:color="auto" w:sz="6" w:space="0"/>
              <w:bottom w:val="outset" w:color="auto" w:sz="6" w:space="0"/>
              <w:right w:val="outset" w:color="auto" w:sz="6" w:space="0"/>
            </w:tcBorders>
            <w:shd w:val="clear" w:color="auto" w:fill="auto"/>
            <w:vAlign w:val="center"/>
          </w:tcPr>
          <w:p w14:paraId="0C55D7CA">
            <w:pPr>
              <w:widowControl/>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1</w:t>
            </w:r>
            <w:r>
              <w:rPr>
                <w:rFonts w:hint="eastAsia" w:ascii="宋体" w:hAnsi="宋体" w:eastAsia="宋体" w:cs="宋体"/>
                <w:color w:val="auto"/>
                <w:kern w:val="0"/>
                <w:sz w:val="24"/>
                <w:szCs w:val="24"/>
                <w:lang w:val="en-US" w:eastAsia="zh-CN"/>
              </w:rPr>
              <w:t>项</w:t>
            </w:r>
          </w:p>
        </w:tc>
        <w:tc>
          <w:tcPr>
            <w:tcW w:w="549" w:type="pct"/>
            <w:tcBorders>
              <w:top w:val="outset" w:color="auto" w:sz="6" w:space="0"/>
              <w:left w:val="outset" w:color="auto" w:sz="6" w:space="0"/>
              <w:bottom w:val="outset" w:color="auto" w:sz="6" w:space="0"/>
              <w:right w:val="outset" w:color="auto" w:sz="6" w:space="0"/>
            </w:tcBorders>
            <w:shd w:val="clear" w:color="auto" w:fill="auto"/>
            <w:vAlign w:val="center"/>
          </w:tcPr>
          <w:p w14:paraId="0A068219">
            <w:pPr>
              <w:widowControl/>
              <w:wordWrap w:val="0"/>
              <w:spacing w:line="360" w:lineRule="exact"/>
              <w:jc w:val="left"/>
              <w:rPr>
                <w:rFonts w:hint="eastAsia" w:ascii="宋体" w:hAnsi="宋体" w:eastAsia="宋体" w:cs="宋体"/>
                <w:color w:val="auto"/>
                <w:kern w:val="0"/>
                <w:sz w:val="24"/>
                <w:szCs w:val="24"/>
              </w:rPr>
            </w:pPr>
            <w:r>
              <w:rPr>
                <w:rFonts w:hint="eastAsia" w:ascii="宋体" w:hAnsi="宋体"/>
                <w:color w:val="auto"/>
                <w:sz w:val="24"/>
              </w:rPr>
              <w:t>建筑业</w:t>
            </w:r>
          </w:p>
        </w:tc>
        <w:tc>
          <w:tcPr>
            <w:tcW w:w="545" w:type="pct"/>
            <w:tcBorders>
              <w:top w:val="outset" w:color="auto" w:sz="6" w:space="0"/>
              <w:left w:val="outset" w:color="auto" w:sz="6" w:space="0"/>
              <w:bottom w:val="outset" w:color="auto" w:sz="6" w:space="0"/>
              <w:right w:val="outset" w:color="auto" w:sz="6" w:space="0"/>
            </w:tcBorders>
            <w:shd w:val="clear" w:color="auto" w:fill="auto"/>
            <w:vAlign w:val="center"/>
          </w:tcPr>
          <w:p w14:paraId="1D2B2F36">
            <w:pPr>
              <w:widowControl/>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否</w:t>
            </w:r>
          </w:p>
        </w:tc>
        <w:tc>
          <w:tcPr>
            <w:tcW w:w="545" w:type="pct"/>
            <w:tcBorders>
              <w:top w:val="outset" w:color="auto" w:sz="6" w:space="0"/>
              <w:left w:val="outset" w:color="auto" w:sz="6" w:space="0"/>
              <w:bottom w:val="outset" w:color="auto" w:sz="6" w:space="0"/>
              <w:right w:val="outset" w:color="auto" w:sz="6" w:space="0"/>
            </w:tcBorders>
            <w:shd w:val="clear" w:color="auto" w:fill="auto"/>
            <w:vAlign w:val="center"/>
          </w:tcPr>
          <w:p w14:paraId="54EDA931">
            <w:pPr>
              <w:widowControl/>
              <w:jc w:val="center"/>
              <w:rPr>
                <w:rFonts w:hint="eastAsia" w:ascii="宋体" w:hAnsi="宋体" w:eastAsia="宋体" w:cs="宋体"/>
                <w:color w:val="auto"/>
                <w:kern w:val="0"/>
                <w:sz w:val="24"/>
                <w:szCs w:val="24"/>
              </w:rPr>
            </w:pPr>
            <w:r>
              <w:rPr>
                <w:rFonts w:hint="eastAsia" w:ascii="宋体" w:hAnsi="宋体" w:eastAsia="宋体" w:cs="宋体"/>
                <w:color w:val="auto"/>
                <w:lang w:val="en-US" w:eastAsia="zh-CN"/>
              </w:rPr>
              <w:t>809190.47</w:t>
            </w:r>
          </w:p>
        </w:tc>
        <w:tc>
          <w:tcPr>
            <w:tcW w:w="545" w:type="pct"/>
            <w:tcBorders>
              <w:top w:val="outset" w:color="auto" w:sz="6" w:space="0"/>
              <w:left w:val="outset" w:color="auto" w:sz="6" w:space="0"/>
              <w:bottom w:val="outset" w:color="auto" w:sz="6" w:space="0"/>
              <w:right w:val="outset" w:color="auto" w:sz="6" w:space="0"/>
            </w:tcBorders>
            <w:shd w:val="clear" w:color="auto" w:fill="auto"/>
            <w:vAlign w:val="center"/>
          </w:tcPr>
          <w:p w14:paraId="119B5DD5">
            <w:pPr>
              <w:widowControl/>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shd w:val="clear" w:color="auto" w:fill="FFFFFF"/>
                <w:lang w:val="en-US" w:eastAsia="zh-CN"/>
              </w:rPr>
              <w:t>8090</w:t>
            </w:r>
          </w:p>
        </w:tc>
      </w:tr>
      <w:bookmarkEnd w:id="1"/>
    </w:tbl>
    <w:p w14:paraId="09104F58">
      <w:pPr>
        <w:pStyle w:val="17"/>
        <w:widowControl/>
        <w:spacing w:before="75" w:beforeAutospacing="0" w:after="75" w:afterAutospacing="0" w:line="435" w:lineRule="atLeast"/>
        <w:ind w:firstLine="480" w:firstLineChars="200"/>
        <w:rPr>
          <w:color w:val="auto"/>
        </w:rPr>
      </w:pPr>
      <w:r>
        <w:rPr>
          <w:rFonts w:hint="eastAsia" w:ascii="宋体" w:hAnsi="宋体" w:eastAsia="宋体" w:cs="宋体"/>
          <w:color w:val="auto"/>
        </w:rPr>
        <w:t>4.采购项目需要落实的政府采购政策：进口产品，不适用于项目。节能产品，适用于项目。环境标志产品，适用于项目。信息安全产品，适用于项目。小型、微型企业，适用于项目。监狱企业，适用于项目。促进残疾人就业 ，适用于项目。信用记录，适用于项目，按照下列规定执行：（1）供应商针对“信用信息查询结果”可自主提供证明材料，未提供该证明材料的不视为响应无效。（2）查询结果的审查：①由磋商小组通过“信用中国”网站（www.creditchina.gov.cn）、中国政府采购网（www.ccgp.gov.cn）查询并打印供应商信用记录（以下简称：“由磋商小组的查询结果”）。②因上述网站原因导致由磋商小组无法查询供应商人信用记录的（由磋商小组应将通过上述网站查询供应商信用记录时的原始页面打印后随采购文件一并存档），视为查询结果未存在供应商应被拒绝参与政府采购活动相关的信息。③若此项规定与竞争性磋商文件其他部分有矛盾的，以此项规定为准。④查询结果存在供应商应被拒绝参与政府采购活动相关信息的，其资格审查不合格。其他政策：详见竞争性磋商文件。</w:t>
      </w:r>
    </w:p>
    <w:p w14:paraId="638FA5F7">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5.供应商的资格要求：</w:t>
      </w:r>
    </w:p>
    <w:p w14:paraId="719831E4">
      <w:pPr>
        <w:pStyle w:val="17"/>
        <w:widowControl/>
        <w:spacing w:before="75" w:beforeAutospacing="0" w:after="75" w:afterAutospacing="0" w:line="435" w:lineRule="atLeast"/>
        <w:rPr>
          <w:color w:val="auto"/>
        </w:rPr>
      </w:pPr>
      <w:r>
        <w:rPr>
          <w:rFonts w:hint="eastAsia" w:ascii="宋体" w:hAnsi="宋体" w:eastAsia="宋体" w:cs="宋体"/>
          <w:color w:val="auto"/>
        </w:rPr>
        <w:t>   5.1法定条件：符合《中华人民共和国政府采购法》第二十二条第一款规定的条件。</w:t>
      </w:r>
    </w:p>
    <w:p w14:paraId="5B6EF295">
      <w:pPr>
        <w:pStyle w:val="17"/>
        <w:widowControl/>
        <w:spacing w:before="75" w:beforeAutospacing="0" w:after="75" w:afterAutospacing="0" w:line="435" w:lineRule="atLeast"/>
        <w:rPr>
          <w:color w:val="auto"/>
        </w:rPr>
      </w:pPr>
      <w:r>
        <w:rPr>
          <w:rFonts w:hint="eastAsia" w:ascii="宋体" w:hAnsi="宋体" w:eastAsia="宋体" w:cs="宋体"/>
          <w:color w:val="auto"/>
        </w:rPr>
        <w:t>   5.2特定条件：</w:t>
      </w:r>
    </w:p>
    <w:p w14:paraId="298760FA">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包：1</w:t>
      </w:r>
    </w:p>
    <w:tbl>
      <w:tblPr>
        <w:tblStyle w:val="23"/>
        <w:tblW w:w="5000" w:type="pct"/>
        <w:tblInd w:w="0" w:type="dxa"/>
        <w:tblLayout w:type="autofit"/>
        <w:tblCellMar>
          <w:top w:w="0" w:type="dxa"/>
          <w:left w:w="0" w:type="dxa"/>
          <w:bottom w:w="0" w:type="dxa"/>
          <w:right w:w="0" w:type="dxa"/>
        </w:tblCellMar>
      </w:tblPr>
      <w:tblGrid>
        <w:gridCol w:w="1600"/>
        <w:gridCol w:w="7366"/>
      </w:tblGrid>
      <w:tr w14:paraId="54EE4E20">
        <w:tblPrEx>
          <w:tblCellMar>
            <w:top w:w="0" w:type="dxa"/>
            <w:left w:w="0" w:type="dxa"/>
            <w:bottom w:w="0" w:type="dxa"/>
            <w:right w:w="0" w:type="dxa"/>
          </w:tblCellMar>
        </w:tblPrEx>
        <w:tc>
          <w:tcPr>
            <w:tcW w:w="1600"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AD5661E">
            <w:pPr>
              <w:widowControl/>
              <w:wordWrap w:val="0"/>
              <w:spacing w:line="360" w:lineRule="exact"/>
              <w:jc w:val="left"/>
              <w:rPr>
                <w:rFonts w:ascii="宋体" w:hAnsi="宋体" w:eastAsia="宋体" w:cs="宋体"/>
                <w:b/>
                <w:bCs/>
                <w:color w:val="auto"/>
                <w:sz w:val="24"/>
              </w:rPr>
            </w:pPr>
            <w:bookmarkStart w:id="2" w:name="OLE_LINK10"/>
            <w:r>
              <w:rPr>
                <w:rFonts w:hint="eastAsia" w:ascii="宋体" w:hAnsi="宋体" w:eastAsia="宋体" w:cs="宋体"/>
                <w:b/>
                <w:bCs/>
                <w:color w:val="auto"/>
                <w:kern w:val="0"/>
                <w:sz w:val="24"/>
              </w:rPr>
              <w:t>资格审查要求概况</w:t>
            </w:r>
          </w:p>
        </w:tc>
        <w:tc>
          <w:tcPr>
            <w:tcW w:w="7366"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0CF4AE88">
            <w:pPr>
              <w:widowControl/>
              <w:wordWrap w:val="0"/>
              <w:spacing w:line="360" w:lineRule="exact"/>
              <w:jc w:val="left"/>
              <w:rPr>
                <w:rFonts w:ascii="宋体" w:hAnsi="宋体" w:eastAsia="宋体" w:cs="宋体"/>
                <w:b/>
                <w:bCs/>
                <w:color w:val="auto"/>
                <w:sz w:val="24"/>
              </w:rPr>
            </w:pPr>
            <w:r>
              <w:rPr>
                <w:rFonts w:hint="eastAsia" w:ascii="宋体" w:hAnsi="宋体" w:eastAsia="宋体" w:cs="宋体"/>
                <w:b/>
                <w:bCs/>
                <w:color w:val="auto"/>
                <w:kern w:val="0"/>
                <w:sz w:val="24"/>
              </w:rPr>
              <w:t>评审点具体描述</w:t>
            </w:r>
          </w:p>
        </w:tc>
      </w:tr>
      <w:tr w14:paraId="51A253DA">
        <w:tblPrEx>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75BDCC1C">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szCs w:val="24"/>
                <w:lang w:val="en-US" w:eastAsia="zh-CN"/>
              </w:rPr>
            </w:pPr>
            <w:bookmarkStart w:id="3" w:name="OLE_LINK11" w:colFirst="0" w:colLast="1"/>
            <w:r>
              <w:rPr>
                <w:rFonts w:hint="eastAsia" w:ascii="宋体" w:hAnsi="宋体" w:eastAsia="宋体" w:cs="宋体"/>
                <w:color w:val="auto"/>
                <w:kern w:val="0"/>
                <w:sz w:val="24"/>
                <w:szCs w:val="24"/>
              </w:rPr>
              <w:t>其他资格证明文件</w:t>
            </w:r>
            <w:r>
              <w:rPr>
                <w:rFonts w:hint="eastAsia" w:ascii="宋体" w:hAnsi="宋体" w:eastAsia="宋体" w:cs="宋体"/>
                <w:color w:val="auto"/>
                <w:kern w:val="0"/>
                <w:sz w:val="24"/>
                <w:szCs w:val="24"/>
                <w:lang w:val="en-US" w:eastAsia="zh-CN"/>
              </w:rPr>
              <w:t>1</w:t>
            </w:r>
          </w:p>
        </w:tc>
        <w:tc>
          <w:tcPr>
            <w:tcW w:w="0" w:type="auto"/>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D81F954">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sz w:val="24"/>
                <w:szCs w:val="24"/>
                <w:lang w:val="en-US" w:eastAsia="zh-CN"/>
              </w:rPr>
              <w:t>供应商同时具备不低于叁级电力工程施工总承包资质、不低于贰级电子与智能化工程专业承包资质和《施工企业安全生产许可证》，须提供有效的证书复印件。</w:t>
            </w:r>
          </w:p>
        </w:tc>
      </w:tr>
      <w:tr w14:paraId="04A29870">
        <w:tblPrEx>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0DA1B0FC">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其他资格证明文件</w:t>
            </w:r>
            <w:r>
              <w:rPr>
                <w:rFonts w:hint="eastAsia" w:ascii="宋体" w:hAnsi="宋体" w:eastAsia="宋体" w:cs="宋体"/>
                <w:color w:val="auto"/>
                <w:kern w:val="0"/>
                <w:sz w:val="24"/>
                <w:szCs w:val="24"/>
                <w:lang w:val="en-US" w:eastAsia="zh-CN"/>
              </w:rPr>
              <w:t>2</w:t>
            </w:r>
          </w:p>
        </w:tc>
        <w:tc>
          <w:tcPr>
            <w:tcW w:w="0" w:type="auto"/>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6CD084F4">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拟担任本项目的项目负责人须具备有效的不低于：贰级机电工程专业注册建造师执业资格，并具备有效的安全生产考核合格证书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须提供以上有效证书的复印件。</w:t>
            </w:r>
          </w:p>
        </w:tc>
      </w:tr>
      <w:bookmarkEnd w:id="3"/>
      <w:tr w14:paraId="5FD7BAF5">
        <w:tblPrEx>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610BF285">
            <w:pPr>
              <w:widowControl/>
              <w:wordWrap w:val="0"/>
              <w:spacing w:line="360" w:lineRule="exact"/>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rPr>
              <w:t>落实政府采购政策的证明材料（专门面向中小企业采购）</w:t>
            </w:r>
          </w:p>
        </w:tc>
        <w:tc>
          <w:tcPr>
            <w:tcW w:w="0" w:type="auto"/>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672601E6">
            <w:pPr>
              <w:widowControl/>
              <w:wordWrap w:val="0"/>
              <w:spacing w:line="360" w:lineRule="exact"/>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rPr>
              <w:t>①本项目专门面向符合财政部、工信部文件（财库〔2020〕46号）规定的中、小、微企业。</w:t>
            </w: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w:t>
            </w: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为监狱企业的，可不提供中小企业声明函，但须提供由省级以上监狱管理局、戒毒管理局（含新疆生产建设兵团）出具的属于监狱企业的证明文件。③残疾人福利性单位视同小型、微型企业，</w:t>
            </w: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为残疾人福利性单位的，可不提供中小企业声明函，但须提供的《残疾人福利性单位声明函》。注：本项目为</w:t>
            </w:r>
            <w:r>
              <w:rPr>
                <w:rFonts w:hint="eastAsia" w:ascii="宋体" w:hAnsi="宋体" w:eastAsia="宋体" w:cs="宋体"/>
                <w:color w:val="auto"/>
                <w:kern w:val="0"/>
                <w:sz w:val="24"/>
                <w:lang w:val="en-US" w:eastAsia="zh-CN"/>
              </w:rPr>
              <w:t>工程</w:t>
            </w:r>
            <w:r>
              <w:rPr>
                <w:rFonts w:hint="eastAsia" w:ascii="宋体" w:hAnsi="宋体" w:eastAsia="宋体" w:cs="宋体"/>
                <w:color w:val="auto"/>
                <w:kern w:val="0"/>
                <w:sz w:val="24"/>
              </w:rPr>
              <w:t>类采购项目，采购标的对应的中小企业划分标准所属行业为</w:t>
            </w:r>
            <w:r>
              <w:rPr>
                <w:rFonts w:hint="eastAsia" w:ascii="宋体" w:hAnsi="宋体" w:eastAsia="宋体" w:cs="宋体"/>
                <w:color w:val="auto"/>
                <w:sz w:val="24"/>
                <w:szCs w:val="24"/>
                <w:lang w:val="en-US" w:eastAsia="zh-CN"/>
              </w:rPr>
              <w:t>建筑</w:t>
            </w:r>
            <w:r>
              <w:rPr>
                <w:rFonts w:hint="eastAsia" w:ascii="宋体" w:hAnsi="宋体" w:eastAsia="宋体" w:cs="宋体"/>
                <w:color w:val="auto"/>
                <w:sz w:val="24"/>
                <w:szCs w:val="24"/>
              </w:rPr>
              <w:t>业</w:t>
            </w:r>
            <w:r>
              <w:rPr>
                <w:rFonts w:hint="eastAsia" w:ascii="宋体" w:hAnsi="宋体" w:eastAsia="宋体" w:cs="宋体"/>
                <w:color w:val="auto"/>
                <w:kern w:val="0"/>
                <w:sz w:val="24"/>
              </w:rPr>
              <w:t>。</w:t>
            </w:r>
          </w:p>
        </w:tc>
      </w:tr>
      <w:bookmarkEnd w:id="2"/>
    </w:tbl>
    <w:p w14:paraId="4E49E33D">
      <w:pPr>
        <w:pStyle w:val="17"/>
        <w:widowControl/>
        <w:spacing w:before="75" w:beforeAutospacing="0" w:after="75" w:afterAutospacing="0" w:line="435" w:lineRule="atLeast"/>
        <w:rPr>
          <w:rFonts w:ascii="宋体" w:hAnsi="宋体" w:eastAsia="宋体" w:cs="宋体"/>
          <w:color w:val="auto"/>
        </w:rPr>
      </w:pPr>
    </w:p>
    <w:p w14:paraId="6A17B0C5">
      <w:pPr>
        <w:pStyle w:val="17"/>
        <w:widowControl/>
        <w:spacing w:before="75" w:beforeAutospacing="0" w:after="75" w:afterAutospacing="0" w:line="435" w:lineRule="atLeast"/>
        <w:ind w:firstLine="480"/>
        <w:rPr>
          <w:rFonts w:ascii="宋体" w:hAnsi="宋体" w:eastAsia="宋体" w:cs="宋体"/>
          <w:color w:val="auto"/>
        </w:rPr>
      </w:pPr>
      <w:r>
        <w:rPr>
          <w:rFonts w:hint="eastAsia" w:ascii="宋体" w:hAnsi="宋体" w:eastAsia="宋体" w:cs="宋体"/>
          <w:color w:val="auto"/>
        </w:rPr>
        <w:t>5.3是否接受联合体形式的响应磋商：不接受</w:t>
      </w:r>
    </w:p>
    <w:p w14:paraId="4BD8F899">
      <w:pPr>
        <w:pStyle w:val="17"/>
        <w:widowControl/>
        <w:spacing w:before="75" w:beforeAutospacing="0" w:after="75" w:afterAutospacing="0" w:line="435" w:lineRule="atLeast"/>
        <w:ind w:firstLine="480"/>
        <w:rPr>
          <w:color w:val="auto"/>
        </w:rPr>
      </w:pPr>
      <w:r>
        <w:rPr>
          <w:rStyle w:val="26"/>
          <w:rFonts w:hint="eastAsia" w:ascii="宋体" w:hAnsi="宋体" w:eastAsia="宋体" w:cs="宋体"/>
          <w:bCs/>
          <w:color w:val="auto"/>
        </w:rPr>
        <w:t>※根据上述资格要求，供应商响应文件中应提交的“资格证明文件”相关规定和资料要求，详见竞争性磋商须知前附表和磋商文件第五章。</w:t>
      </w:r>
    </w:p>
    <w:p w14:paraId="408F4D4E">
      <w:pPr>
        <w:pStyle w:val="37"/>
        <w:keepNext w:val="0"/>
        <w:keepLines w:val="0"/>
        <w:pageBreakBefore w:val="0"/>
        <w:widowControl/>
        <w:kinsoku/>
        <w:wordWrap/>
        <w:overflowPunct/>
        <w:topLinePunct w:val="0"/>
        <w:autoSpaceDE/>
        <w:autoSpaceDN/>
        <w:bidi w:val="0"/>
        <w:adjustRightInd/>
        <w:snapToGrid/>
        <w:spacing w:line="400" w:lineRule="exact"/>
        <w:ind w:firstLine="482"/>
        <w:rPr>
          <w:rFonts w:hint="eastAsia" w:ascii="宋体" w:hAnsi="宋体" w:eastAsia="宋体" w:cs="宋体"/>
          <w:color w:val="auto"/>
          <w:sz w:val="24"/>
          <w:szCs w:val="24"/>
        </w:rPr>
      </w:pPr>
      <w:r>
        <w:rPr>
          <w:rFonts w:hint="eastAsia" w:ascii="宋体" w:hAnsi="宋体" w:eastAsia="宋体" w:cs="宋体"/>
          <w:color w:val="auto"/>
          <w:sz w:val="24"/>
          <w:szCs w:val="24"/>
        </w:rPr>
        <w:t>6、报名</w:t>
      </w:r>
    </w:p>
    <w:p w14:paraId="0B9E31AD">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r>
        <w:rPr>
          <w:rFonts w:hint="eastAsia" w:ascii="宋体" w:hAnsi="宋体" w:eastAsia="宋体" w:cs="宋体"/>
          <w:color w:val="auto"/>
        </w:rPr>
        <w:t>6.1报名期限：202</w:t>
      </w:r>
      <w:r>
        <w:rPr>
          <w:rFonts w:hint="eastAsia" w:ascii="宋体" w:hAnsi="宋体" w:eastAsia="宋体" w:cs="宋体"/>
          <w:color w:val="auto"/>
          <w:lang w:val="en-US" w:eastAsia="zh-CN"/>
        </w:rPr>
        <w:t>4</w:t>
      </w:r>
      <w:r>
        <w:rPr>
          <w:rFonts w:hint="eastAsia" w:ascii="宋体" w:hAnsi="宋体" w:eastAsia="宋体" w:cs="宋体"/>
          <w:color w:val="auto"/>
        </w:rPr>
        <w:t>年</w:t>
      </w:r>
      <w:r>
        <w:rPr>
          <w:rFonts w:hint="eastAsia" w:ascii="宋体" w:hAnsi="宋体" w:eastAsia="宋体" w:cs="宋体"/>
          <w:color w:val="auto"/>
          <w:lang w:val="en-US" w:eastAsia="zh-CN"/>
        </w:rPr>
        <w:t xml:space="preserve">  </w:t>
      </w:r>
      <w:r>
        <w:rPr>
          <w:rFonts w:hint="eastAsia" w:ascii="宋体" w:hAnsi="宋体" w:eastAsia="宋体" w:cs="宋体"/>
          <w:color w:val="auto"/>
        </w:rPr>
        <w:t>月</w:t>
      </w:r>
      <w:r>
        <w:rPr>
          <w:rFonts w:hint="eastAsia" w:ascii="宋体" w:hAnsi="宋体" w:eastAsia="宋体" w:cs="宋体"/>
          <w:color w:val="auto"/>
          <w:lang w:val="en-US" w:eastAsia="zh-CN"/>
        </w:rPr>
        <w:t xml:space="preserve">  </w:t>
      </w:r>
      <w:r>
        <w:rPr>
          <w:rFonts w:hint="eastAsia" w:ascii="宋体" w:hAnsi="宋体" w:eastAsia="宋体" w:cs="宋体"/>
          <w:color w:val="auto"/>
        </w:rPr>
        <w:t>日至202</w:t>
      </w:r>
      <w:r>
        <w:rPr>
          <w:rFonts w:hint="eastAsia" w:ascii="宋体" w:hAnsi="宋体" w:eastAsia="宋体" w:cs="宋体"/>
          <w:color w:val="auto"/>
          <w:lang w:val="en-US" w:eastAsia="zh-CN"/>
        </w:rPr>
        <w:t>4</w:t>
      </w:r>
      <w:r>
        <w:rPr>
          <w:rFonts w:hint="eastAsia" w:ascii="宋体" w:hAnsi="宋体" w:eastAsia="宋体" w:cs="宋体"/>
          <w:color w:val="auto"/>
        </w:rPr>
        <w:t>年</w:t>
      </w:r>
      <w:r>
        <w:rPr>
          <w:rFonts w:hint="eastAsia" w:ascii="宋体" w:hAnsi="宋体" w:eastAsia="宋体" w:cs="宋体"/>
          <w:color w:val="auto"/>
          <w:lang w:val="en-US" w:eastAsia="zh-CN"/>
        </w:rPr>
        <w:t xml:space="preserve">   </w:t>
      </w:r>
      <w:r>
        <w:rPr>
          <w:rFonts w:hint="eastAsia" w:ascii="宋体" w:hAnsi="宋体" w:eastAsia="宋体" w:cs="宋体"/>
          <w:color w:val="auto"/>
        </w:rPr>
        <w:t>月</w:t>
      </w:r>
      <w:r>
        <w:rPr>
          <w:rFonts w:hint="eastAsia" w:ascii="宋体" w:hAnsi="宋体" w:eastAsia="宋体" w:cs="宋体"/>
          <w:color w:val="auto"/>
          <w:lang w:val="en-US" w:eastAsia="zh-CN"/>
        </w:rPr>
        <w:t xml:space="preserve">  </w:t>
      </w:r>
      <w:r>
        <w:rPr>
          <w:rFonts w:hint="eastAsia" w:ascii="宋体" w:hAnsi="宋体" w:eastAsia="宋体" w:cs="宋体"/>
          <w:color w:val="auto"/>
        </w:rPr>
        <w:t>日，每天8：30-12：00，14：30-17：30（公休日、节假日除外）。</w:t>
      </w:r>
    </w:p>
    <w:p w14:paraId="43F1D1AA">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r>
        <w:rPr>
          <w:rFonts w:hint="eastAsia" w:ascii="宋体" w:hAnsi="宋体" w:eastAsia="宋体" w:cs="宋体"/>
          <w:color w:val="auto"/>
        </w:rPr>
        <w:t>6.2报名期限内，供应商应在规定时间内通过竞争性磋商文件规定的方式对本项目进行报名，否则</w:t>
      </w:r>
      <w:r>
        <w:rPr>
          <w:rStyle w:val="26"/>
          <w:rFonts w:hint="eastAsia" w:ascii="宋体" w:hAnsi="宋体" w:eastAsia="宋体" w:cs="宋体"/>
          <w:color w:val="auto"/>
        </w:rPr>
        <w:t>投标将被拒绝。</w:t>
      </w:r>
    </w:p>
    <w:p w14:paraId="2D5FEC6E">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p>
    <w:p w14:paraId="45870186">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r>
        <w:rPr>
          <w:rFonts w:hint="eastAsia" w:ascii="宋体" w:hAnsi="宋体" w:eastAsia="宋体" w:cs="宋体"/>
          <w:color w:val="auto"/>
        </w:rPr>
        <w:t>7、竞争性磋商文件的获取</w:t>
      </w:r>
    </w:p>
    <w:p w14:paraId="1AB656C0">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r>
        <w:rPr>
          <w:rFonts w:hint="eastAsia" w:ascii="宋体" w:hAnsi="宋体" w:eastAsia="宋体" w:cs="宋体"/>
          <w:color w:val="auto"/>
        </w:rPr>
        <w:t>7.1竞争性磋商文件提供期限：202</w:t>
      </w:r>
      <w:r>
        <w:rPr>
          <w:rFonts w:hint="eastAsia" w:ascii="宋体" w:hAnsi="宋体" w:eastAsia="宋体" w:cs="宋体"/>
          <w:color w:val="auto"/>
          <w:lang w:val="en-US" w:eastAsia="zh-CN"/>
        </w:rPr>
        <w:t>4</w:t>
      </w:r>
      <w:r>
        <w:rPr>
          <w:rFonts w:hint="eastAsia" w:ascii="宋体" w:hAnsi="宋体" w:eastAsia="宋体" w:cs="宋体"/>
          <w:color w:val="auto"/>
        </w:rPr>
        <w:t>年</w:t>
      </w:r>
      <w:r>
        <w:rPr>
          <w:rFonts w:hint="eastAsia" w:ascii="宋体" w:hAnsi="宋体" w:eastAsia="宋体" w:cs="宋体"/>
          <w:color w:val="auto"/>
          <w:lang w:val="en-US" w:eastAsia="zh-CN"/>
        </w:rPr>
        <w:t xml:space="preserve">   </w:t>
      </w:r>
      <w:r>
        <w:rPr>
          <w:rFonts w:hint="eastAsia" w:ascii="宋体" w:hAnsi="宋体" w:eastAsia="宋体" w:cs="宋体"/>
          <w:color w:val="auto"/>
        </w:rPr>
        <w:t>月</w:t>
      </w:r>
      <w:r>
        <w:rPr>
          <w:rFonts w:hint="eastAsia" w:ascii="宋体" w:hAnsi="宋体" w:eastAsia="宋体" w:cs="宋体"/>
          <w:color w:val="auto"/>
          <w:lang w:val="en-US" w:eastAsia="zh-CN"/>
        </w:rPr>
        <w:t xml:space="preserve">  </w:t>
      </w:r>
      <w:r>
        <w:rPr>
          <w:rFonts w:hint="eastAsia" w:ascii="宋体" w:hAnsi="宋体" w:eastAsia="宋体" w:cs="宋体"/>
          <w:color w:val="auto"/>
        </w:rPr>
        <w:t>日至202</w:t>
      </w:r>
      <w:r>
        <w:rPr>
          <w:rFonts w:hint="eastAsia" w:ascii="宋体" w:hAnsi="宋体" w:eastAsia="宋体" w:cs="宋体"/>
          <w:color w:val="auto"/>
          <w:lang w:val="en-US" w:eastAsia="zh-CN"/>
        </w:rPr>
        <w:t>4</w:t>
      </w:r>
      <w:r>
        <w:rPr>
          <w:rFonts w:hint="eastAsia" w:ascii="宋体" w:hAnsi="宋体" w:eastAsia="宋体" w:cs="宋体"/>
          <w:color w:val="auto"/>
        </w:rPr>
        <w:t>年</w:t>
      </w:r>
      <w:r>
        <w:rPr>
          <w:rFonts w:hint="eastAsia" w:ascii="宋体" w:hAnsi="宋体" w:eastAsia="宋体" w:cs="宋体"/>
          <w:color w:val="auto"/>
          <w:lang w:val="en-US" w:eastAsia="zh-CN"/>
        </w:rPr>
        <w:t xml:space="preserve">  </w:t>
      </w:r>
      <w:r>
        <w:rPr>
          <w:rFonts w:hint="eastAsia" w:ascii="宋体" w:hAnsi="宋体" w:eastAsia="宋体" w:cs="宋体"/>
          <w:color w:val="auto"/>
        </w:rPr>
        <w:t>月</w:t>
      </w:r>
      <w:r>
        <w:rPr>
          <w:rFonts w:hint="eastAsia" w:ascii="宋体" w:hAnsi="宋体" w:eastAsia="宋体" w:cs="宋体"/>
          <w:color w:val="auto"/>
          <w:lang w:val="en-US" w:eastAsia="zh-CN"/>
        </w:rPr>
        <w:t xml:space="preserve">   </w:t>
      </w:r>
      <w:r>
        <w:rPr>
          <w:rFonts w:hint="eastAsia" w:ascii="宋体" w:hAnsi="宋体" w:eastAsia="宋体" w:cs="宋体"/>
          <w:color w:val="auto"/>
        </w:rPr>
        <w:t>日，每天8：30-12：00，14：30-17：30（公休日、节假日除外）。</w:t>
      </w:r>
    </w:p>
    <w:p w14:paraId="32A5C5F7">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jc w:val="both"/>
        <w:rPr>
          <w:rFonts w:hint="eastAsia" w:ascii="宋体" w:hAnsi="宋体" w:eastAsia="宋体" w:cs="宋体"/>
          <w:b/>
          <w:bCs/>
          <w:color w:val="auto"/>
        </w:rPr>
      </w:pPr>
      <w:r>
        <w:rPr>
          <w:rFonts w:hint="eastAsia" w:ascii="宋体" w:hAnsi="宋体" w:eastAsia="宋体" w:cs="宋体"/>
          <w:b/>
          <w:bCs/>
          <w:color w:val="auto"/>
        </w:rPr>
        <w:t>7.2获取地点及方式：</w:t>
      </w:r>
      <w:r>
        <w:rPr>
          <w:rFonts w:hint="eastAsia" w:ascii="宋体" w:hAnsi="宋体" w:eastAsia="宋体" w:cs="宋体"/>
          <w:b/>
          <w:color w:val="auto"/>
        </w:rPr>
        <w:t>福建信发招标代理有限公司（地址：福州市鼓楼区铜盘路466-3号大自然文化创意园5号楼4层）；</w:t>
      </w:r>
      <w:r>
        <w:rPr>
          <w:rFonts w:hint="eastAsia" w:ascii="宋体" w:hAnsi="宋体" w:eastAsia="宋体" w:cs="宋体"/>
          <w:bCs/>
          <w:color w:val="auto"/>
        </w:rPr>
        <w:t>供应商直接至我司获取</w:t>
      </w:r>
      <w:r>
        <w:rPr>
          <w:rFonts w:hint="eastAsia" w:ascii="宋体" w:hAnsi="宋体" w:eastAsia="宋体" w:cs="宋体"/>
          <w:color w:val="auto"/>
        </w:rPr>
        <w:t>竞争性磋商文件</w:t>
      </w:r>
      <w:r>
        <w:rPr>
          <w:rFonts w:hint="eastAsia" w:ascii="宋体" w:hAnsi="宋体" w:eastAsia="宋体" w:cs="宋体"/>
          <w:bCs/>
          <w:color w:val="auto"/>
        </w:rPr>
        <w:t>的，须填写报名登记表；通过邮件获取</w:t>
      </w:r>
      <w:r>
        <w:rPr>
          <w:rFonts w:hint="eastAsia" w:ascii="宋体" w:hAnsi="宋体" w:eastAsia="宋体" w:cs="宋体"/>
          <w:color w:val="auto"/>
        </w:rPr>
        <w:t>竞争性磋商文件</w:t>
      </w:r>
      <w:r>
        <w:rPr>
          <w:rFonts w:hint="eastAsia" w:ascii="宋体" w:hAnsi="宋体" w:eastAsia="宋体" w:cs="宋体"/>
          <w:bCs/>
          <w:color w:val="auto"/>
        </w:rPr>
        <w:t>的，须将贵公司相关信息（含公司名称、公司电话、联系人、手机、传真、电子邮箱、公司地址、参与投标的项目名称、合同包号及项目编号）填写清楚以电子邮件形式发送给采购代理机构电子信箱（</w:t>
      </w:r>
      <w:r>
        <w:rPr>
          <w:rStyle w:val="41"/>
          <w:rFonts w:hint="eastAsia" w:ascii="宋体" w:hAnsi="宋体" w:eastAsia="宋体" w:cs="宋体"/>
          <w:bCs/>
          <w:color w:val="auto"/>
        </w:rPr>
        <w:t>fjxfzb@126.com</w:t>
      </w:r>
      <w:r>
        <w:rPr>
          <w:rFonts w:hint="eastAsia" w:ascii="宋体" w:hAnsi="宋体" w:eastAsia="宋体" w:cs="宋体"/>
          <w:bCs/>
          <w:color w:val="auto"/>
        </w:rPr>
        <w:t>），</w:t>
      </w:r>
      <w:r>
        <w:rPr>
          <w:rFonts w:hint="eastAsia" w:ascii="宋体" w:hAnsi="宋体" w:eastAsia="宋体" w:cs="宋体"/>
          <w:b/>
          <w:color w:val="auto"/>
        </w:rPr>
        <w:t>并打电话与代理机构前台确认报名成功与否。</w:t>
      </w:r>
      <w:r>
        <w:rPr>
          <w:rFonts w:hint="eastAsia" w:ascii="宋体" w:hAnsi="宋体" w:eastAsia="宋体" w:cs="宋体"/>
          <w:color w:val="auto"/>
        </w:rPr>
        <w:t>潜在供应商需办理报名手续，且获取竞争性磋商文件时的单位名称应与投标时的单位名称一致，</w:t>
      </w:r>
      <w:r>
        <w:rPr>
          <w:rFonts w:hint="eastAsia" w:ascii="宋体" w:hAnsi="宋体" w:eastAsia="宋体" w:cs="宋体"/>
          <w:b/>
          <w:bCs/>
          <w:color w:val="auto"/>
        </w:rPr>
        <w:t>本采购代理机构不接受未办理报名手续的潜在供应商参与投标与质疑。</w:t>
      </w:r>
    </w:p>
    <w:p w14:paraId="3DE9F7E5">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b/>
          <w:bCs/>
          <w:color w:val="auto"/>
        </w:rPr>
      </w:pPr>
      <w:r>
        <w:rPr>
          <w:rFonts w:hint="eastAsia" w:ascii="宋体" w:hAnsi="宋体" w:eastAsia="宋体" w:cs="宋体"/>
          <w:color w:val="auto"/>
        </w:rPr>
        <w:t>7.3、竞争性磋商文件售价：纸质或电子竞争性磋商文件售价0元人民币。如需邮寄，另加50元人民币快递费，采购代理机构不对邮寄过程中的遗失负责，纸质竞争性磋商文件与电子竞争性磋商文件具有同等法律效力，</w:t>
      </w:r>
      <w:r>
        <w:rPr>
          <w:rFonts w:hint="eastAsia" w:ascii="宋体" w:hAnsi="宋体" w:eastAsia="宋体" w:cs="宋体"/>
          <w:b/>
          <w:bCs/>
          <w:color w:val="auto"/>
        </w:rPr>
        <w:t>未报名将导致响应文件被拒收。</w:t>
      </w:r>
    </w:p>
    <w:p w14:paraId="05A4695C">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r>
        <w:rPr>
          <w:rFonts w:hint="eastAsia" w:ascii="宋体" w:hAnsi="宋体" w:eastAsia="宋体" w:cs="宋体"/>
          <w:color w:val="auto"/>
        </w:rPr>
        <w:t>8、投标截止</w:t>
      </w:r>
    </w:p>
    <w:p w14:paraId="3E146B9A">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r>
        <w:rPr>
          <w:rFonts w:hint="eastAsia" w:ascii="宋体" w:hAnsi="宋体" w:eastAsia="宋体" w:cs="宋体"/>
          <w:color w:val="auto"/>
        </w:rPr>
        <w:t>8.1投标截止时间：202</w:t>
      </w:r>
      <w:r>
        <w:rPr>
          <w:rFonts w:hint="eastAsia" w:ascii="宋体" w:hAnsi="宋体" w:eastAsia="宋体" w:cs="宋体"/>
          <w:color w:val="auto"/>
          <w:lang w:val="en-US" w:eastAsia="zh-CN"/>
        </w:rPr>
        <w:t>4</w:t>
      </w:r>
      <w:r>
        <w:rPr>
          <w:rFonts w:hint="eastAsia" w:ascii="宋体" w:hAnsi="宋体" w:eastAsia="宋体" w:cs="宋体"/>
          <w:color w:val="auto"/>
        </w:rPr>
        <w:t>年</w:t>
      </w:r>
      <w:r>
        <w:rPr>
          <w:rFonts w:hint="eastAsia" w:ascii="宋体" w:hAnsi="宋体" w:eastAsia="宋体" w:cs="宋体"/>
          <w:color w:val="auto"/>
          <w:lang w:val="en-US" w:eastAsia="zh-CN"/>
        </w:rPr>
        <w:t xml:space="preserve">   </w:t>
      </w:r>
      <w:r>
        <w:rPr>
          <w:rFonts w:hint="eastAsia" w:ascii="宋体" w:hAnsi="宋体" w:eastAsia="宋体" w:cs="宋体"/>
          <w:color w:val="auto"/>
        </w:rPr>
        <w:t>月</w:t>
      </w:r>
      <w:r>
        <w:rPr>
          <w:rFonts w:hint="eastAsia" w:ascii="宋体" w:hAnsi="宋体" w:eastAsia="宋体" w:cs="宋体"/>
          <w:color w:val="auto"/>
          <w:lang w:val="en-US" w:eastAsia="zh-CN"/>
        </w:rPr>
        <w:t xml:space="preserve">   </w:t>
      </w:r>
      <w:r>
        <w:rPr>
          <w:rFonts w:hint="eastAsia" w:ascii="宋体" w:hAnsi="宋体" w:eastAsia="宋体" w:cs="宋体"/>
          <w:color w:val="auto"/>
        </w:rPr>
        <w:t>日</w:t>
      </w:r>
      <w:r>
        <w:rPr>
          <w:rFonts w:hint="eastAsia" w:ascii="宋体" w:hAnsi="宋体" w:eastAsia="宋体" w:cs="宋体"/>
          <w:color w:val="auto"/>
          <w:lang w:val="en-US" w:eastAsia="zh-CN"/>
        </w:rPr>
        <w:t>上</w:t>
      </w:r>
      <w:r>
        <w:rPr>
          <w:rFonts w:hint="eastAsia" w:ascii="宋体" w:hAnsi="宋体" w:eastAsia="宋体" w:cs="宋体"/>
          <w:color w:val="auto"/>
        </w:rPr>
        <w:t>午</w:t>
      </w:r>
      <w:r>
        <w:rPr>
          <w:rFonts w:hint="eastAsia" w:ascii="宋体" w:hAnsi="宋体" w:eastAsia="宋体" w:cs="宋体"/>
          <w:color w:val="auto"/>
          <w:lang w:val="en-US" w:eastAsia="zh-CN"/>
        </w:rPr>
        <w:t>09</w:t>
      </w:r>
      <w:r>
        <w:rPr>
          <w:rFonts w:hint="eastAsia" w:ascii="宋体" w:hAnsi="宋体" w:eastAsia="宋体" w:cs="宋体"/>
          <w:color w:val="auto"/>
        </w:rPr>
        <w:t>:</w:t>
      </w:r>
      <w:r>
        <w:rPr>
          <w:rFonts w:hint="eastAsia" w:ascii="宋体" w:hAnsi="宋体" w:eastAsia="宋体" w:cs="宋体"/>
          <w:color w:val="auto"/>
          <w:lang w:val="en-US" w:eastAsia="zh-CN"/>
        </w:rPr>
        <w:t>30</w:t>
      </w:r>
      <w:r>
        <w:rPr>
          <w:rFonts w:hint="eastAsia" w:ascii="宋体" w:hAnsi="宋体" w:eastAsia="宋体" w:cs="宋体"/>
          <w:color w:val="auto"/>
        </w:rPr>
        <w:t>（北京时间）。</w:t>
      </w:r>
    </w:p>
    <w:p w14:paraId="127DCF2A">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r>
        <w:rPr>
          <w:rFonts w:hint="eastAsia" w:ascii="宋体" w:hAnsi="宋体" w:eastAsia="宋体" w:cs="宋体"/>
          <w:color w:val="auto"/>
        </w:rPr>
        <w:t>8.2供应商应在投标截止时间前将</w:t>
      </w:r>
      <w:r>
        <w:rPr>
          <w:rStyle w:val="26"/>
          <w:rFonts w:hint="eastAsia" w:ascii="宋体" w:hAnsi="宋体" w:eastAsia="宋体" w:cs="宋体"/>
          <w:color w:val="auto"/>
        </w:rPr>
        <w:t>密封的纸质响应文件</w:t>
      </w:r>
      <w:r>
        <w:rPr>
          <w:rFonts w:hint="eastAsia" w:ascii="宋体" w:hAnsi="宋体" w:eastAsia="宋体" w:cs="宋体"/>
          <w:color w:val="auto"/>
        </w:rPr>
        <w:t>送达竞争性磋商文件第一章第</w:t>
      </w:r>
      <w:r>
        <w:rPr>
          <w:rFonts w:hint="eastAsia" w:ascii="宋体" w:hAnsi="宋体" w:eastAsia="宋体" w:cs="宋体"/>
          <w:color w:val="auto"/>
          <w:lang w:val="en-US" w:eastAsia="zh-CN"/>
        </w:rPr>
        <w:t>9</w:t>
      </w:r>
      <w:r>
        <w:rPr>
          <w:rFonts w:hint="eastAsia" w:ascii="宋体" w:hAnsi="宋体" w:eastAsia="宋体" w:cs="宋体"/>
          <w:color w:val="auto"/>
        </w:rPr>
        <w:t>条载明的地点，否则</w:t>
      </w:r>
      <w:r>
        <w:rPr>
          <w:rStyle w:val="26"/>
          <w:rFonts w:hint="eastAsia" w:ascii="宋体" w:hAnsi="宋体" w:eastAsia="宋体" w:cs="宋体"/>
          <w:color w:val="auto"/>
        </w:rPr>
        <w:t>投标将被拒绝。</w:t>
      </w:r>
    </w:p>
    <w:p w14:paraId="33FECF3E">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r>
        <w:rPr>
          <w:rFonts w:hint="eastAsia" w:ascii="宋体" w:hAnsi="宋体" w:eastAsia="宋体" w:cs="宋体"/>
          <w:color w:val="auto"/>
        </w:rPr>
        <w:t>9、磋商时间及地点：202</w:t>
      </w:r>
      <w:r>
        <w:rPr>
          <w:rFonts w:hint="eastAsia" w:ascii="宋体" w:hAnsi="宋体" w:eastAsia="宋体" w:cs="宋体"/>
          <w:color w:val="auto"/>
          <w:lang w:val="en-US" w:eastAsia="zh-CN"/>
        </w:rPr>
        <w:t>4</w:t>
      </w:r>
      <w:r>
        <w:rPr>
          <w:rFonts w:hint="eastAsia" w:ascii="宋体" w:hAnsi="宋体" w:eastAsia="宋体" w:cs="宋体"/>
          <w:color w:val="auto"/>
        </w:rPr>
        <w:t>年</w:t>
      </w:r>
      <w:r>
        <w:rPr>
          <w:rFonts w:hint="eastAsia" w:ascii="宋体" w:hAnsi="宋体" w:eastAsia="宋体" w:cs="宋体"/>
          <w:color w:val="auto"/>
          <w:lang w:val="en-US" w:eastAsia="zh-CN"/>
        </w:rPr>
        <w:t xml:space="preserve">  </w:t>
      </w:r>
      <w:r>
        <w:rPr>
          <w:rFonts w:hint="eastAsia" w:ascii="宋体" w:hAnsi="宋体" w:eastAsia="宋体" w:cs="宋体"/>
          <w:color w:val="auto"/>
        </w:rPr>
        <w:t>月</w:t>
      </w:r>
      <w:r>
        <w:rPr>
          <w:rFonts w:hint="eastAsia" w:ascii="宋体" w:hAnsi="宋体" w:eastAsia="宋体" w:cs="宋体"/>
          <w:color w:val="auto"/>
          <w:lang w:val="en-US" w:eastAsia="zh-CN"/>
        </w:rPr>
        <w:t xml:space="preserve">  </w:t>
      </w:r>
      <w:r>
        <w:rPr>
          <w:rFonts w:hint="eastAsia" w:ascii="宋体" w:hAnsi="宋体" w:eastAsia="宋体" w:cs="宋体"/>
          <w:color w:val="auto"/>
        </w:rPr>
        <w:t xml:space="preserve">日 </w:t>
      </w:r>
      <w:r>
        <w:rPr>
          <w:rFonts w:hint="eastAsia" w:ascii="宋体" w:hAnsi="宋体" w:eastAsia="宋体" w:cs="宋体"/>
          <w:color w:val="auto"/>
          <w:lang w:val="en-US" w:eastAsia="zh-CN"/>
        </w:rPr>
        <w:t>上</w:t>
      </w:r>
      <w:r>
        <w:rPr>
          <w:rFonts w:hint="eastAsia" w:ascii="宋体" w:hAnsi="宋体" w:eastAsia="宋体" w:cs="宋体"/>
          <w:color w:val="auto"/>
        </w:rPr>
        <w:t>午</w:t>
      </w:r>
      <w:r>
        <w:rPr>
          <w:rFonts w:hint="eastAsia" w:ascii="宋体" w:hAnsi="宋体" w:eastAsia="宋体" w:cs="宋体"/>
          <w:color w:val="auto"/>
          <w:lang w:val="en-US" w:eastAsia="zh-CN"/>
        </w:rPr>
        <w:t>09</w:t>
      </w:r>
      <w:r>
        <w:rPr>
          <w:rFonts w:hint="eastAsia" w:ascii="宋体" w:hAnsi="宋体" w:eastAsia="宋体" w:cs="宋体"/>
          <w:color w:val="auto"/>
        </w:rPr>
        <w:t>:</w:t>
      </w:r>
      <w:r>
        <w:rPr>
          <w:rFonts w:hint="eastAsia" w:ascii="宋体" w:hAnsi="宋体" w:eastAsia="宋体" w:cs="宋体"/>
          <w:color w:val="auto"/>
          <w:lang w:val="en-US" w:eastAsia="zh-CN"/>
        </w:rPr>
        <w:t>30</w:t>
      </w:r>
      <w:r>
        <w:rPr>
          <w:rFonts w:hint="eastAsia" w:ascii="宋体" w:hAnsi="宋体" w:eastAsia="宋体" w:cs="宋体"/>
          <w:color w:val="auto"/>
        </w:rPr>
        <w:t>（北京时间）</w:t>
      </w:r>
      <w:r>
        <w:rPr>
          <w:rFonts w:hint="eastAsia" w:ascii="宋体" w:hAnsi="宋体" w:eastAsia="宋体" w:cs="宋体"/>
          <w:b/>
          <w:bCs/>
          <w:color w:val="auto"/>
        </w:rPr>
        <w:t>，</w:t>
      </w:r>
      <w:r>
        <w:rPr>
          <w:rFonts w:hint="eastAsia" w:ascii="宋体" w:hAnsi="宋体" w:cs="宋体"/>
          <w:b/>
          <w:bCs/>
          <w:color w:val="auto"/>
          <w:sz w:val="24"/>
        </w:rPr>
        <w:t>福建信发招标代理有限公司厦门分公司【福建省厦门市思明区厦禾路1032号中外运大厦A幢20楼】</w:t>
      </w:r>
      <w:r>
        <w:rPr>
          <w:rFonts w:hint="eastAsia" w:ascii="宋体" w:hAnsi="宋体" w:eastAsia="宋体" w:cs="宋体"/>
          <w:color w:val="auto"/>
        </w:rPr>
        <w:t>。 </w:t>
      </w:r>
    </w:p>
    <w:p w14:paraId="4CFE0C8E">
      <w:pPr>
        <w:pStyle w:val="17"/>
        <w:keepNext w:val="0"/>
        <w:keepLines w:val="0"/>
        <w:pageBreakBefore w:val="0"/>
        <w:widowControl/>
        <w:kinsoku/>
        <w:wordWrap/>
        <w:overflowPunct/>
        <w:topLinePunct w:val="0"/>
        <w:autoSpaceDE/>
        <w:autoSpaceDN/>
        <w:bidi w:val="0"/>
        <w:adjustRightInd/>
        <w:snapToGrid/>
        <w:spacing w:beforeAutospacing="0" w:afterAutospacing="0" w:line="400" w:lineRule="exact"/>
        <w:ind w:firstLine="480"/>
        <w:rPr>
          <w:rFonts w:hint="eastAsia" w:ascii="宋体" w:hAnsi="宋体" w:eastAsia="宋体" w:cs="宋体"/>
          <w:color w:val="auto"/>
        </w:rPr>
      </w:pPr>
      <w:r>
        <w:rPr>
          <w:rFonts w:hint="eastAsia" w:ascii="宋体" w:hAnsi="宋体" w:eastAsia="宋体" w:cs="宋体"/>
          <w:color w:val="auto"/>
        </w:rPr>
        <w:t>10、竞争性磋商公告期限：自财政部和福建省财政厅指定的政府采购信息发布媒体最先发布公告之日起3个工作日。</w:t>
      </w:r>
    </w:p>
    <w:p w14:paraId="1B92916B">
      <w:pPr>
        <w:pStyle w:val="17"/>
        <w:widowControl/>
        <w:spacing w:before="75" w:beforeAutospacing="0" w:after="75" w:afterAutospacing="0" w:line="435" w:lineRule="atLeast"/>
        <w:ind w:firstLine="480" w:firstLineChars="200"/>
        <w:rPr>
          <w:rFonts w:hint="eastAsia" w:ascii="宋体" w:hAnsi="宋体" w:eastAsia="宋体" w:cs="宋体"/>
          <w:color w:val="auto"/>
          <w:lang w:eastAsia="zh-CN"/>
        </w:rPr>
      </w:pPr>
      <w:r>
        <w:rPr>
          <w:rFonts w:hint="eastAsia" w:ascii="宋体" w:hAnsi="宋体" w:eastAsia="宋体" w:cs="宋体"/>
          <w:color w:val="auto"/>
        </w:rPr>
        <w:t>11、采购人：</w:t>
      </w:r>
      <w:bookmarkStart w:id="4" w:name="OLE_LINK21"/>
      <w:r>
        <w:rPr>
          <w:rFonts w:hint="eastAsia" w:ascii="宋体" w:hAnsi="宋体" w:eastAsia="宋体" w:cs="宋体"/>
          <w:color w:val="auto"/>
          <w:lang w:eastAsia="zh-CN"/>
        </w:rPr>
        <w:t>福建省翔安监狱</w:t>
      </w:r>
      <w:bookmarkEnd w:id="4"/>
    </w:p>
    <w:p w14:paraId="0A41EF50">
      <w:pPr>
        <w:pStyle w:val="17"/>
        <w:widowControl/>
        <w:spacing w:before="75" w:beforeAutospacing="0" w:after="75" w:afterAutospacing="0" w:line="435" w:lineRule="atLeast"/>
        <w:ind w:firstLine="480"/>
        <w:rPr>
          <w:rFonts w:hint="default" w:ascii="宋体" w:hAnsi="宋体" w:eastAsia="宋体" w:cs="宋体"/>
          <w:color w:val="auto"/>
          <w:lang w:val="en-US" w:eastAsia="zh-CN"/>
        </w:rPr>
      </w:pPr>
      <w:r>
        <w:rPr>
          <w:rFonts w:hint="eastAsia" w:ascii="宋体" w:hAnsi="宋体" w:eastAsia="宋体" w:cs="宋体"/>
          <w:color w:val="auto"/>
        </w:rPr>
        <w:t>联系人</w:t>
      </w:r>
      <w:r>
        <w:rPr>
          <w:rFonts w:hint="eastAsia" w:ascii="宋体" w:hAnsi="宋体" w:eastAsia="宋体" w:cs="宋体"/>
          <w:color w:val="auto"/>
          <w:lang w:eastAsia="zh-CN"/>
        </w:rPr>
        <w:t>：</w:t>
      </w:r>
      <w:r>
        <w:rPr>
          <w:rFonts w:hint="eastAsia" w:ascii="宋体" w:hAnsi="宋体" w:eastAsia="宋体" w:cs="宋体"/>
          <w:color w:val="auto"/>
          <w:lang w:val="en-US" w:eastAsia="zh-CN"/>
        </w:rPr>
        <w:t>纪警官</w:t>
      </w:r>
    </w:p>
    <w:p w14:paraId="51AC29CC">
      <w:pPr>
        <w:pStyle w:val="17"/>
        <w:widowControl/>
        <w:spacing w:before="75" w:beforeAutospacing="0" w:after="75" w:afterAutospacing="0" w:line="435" w:lineRule="atLeast"/>
        <w:ind w:firstLine="480"/>
        <w:rPr>
          <w:rFonts w:hint="default" w:eastAsiaTheme="minorEastAsia"/>
          <w:color w:val="auto"/>
          <w:lang w:val="en-US" w:eastAsia="zh-CN"/>
        </w:rPr>
      </w:pPr>
      <w:r>
        <w:rPr>
          <w:rFonts w:hint="eastAsia" w:ascii="宋体" w:hAnsi="宋体" w:eastAsia="宋体" w:cs="宋体"/>
          <w:color w:val="auto"/>
        </w:rPr>
        <w:t>联系电话：</w:t>
      </w:r>
      <w:r>
        <w:rPr>
          <w:rFonts w:hint="eastAsia"/>
          <w:color w:val="auto"/>
          <w:lang w:val="en-US" w:eastAsia="zh-CN"/>
        </w:rPr>
        <w:t>0592-7888217</w:t>
      </w:r>
    </w:p>
    <w:p w14:paraId="79877AF6">
      <w:pPr>
        <w:pStyle w:val="17"/>
        <w:widowControl/>
        <w:spacing w:before="75" w:beforeAutospacing="0" w:after="75" w:afterAutospacing="0" w:line="435" w:lineRule="atLeast"/>
        <w:ind w:firstLine="480"/>
        <w:rPr>
          <w:rFonts w:hint="default" w:ascii="宋体" w:hAnsi="宋体" w:eastAsia="宋体" w:cs="宋体"/>
          <w:color w:val="auto"/>
          <w:lang w:val="en-US" w:eastAsia="zh-CN"/>
        </w:rPr>
      </w:pPr>
      <w:r>
        <w:rPr>
          <w:rFonts w:hint="eastAsia" w:ascii="宋体" w:hAnsi="宋体" w:eastAsia="宋体" w:cs="宋体"/>
          <w:color w:val="auto"/>
        </w:rPr>
        <w:t>采购人地点：</w:t>
      </w:r>
      <w:r>
        <w:rPr>
          <w:rFonts w:hint="eastAsia" w:ascii="宋体" w:hAnsi="宋体" w:eastAsia="宋体" w:cs="宋体"/>
          <w:color w:val="auto"/>
          <w:lang w:val="en-US" w:eastAsia="zh-CN"/>
        </w:rPr>
        <w:t xml:space="preserve">  </w:t>
      </w:r>
      <w:r>
        <w:rPr>
          <w:rFonts w:hint="eastAsia" w:ascii="宋体" w:hAnsi="宋体" w:eastAsia="宋体" w:cs="宋体"/>
          <w:i w:val="0"/>
          <w:iCs w:val="0"/>
          <w:caps w:val="0"/>
          <w:color w:val="auto"/>
          <w:spacing w:val="0"/>
          <w:sz w:val="24"/>
          <w:szCs w:val="24"/>
          <w:shd w:val="clear" w:fill="FFFFFF"/>
        </w:rPr>
        <w:t>厦门市翔安区内厝镇官路北路1号</w:t>
      </w:r>
    </w:p>
    <w:p w14:paraId="5E152B81">
      <w:pPr>
        <w:pStyle w:val="17"/>
        <w:widowControl/>
        <w:spacing w:before="75" w:beforeAutospacing="0" w:after="75" w:afterAutospacing="0" w:line="435" w:lineRule="atLeast"/>
        <w:ind w:firstLine="480"/>
        <w:rPr>
          <w:rFonts w:ascii="宋体" w:hAnsi="宋体" w:eastAsia="宋体" w:cs="宋体"/>
          <w:color w:val="auto"/>
        </w:rPr>
      </w:pPr>
      <w:r>
        <w:rPr>
          <w:rFonts w:hint="eastAsia" w:ascii="宋体" w:hAnsi="宋体" w:eastAsia="宋体" w:cs="宋体"/>
          <w:color w:val="auto"/>
        </w:rPr>
        <w:t>代理机构：福建信发招标代理有限公司</w:t>
      </w:r>
    </w:p>
    <w:p w14:paraId="1AFAE066">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地  址：福州市鼓楼区铜盘路466-3号大自然文化创意园5号楼4层</w:t>
      </w:r>
    </w:p>
    <w:p w14:paraId="17B139F8">
      <w:pPr>
        <w:pStyle w:val="17"/>
        <w:widowControl/>
        <w:spacing w:before="75" w:beforeAutospacing="0" w:after="75" w:afterAutospacing="0" w:line="435" w:lineRule="atLeast"/>
        <w:ind w:firstLine="480"/>
        <w:rPr>
          <w:rFonts w:eastAsia="宋体"/>
          <w:color w:val="auto"/>
        </w:rPr>
      </w:pPr>
      <w:r>
        <w:rPr>
          <w:rFonts w:hint="eastAsia" w:ascii="宋体" w:hAnsi="宋体" w:eastAsia="宋体" w:cs="宋体"/>
          <w:color w:val="auto"/>
        </w:rPr>
        <w:t>联系人：陈爱光</w:t>
      </w:r>
    </w:p>
    <w:p w14:paraId="022A3F1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联系方法：0591-88002309</w:t>
      </w:r>
    </w:p>
    <w:p w14:paraId="4E2B5366">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w:t>
      </w:r>
    </w:p>
    <w:p w14:paraId="1ED57B75">
      <w:pPr>
        <w:pStyle w:val="17"/>
        <w:widowControl/>
        <w:spacing w:before="75" w:beforeAutospacing="0" w:after="75" w:afterAutospacing="0" w:line="435" w:lineRule="atLeast"/>
        <w:rPr>
          <w:color w:val="auto"/>
        </w:rPr>
      </w:pPr>
      <w:r>
        <w:rPr>
          <w:rFonts w:hint="eastAsia" w:ascii="宋体" w:hAnsi="宋体" w:eastAsia="宋体" w:cs="宋体"/>
          <w:color w:val="auto"/>
        </w:rPr>
        <w:t>附1：购买采购文件和提交磋商保证金的银行账户信息</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936"/>
      </w:tblGrid>
      <w:tr w14:paraId="5F5C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516" w:type="dxa"/>
            <w:shd w:val="clear" w:color="auto" w:fill="auto"/>
            <w:tcMar>
              <w:top w:w="0" w:type="dxa"/>
              <w:left w:w="105" w:type="dxa"/>
              <w:bottom w:w="0" w:type="dxa"/>
              <w:right w:w="105" w:type="dxa"/>
            </w:tcMar>
            <w:vAlign w:val="center"/>
          </w:tcPr>
          <w:p w14:paraId="0EFF4858">
            <w:pPr>
              <w:pStyle w:val="17"/>
              <w:widowControl/>
              <w:spacing w:beforeAutospacing="0" w:afterAutospacing="0"/>
              <w:jc w:val="center"/>
              <w:rPr>
                <w:color w:val="auto"/>
              </w:rPr>
            </w:pPr>
            <w:r>
              <w:rPr>
                <w:rStyle w:val="26"/>
                <w:rFonts w:hint="eastAsia" w:ascii="宋体" w:hAnsi="宋体" w:cs="宋体"/>
                <w:color w:val="auto"/>
              </w:rPr>
              <w:t>磋商保证金账户</w:t>
            </w:r>
          </w:p>
        </w:tc>
      </w:tr>
      <w:tr w14:paraId="2C84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516" w:type="dxa"/>
            <w:shd w:val="clear" w:color="auto" w:fill="auto"/>
            <w:tcMar>
              <w:top w:w="0" w:type="dxa"/>
              <w:left w:w="105" w:type="dxa"/>
              <w:bottom w:w="0" w:type="dxa"/>
              <w:right w:w="105" w:type="dxa"/>
            </w:tcMar>
          </w:tcPr>
          <w:p w14:paraId="5B0A211F">
            <w:pPr>
              <w:pStyle w:val="17"/>
              <w:widowControl/>
              <w:spacing w:beforeAutospacing="0" w:afterAutospacing="0"/>
              <w:rPr>
                <w:color w:val="auto"/>
              </w:rPr>
            </w:pPr>
            <w:r>
              <w:rPr>
                <w:rFonts w:hint="eastAsia" w:ascii="宋体" w:hAnsi="宋体" w:cs="宋体"/>
                <w:color w:val="auto"/>
              </w:rPr>
              <w:t>开户名称：</w:t>
            </w:r>
            <w:r>
              <w:rPr>
                <w:rFonts w:hint="eastAsia" w:ascii="宋体" w:hAnsi="宋体" w:cs="宋体"/>
                <w:color w:val="auto"/>
                <w:u w:val="single"/>
                <w:shd w:val="clear" w:color="auto" w:fill="FFFFFF"/>
              </w:rPr>
              <w:t>福建信发招标代理有限公司</w:t>
            </w:r>
          </w:p>
        </w:tc>
      </w:tr>
      <w:tr w14:paraId="0DAF7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516" w:type="dxa"/>
            <w:shd w:val="clear" w:color="auto" w:fill="auto"/>
            <w:tcMar>
              <w:top w:w="0" w:type="dxa"/>
              <w:left w:w="105" w:type="dxa"/>
              <w:bottom w:w="0" w:type="dxa"/>
              <w:right w:w="105" w:type="dxa"/>
            </w:tcMar>
          </w:tcPr>
          <w:p w14:paraId="58223F5A">
            <w:pPr>
              <w:pStyle w:val="17"/>
              <w:widowControl/>
              <w:spacing w:beforeAutospacing="0" w:afterAutospacing="0"/>
              <w:rPr>
                <w:color w:val="auto"/>
              </w:rPr>
            </w:pPr>
            <w:r>
              <w:rPr>
                <w:rFonts w:hint="eastAsia" w:ascii="宋体" w:hAnsi="宋体" w:cs="宋体"/>
                <w:color w:val="auto"/>
              </w:rPr>
              <w:t>开户银行：福建海峡银行福州鼓楼支行</w:t>
            </w:r>
          </w:p>
        </w:tc>
      </w:tr>
      <w:tr w14:paraId="157C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516" w:type="dxa"/>
            <w:shd w:val="clear" w:color="auto" w:fill="auto"/>
            <w:tcMar>
              <w:top w:w="0" w:type="dxa"/>
              <w:left w:w="105" w:type="dxa"/>
              <w:bottom w:w="0" w:type="dxa"/>
              <w:right w:w="105" w:type="dxa"/>
            </w:tcMar>
          </w:tcPr>
          <w:p w14:paraId="16CAFAC5">
            <w:pPr>
              <w:pStyle w:val="17"/>
              <w:widowControl/>
              <w:spacing w:beforeAutospacing="0" w:afterAutospacing="0"/>
              <w:rPr>
                <w:color w:val="auto"/>
              </w:rPr>
            </w:pPr>
            <w:r>
              <w:rPr>
                <w:rFonts w:hint="eastAsia" w:ascii="宋体" w:hAnsi="宋体" w:cs="宋体"/>
                <w:color w:val="auto"/>
              </w:rPr>
              <w:t>银行账号：100026211970010002。</w:t>
            </w:r>
          </w:p>
        </w:tc>
      </w:tr>
      <w:tr w14:paraId="4F6D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516" w:type="dxa"/>
            <w:shd w:val="clear" w:color="auto" w:fill="auto"/>
            <w:tcMar>
              <w:top w:w="0" w:type="dxa"/>
              <w:left w:w="105" w:type="dxa"/>
              <w:bottom w:w="0" w:type="dxa"/>
              <w:right w:w="105" w:type="dxa"/>
            </w:tcMar>
            <w:vAlign w:val="center"/>
          </w:tcPr>
          <w:p w14:paraId="6F8FBF34">
            <w:pPr>
              <w:pStyle w:val="17"/>
              <w:widowControl/>
              <w:spacing w:beforeAutospacing="0" w:afterAutospacing="0"/>
              <w:jc w:val="center"/>
              <w:rPr>
                <w:color w:val="auto"/>
              </w:rPr>
            </w:pPr>
            <w:r>
              <w:rPr>
                <w:rStyle w:val="26"/>
                <w:rFonts w:hint="eastAsia" w:ascii="宋体" w:hAnsi="宋体" w:cs="宋体"/>
                <w:color w:val="auto"/>
              </w:rPr>
              <w:t>特别提示</w:t>
            </w:r>
          </w:p>
        </w:tc>
      </w:tr>
      <w:tr w14:paraId="304E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516" w:type="dxa"/>
            <w:shd w:val="clear" w:color="auto" w:fill="auto"/>
            <w:tcMar>
              <w:top w:w="0" w:type="dxa"/>
              <w:left w:w="105" w:type="dxa"/>
              <w:bottom w:w="0" w:type="dxa"/>
              <w:right w:w="105" w:type="dxa"/>
            </w:tcMar>
          </w:tcPr>
          <w:p w14:paraId="1F6417B8">
            <w:pPr>
              <w:pStyle w:val="17"/>
              <w:widowControl/>
              <w:spacing w:beforeAutospacing="0" w:afterAutospacing="0"/>
              <w:rPr>
                <w:rFonts w:ascii="宋体" w:hAnsi="宋体" w:cs="宋体"/>
                <w:color w:val="auto"/>
              </w:rPr>
            </w:pPr>
            <w:r>
              <w:rPr>
                <w:rFonts w:hint="eastAsia" w:ascii="宋体" w:hAnsi="宋体" w:cs="宋体"/>
                <w:color w:val="auto"/>
              </w:rPr>
              <w:t>1、供应商应认真核对账户信息，将磋商保证金汇入以上账户，并自行承担因汇错磋商保证金而产生的一切后果。</w:t>
            </w:r>
          </w:p>
          <w:p w14:paraId="1E4195F0">
            <w:pPr>
              <w:pStyle w:val="17"/>
              <w:widowControl/>
              <w:spacing w:beforeAutospacing="0" w:afterAutospacing="0"/>
              <w:rPr>
                <w:color w:val="auto"/>
              </w:rPr>
            </w:pPr>
            <w:r>
              <w:rPr>
                <w:rFonts w:hint="eastAsia" w:ascii="宋体" w:hAnsi="宋体" w:cs="宋体"/>
                <w:color w:val="auto"/>
              </w:rPr>
              <w:t>2、供应商在转账或电汇的凭证上应按照以下格式注明，以便核对：“（项目编号：***、合同包：***）的磋商保证金”。</w:t>
            </w:r>
          </w:p>
        </w:tc>
      </w:tr>
    </w:tbl>
    <w:p w14:paraId="07109A9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w:t>
      </w:r>
    </w:p>
    <w:p w14:paraId="6BD8701B">
      <w:pPr>
        <w:widowControl/>
        <w:jc w:val="left"/>
        <w:rPr>
          <w:color w:val="auto"/>
        </w:rPr>
      </w:pPr>
      <w:r>
        <w:rPr>
          <w:rFonts w:hint="eastAsia" w:ascii="微软雅黑" w:hAnsi="微软雅黑" w:eastAsia="微软雅黑" w:cs="微软雅黑"/>
          <w:color w:val="auto"/>
          <w:kern w:val="0"/>
          <w:sz w:val="19"/>
          <w:szCs w:val="19"/>
          <w:shd w:val="clear" w:color="auto" w:fill="FFFFFF"/>
        </w:rPr>
        <w:t> </w:t>
      </w:r>
    </w:p>
    <w:p w14:paraId="33EFC491">
      <w:pPr>
        <w:pStyle w:val="17"/>
        <w:widowControl/>
        <w:spacing w:before="75" w:beforeAutospacing="0" w:after="75" w:afterAutospacing="0"/>
        <w:jc w:val="center"/>
        <w:rPr>
          <w:rFonts w:ascii="宋体" w:hAnsi="宋体" w:eastAsia="宋体" w:cs="宋体"/>
          <w:color w:val="auto"/>
          <w:shd w:val="clear" w:color="auto" w:fill="FFFFFF"/>
        </w:rPr>
      </w:pPr>
      <w:r>
        <w:rPr>
          <w:rFonts w:hint="eastAsia" w:ascii="宋体" w:hAnsi="宋体" w:eastAsia="宋体" w:cs="宋体"/>
          <w:color w:val="auto"/>
          <w:shd w:val="clear" w:color="auto" w:fill="FFFFFF"/>
        </w:rPr>
        <w:t> </w:t>
      </w:r>
    </w:p>
    <w:p w14:paraId="0BB383E0">
      <w:pPr>
        <w:rPr>
          <w:rFonts w:ascii="宋体" w:hAnsi="宋体" w:eastAsia="宋体" w:cs="宋体"/>
          <w:color w:val="auto"/>
          <w:shd w:val="clear" w:color="auto" w:fill="FFFFFF"/>
        </w:rPr>
      </w:pPr>
      <w:r>
        <w:rPr>
          <w:rFonts w:hint="eastAsia" w:ascii="宋体" w:hAnsi="宋体" w:eastAsia="宋体" w:cs="宋体"/>
          <w:color w:val="auto"/>
          <w:shd w:val="clear" w:color="auto" w:fill="FFFFFF"/>
        </w:rPr>
        <w:br w:type="page"/>
      </w:r>
    </w:p>
    <w:p w14:paraId="054F1F95">
      <w:pPr>
        <w:pStyle w:val="17"/>
        <w:widowControl/>
        <w:spacing w:before="75" w:beforeAutospacing="0" w:after="75" w:afterAutospacing="0"/>
        <w:jc w:val="center"/>
        <w:rPr>
          <w:rStyle w:val="26"/>
          <w:rFonts w:ascii="宋体" w:hAnsi="宋体" w:eastAsia="宋体" w:cs="宋体"/>
          <w:bCs/>
          <w:color w:val="auto"/>
          <w:sz w:val="43"/>
          <w:szCs w:val="43"/>
        </w:rPr>
      </w:pPr>
      <w:r>
        <w:rPr>
          <w:rStyle w:val="26"/>
          <w:rFonts w:hint="eastAsia" w:ascii="宋体" w:hAnsi="宋体" w:eastAsia="宋体" w:cs="宋体"/>
          <w:bCs/>
          <w:color w:val="auto"/>
          <w:sz w:val="43"/>
          <w:szCs w:val="43"/>
        </w:rPr>
        <w:t>第二章  竞争性磋商须知</w:t>
      </w:r>
    </w:p>
    <w:p w14:paraId="024DE35B">
      <w:pPr>
        <w:pStyle w:val="17"/>
        <w:widowControl/>
        <w:spacing w:before="75" w:beforeAutospacing="0" w:after="75" w:afterAutospacing="0"/>
        <w:jc w:val="center"/>
        <w:rPr>
          <w:color w:val="auto"/>
        </w:rPr>
      </w:pPr>
      <w:r>
        <w:rPr>
          <w:rStyle w:val="26"/>
          <w:rFonts w:hint="eastAsia" w:ascii="宋体" w:hAnsi="宋体" w:eastAsia="宋体" w:cs="宋体"/>
          <w:bCs/>
          <w:color w:val="auto"/>
          <w:sz w:val="31"/>
          <w:szCs w:val="31"/>
        </w:rPr>
        <w:t>第1节  竞争性磋商须知前附表</w:t>
      </w:r>
    </w:p>
    <w:p w14:paraId="5FBA95C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竞争性磋商须知前附表是对竞争性磋商须知的补充和细化，二者如有矛盾，以前附表中的要求和规定为准</w:t>
      </w:r>
    </w:p>
    <w:tbl>
      <w:tblPr>
        <w:tblStyle w:val="23"/>
        <w:tblW w:w="51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05"/>
        <w:gridCol w:w="600"/>
        <w:gridCol w:w="8112"/>
      </w:tblGrid>
      <w:tr w14:paraId="47FCE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 w:hRule="atLeast"/>
        </w:trPr>
        <w:tc>
          <w:tcPr>
            <w:tcW w:w="222" w:type="pct"/>
            <w:shd w:val="clear" w:color="auto" w:fill="auto"/>
            <w:tcMar>
              <w:top w:w="0" w:type="dxa"/>
              <w:left w:w="105" w:type="dxa"/>
              <w:bottom w:w="0" w:type="dxa"/>
              <w:right w:w="105" w:type="dxa"/>
            </w:tcMar>
          </w:tcPr>
          <w:p w14:paraId="25AD8B89">
            <w:pPr>
              <w:pStyle w:val="17"/>
              <w:widowControl/>
              <w:spacing w:beforeAutospacing="0" w:afterAutospacing="0" w:line="435" w:lineRule="atLeast"/>
              <w:rPr>
                <w:color w:val="auto"/>
              </w:rPr>
            </w:pPr>
            <w:r>
              <w:rPr>
                <w:rStyle w:val="26"/>
                <w:rFonts w:hint="eastAsia" w:ascii="宋体" w:hAnsi="宋体" w:eastAsia="宋体" w:cs="宋体"/>
                <w:bCs/>
                <w:color w:val="auto"/>
              </w:rPr>
              <w:t>项号</w:t>
            </w:r>
          </w:p>
        </w:tc>
        <w:tc>
          <w:tcPr>
            <w:tcW w:w="329" w:type="pct"/>
            <w:shd w:val="clear" w:color="auto" w:fill="auto"/>
            <w:tcMar>
              <w:top w:w="0" w:type="dxa"/>
              <w:left w:w="105" w:type="dxa"/>
              <w:bottom w:w="0" w:type="dxa"/>
              <w:right w:w="105" w:type="dxa"/>
            </w:tcMar>
          </w:tcPr>
          <w:p w14:paraId="50BA1DAD">
            <w:pPr>
              <w:pStyle w:val="17"/>
              <w:widowControl/>
              <w:spacing w:beforeAutospacing="0" w:afterAutospacing="0" w:line="435" w:lineRule="atLeast"/>
              <w:rPr>
                <w:color w:val="auto"/>
              </w:rPr>
            </w:pPr>
            <w:r>
              <w:rPr>
                <w:rStyle w:val="26"/>
                <w:rFonts w:hint="eastAsia" w:ascii="宋体" w:hAnsi="宋体" w:eastAsia="宋体" w:cs="宋体"/>
                <w:bCs/>
                <w:color w:val="auto"/>
              </w:rPr>
              <w:t>条款号</w:t>
            </w:r>
          </w:p>
        </w:tc>
        <w:tc>
          <w:tcPr>
            <w:tcW w:w="4448" w:type="pct"/>
            <w:shd w:val="clear" w:color="auto" w:fill="auto"/>
            <w:tcMar>
              <w:top w:w="0" w:type="dxa"/>
              <w:left w:w="105" w:type="dxa"/>
              <w:bottom w:w="0" w:type="dxa"/>
              <w:right w:w="105" w:type="dxa"/>
            </w:tcMar>
          </w:tcPr>
          <w:p w14:paraId="4D0BD291">
            <w:pPr>
              <w:pStyle w:val="17"/>
              <w:widowControl/>
              <w:spacing w:beforeAutospacing="0" w:afterAutospacing="0" w:line="435" w:lineRule="atLeast"/>
              <w:jc w:val="center"/>
              <w:rPr>
                <w:color w:val="auto"/>
              </w:rPr>
            </w:pPr>
            <w:r>
              <w:rPr>
                <w:rStyle w:val="26"/>
                <w:rFonts w:hint="eastAsia" w:ascii="宋体" w:hAnsi="宋体" w:eastAsia="宋体" w:cs="宋体"/>
                <w:bCs/>
                <w:color w:val="auto"/>
              </w:rPr>
              <w:t>编列内容</w:t>
            </w:r>
          </w:p>
        </w:tc>
      </w:tr>
      <w:tr w14:paraId="617D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40EBF237">
            <w:pPr>
              <w:pStyle w:val="17"/>
              <w:widowControl/>
              <w:spacing w:beforeAutospacing="0" w:afterAutospacing="0" w:line="435" w:lineRule="atLeast"/>
              <w:jc w:val="center"/>
              <w:rPr>
                <w:color w:val="auto"/>
              </w:rPr>
            </w:pPr>
            <w:r>
              <w:rPr>
                <w:rFonts w:hint="eastAsia" w:ascii="宋体" w:hAnsi="宋体" w:eastAsia="宋体" w:cs="宋体"/>
                <w:color w:val="auto"/>
              </w:rPr>
              <w:t>1</w:t>
            </w:r>
          </w:p>
        </w:tc>
        <w:tc>
          <w:tcPr>
            <w:tcW w:w="329" w:type="pct"/>
            <w:shd w:val="clear" w:color="auto" w:fill="auto"/>
            <w:tcMar>
              <w:top w:w="0" w:type="dxa"/>
              <w:left w:w="105" w:type="dxa"/>
              <w:bottom w:w="0" w:type="dxa"/>
              <w:right w:w="105" w:type="dxa"/>
            </w:tcMar>
            <w:vAlign w:val="center"/>
          </w:tcPr>
          <w:p w14:paraId="2E236002">
            <w:pPr>
              <w:pStyle w:val="17"/>
              <w:widowControl/>
              <w:spacing w:beforeAutospacing="0" w:afterAutospacing="0" w:line="435" w:lineRule="atLeast"/>
              <w:rPr>
                <w:color w:val="auto"/>
              </w:rPr>
            </w:pPr>
            <w:r>
              <w:rPr>
                <w:rFonts w:hint="eastAsia" w:ascii="宋体" w:hAnsi="宋体" w:eastAsia="宋体" w:cs="宋体"/>
                <w:color w:val="auto"/>
              </w:rPr>
              <w:t>3.2.1</w:t>
            </w:r>
          </w:p>
        </w:tc>
        <w:tc>
          <w:tcPr>
            <w:tcW w:w="4448" w:type="pct"/>
            <w:shd w:val="clear" w:color="auto" w:fill="auto"/>
            <w:tcMar>
              <w:top w:w="0" w:type="dxa"/>
              <w:left w:w="105" w:type="dxa"/>
              <w:bottom w:w="0" w:type="dxa"/>
              <w:right w:w="105" w:type="dxa"/>
            </w:tcMar>
            <w:vAlign w:val="center"/>
          </w:tcPr>
          <w:p w14:paraId="0C8D4771">
            <w:pPr>
              <w:pStyle w:val="17"/>
              <w:widowControl/>
              <w:spacing w:beforeAutospacing="0" w:afterAutospacing="0" w:line="435" w:lineRule="atLeast"/>
              <w:rPr>
                <w:color w:val="auto"/>
              </w:rPr>
            </w:pPr>
            <w:r>
              <w:rPr>
                <w:rStyle w:val="26"/>
                <w:rFonts w:hint="eastAsia" w:ascii="宋体" w:hAnsi="宋体" w:eastAsia="宋体" w:cs="宋体"/>
                <w:bCs/>
                <w:color w:val="auto"/>
              </w:rPr>
              <w:t>供应商的资格要求</w:t>
            </w:r>
            <w:r>
              <w:rPr>
                <w:rFonts w:hint="eastAsia" w:ascii="宋体" w:hAnsi="宋体" w:eastAsia="宋体" w:cs="宋体"/>
                <w:color w:val="auto"/>
              </w:rPr>
              <w:t>：见磋商文件第一章“采购公告/采购邀请书”</w:t>
            </w:r>
          </w:p>
          <w:p w14:paraId="37E34900">
            <w:pPr>
              <w:pStyle w:val="17"/>
              <w:widowControl/>
              <w:spacing w:beforeAutospacing="0" w:afterAutospacing="0" w:line="435" w:lineRule="atLeast"/>
              <w:rPr>
                <w:color w:val="auto"/>
              </w:rPr>
            </w:pPr>
            <w:r>
              <w:rPr>
                <w:rFonts w:hint="eastAsia" w:ascii="宋体" w:hAnsi="宋体" w:eastAsia="宋体" w:cs="宋体"/>
                <w:color w:val="auto"/>
              </w:rPr>
              <w:t>资格证明文件资料要求：</w:t>
            </w:r>
          </w:p>
          <w:tbl>
            <w:tblPr>
              <w:tblStyle w:val="23"/>
              <w:tblW w:w="4996" w:type="pct"/>
              <w:tblInd w:w="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2337"/>
              <w:gridCol w:w="5543"/>
            </w:tblGrid>
            <w:tr w14:paraId="1F6063B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Header/>
              </w:trPr>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13C7DCED">
                  <w:pPr>
                    <w:widowControl/>
                    <w:jc w:val="left"/>
                    <w:rPr>
                      <w:b/>
                      <w:bCs/>
                      <w:color w:val="auto"/>
                    </w:rPr>
                  </w:pPr>
                  <w:r>
                    <w:rPr>
                      <w:rFonts w:ascii="宋体" w:hAnsi="宋体" w:eastAsia="宋体" w:cs="宋体"/>
                      <w:b/>
                      <w:bCs/>
                      <w:color w:val="auto"/>
                      <w:kern w:val="0"/>
                      <w:sz w:val="24"/>
                    </w:rPr>
                    <w:t>明细</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4C967425">
                  <w:pPr>
                    <w:widowControl/>
                    <w:jc w:val="left"/>
                    <w:rPr>
                      <w:b/>
                      <w:bCs/>
                      <w:color w:val="auto"/>
                    </w:rPr>
                  </w:pPr>
                  <w:r>
                    <w:rPr>
                      <w:rFonts w:ascii="宋体" w:hAnsi="宋体" w:eastAsia="宋体" w:cs="宋体"/>
                      <w:b/>
                      <w:bCs/>
                      <w:color w:val="auto"/>
                      <w:kern w:val="0"/>
                      <w:sz w:val="24"/>
                    </w:rPr>
                    <w:t>描述</w:t>
                  </w:r>
                </w:p>
              </w:tc>
            </w:tr>
            <w:tr w14:paraId="19A9142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216DD211">
                  <w:pPr>
                    <w:widowControl/>
                    <w:jc w:val="left"/>
                    <w:rPr>
                      <w:color w:val="auto"/>
                    </w:rPr>
                  </w:pPr>
                  <w:r>
                    <w:rPr>
                      <w:rFonts w:ascii="宋体" w:hAnsi="宋体" w:eastAsia="宋体" w:cs="宋体"/>
                      <w:color w:val="auto"/>
                      <w:kern w:val="0"/>
                      <w:sz w:val="24"/>
                    </w:rPr>
                    <w:t>a1</w:t>
                  </w:r>
                  <w:r>
                    <w:rPr>
                      <w:rFonts w:hint="eastAsia" w:ascii="宋体" w:hAnsi="宋体" w:eastAsia="宋体" w:cs="宋体"/>
                      <w:color w:val="auto"/>
                      <w:sz w:val="24"/>
                      <w:szCs w:val="24"/>
                    </w:rPr>
                    <w:t>磋商响应声明</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356D0D82">
                  <w:pPr>
                    <w:rPr>
                      <w:rFonts w:ascii="宋体"/>
                      <w:color w:val="auto"/>
                      <w:sz w:val="24"/>
                    </w:rPr>
                  </w:pPr>
                  <w:r>
                    <w:rPr>
                      <w:rFonts w:hint="eastAsia" w:ascii="宋体" w:hAnsi="宋体" w:eastAsia="宋体" w:cs="宋体"/>
                      <w:color w:val="auto"/>
                      <w:sz w:val="24"/>
                      <w:szCs w:val="24"/>
                    </w:rPr>
                    <w:t>详见声明函</w:t>
                  </w:r>
                </w:p>
              </w:tc>
            </w:tr>
            <w:tr w14:paraId="54ABA6B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4A6D7D49">
                  <w:pPr>
                    <w:widowControl/>
                    <w:jc w:val="left"/>
                    <w:rPr>
                      <w:color w:val="auto"/>
                    </w:rPr>
                  </w:pPr>
                  <w:r>
                    <w:rPr>
                      <w:rFonts w:ascii="宋体" w:hAnsi="宋体" w:eastAsia="宋体" w:cs="宋体"/>
                      <w:color w:val="auto"/>
                      <w:kern w:val="0"/>
                      <w:sz w:val="24"/>
                    </w:rPr>
                    <w:t>a2单位负责人授权书</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11A589F1">
                  <w:pPr>
                    <w:widowControl/>
                    <w:jc w:val="left"/>
                    <w:rPr>
                      <w:color w:val="auto"/>
                    </w:rPr>
                  </w:pPr>
                  <w:r>
                    <w:rPr>
                      <w:rFonts w:hint="eastAsia" w:ascii="宋体" w:hAnsi="宋体" w:eastAsia="宋体" w:cs="宋体"/>
                      <w:color w:val="auto"/>
                      <w:sz w:val="24"/>
                      <w:szCs w:val="24"/>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14:paraId="3825396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575FACE1">
                  <w:pPr>
                    <w:widowControl/>
                    <w:jc w:val="left"/>
                    <w:rPr>
                      <w:color w:val="auto"/>
                    </w:rPr>
                  </w:pPr>
                  <w:r>
                    <w:rPr>
                      <w:rFonts w:ascii="宋体" w:hAnsi="宋体" w:eastAsia="宋体" w:cs="宋体"/>
                      <w:color w:val="auto"/>
                      <w:kern w:val="0"/>
                      <w:sz w:val="24"/>
                    </w:rPr>
                    <w:t>a3法人或者其他组织的营业执照等证明文件，自然人的身份证明</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4B8AADA1">
                  <w:pPr>
                    <w:widowControl/>
                    <w:jc w:val="left"/>
                    <w:rPr>
                      <w:color w:val="auto"/>
                    </w:rPr>
                  </w:pPr>
                  <w:r>
                    <w:rPr>
                      <w:rFonts w:hint="eastAsia" w:ascii="宋体" w:hAnsi="宋体" w:eastAsia="宋体" w:cs="宋体"/>
                      <w:color w:val="auto"/>
                      <w:sz w:val="24"/>
                      <w:szCs w:val="24"/>
                    </w:rPr>
                    <w:t>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14:paraId="6539748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5B07DB6C">
                  <w:pPr>
                    <w:widowControl/>
                    <w:jc w:val="left"/>
                    <w:rPr>
                      <w:color w:val="auto"/>
                    </w:rPr>
                  </w:pPr>
                  <w:r>
                    <w:rPr>
                      <w:rFonts w:ascii="宋体" w:hAnsi="宋体" w:eastAsia="宋体" w:cs="宋体"/>
                      <w:color w:val="auto"/>
                      <w:kern w:val="0"/>
                      <w:sz w:val="24"/>
                    </w:rPr>
                    <w:t>a4财务状况报告</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19007DDC">
                  <w:pPr>
                    <w:widowControl/>
                    <w:jc w:val="left"/>
                    <w:rPr>
                      <w:color w:val="auto"/>
                    </w:rPr>
                  </w:pPr>
                  <w:r>
                    <w:rPr>
                      <w:rFonts w:hint="eastAsia" w:ascii="宋体" w:hAnsi="宋体" w:cs="宋体"/>
                      <w:color w:val="auto"/>
                      <w:kern w:val="0"/>
                      <w:sz w:val="24"/>
                      <w:szCs w:val="24"/>
                    </w:rPr>
                    <w:t xml:space="preserve">供应商提供的财务报告复印件（成立年限按照提交响应文件截止时间推算）应符合下列规定：a.成立年限满1年及以上的供应商，提供经审计的2023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 </w:t>
                  </w:r>
                </w:p>
              </w:tc>
            </w:tr>
            <w:tr w14:paraId="0798B29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6963A38E">
                  <w:pPr>
                    <w:widowControl/>
                    <w:jc w:val="left"/>
                    <w:rPr>
                      <w:color w:val="auto"/>
                    </w:rPr>
                  </w:pPr>
                  <w:r>
                    <w:rPr>
                      <w:rFonts w:ascii="宋体" w:hAnsi="宋体" w:eastAsia="宋体" w:cs="宋体"/>
                      <w:color w:val="auto"/>
                      <w:kern w:val="0"/>
                      <w:sz w:val="24"/>
                    </w:rPr>
                    <w:t>a5依法缴纳税收的相关材料</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349B823E">
                  <w:pPr>
                    <w:widowControl/>
                    <w:jc w:val="left"/>
                    <w:rPr>
                      <w:color w:val="auto"/>
                    </w:rPr>
                  </w:pPr>
                  <w:r>
                    <w:rPr>
                      <w:rFonts w:hint="eastAsia" w:ascii="宋体" w:hAnsi="宋体" w:eastAsia="宋体" w:cs="宋体"/>
                      <w:color w:val="auto"/>
                      <w:sz w:val="24"/>
                      <w:szCs w:val="24"/>
                    </w:rPr>
                    <w:t>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14:paraId="565A721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1C142E65">
                  <w:pPr>
                    <w:widowControl/>
                    <w:jc w:val="left"/>
                    <w:rPr>
                      <w:color w:val="auto"/>
                    </w:rPr>
                  </w:pPr>
                  <w:r>
                    <w:rPr>
                      <w:rFonts w:ascii="宋体" w:hAnsi="宋体" w:eastAsia="宋体" w:cs="宋体"/>
                      <w:color w:val="auto"/>
                      <w:kern w:val="0"/>
                      <w:sz w:val="24"/>
                    </w:rPr>
                    <w:t>a6依法缴纳社会保障资金的相关材料</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2292636F">
                  <w:pPr>
                    <w:widowControl/>
                    <w:jc w:val="left"/>
                    <w:rPr>
                      <w:color w:val="auto"/>
                    </w:rPr>
                  </w:pPr>
                  <w:r>
                    <w:rPr>
                      <w:rFonts w:hint="eastAsia" w:ascii="宋体" w:hAnsi="宋体" w:eastAsia="宋体" w:cs="宋体"/>
                      <w:color w:val="auto"/>
                      <w:sz w:val="24"/>
                      <w:szCs w:val="24"/>
                    </w:rPr>
                    <w:t>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14:paraId="2AD1AAF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27472E92">
                  <w:pPr>
                    <w:widowControl/>
                    <w:jc w:val="left"/>
                    <w:rPr>
                      <w:color w:val="auto"/>
                    </w:rPr>
                  </w:pPr>
                  <w:r>
                    <w:rPr>
                      <w:rFonts w:ascii="宋体" w:hAnsi="宋体" w:eastAsia="宋体" w:cs="宋体"/>
                      <w:color w:val="auto"/>
                      <w:kern w:val="0"/>
                      <w:sz w:val="24"/>
                    </w:rPr>
                    <w:t>a7</w:t>
                  </w:r>
                  <w:r>
                    <w:rPr>
                      <w:rFonts w:hint="eastAsia" w:ascii="宋体" w:hAnsi="宋体" w:eastAsia="宋体" w:cs="宋体"/>
                      <w:color w:val="auto"/>
                      <w:sz w:val="24"/>
                      <w:szCs w:val="24"/>
                    </w:rPr>
                    <w:t>具备履行合同所必需设备和专业技术能力的声明函(若有)</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6CC33F92">
                  <w:pPr>
                    <w:widowControl/>
                    <w:jc w:val="left"/>
                    <w:rPr>
                      <w:color w:val="auto"/>
                    </w:rPr>
                  </w:pPr>
                  <w:r>
                    <w:rPr>
                      <w:rFonts w:hint="eastAsia" w:ascii="宋体" w:hAnsi="宋体" w:eastAsia="宋体" w:cs="宋体"/>
                      <w:color w:val="auto"/>
                      <w:sz w:val="24"/>
                      <w:szCs w:val="24"/>
                    </w:rPr>
                    <w:t>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14:paraId="5B7B59F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36042413">
                  <w:pPr>
                    <w:widowControl/>
                    <w:jc w:val="left"/>
                    <w:rPr>
                      <w:color w:val="auto"/>
                    </w:rPr>
                  </w:pPr>
                  <w:r>
                    <w:rPr>
                      <w:rFonts w:ascii="宋体" w:hAnsi="宋体" w:eastAsia="宋体" w:cs="宋体"/>
                      <w:color w:val="auto"/>
                      <w:kern w:val="0"/>
                      <w:sz w:val="24"/>
                    </w:rPr>
                    <w:t>a8</w:t>
                  </w:r>
                  <w:r>
                    <w:rPr>
                      <w:rFonts w:hint="eastAsia" w:ascii="宋体" w:hAnsi="宋体" w:eastAsia="宋体" w:cs="宋体"/>
                      <w:color w:val="auto"/>
                      <w:sz w:val="24"/>
                      <w:szCs w:val="24"/>
                    </w:rPr>
                    <w:t>参加采购活动前三年内在经营活动中没有重大违法记录的声明</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41B46087">
                  <w:pPr>
                    <w:widowControl/>
                    <w:jc w:val="left"/>
                    <w:rPr>
                      <w:color w:val="auto"/>
                    </w:rPr>
                  </w:pPr>
                  <w:r>
                    <w:rPr>
                      <w:rFonts w:hint="eastAsia" w:ascii="宋体" w:hAnsi="宋体" w:eastAsia="宋体" w:cs="宋体"/>
                      <w:color w:val="auto"/>
                      <w:sz w:val="24"/>
                      <w:szCs w:val="24"/>
                    </w:rPr>
                    <w:t>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3D8C06A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55AAC8C3">
                  <w:pPr>
                    <w:widowControl/>
                    <w:jc w:val="left"/>
                    <w:rPr>
                      <w:color w:val="auto"/>
                    </w:rPr>
                  </w:pPr>
                  <w:r>
                    <w:rPr>
                      <w:rFonts w:ascii="宋体" w:hAnsi="宋体" w:eastAsia="宋体" w:cs="宋体"/>
                      <w:color w:val="auto"/>
                      <w:kern w:val="0"/>
                      <w:sz w:val="24"/>
                    </w:rPr>
                    <w:t>a9</w:t>
                  </w:r>
                  <w:r>
                    <w:rPr>
                      <w:rFonts w:hint="eastAsia" w:ascii="宋体" w:hAnsi="宋体" w:eastAsia="宋体" w:cs="宋体"/>
                      <w:color w:val="auto"/>
                      <w:sz w:val="24"/>
                      <w:szCs w:val="24"/>
                    </w:rPr>
                    <w:t>中小企业声明函（以资格条件落实中小企业扶持政策时适用 ）</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78C5F93C">
                  <w:pPr>
                    <w:widowControl/>
                    <w:jc w:val="left"/>
                    <w:rPr>
                      <w:color w:val="auto"/>
                    </w:rPr>
                  </w:pPr>
                  <w:r>
                    <w:rPr>
                      <w:rFonts w:hint="eastAsia" w:ascii="宋体" w:hAnsi="宋体" w:eastAsia="宋体" w:cs="宋体"/>
                      <w:color w:val="auto"/>
                      <w:sz w:val="24"/>
                      <w:szCs w:val="24"/>
                    </w:rPr>
                    <w:t>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14:paraId="3CFC57F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4F8842FE">
                  <w:pPr>
                    <w:widowControl/>
                    <w:jc w:val="left"/>
                    <w:rPr>
                      <w:color w:val="auto"/>
                    </w:rPr>
                  </w:pPr>
                  <w:r>
                    <w:rPr>
                      <w:rFonts w:ascii="宋体" w:hAnsi="宋体" w:eastAsia="宋体" w:cs="宋体"/>
                      <w:color w:val="auto"/>
                      <w:kern w:val="0"/>
                      <w:sz w:val="24"/>
                    </w:rPr>
                    <w:t>a10信用信息查询结果</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6A860089">
                  <w:pPr>
                    <w:rPr>
                      <w:rFonts w:ascii="宋体"/>
                      <w:color w:val="auto"/>
                      <w:sz w:val="24"/>
                    </w:rPr>
                  </w:pPr>
                  <w:r>
                    <w:rPr>
                      <w:rFonts w:hint="eastAsia" w:ascii="宋体" w:hAnsi="宋体" w:eastAsia="宋体" w:cs="宋体"/>
                      <w:color w:val="auto"/>
                      <w:sz w:val="24"/>
                      <w:szCs w:val="24"/>
                    </w:rPr>
                    <w:t>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14:paraId="10ADA96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1482" w:type="pct"/>
                  <w:tcBorders>
                    <w:top w:val="outset" w:color="auto" w:sz="6" w:space="0"/>
                    <w:left w:val="outset" w:color="auto" w:sz="6" w:space="0"/>
                    <w:bottom w:val="outset" w:color="auto" w:sz="6" w:space="0"/>
                    <w:right w:val="outset" w:color="auto" w:sz="6" w:space="0"/>
                  </w:tcBorders>
                  <w:shd w:val="clear" w:color="auto" w:fill="auto"/>
                  <w:vAlign w:val="center"/>
                </w:tcPr>
                <w:p w14:paraId="2B84E980">
                  <w:pPr>
                    <w:widowControl/>
                    <w:jc w:val="left"/>
                    <w:rPr>
                      <w:color w:val="auto"/>
                    </w:rPr>
                  </w:pPr>
                  <w:r>
                    <w:rPr>
                      <w:rFonts w:ascii="宋体" w:hAnsi="宋体" w:eastAsia="宋体" w:cs="宋体"/>
                      <w:color w:val="auto"/>
                      <w:kern w:val="0"/>
                      <w:sz w:val="24"/>
                    </w:rPr>
                    <w:t>a11</w:t>
                  </w:r>
                  <w:r>
                    <w:rPr>
                      <w:rFonts w:hint="eastAsia" w:ascii="宋体" w:hAnsi="宋体" w:eastAsia="宋体" w:cs="宋体"/>
                      <w:color w:val="auto"/>
                      <w:kern w:val="0"/>
                      <w:sz w:val="24"/>
                    </w:rPr>
                    <w:t>磋商保证金</w:t>
                  </w:r>
                </w:p>
              </w:tc>
              <w:tc>
                <w:tcPr>
                  <w:tcW w:w="3517" w:type="pct"/>
                  <w:tcBorders>
                    <w:top w:val="outset" w:color="auto" w:sz="6" w:space="0"/>
                    <w:left w:val="outset" w:color="auto" w:sz="6" w:space="0"/>
                    <w:bottom w:val="outset" w:color="auto" w:sz="6" w:space="0"/>
                    <w:right w:val="outset" w:color="auto" w:sz="6" w:space="0"/>
                  </w:tcBorders>
                  <w:shd w:val="clear" w:color="auto" w:fill="auto"/>
                  <w:vAlign w:val="center"/>
                </w:tcPr>
                <w:p w14:paraId="1EEF5AAD">
                  <w:pPr>
                    <w:rPr>
                      <w:rFonts w:ascii="宋体"/>
                      <w:color w:val="auto"/>
                      <w:sz w:val="24"/>
                    </w:rPr>
                  </w:pPr>
                </w:p>
              </w:tc>
            </w:tr>
          </w:tbl>
          <w:p w14:paraId="7B111F86">
            <w:pPr>
              <w:pStyle w:val="17"/>
              <w:widowControl/>
              <w:spacing w:beforeAutospacing="0" w:afterAutospacing="0" w:line="435" w:lineRule="atLeast"/>
              <w:rPr>
                <w:color w:val="auto"/>
              </w:rPr>
            </w:pPr>
            <w:r>
              <w:rPr>
                <w:rFonts w:hint="eastAsia" w:ascii="宋体" w:hAnsi="宋体" w:eastAsia="宋体" w:cs="宋体"/>
                <w:color w:val="auto"/>
              </w:rPr>
              <w:t>特定资格条件：</w:t>
            </w:r>
          </w:p>
          <w:p w14:paraId="563958B1">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包：1</w:t>
            </w:r>
          </w:p>
          <w:tbl>
            <w:tblPr>
              <w:tblStyle w:val="23"/>
              <w:tblW w:w="4998" w:type="pct"/>
              <w:tblInd w:w="0" w:type="dxa"/>
              <w:tblLayout w:type="fixed"/>
              <w:tblCellMar>
                <w:top w:w="0" w:type="dxa"/>
                <w:left w:w="0" w:type="dxa"/>
                <w:bottom w:w="0" w:type="dxa"/>
                <w:right w:w="0" w:type="dxa"/>
              </w:tblCellMar>
            </w:tblPr>
            <w:tblGrid>
              <w:gridCol w:w="1793"/>
              <w:gridCol w:w="6106"/>
            </w:tblGrid>
            <w:tr w14:paraId="77693891">
              <w:tblPrEx>
                <w:tblCellMar>
                  <w:top w:w="0" w:type="dxa"/>
                  <w:left w:w="0" w:type="dxa"/>
                  <w:bottom w:w="0" w:type="dxa"/>
                  <w:right w:w="0" w:type="dxa"/>
                </w:tblCellMar>
              </w:tblPrEx>
              <w:tc>
                <w:tcPr>
                  <w:tcW w:w="1135"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E05D1B6">
                  <w:pPr>
                    <w:widowControl/>
                    <w:wordWrap w:val="0"/>
                    <w:spacing w:line="360" w:lineRule="exact"/>
                    <w:jc w:val="left"/>
                    <w:rPr>
                      <w:rFonts w:ascii="宋体" w:hAnsi="宋体" w:eastAsia="宋体" w:cs="宋体"/>
                      <w:b/>
                      <w:bCs/>
                      <w:color w:val="auto"/>
                      <w:sz w:val="24"/>
                    </w:rPr>
                  </w:pPr>
                  <w:r>
                    <w:rPr>
                      <w:rFonts w:hint="eastAsia" w:ascii="宋体" w:hAnsi="宋体" w:eastAsia="宋体" w:cs="宋体"/>
                      <w:b/>
                      <w:bCs/>
                      <w:color w:val="auto"/>
                      <w:kern w:val="0"/>
                      <w:sz w:val="24"/>
                    </w:rPr>
                    <w:t>资格审查要求概况</w:t>
                  </w:r>
                </w:p>
              </w:tc>
              <w:tc>
                <w:tcPr>
                  <w:tcW w:w="3864"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7D11CDBC">
                  <w:pPr>
                    <w:widowControl/>
                    <w:wordWrap w:val="0"/>
                    <w:spacing w:line="360" w:lineRule="exact"/>
                    <w:jc w:val="left"/>
                    <w:rPr>
                      <w:rFonts w:ascii="宋体" w:hAnsi="宋体" w:eastAsia="宋体" w:cs="宋体"/>
                      <w:b/>
                      <w:bCs/>
                      <w:color w:val="auto"/>
                      <w:sz w:val="24"/>
                    </w:rPr>
                  </w:pPr>
                  <w:r>
                    <w:rPr>
                      <w:rFonts w:hint="eastAsia" w:ascii="宋体" w:hAnsi="宋体" w:eastAsia="宋体" w:cs="宋体"/>
                      <w:b/>
                      <w:bCs/>
                      <w:color w:val="auto"/>
                      <w:kern w:val="0"/>
                      <w:sz w:val="24"/>
                    </w:rPr>
                    <w:t>评审点具体描述</w:t>
                  </w:r>
                </w:p>
              </w:tc>
            </w:tr>
            <w:tr w14:paraId="27B92351">
              <w:tblPrEx>
                <w:tblCellMar>
                  <w:top w:w="0" w:type="dxa"/>
                  <w:left w:w="0" w:type="dxa"/>
                  <w:bottom w:w="0" w:type="dxa"/>
                  <w:right w:w="0" w:type="dxa"/>
                </w:tblCellMar>
              </w:tblPrEx>
              <w:tc>
                <w:tcPr>
                  <w:tcW w:w="179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33262E1">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b/>
                      <w:bCs/>
                      <w:color w:val="auto"/>
                      <w:kern w:val="0"/>
                      <w:sz w:val="24"/>
                    </w:rPr>
                  </w:pPr>
                  <w:r>
                    <w:rPr>
                      <w:rFonts w:hint="eastAsia" w:ascii="宋体" w:hAnsi="宋体" w:eastAsia="宋体" w:cs="宋体"/>
                      <w:color w:val="auto"/>
                      <w:kern w:val="0"/>
                      <w:sz w:val="24"/>
                      <w:szCs w:val="24"/>
                    </w:rPr>
                    <w:t>其他资格证明文件</w:t>
                  </w:r>
                  <w:r>
                    <w:rPr>
                      <w:rFonts w:hint="eastAsia" w:ascii="宋体" w:hAnsi="宋体" w:eastAsia="宋体" w:cs="宋体"/>
                      <w:color w:val="auto"/>
                      <w:kern w:val="0"/>
                      <w:sz w:val="24"/>
                      <w:szCs w:val="24"/>
                      <w:lang w:val="en-US" w:eastAsia="zh-CN"/>
                    </w:rPr>
                    <w:t>1</w:t>
                  </w:r>
                </w:p>
              </w:tc>
              <w:tc>
                <w:tcPr>
                  <w:tcW w:w="6106"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472CFD5E">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b/>
                      <w:bCs/>
                      <w:color w:val="auto"/>
                      <w:kern w:val="0"/>
                      <w:sz w:val="24"/>
                    </w:rPr>
                  </w:pPr>
                  <w:r>
                    <w:rPr>
                      <w:rFonts w:hint="eastAsia" w:ascii="宋体" w:hAnsi="宋体" w:eastAsia="宋体" w:cs="宋体"/>
                      <w:color w:val="auto"/>
                      <w:sz w:val="24"/>
                      <w:szCs w:val="24"/>
                      <w:lang w:val="en-US" w:eastAsia="zh-CN"/>
                    </w:rPr>
                    <w:t>供应商同时具备不低于叁级电力工程施工总承包资质、不低于贰级电子与智能化工程专业承包资质和《施工企业安全生产许可证》，须提供有效的证书复印件。</w:t>
                  </w:r>
                </w:p>
              </w:tc>
            </w:tr>
            <w:tr w14:paraId="2C40A220">
              <w:tblPrEx>
                <w:tblCellMar>
                  <w:top w:w="0" w:type="dxa"/>
                  <w:left w:w="0" w:type="dxa"/>
                  <w:bottom w:w="0" w:type="dxa"/>
                  <w:right w:w="0" w:type="dxa"/>
                </w:tblCellMar>
              </w:tblPrEx>
              <w:tc>
                <w:tcPr>
                  <w:tcW w:w="179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01899E21">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szCs w:val="24"/>
                    </w:rPr>
                    <w:t>其他资格证明文件</w:t>
                  </w:r>
                  <w:r>
                    <w:rPr>
                      <w:rFonts w:hint="eastAsia" w:ascii="宋体" w:hAnsi="宋体" w:eastAsia="宋体" w:cs="宋体"/>
                      <w:color w:val="auto"/>
                      <w:kern w:val="0"/>
                      <w:sz w:val="24"/>
                      <w:szCs w:val="24"/>
                      <w:lang w:val="en-US" w:eastAsia="zh-CN"/>
                    </w:rPr>
                    <w:t>2</w:t>
                  </w:r>
                </w:p>
              </w:tc>
              <w:tc>
                <w:tcPr>
                  <w:tcW w:w="6106"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0C47EE6A">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拟担任本项目的项目负责人须具备有效的不低于：贰级机电工程专业注册建造师执业资格，并具备有效的安全生产考核合格证书。须提供以上有效证书的复印件。</w:t>
                  </w:r>
                </w:p>
              </w:tc>
            </w:tr>
            <w:tr w14:paraId="05DB6FDF">
              <w:tblPrEx>
                <w:tblCellMar>
                  <w:top w:w="0" w:type="dxa"/>
                  <w:left w:w="0" w:type="dxa"/>
                  <w:bottom w:w="0" w:type="dxa"/>
                  <w:right w:w="0" w:type="dxa"/>
                </w:tblCellMar>
              </w:tblPrEx>
              <w:tc>
                <w:tcPr>
                  <w:tcW w:w="179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48ADC77">
                  <w:pPr>
                    <w:widowControl/>
                    <w:wordWrap w:val="0"/>
                    <w:spacing w:line="360" w:lineRule="exact"/>
                    <w:jc w:val="left"/>
                    <w:rPr>
                      <w:rFonts w:ascii="宋体" w:hAnsi="宋体" w:eastAsia="宋体" w:cs="宋体"/>
                      <w:color w:val="auto"/>
                      <w:sz w:val="24"/>
                    </w:rPr>
                  </w:pPr>
                  <w:r>
                    <w:rPr>
                      <w:rFonts w:hint="eastAsia" w:ascii="宋体" w:hAnsi="宋体" w:eastAsia="宋体" w:cs="宋体"/>
                      <w:color w:val="auto"/>
                      <w:kern w:val="0"/>
                      <w:sz w:val="24"/>
                    </w:rPr>
                    <w:t>落实政府采购政策的证明材料（专门面向中小企业采购）</w:t>
                  </w:r>
                </w:p>
              </w:tc>
              <w:tc>
                <w:tcPr>
                  <w:tcW w:w="6106"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6A78675E">
                  <w:pPr>
                    <w:widowControl/>
                    <w:wordWrap w:val="0"/>
                    <w:spacing w:line="360" w:lineRule="exact"/>
                    <w:jc w:val="left"/>
                    <w:rPr>
                      <w:rFonts w:ascii="宋体" w:hAnsi="宋体" w:eastAsia="宋体" w:cs="宋体"/>
                      <w:color w:val="auto"/>
                      <w:sz w:val="24"/>
                    </w:rPr>
                  </w:pPr>
                  <w:r>
                    <w:rPr>
                      <w:rFonts w:hint="eastAsia" w:ascii="宋体" w:hAnsi="宋体" w:eastAsia="宋体" w:cs="宋体"/>
                      <w:color w:val="auto"/>
                      <w:kern w:val="0"/>
                      <w:sz w:val="24"/>
                    </w:rPr>
                    <w:t>①本项目专门面向符合财政部、工信部文件（财库〔2020〕46号）规定的中、小、微企业。</w:t>
                  </w: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w:t>
                  </w: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为监狱企业的，可不提供中小企业声明函，但须提供由省级以上监狱管理局、戒毒管理局（含新疆生产建设兵团）出具的属于监狱企业的证明文件。③残疾人福利性单位视同小型、微型企业，</w:t>
                  </w: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为残疾人福利性单位的，可不提供中小企业声明函，但须提供的《残疾人福利性单位声明函》。注：本项目为</w:t>
                  </w:r>
                  <w:r>
                    <w:rPr>
                      <w:rFonts w:hint="eastAsia" w:ascii="宋体" w:hAnsi="宋体" w:eastAsia="宋体" w:cs="宋体"/>
                      <w:color w:val="auto"/>
                      <w:kern w:val="0"/>
                      <w:sz w:val="24"/>
                      <w:lang w:val="en-US" w:eastAsia="zh-CN"/>
                    </w:rPr>
                    <w:t>工程</w:t>
                  </w:r>
                  <w:r>
                    <w:rPr>
                      <w:rFonts w:hint="eastAsia" w:ascii="宋体" w:hAnsi="宋体" w:eastAsia="宋体" w:cs="宋体"/>
                      <w:color w:val="auto"/>
                      <w:kern w:val="0"/>
                      <w:sz w:val="24"/>
                    </w:rPr>
                    <w:t>类采购项目，采购标的对应的中小企业划分标准所属行业为</w:t>
                  </w:r>
                  <w:r>
                    <w:rPr>
                      <w:rFonts w:hint="eastAsia" w:ascii="宋体" w:hAnsi="宋体" w:eastAsia="宋体" w:cs="宋体"/>
                      <w:color w:val="auto"/>
                      <w:sz w:val="24"/>
                      <w:szCs w:val="24"/>
                      <w:lang w:val="en-US" w:eastAsia="zh-CN"/>
                    </w:rPr>
                    <w:t>建筑</w:t>
                  </w:r>
                  <w:r>
                    <w:rPr>
                      <w:rFonts w:hint="eastAsia" w:ascii="宋体" w:hAnsi="宋体" w:eastAsia="宋体" w:cs="宋体"/>
                      <w:color w:val="auto"/>
                      <w:sz w:val="24"/>
                      <w:szCs w:val="24"/>
                    </w:rPr>
                    <w:t>业</w:t>
                  </w:r>
                  <w:r>
                    <w:rPr>
                      <w:rFonts w:hint="eastAsia" w:ascii="宋体" w:hAnsi="宋体" w:eastAsia="宋体" w:cs="宋体"/>
                      <w:color w:val="auto"/>
                      <w:kern w:val="0"/>
                      <w:sz w:val="24"/>
                    </w:rPr>
                    <w:t>。</w:t>
                  </w:r>
                </w:p>
              </w:tc>
            </w:tr>
          </w:tbl>
          <w:p w14:paraId="6FA30EC6">
            <w:pPr>
              <w:rPr>
                <w:color w:val="auto"/>
              </w:rPr>
            </w:pPr>
          </w:p>
        </w:tc>
      </w:tr>
      <w:tr w14:paraId="292A8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368AA815">
            <w:pPr>
              <w:pStyle w:val="17"/>
              <w:widowControl/>
              <w:spacing w:beforeAutospacing="0" w:afterAutospacing="0" w:line="435" w:lineRule="atLeast"/>
              <w:jc w:val="center"/>
              <w:rPr>
                <w:color w:val="auto"/>
              </w:rPr>
            </w:pPr>
            <w:r>
              <w:rPr>
                <w:rFonts w:hint="eastAsia" w:ascii="宋体" w:hAnsi="宋体" w:eastAsia="宋体" w:cs="宋体"/>
                <w:color w:val="auto"/>
              </w:rPr>
              <w:t>2</w:t>
            </w:r>
          </w:p>
        </w:tc>
        <w:tc>
          <w:tcPr>
            <w:tcW w:w="329" w:type="pct"/>
            <w:shd w:val="clear" w:color="auto" w:fill="auto"/>
            <w:tcMar>
              <w:top w:w="0" w:type="dxa"/>
              <w:left w:w="105" w:type="dxa"/>
              <w:bottom w:w="0" w:type="dxa"/>
              <w:right w:w="105" w:type="dxa"/>
            </w:tcMar>
            <w:vAlign w:val="center"/>
          </w:tcPr>
          <w:p w14:paraId="5446DEE0">
            <w:pPr>
              <w:pStyle w:val="17"/>
              <w:widowControl/>
              <w:spacing w:beforeAutospacing="0" w:afterAutospacing="0" w:line="435" w:lineRule="atLeast"/>
              <w:rPr>
                <w:color w:val="auto"/>
              </w:rPr>
            </w:pPr>
            <w:r>
              <w:rPr>
                <w:rFonts w:hint="eastAsia" w:ascii="宋体" w:hAnsi="宋体" w:eastAsia="宋体" w:cs="宋体"/>
                <w:color w:val="auto"/>
              </w:rPr>
              <w:t>3.2.2</w:t>
            </w:r>
          </w:p>
        </w:tc>
        <w:tc>
          <w:tcPr>
            <w:tcW w:w="4448" w:type="pct"/>
            <w:shd w:val="clear" w:color="auto" w:fill="auto"/>
            <w:tcMar>
              <w:top w:w="0" w:type="dxa"/>
              <w:left w:w="105" w:type="dxa"/>
              <w:bottom w:w="0" w:type="dxa"/>
              <w:right w:w="105" w:type="dxa"/>
            </w:tcMar>
            <w:vAlign w:val="center"/>
          </w:tcPr>
          <w:p w14:paraId="7DC65110">
            <w:pPr>
              <w:pStyle w:val="17"/>
              <w:widowControl/>
              <w:spacing w:beforeAutospacing="0" w:afterAutospacing="0" w:line="435" w:lineRule="atLeast"/>
              <w:rPr>
                <w:color w:val="auto"/>
              </w:rPr>
            </w:pPr>
            <w:r>
              <w:rPr>
                <w:rStyle w:val="26"/>
                <w:rFonts w:hint="eastAsia" w:ascii="宋体" w:hAnsi="宋体" w:eastAsia="宋体" w:cs="宋体"/>
                <w:bCs/>
                <w:color w:val="auto"/>
              </w:rPr>
              <w:t>是否接受联合体形式的响应磋商：</w:t>
            </w:r>
            <w:r>
              <w:rPr>
                <w:rFonts w:hint="eastAsia" w:ascii="宋体" w:hAnsi="宋体" w:eastAsia="宋体" w:cs="宋体"/>
                <w:color w:val="auto"/>
              </w:rPr>
              <w:t>不接受</w:t>
            </w:r>
          </w:p>
        </w:tc>
      </w:tr>
      <w:tr w14:paraId="280F3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45" w:hRule="atLeast"/>
        </w:trPr>
        <w:tc>
          <w:tcPr>
            <w:tcW w:w="222" w:type="pct"/>
            <w:shd w:val="clear" w:color="auto" w:fill="auto"/>
            <w:tcMar>
              <w:top w:w="0" w:type="dxa"/>
              <w:left w:w="105" w:type="dxa"/>
              <w:bottom w:w="0" w:type="dxa"/>
              <w:right w:w="105" w:type="dxa"/>
            </w:tcMar>
            <w:vAlign w:val="center"/>
          </w:tcPr>
          <w:p w14:paraId="20D9298C">
            <w:pPr>
              <w:pStyle w:val="17"/>
              <w:widowControl/>
              <w:spacing w:beforeAutospacing="0" w:afterAutospacing="0" w:line="435" w:lineRule="atLeast"/>
              <w:jc w:val="center"/>
              <w:rPr>
                <w:color w:val="auto"/>
              </w:rPr>
            </w:pPr>
            <w:r>
              <w:rPr>
                <w:rFonts w:hint="eastAsia" w:ascii="宋体" w:hAnsi="宋体" w:eastAsia="宋体" w:cs="宋体"/>
                <w:color w:val="auto"/>
              </w:rPr>
              <w:t>3</w:t>
            </w:r>
          </w:p>
        </w:tc>
        <w:tc>
          <w:tcPr>
            <w:tcW w:w="329" w:type="pct"/>
            <w:shd w:val="clear" w:color="auto" w:fill="auto"/>
            <w:tcMar>
              <w:top w:w="0" w:type="dxa"/>
              <w:left w:w="105" w:type="dxa"/>
              <w:bottom w:w="0" w:type="dxa"/>
              <w:right w:w="105" w:type="dxa"/>
            </w:tcMar>
            <w:vAlign w:val="center"/>
          </w:tcPr>
          <w:p w14:paraId="68EA1F90">
            <w:pPr>
              <w:pStyle w:val="17"/>
              <w:widowControl/>
              <w:spacing w:beforeAutospacing="0" w:afterAutospacing="0" w:line="435" w:lineRule="atLeast"/>
              <w:rPr>
                <w:color w:val="auto"/>
              </w:rPr>
            </w:pPr>
            <w:r>
              <w:rPr>
                <w:rFonts w:hint="eastAsia" w:ascii="宋体" w:hAnsi="宋体" w:eastAsia="宋体" w:cs="宋体"/>
                <w:color w:val="auto"/>
              </w:rPr>
              <w:t>6.3</w:t>
            </w:r>
          </w:p>
        </w:tc>
        <w:tc>
          <w:tcPr>
            <w:tcW w:w="4448" w:type="pct"/>
            <w:shd w:val="clear" w:color="auto" w:fill="auto"/>
            <w:tcMar>
              <w:top w:w="0" w:type="dxa"/>
              <w:left w:w="105" w:type="dxa"/>
              <w:bottom w:w="0" w:type="dxa"/>
              <w:right w:w="105" w:type="dxa"/>
            </w:tcMar>
            <w:vAlign w:val="center"/>
          </w:tcPr>
          <w:p w14:paraId="74569BDD">
            <w:pPr>
              <w:pStyle w:val="17"/>
              <w:widowControl/>
              <w:spacing w:beforeAutospacing="0" w:afterAutospacing="0" w:line="435" w:lineRule="atLeast"/>
              <w:rPr>
                <w:color w:val="auto"/>
              </w:rPr>
            </w:pPr>
            <w:r>
              <w:rPr>
                <w:rStyle w:val="26"/>
                <w:rFonts w:hint="eastAsia" w:ascii="宋体" w:hAnsi="宋体" w:eastAsia="宋体" w:cs="宋体"/>
                <w:bCs/>
                <w:color w:val="auto"/>
              </w:rPr>
              <w:t>是否组织现场考察或召开磋商前答疑会：</w:t>
            </w:r>
            <w:r>
              <w:rPr>
                <w:rFonts w:hint="eastAsia" w:ascii="宋体" w:hAnsi="宋体" w:eastAsia="宋体" w:cs="宋体"/>
                <w:color w:val="auto"/>
              </w:rPr>
              <w:t>不组织</w:t>
            </w:r>
          </w:p>
        </w:tc>
      </w:tr>
      <w:tr w14:paraId="399C7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70" w:hRule="atLeast"/>
        </w:trPr>
        <w:tc>
          <w:tcPr>
            <w:tcW w:w="222" w:type="pct"/>
            <w:shd w:val="clear" w:color="auto" w:fill="auto"/>
            <w:tcMar>
              <w:top w:w="0" w:type="dxa"/>
              <w:left w:w="105" w:type="dxa"/>
              <w:bottom w:w="0" w:type="dxa"/>
              <w:right w:w="105" w:type="dxa"/>
            </w:tcMar>
            <w:vAlign w:val="center"/>
          </w:tcPr>
          <w:p w14:paraId="6FAB9763">
            <w:pPr>
              <w:pStyle w:val="17"/>
              <w:widowControl/>
              <w:spacing w:beforeAutospacing="0" w:afterAutospacing="0" w:line="435" w:lineRule="atLeast"/>
              <w:jc w:val="center"/>
              <w:rPr>
                <w:color w:val="auto"/>
              </w:rPr>
            </w:pPr>
            <w:r>
              <w:rPr>
                <w:rFonts w:hint="eastAsia" w:ascii="宋体" w:hAnsi="宋体" w:eastAsia="宋体" w:cs="宋体"/>
                <w:color w:val="auto"/>
              </w:rPr>
              <w:t>4</w:t>
            </w:r>
          </w:p>
        </w:tc>
        <w:tc>
          <w:tcPr>
            <w:tcW w:w="329" w:type="pct"/>
            <w:shd w:val="clear" w:color="auto" w:fill="auto"/>
            <w:tcMar>
              <w:top w:w="0" w:type="dxa"/>
              <w:left w:w="105" w:type="dxa"/>
              <w:bottom w:w="0" w:type="dxa"/>
              <w:right w:w="105" w:type="dxa"/>
            </w:tcMar>
            <w:vAlign w:val="center"/>
          </w:tcPr>
          <w:p w14:paraId="6ACEA2CA">
            <w:pPr>
              <w:pStyle w:val="17"/>
              <w:widowControl/>
              <w:spacing w:beforeAutospacing="0" w:afterAutospacing="0" w:line="435" w:lineRule="atLeast"/>
              <w:rPr>
                <w:color w:val="auto"/>
              </w:rPr>
            </w:pPr>
            <w:r>
              <w:rPr>
                <w:rFonts w:hint="eastAsia" w:ascii="宋体" w:hAnsi="宋体" w:eastAsia="宋体" w:cs="宋体"/>
                <w:color w:val="auto"/>
              </w:rPr>
              <w:t>9.1</w:t>
            </w:r>
          </w:p>
        </w:tc>
        <w:tc>
          <w:tcPr>
            <w:tcW w:w="4448" w:type="pct"/>
            <w:shd w:val="clear" w:color="auto" w:fill="auto"/>
            <w:tcMar>
              <w:top w:w="0" w:type="dxa"/>
              <w:left w:w="105" w:type="dxa"/>
              <w:bottom w:w="0" w:type="dxa"/>
              <w:right w:w="105" w:type="dxa"/>
            </w:tcMar>
            <w:vAlign w:val="center"/>
          </w:tcPr>
          <w:p w14:paraId="7BD23E87">
            <w:pPr>
              <w:pStyle w:val="17"/>
              <w:widowControl/>
              <w:spacing w:beforeAutospacing="0" w:afterAutospacing="0"/>
              <w:rPr>
                <w:color w:val="auto"/>
              </w:rPr>
            </w:pPr>
            <w:r>
              <w:rPr>
                <w:rStyle w:val="26"/>
                <w:rFonts w:hint="eastAsia" w:ascii="宋体" w:hAnsi="宋体" w:eastAsia="宋体" w:cs="宋体"/>
                <w:bCs/>
                <w:color w:val="auto"/>
              </w:rPr>
              <w:t>响应文件有效期：</w:t>
            </w:r>
            <w:r>
              <w:rPr>
                <w:rFonts w:hint="eastAsia" w:ascii="宋体" w:hAnsi="宋体" w:eastAsia="宋体" w:cs="宋体"/>
                <w:color w:val="auto"/>
              </w:rPr>
              <w:t>首次响应文件提交截止时间起90个日历日。</w:t>
            </w:r>
          </w:p>
        </w:tc>
      </w:tr>
      <w:tr w14:paraId="3D7CD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1E785C62">
            <w:pPr>
              <w:pStyle w:val="17"/>
              <w:widowControl/>
              <w:spacing w:beforeAutospacing="0" w:afterAutospacing="0" w:line="435" w:lineRule="atLeast"/>
              <w:jc w:val="center"/>
              <w:rPr>
                <w:color w:val="auto"/>
              </w:rPr>
            </w:pPr>
            <w:r>
              <w:rPr>
                <w:rFonts w:hint="eastAsia" w:ascii="宋体" w:hAnsi="宋体" w:eastAsia="宋体" w:cs="宋体"/>
                <w:color w:val="auto"/>
              </w:rPr>
              <w:t>5</w:t>
            </w:r>
          </w:p>
        </w:tc>
        <w:tc>
          <w:tcPr>
            <w:tcW w:w="329" w:type="pct"/>
            <w:shd w:val="clear" w:color="auto" w:fill="auto"/>
            <w:tcMar>
              <w:top w:w="0" w:type="dxa"/>
              <w:left w:w="105" w:type="dxa"/>
              <w:bottom w:w="0" w:type="dxa"/>
              <w:right w:w="105" w:type="dxa"/>
            </w:tcMar>
            <w:vAlign w:val="center"/>
          </w:tcPr>
          <w:p w14:paraId="64C86852">
            <w:pPr>
              <w:pStyle w:val="17"/>
              <w:widowControl/>
              <w:spacing w:beforeAutospacing="0" w:afterAutospacing="0" w:line="435" w:lineRule="atLeast"/>
              <w:rPr>
                <w:color w:val="auto"/>
              </w:rPr>
            </w:pPr>
            <w:r>
              <w:rPr>
                <w:rFonts w:hint="eastAsia" w:ascii="宋体" w:hAnsi="宋体" w:eastAsia="宋体" w:cs="宋体"/>
                <w:color w:val="auto"/>
              </w:rPr>
              <w:t>10.1</w:t>
            </w:r>
          </w:p>
        </w:tc>
        <w:tc>
          <w:tcPr>
            <w:tcW w:w="4448" w:type="pct"/>
            <w:shd w:val="clear" w:color="auto" w:fill="auto"/>
            <w:tcMar>
              <w:top w:w="0" w:type="dxa"/>
              <w:left w:w="105" w:type="dxa"/>
              <w:bottom w:w="0" w:type="dxa"/>
              <w:right w:w="105" w:type="dxa"/>
            </w:tcMar>
          </w:tcPr>
          <w:p w14:paraId="60AE4F86">
            <w:pPr>
              <w:pStyle w:val="17"/>
              <w:widowControl/>
              <w:spacing w:beforeAutospacing="0" w:afterAutospacing="0" w:line="435" w:lineRule="atLeast"/>
              <w:rPr>
                <w:color w:val="auto"/>
              </w:rPr>
            </w:pPr>
            <w:r>
              <w:rPr>
                <w:rStyle w:val="26"/>
                <w:rFonts w:hint="eastAsia" w:ascii="宋体" w:hAnsi="宋体" w:eastAsia="宋体" w:cs="宋体"/>
                <w:bCs/>
                <w:color w:val="auto"/>
              </w:rPr>
              <w:t>提交磋商保证金：</w:t>
            </w:r>
          </w:p>
          <w:p w14:paraId="7209F9C0">
            <w:pPr>
              <w:pStyle w:val="17"/>
              <w:widowControl/>
              <w:spacing w:beforeAutospacing="0" w:afterAutospacing="0" w:line="435" w:lineRule="atLeast"/>
              <w:rPr>
                <w:color w:val="auto"/>
              </w:rPr>
            </w:pPr>
            <w:r>
              <w:rPr>
                <w:color w:val="auto"/>
              </w:rPr>
              <w:t>本项目的磋商保证金详见《采购标的一览表》</w:t>
            </w:r>
            <w:r>
              <w:rPr>
                <w:rFonts w:hint="eastAsia"/>
                <w:color w:val="auto"/>
              </w:rPr>
              <w:t>，</w:t>
            </w:r>
            <w:r>
              <w:rPr>
                <w:color w:val="auto"/>
              </w:rPr>
              <w:t>须于提交响应文件截止时间前到达指定账户为准；</w:t>
            </w:r>
          </w:p>
          <w:p w14:paraId="229FA1F8">
            <w:pPr>
              <w:pStyle w:val="17"/>
              <w:widowControl/>
              <w:spacing w:beforeAutospacing="0" w:afterAutospacing="0" w:line="435" w:lineRule="atLeast"/>
              <w:rPr>
                <w:color w:val="auto"/>
              </w:rPr>
            </w:pPr>
            <w:r>
              <w:rPr>
                <w:color w:val="auto"/>
              </w:rPr>
              <w:t>其他：无。</w:t>
            </w:r>
          </w:p>
        </w:tc>
      </w:tr>
      <w:tr w14:paraId="3A149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3F305BB6">
            <w:pPr>
              <w:pStyle w:val="17"/>
              <w:widowControl/>
              <w:spacing w:beforeAutospacing="0" w:afterAutospacing="0" w:line="435" w:lineRule="atLeast"/>
              <w:jc w:val="center"/>
              <w:rPr>
                <w:color w:val="auto"/>
              </w:rPr>
            </w:pPr>
            <w:r>
              <w:rPr>
                <w:rFonts w:hint="eastAsia" w:ascii="宋体" w:hAnsi="宋体" w:eastAsia="宋体" w:cs="宋体"/>
                <w:color w:val="auto"/>
              </w:rPr>
              <w:t>6</w:t>
            </w:r>
          </w:p>
        </w:tc>
        <w:tc>
          <w:tcPr>
            <w:tcW w:w="329" w:type="pct"/>
            <w:shd w:val="clear" w:color="auto" w:fill="auto"/>
            <w:tcMar>
              <w:top w:w="0" w:type="dxa"/>
              <w:left w:w="105" w:type="dxa"/>
              <w:bottom w:w="0" w:type="dxa"/>
              <w:right w:w="105" w:type="dxa"/>
            </w:tcMar>
            <w:vAlign w:val="center"/>
          </w:tcPr>
          <w:p w14:paraId="04118763">
            <w:pPr>
              <w:pStyle w:val="17"/>
              <w:widowControl/>
              <w:spacing w:beforeAutospacing="0" w:afterAutospacing="0" w:line="435" w:lineRule="atLeast"/>
              <w:rPr>
                <w:color w:val="auto"/>
              </w:rPr>
            </w:pPr>
            <w:r>
              <w:rPr>
                <w:rFonts w:hint="eastAsia" w:ascii="宋体" w:hAnsi="宋体" w:eastAsia="宋体" w:cs="宋体"/>
                <w:color w:val="auto"/>
              </w:rPr>
              <w:t>10.3.1</w:t>
            </w:r>
          </w:p>
        </w:tc>
        <w:tc>
          <w:tcPr>
            <w:tcW w:w="4448" w:type="pct"/>
            <w:shd w:val="clear" w:color="auto" w:fill="auto"/>
            <w:tcMar>
              <w:top w:w="0" w:type="dxa"/>
              <w:left w:w="105" w:type="dxa"/>
              <w:bottom w:w="0" w:type="dxa"/>
              <w:right w:w="105" w:type="dxa"/>
            </w:tcMar>
            <w:vAlign w:val="center"/>
          </w:tcPr>
          <w:p w14:paraId="44418AA0">
            <w:pPr>
              <w:pStyle w:val="17"/>
              <w:widowControl/>
              <w:spacing w:beforeAutospacing="0" w:afterAutospacing="0" w:line="435" w:lineRule="atLeast"/>
              <w:rPr>
                <w:color w:val="auto"/>
              </w:rPr>
            </w:pPr>
            <w:r>
              <w:rPr>
                <w:rStyle w:val="26"/>
                <w:rFonts w:hint="eastAsia" w:ascii="宋体" w:hAnsi="宋体" w:eastAsia="宋体" w:cs="宋体"/>
                <w:bCs/>
                <w:color w:val="auto"/>
              </w:rPr>
              <w:t>磋商保证金退还的其它要求：</w:t>
            </w:r>
          </w:p>
          <w:p w14:paraId="286C0A5B">
            <w:pPr>
              <w:pStyle w:val="17"/>
              <w:widowControl/>
              <w:spacing w:beforeAutospacing="0" w:afterAutospacing="0" w:line="435" w:lineRule="atLeast"/>
              <w:rPr>
                <w:color w:val="auto"/>
              </w:rPr>
            </w:pPr>
            <w:r>
              <w:rPr>
                <w:color w:val="auto"/>
              </w:rPr>
              <w:t>无。</w:t>
            </w:r>
          </w:p>
        </w:tc>
      </w:tr>
      <w:tr w14:paraId="0A9F8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05BE6B10">
            <w:pPr>
              <w:pStyle w:val="17"/>
              <w:widowControl/>
              <w:spacing w:beforeAutospacing="0" w:afterAutospacing="0" w:line="435" w:lineRule="atLeast"/>
              <w:jc w:val="center"/>
              <w:rPr>
                <w:color w:val="auto"/>
              </w:rPr>
            </w:pPr>
            <w:r>
              <w:rPr>
                <w:rFonts w:hint="eastAsia" w:ascii="宋体" w:hAnsi="宋体" w:eastAsia="宋体" w:cs="宋体"/>
                <w:color w:val="auto"/>
              </w:rPr>
              <w:t>7</w:t>
            </w:r>
          </w:p>
        </w:tc>
        <w:tc>
          <w:tcPr>
            <w:tcW w:w="329" w:type="pct"/>
            <w:shd w:val="clear" w:color="auto" w:fill="auto"/>
            <w:tcMar>
              <w:top w:w="0" w:type="dxa"/>
              <w:left w:w="105" w:type="dxa"/>
              <w:bottom w:w="0" w:type="dxa"/>
              <w:right w:w="105" w:type="dxa"/>
            </w:tcMar>
            <w:vAlign w:val="center"/>
          </w:tcPr>
          <w:p w14:paraId="3CF98558">
            <w:pPr>
              <w:pStyle w:val="17"/>
              <w:widowControl/>
              <w:spacing w:beforeAutospacing="0" w:afterAutospacing="0" w:line="435" w:lineRule="atLeast"/>
              <w:rPr>
                <w:color w:val="auto"/>
              </w:rPr>
            </w:pPr>
            <w:r>
              <w:rPr>
                <w:rFonts w:hint="eastAsia" w:ascii="宋体" w:hAnsi="宋体" w:eastAsia="宋体" w:cs="宋体"/>
                <w:color w:val="auto"/>
              </w:rPr>
              <w:t>11.1</w:t>
            </w:r>
          </w:p>
        </w:tc>
        <w:tc>
          <w:tcPr>
            <w:tcW w:w="4448" w:type="pct"/>
            <w:shd w:val="clear" w:color="auto" w:fill="auto"/>
            <w:tcMar>
              <w:top w:w="0" w:type="dxa"/>
              <w:left w:w="105" w:type="dxa"/>
              <w:bottom w:w="0" w:type="dxa"/>
              <w:right w:w="105" w:type="dxa"/>
            </w:tcMar>
            <w:vAlign w:val="center"/>
          </w:tcPr>
          <w:p w14:paraId="7CECA3A0">
            <w:pPr>
              <w:pStyle w:val="17"/>
              <w:widowControl/>
              <w:spacing w:beforeAutospacing="0" w:afterAutospacing="0" w:line="435" w:lineRule="atLeast"/>
              <w:rPr>
                <w:color w:val="auto"/>
              </w:rPr>
            </w:pPr>
            <w:r>
              <w:rPr>
                <w:rStyle w:val="26"/>
                <w:rFonts w:hint="eastAsia" w:ascii="宋体" w:hAnsi="宋体" w:eastAsia="宋体" w:cs="宋体"/>
                <w:bCs/>
                <w:color w:val="auto"/>
              </w:rPr>
              <w:t>响应文件的份数</w:t>
            </w:r>
          </w:p>
          <w:p w14:paraId="68A484BE">
            <w:pPr>
              <w:pStyle w:val="17"/>
              <w:widowControl/>
              <w:spacing w:beforeAutospacing="0" w:afterAutospacing="0" w:line="435" w:lineRule="atLeast"/>
              <w:rPr>
                <w:color w:val="auto"/>
              </w:rPr>
            </w:pPr>
            <w:r>
              <w:rPr>
                <w:rFonts w:hint="eastAsia" w:ascii="宋体" w:hAnsi="宋体" w:eastAsia="宋体" w:cs="宋体"/>
                <w:color w:val="auto"/>
              </w:rPr>
              <w:t>（1）纸质响应文件 </w:t>
            </w:r>
          </w:p>
          <w:p w14:paraId="7EF90573">
            <w:pPr>
              <w:pStyle w:val="17"/>
              <w:widowControl/>
              <w:spacing w:beforeAutospacing="0" w:afterAutospacing="0" w:line="435" w:lineRule="atLeast"/>
              <w:ind w:firstLine="480"/>
              <w:rPr>
                <w:color w:val="auto"/>
              </w:rPr>
            </w:pPr>
            <w:r>
              <w:rPr>
                <w:rFonts w:hint="eastAsia" w:ascii="宋体" w:hAnsi="宋体" w:eastAsia="宋体" w:cs="宋体"/>
                <w:color w:val="auto"/>
              </w:rPr>
              <w:t>①响应文件正本</w:t>
            </w:r>
            <w:r>
              <w:rPr>
                <w:rFonts w:hint="eastAsia" w:ascii="宋体" w:hAnsi="宋体" w:eastAsia="宋体" w:cs="宋体"/>
                <w:color w:val="auto"/>
                <w:u w:val="single"/>
              </w:rPr>
              <w:t>1</w:t>
            </w:r>
            <w:r>
              <w:rPr>
                <w:rFonts w:hint="eastAsia" w:ascii="宋体" w:hAnsi="宋体" w:eastAsia="宋体" w:cs="宋体"/>
                <w:color w:val="auto"/>
              </w:rPr>
              <w:t>份、副本</w:t>
            </w:r>
            <w:r>
              <w:rPr>
                <w:rFonts w:hint="eastAsia" w:eastAsia="宋体"/>
                <w:color w:val="auto"/>
                <w:u w:val="single"/>
              </w:rPr>
              <w:t>3</w:t>
            </w:r>
            <w:r>
              <w:rPr>
                <w:rFonts w:hint="eastAsia" w:ascii="宋体" w:hAnsi="宋体" w:eastAsia="宋体" w:cs="宋体"/>
                <w:color w:val="auto"/>
              </w:rPr>
              <w:t>份。</w:t>
            </w:r>
          </w:p>
          <w:p w14:paraId="34B669DD">
            <w:pPr>
              <w:pStyle w:val="17"/>
              <w:widowControl/>
              <w:spacing w:beforeAutospacing="0" w:afterAutospacing="0" w:line="435" w:lineRule="atLeast"/>
              <w:ind w:firstLine="480"/>
              <w:rPr>
                <w:color w:val="auto"/>
              </w:rPr>
            </w:pPr>
            <w:r>
              <w:rPr>
                <w:rFonts w:hint="eastAsia" w:ascii="宋体" w:hAnsi="宋体" w:eastAsia="宋体" w:cs="宋体"/>
                <w:color w:val="auto"/>
              </w:rPr>
              <w:t>②可读介质（光盘或U盘）</w:t>
            </w:r>
            <w:r>
              <w:rPr>
                <w:rFonts w:hint="eastAsia" w:ascii="宋体" w:hAnsi="宋体" w:eastAsia="宋体" w:cs="宋体"/>
                <w:color w:val="auto"/>
                <w:u w:val="single"/>
              </w:rPr>
              <w:t>1</w:t>
            </w:r>
            <w:r>
              <w:rPr>
                <w:rFonts w:hint="eastAsia" w:ascii="宋体" w:hAnsi="宋体" w:eastAsia="宋体" w:cs="宋体"/>
                <w:color w:val="auto"/>
              </w:rPr>
              <w:t>份。</w:t>
            </w:r>
            <w:r>
              <w:rPr>
                <w:rFonts w:ascii="Calibri" w:hAnsi="Calibri" w:cs="Calibri"/>
                <w:color w:val="auto"/>
              </w:rPr>
              <w:t> </w:t>
            </w:r>
          </w:p>
        </w:tc>
      </w:tr>
      <w:tr w14:paraId="6FDD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5241377C">
            <w:pPr>
              <w:pStyle w:val="17"/>
              <w:widowControl/>
              <w:spacing w:beforeAutospacing="0" w:afterAutospacing="0" w:line="435" w:lineRule="atLeast"/>
              <w:jc w:val="center"/>
              <w:rPr>
                <w:color w:val="auto"/>
              </w:rPr>
            </w:pPr>
            <w:r>
              <w:rPr>
                <w:rFonts w:hint="eastAsia" w:ascii="宋体" w:hAnsi="宋体" w:eastAsia="宋体" w:cs="宋体"/>
                <w:color w:val="auto"/>
              </w:rPr>
              <w:t>8</w:t>
            </w:r>
          </w:p>
        </w:tc>
        <w:tc>
          <w:tcPr>
            <w:tcW w:w="329" w:type="pct"/>
            <w:shd w:val="clear" w:color="auto" w:fill="auto"/>
            <w:tcMar>
              <w:top w:w="0" w:type="dxa"/>
              <w:left w:w="105" w:type="dxa"/>
              <w:bottom w:w="0" w:type="dxa"/>
              <w:right w:w="105" w:type="dxa"/>
            </w:tcMar>
            <w:vAlign w:val="center"/>
          </w:tcPr>
          <w:p w14:paraId="24BCD33B">
            <w:pPr>
              <w:pStyle w:val="17"/>
              <w:widowControl/>
              <w:spacing w:beforeAutospacing="0" w:afterAutospacing="0" w:line="435" w:lineRule="atLeast"/>
              <w:rPr>
                <w:color w:val="auto"/>
              </w:rPr>
            </w:pPr>
            <w:r>
              <w:rPr>
                <w:rFonts w:hint="eastAsia" w:ascii="宋体" w:hAnsi="宋体" w:eastAsia="宋体" w:cs="宋体"/>
                <w:color w:val="auto"/>
              </w:rPr>
              <w:t>14.4</w:t>
            </w:r>
          </w:p>
        </w:tc>
        <w:tc>
          <w:tcPr>
            <w:tcW w:w="4448" w:type="pct"/>
            <w:shd w:val="clear" w:color="auto" w:fill="auto"/>
            <w:tcMar>
              <w:top w:w="0" w:type="dxa"/>
              <w:left w:w="105" w:type="dxa"/>
              <w:bottom w:w="0" w:type="dxa"/>
              <w:right w:w="105" w:type="dxa"/>
            </w:tcMar>
          </w:tcPr>
          <w:p w14:paraId="382CF417">
            <w:pPr>
              <w:pStyle w:val="17"/>
              <w:widowControl/>
              <w:spacing w:beforeAutospacing="0" w:afterAutospacing="0" w:line="435" w:lineRule="atLeast"/>
              <w:rPr>
                <w:color w:val="auto"/>
              </w:rPr>
            </w:pPr>
            <w:r>
              <w:rPr>
                <w:rStyle w:val="26"/>
                <w:rFonts w:hint="eastAsia" w:ascii="宋体" w:hAnsi="宋体" w:eastAsia="宋体" w:cs="宋体"/>
                <w:bCs/>
                <w:color w:val="auto"/>
              </w:rPr>
              <w:t>磋商过程中可能发生实质性变动的内容：</w:t>
            </w:r>
          </w:p>
          <w:p w14:paraId="3E9B0EDC">
            <w:pPr>
              <w:pStyle w:val="17"/>
              <w:widowControl/>
              <w:spacing w:beforeAutospacing="0" w:afterAutospacing="0" w:line="435" w:lineRule="atLeast"/>
              <w:rPr>
                <w:color w:val="auto"/>
              </w:rPr>
            </w:pPr>
            <w:r>
              <w:rPr>
                <w:rFonts w:hint="eastAsia" w:ascii="宋体" w:hAnsi="宋体" w:eastAsia="宋体" w:cs="宋体"/>
                <w:color w:val="auto"/>
              </w:rPr>
              <w:t>无。</w:t>
            </w:r>
          </w:p>
        </w:tc>
      </w:tr>
      <w:tr w14:paraId="17C7E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0E05CCF1">
            <w:pPr>
              <w:pStyle w:val="17"/>
              <w:widowControl/>
              <w:spacing w:beforeAutospacing="0" w:afterAutospacing="0" w:line="435" w:lineRule="atLeast"/>
              <w:jc w:val="center"/>
              <w:rPr>
                <w:color w:val="auto"/>
              </w:rPr>
            </w:pPr>
            <w:r>
              <w:rPr>
                <w:rFonts w:hint="eastAsia" w:ascii="宋体" w:hAnsi="宋体" w:eastAsia="宋体" w:cs="宋体"/>
                <w:color w:val="auto"/>
              </w:rPr>
              <w:t>9</w:t>
            </w:r>
          </w:p>
        </w:tc>
        <w:tc>
          <w:tcPr>
            <w:tcW w:w="329" w:type="pct"/>
            <w:shd w:val="clear" w:color="auto" w:fill="auto"/>
            <w:tcMar>
              <w:top w:w="0" w:type="dxa"/>
              <w:left w:w="105" w:type="dxa"/>
              <w:bottom w:w="0" w:type="dxa"/>
              <w:right w:w="105" w:type="dxa"/>
            </w:tcMar>
            <w:vAlign w:val="center"/>
          </w:tcPr>
          <w:p w14:paraId="792DB617">
            <w:pPr>
              <w:pStyle w:val="17"/>
              <w:widowControl/>
              <w:wordWrap w:val="0"/>
              <w:spacing w:beforeAutospacing="0" w:afterAutospacing="0" w:line="435" w:lineRule="atLeast"/>
              <w:rPr>
                <w:color w:val="auto"/>
              </w:rPr>
            </w:pPr>
            <w:r>
              <w:rPr>
                <w:rFonts w:hint="eastAsia" w:ascii="宋体" w:hAnsi="宋体" w:eastAsia="宋体" w:cs="宋体"/>
                <w:color w:val="auto"/>
              </w:rPr>
              <w:t>14.9</w:t>
            </w:r>
          </w:p>
        </w:tc>
        <w:tc>
          <w:tcPr>
            <w:tcW w:w="4448" w:type="pct"/>
            <w:shd w:val="clear" w:color="auto" w:fill="auto"/>
            <w:tcMar>
              <w:top w:w="0" w:type="dxa"/>
              <w:left w:w="105" w:type="dxa"/>
              <w:bottom w:w="0" w:type="dxa"/>
              <w:right w:w="105" w:type="dxa"/>
            </w:tcMar>
            <w:vAlign w:val="center"/>
          </w:tcPr>
          <w:p w14:paraId="4910DC35">
            <w:pPr>
              <w:pStyle w:val="17"/>
              <w:widowControl/>
              <w:spacing w:beforeAutospacing="0" w:afterAutospacing="0" w:line="435" w:lineRule="atLeast"/>
              <w:rPr>
                <w:color w:val="auto"/>
              </w:rPr>
            </w:pPr>
            <w:r>
              <w:rPr>
                <w:rFonts w:hint="eastAsia" w:ascii="宋体" w:hAnsi="宋体" w:eastAsia="宋体" w:cs="宋体"/>
                <w:color w:val="auto"/>
              </w:rPr>
              <w:t>评审的标准和方法：具体内容详见竞争性磋商须知前附表专项附件“评审的标准和方法”。</w:t>
            </w:r>
          </w:p>
        </w:tc>
      </w:tr>
      <w:tr w14:paraId="3FD7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617FBC17">
            <w:pPr>
              <w:pStyle w:val="17"/>
              <w:widowControl/>
              <w:wordWrap w:val="0"/>
              <w:spacing w:beforeAutospacing="0" w:afterAutospacing="0" w:line="435" w:lineRule="atLeast"/>
              <w:jc w:val="center"/>
              <w:rPr>
                <w:color w:val="auto"/>
              </w:rPr>
            </w:pPr>
            <w:r>
              <w:rPr>
                <w:rFonts w:hint="eastAsia" w:ascii="宋体" w:hAnsi="宋体" w:eastAsia="宋体" w:cs="宋体"/>
                <w:color w:val="auto"/>
              </w:rPr>
              <w:t>10</w:t>
            </w:r>
          </w:p>
        </w:tc>
        <w:tc>
          <w:tcPr>
            <w:tcW w:w="329" w:type="pct"/>
            <w:shd w:val="clear" w:color="auto" w:fill="auto"/>
            <w:tcMar>
              <w:top w:w="0" w:type="dxa"/>
              <w:left w:w="105" w:type="dxa"/>
              <w:bottom w:w="0" w:type="dxa"/>
              <w:right w:w="105" w:type="dxa"/>
            </w:tcMar>
            <w:vAlign w:val="center"/>
          </w:tcPr>
          <w:p w14:paraId="79FFC8CF">
            <w:pPr>
              <w:pStyle w:val="17"/>
              <w:widowControl/>
              <w:wordWrap w:val="0"/>
              <w:spacing w:beforeAutospacing="0" w:afterAutospacing="0" w:line="435" w:lineRule="atLeast"/>
              <w:rPr>
                <w:color w:val="auto"/>
              </w:rPr>
            </w:pPr>
          </w:p>
        </w:tc>
        <w:tc>
          <w:tcPr>
            <w:tcW w:w="4448" w:type="pct"/>
            <w:shd w:val="clear" w:color="auto" w:fill="auto"/>
            <w:tcMar>
              <w:top w:w="0" w:type="dxa"/>
              <w:left w:w="105" w:type="dxa"/>
              <w:bottom w:w="0" w:type="dxa"/>
              <w:right w:w="105" w:type="dxa"/>
            </w:tcMar>
            <w:vAlign w:val="center"/>
          </w:tcPr>
          <w:p w14:paraId="3C04FFCA">
            <w:pPr>
              <w:pStyle w:val="17"/>
              <w:widowControl/>
              <w:spacing w:beforeAutospacing="0" w:afterAutospacing="0" w:line="435" w:lineRule="atLeast"/>
              <w:rPr>
                <w:color w:val="auto"/>
              </w:rPr>
            </w:pPr>
            <w:r>
              <w:rPr>
                <w:rStyle w:val="26"/>
                <w:rFonts w:hint="eastAsia" w:ascii="宋体" w:hAnsi="宋体" w:eastAsia="宋体" w:cs="宋体"/>
                <w:bCs/>
                <w:color w:val="auto"/>
              </w:rPr>
              <w:t>根据采购项目的特点和需要，需要加以详细说明的其他磋商程序规定、要求等内容</w:t>
            </w:r>
            <w:r>
              <w:rPr>
                <w:rFonts w:hint="eastAsia" w:ascii="宋体" w:hAnsi="宋体" w:eastAsia="宋体" w:cs="宋体"/>
                <w:color w:val="auto"/>
              </w:rPr>
              <w:t>：</w:t>
            </w:r>
          </w:p>
          <w:p w14:paraId="41E9D161">
            <w:pPr>
              <w:pStyle w:val="17"/>
              <w:widowControl/>
              <w:spacing w:beforeAutospacing="0" w:afterAutospacing="0" w:line="435" w:lineRule="atLeast"/>
              <w:rPr>
                <w:color w:val="auto"/>
              </w:rPr>
            </w:pPr>
            <w:r>
              <w:rPr>
                <w:rFonts w:hint="eastAsia" w:ascii="宋体" w:hAnsi="宋体" w:eastAsia="宋体" w:cs="宋体"/>
                <w:i w:val="0"/>
                <w:iCs w:val="0"/>
                <w:caps w:val="0"/>
                <w:color w:val="auto"/>
                <w:spacing w:val="0"/>
                <w:sz w:val="24"/>
                <w:szCs w:val="24"/>
                <w:highlight w:val="none"/>
              </w:rPr>
              <w:t>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竞争性磋商活动</w:t>
            </w:r>
            <w:r>
              <w:rPr>
                <w:color w:val="auto"/>
                <w:sz w:val="24"/>
                <w:szCs w:val="24"/>
                <w:highlight w:val="none"/>
              </w:rPr>
              <w:t>。</w:t>
            </w:r>
          </w:p>
        </w:tc>
      </w:tr>
      <w:tr w14:paraId="4BD08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22" w:type="pct"/>
            <w:shd w:val="clear" w:color="auto" w:fill="auto"/>
            <w:tcMar>
              <w:top w:w="0" w:type="dxa"/>
              <w:left w:w="0" w:type="dxa"/>
              <w:bottom w:w="0" w:type="dxa"/>
              <w:right w:w="0" w:type="dxa"/>
            </w:tcMar>
            <w:vAlign w:val="center"/>
          </w:tcPr>
          <w:p w14:paraId="5B5165CF">
            <w:pPr>
              <w:widowControl/>
              <w:wordWrap w:val="0"/>
              <w:jc w:val="left"/>
              <w:rPr>
                <w:color w:val="auto"/>
              </w:rPr>
            </w:pPr>
            <w:r>
              <w:rPr>
                <w:rFonts w:hint="eastAsia" w:ascii="宋体" w:hAnsi="宋体" w:eastAsia="宋体" w:cs="宋体"/>
                <w:color w:val="auto"/>
                <w:kern w:val="0"/>
                <w:sz w:val="24"/>
              </w:rPr>
              <w:t>11</w:t>
            </w:r>
          </w:p>
        </w:tc>
        <w:tc>
          <w:tcPr>
            <w:tcW w:w="329" w:type="pct"/>
            <w:shd w:val="clear" w:color="auto" w:fill="auto"/>
            <w:tcMar>
              <w:top w:w="0" w:type="dxa"/>
              <w:left w:w="0" w:type="dxa"/>
              <w:bottom w:w="0" w:type="dxa"/>
              <w:right w:w="0" w:type="dxa"/>
            </w:tcMar>
            <w:vAlign w:val="center"/>
          </w:tcPr>
          <w:p w14:paraId="1F7CE349">
            <w:pPr>
              <w:widowControl/>
              <w:wordWrap w:val="0"/>
              <w:jc w:val="left"/>
              <w:rPr>
                <w:color w:val="auto"/>
              </w:rPr>
            </w:pPr>
            <w:r>
              <w:rPr>
                <w:rFonts w:hint="eastAsia" w:ascii="宋体" w:hAnsi="宋体" w:eastAsia="宋体" w:cs="宋体"/>
                <w:color w:val="auto"/>
                <w:kern w:val="0"/>
                <w:sz w:val="24"/>
              </w:rPr>
              <w:t>18.1</w:t>
            </w:r>
          </w:p>
        </w:tc>
        <w:tc>
          <w:tcPr>
            <w:tcW w:w="4448" w:type="pct"/>
            <w:shd w:val="clear" w:color="auto" w:fill="auto"/>
            <w:tcMar>
              <w:top w:w="0" w:type="dxa"/>
              <w:left w:w="0" w:type="dxa"/>
              <w:bottom w:w="0" w:type="dxa"/>
              <w:right w:w="0" w:type="dxa"/>
            </w:tcMar>
            <w:vAlign w:val="center"/>
          </w:tcPr>
          <w:p w14:paraId="30BD5A0E">
            <w:pPr>
              <w:widowControl/>
              <w:wordWrap w:val="0"/>
              <w:jc w:val="left"/>
              <w:rPr>
                <w:color w:val="auto"/>
              </w:rPr>
            </w:pPr>
            <w:r>
              <w:rPr>
                <w:rStyle w:val="26"/>
                <w:rFonts w:hint="eastAsia" w:ascii="宋体" w:hAnsi="宋体" w:eastAsia="宋体" w:cs="宋体"/>
                <w:bCs/>
                <w:color w:val="auto"/>
                <w:kern w:val="0"/>
                <w:sz w:val="24"/>
              </w:rPr>
              <w:t>合同签订时限：自中标通知书发出之日起30个日历日内。</w:t>
            </w:r>
          </w:p>
        </w:tc>
      </w:tr>
      <w:tr w14:paraId="0307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24E38ED6">
            <w:pPr>
              <w:pStyle w:val="17"/>
              <w:widowControl/>
              <w:wordWrap w:val="0"/>
              <w:spacing w:beforeAutospacing="0" w:afterAutospacing="0" w:line="435" w:lineRule="atLeast"/>
              <w:jc w:val="center"/>
              <w:rPr>
                <w:color w:val="auto"/>
              </w:rPr>
            </w:pPr>
            <w:r>
              <w:rPr>
                <w:rFonts w:hint="eastAsia" w:ascii="宋体" w:hAnsi="宋体" w:eastAsia="宋体" w:cs="宋体"/>
                <w:color w:val="auto"/>
              </w:rPr>
              <w:t>11</w:t>
            </w:r>
          </w:p>
        </w:tc>
        <w:tc>
          <w:tcPr>
            <w:tcW w:w="329" w:type="pct"/>
            <w:shd w:val="clear" w:color="auto" w:fill="auto"/>
            <w:tcMar>
              <w:top w:w="0" w:type="dxa"/>
              <w:left w:w="105" w:type="dxa"/>
              <w:bottom w:w="0" w:type="dxa"/>
              <w:right w:w="105" w:type="dxa"/>
            </w:tcMar>
            <w:vAlign w:val="center"/>
          </w:tcPr>
          <w:p w14:paraId="6A3C74D1">
            <w:pPr>
              <w:pStyle w:val="17"/>
              <w:widowControl/>
              <w:spacing w:beforeAutospacing="0" w:afterAutospacing="0" w:line="435" w:lineRule="atLeast"/>
              <w:rPr>
                <w:color w:val="auto"/>
              </w:rPr>
            </w:pPr>
            <w:r>
              <w:rPr>
                <w:rFonts w:hint="eastAsia" w:ascii="宋体" w:hAnsi="宋体" w:eastAsia="宋体" w:cs="宋体"/>
                <w:color w:val="auto"/>
              </w:rPr>
              <w:t>22.2</w:t>
            </w:r>
          </w:p>
        </w:tc>
        <w:tc>
          <w:tcPr>
            <w:tcW w:w="4448" w:type="pct"/>
            <w:shd w:val="clear" w:color="auto" w:fill="auto"/>
            <w:tcMar>
              <w:top w:w="0" w:type="dxa"/>
              <w:left w:w="105" w:type="dxa"/>
              <w:bottom w:w="0" w:type="dxa"/>
              <w:right w:w="105" w:type="dxa"/>
            </w:tcMar>
          </w:tcPr>
          <w:p w14:paraId="4FE423C4">
            <w:pPr>
              <w:pStyle w:val="17"/>
              <w:widowControl/>
              <w:wordWrap w:val="0"/>
              <w:spacing w:beforeAutospacing="0" w:afterAutospacing="0" w:line="435" w:lineRule="atLeast"/>
              <w:rPr>
                <w:color w:val="auto"/>
              </w:rPr>
            </w:pPr>
            <w:r>
              <w:rPr>
                <w:rStyle w:val="26"/>
                <w:rFonts w:hint="eastAsia" w:ascii="宋体" w:hAnsi="宋体" w:eastAsia="宋体" w:cs="宋体"/>
                <w:bCs/>
                <w:color w:val="auto"/>
              </w:rPr>
              <w:t>信息公告指定媒体（以下简称：“指定媒体”）：</w:t>
            </w:r>
          </w:p>
          <w:p w14:paraId="2EBD6626">
            <w:pPr>
              <w:pStyle w:val="17"/>
              <w:widowControl/>
              <w:wordWrap w:val="0"/>
              <w:spacing w:beforeAutospacing="0" w:afterAutospacing="0" w:line="435" w:lineRule="atLeast"/>
              <w:rPr>
                <w:color w:val="auto"/>
              </w:rPr>
            </w:pPr>
            <w:r>
              <w:rPr>
                <w:rFonts w:hint="eastAsia" w:ascii="宋体" w:hAnsi="宋体" w:eastAsia="宋体" w:cs="宋体"/>
                <w:color w:val="auto"/>
              </w:rPr>
              <w:t>中国政府采购网，网址www.ccgp.gov.cn</w:t>
            </w:r>
            <w:r>
              <w:rPr>
                <w:color w:val="auto"/>
              </w:rPr>
              <w:t>。</w:t>
            </w:r>
          </w:p>
        </w:tc>
      </w:tr>
      <w:tr w14:paraId="4CA23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5" w:hRule="atLeast"/>
        </w:trPr>
        <w:tc>
          <w:tcPr>
            <w:tcW w:w="222" w:type="pct"/>
            <w:shd w:val="clear" w:color="auto" w:fill="auto"/>
            <w:tcMar>
              <w:top w:w="0" w:type="dxa"/>
              <w:left w:w="105" w:type="dxa"/>
              <w:bottom w:w="0" w:type="dxa"/>
              <w:right w:w="105" w:type="dxa"/>
            </w:tcMar>
            <w:vAlign w:val="center"/>
          </w:tcPr>
          <w:p w14:paraId="073AAFCF">
            <w:pPr>
              <w:pStyle w:val="17"/>
              <w:widowControl/>
              <w:spacing w:beforeAutospacing="0" w:afterAutospacing="0" w:line="435" w:lineRule="atLeast"/>
              <w:jc w:val="center"/>
              <w:rPr>
                <w:color w:val="auto"/>
              </w:rPr>
            </w:pPr>
            <w:r>
              <w:rPr>
                <w:rFonts w:hint="eastAsia" w:ascii="宋体" w:hAnsi="宋体" w:eastAsia="宋体" w:cs="宋体"/>
                <w:color w:val="auto"/>
              </w:rPr>
              <w:t>12</w:t>
            </w:r>
          </w:p>
        </w:tc>
        <w:tc>
          <w:tcPr>
            <w:tcW w:w="329" w:type="pct"/>
            <w:shd w:val="clear" w:color="auto" w:fill="auto"/>
            <w:tcMar>
              <w:top w:w="0" w:type="dxa"/>
              <w:left w:w="105" w:type="dxa"/>
              <w:bottom w:w="0" w:type="dxa"/>
              <w:right w:w="105" w:type="dxa"/>
            </w:tcMar>
            <w:vAlign w:val="center"/>
          </w:tcPr>
          <w:p w14:paraId="38908F83">
            <w:pPr>
              <w:pStyle w:val="17"/>
              <w:widowControl/>
              <w:spacing w:beforeAutospacing="0" w:afterAutospacing="0" w:line="435" w:lineRule="atLeast"/>
              <w:rPr>
                <w:color w:val="auto"/>
              </w:rPr>
            </w:pPr>
            <w:r>
              <w:rPr>
                <w:rFonts w:hint="eastAsia" w:ascii="宋体" w:hAnsi="宋体" w:eastAsia="宋体" w:cs="宋体"/>
                <w:color w:val="auto"/>
              </w:rPr>
              <w:t>23.1</w:t>
            </w:r>
          </w:p>
        </w:tc>
        <w:tc>
          <w:tcPr>
            <w:tcW w:w="4448" w:type="pct"/>
            <w:shd w:val="clear" w:color="auto" w:fill="auto"/>
            <w:tcMar>
              <w:top w:w="0" w:type="dxa"/>
              <w:left w:w="105" w:type="dxa"/>
              <w:bottom w:w="0" w:type="dxa"/>
              <w:right w:w="105" w:type="dxa"/>
            </w:tcMar>
            <w:vAlign w:val="center"/>
          </w:tcPr>
          <w:p w14:paraId="2F2566B7">
            <w:pPr>
              <w:pStyle w:val="17"/>
              <w:widowControl/>
              <w:spacing w:beforeAutospacing="0" w:afterAutospacing="0" w:line="435" w:lineRule="atLeast"/>
              <w:rPr>
                <w:color w:val="auto"/>
              </w:rPr>
            </w:pPr>
            <w:r>
              <w:rPr>
                <w:rStyle w:val="26"/>
                <w:rFonts w:hint="eastAsia" w:ascii="宋体" w:hAnsi="宋体" w:eastAsia="宋体" w:cs="宋体"/>
                <w:bCs/>
                <w:color w:val="auto"/>
              </w:rPr>
              <w:t>本项目监督管理部门：</w:t>
            </w:r>
            <w:r>
              <w:rPr>
                <w:rFonts w:hint="eastAsia" w:ascii="宋体" w:hAnsi="宋体" w:eastAsia="宋体" w:cs="宋体"/>
                <w:color w:val="auto"/>
                <w:lang w:eastAsia="zh-CN"/>
              </w:rPr>
              <w:t>福建省翔安监狱</w:t>
            </w:r>
            <w:r>
              <w:rPr>
                <w:rFonts w:hint="eastAsia" w:ascii="宋体" w:hAnsi="宋体" w:eastAsia="宋体" w:cs="宋体"/>
                <w:color w:val="auto"/>
              </w:rPr>
              <w:t>。</w:t>
            </w:r>
          </w:p>
        </w:tc>
      </w:tr>
      <w:tr w14:paraId="6153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5" w:hRule="atLeast"/>
        </w:trPr>
        <w:tc>
          <w:tcPr>
            <w:tcW w:w="222" w:type="pct"/>
            <w:shd w:val="clear" w:color="auto" w:fill="auto"/>
            <w:tcMar>
              <w:top w:w="0" w:type="dxa"/>
              <w:left w:w="105" w:type="dxa"/>
              <w:bottom w:w="0" w:type="dxa"/>
              <w:right w:w="105" w:type="dxa"/>
            </w:tcMar>
            <w:vAlign w:val="center"/>
          </w:tcPr>
          <w:p w14:paraId="33938B8F">
            <w:pPr>
              <w:pStyle w:val="17"/>
              <w:widowControl/>
              <w:spacing w:beforeAutospacing="0" w:afterAutospacing="0" w:line="435" w:lineRule="atLeast"/>
              <w:jc w:val="center"/>
              <w:rPr>
                <w:color w:val="auto"/>
              </w:rPr>
            </w:pPr>
            <w:r>
              <w:rPr>
                <w:rFonts w:hint="eastAsia" w:ascii="宋体" w:hAnsi="宋体" w:eastAsia="宋体" w:cs="宋体"/>
                <w:color w:val="auto"/>
              </w:rPr>
              <w:t>13</w:t>
            </w:r>
          </w:p>
        </w:tc>
        <w:tc>
          <w:tcPr>
            <w:tcW w:w="329" w:type="pct"/>
            <w:shd w:val="clear" w:color="auto" w:fill="auto"/>
            <w:tcMar>
              <w:top w:w="0" w:type="dxa"/>
              <w:left w:w="105" w:type="dxa"/>
              <w:bottom w:w="0" w:type="dxa"/>
              <w:right w:w="105" w:type="dxa"/>
            </w:tcMar>
            <w:vAlign w:val="center"/>
          </w:tcPr>
          <w:p w14:paraId="2547B3E0">
            <w:pPr>
              <w:pStyle w:val="17"/>
              <w:widowControl/>
              <w:spacing w:beforeAutospacing="0" w:afterAutospacing="0" w:line="435" w:lineRule="atLeast"/>
              <w:rPr>
                <w:color w:val="auto"/>
              </w:rPr>
            </w:pPr>
            <w:r>
              <w:rPr>
                <w:rFonts w:hint="eastAsia" w:ascii="宋体" w:hAnsi="宋体" w:eastAsia="宋体" w:cs="宋体"/>
                <w:color w:val="auto"/>
              </w:rPr>
              <w:t>24.1</w:t>
            </w:r>
          </w:p>
        </w:tc>
        <w:tc>
          <w:tcPr>
            <w:tcW w:w="4448" w:type="pct"/>
            <w:shd w:val="clear" w:color="auto" w:fill="auto"/>
            <w:tcMar>
              <w:top w:w="0" w:type="dxa"/>
              <w:left w:w="105" w:type="dxa"/>
              <w:bottom w:w="0" w:type="dxa"/>
              <w:right w:w="105" w:type="dxa"/>
            </w:tcMar>
            <w:vAlign w:val="center"/>
          </w:tcPr>
          <w:p w14:paraId="367E95A7">
            <w:pPr>
              <w:pStyle w:val="17"/>
              <w:widowControl/>
              <w:spacing w:beforeAutospacing="0" w:afterAutospacing="0" w:line="435" w:lineRule="atLeast"/>
              <w:rPr>
                <w:color w:val="auto"/>
              </w:rPr>
            </w:pPr>
            <w:r>
              <w:rPr>
                <w:rStyle w:val="26"/>
                <w:rFonts w:hint="eastAsia" w:ascii="宋体" w:hAnsi="宋体" w:eastAsia="宋体" w:cs="宋体"/>
                <w:bCs/>
                <w:color w:val="auto"/>
              </w:rPr>
              <w:t>履约保证金：</w:t>
            </w:r>
          </w:p>
          <w:p w14:paraId="78021F4A">
            <w:pPr>
              <w:pStyle w:val="17"/>
              <w:widowControl/>
              <w:wordWrap w:val="0"/>
              <w:spacing w:beforeAutospacing="0" w:afterAutospacing="0"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采购包1：缴纳</w:t>
            </w:r>
          </w:p>
          <w:p w14:paraId="01F8B965">
            <w:pPr>
              <w:pStyle w:val="17"/>
              <w:widowControl/>
              <w:wordWrap w:val="0"/>
              <w:spacing w:beforeAutospacing="0" w:afterAutospacing="0"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本采购包履约保证金为合同金额的</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.0%</w:t>
            </w:r>
          </w:p>
          <w:p w14:paraId="30D13C5B">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rPr>
            </w:pPr>
            <w:r>
              <w:rPr>
                <w:rFonts w:hint="eastAsia" w:ascii="宋体" w:hAnsi="宋体" w:eastAsia="宋体" w:cs="宋体"/>
                <w:color w:val="auto"/>
                <w:sz w:val="24"/>
                <w:szCs w:val="24"/>
              </w:rPr>
              <w:t>说明：</w:t>
            </w:r>
            <w:r>
              <w:rPr>
                <w:rFonts w:hint="eastAsia" w:ascii="宋体" w:hAnsi="宋体" w:eastAsia="宋体" w:cs="宋体"/>
                <w:b w:val="0"/>
                <w:bCs w:val="0"/>
                <w:color w:val="auto"/>
                <w:sz w:val="24"/>
                <w:szCs w:val="24"/>
                <w:lang w:val="en-US" w:eastAsia="zh-CN"/>
              </w:rPr>
              <w:t>成交人应在合同签订前向</w:t>
            </w:r>
            <w:bookmarkStart w:id="5" w:name="OLE_LINK5"/>
            <w:r>
              <w:rPr>
                <w:rFonts w:hint="eastAsia" w:ascii="宋体" w:hAnsi="宋体" w:eastAsia="宋体" w:cs="宋体"/>
                <w:b w:val="0"/>
                <w:bCs w:val="0"/>
                <w:color w:val="auto"/>
                <w:sz w:val="24"/>
                <w:szCs w:val="24"/>
                <w:lang w:val="en-US" w:eastAsia="zh-CN"/>
              </w:rPr>
              <w:t>采购人缴纳合同金额的5%作为履约保证金</w:t>
            </w:r>
            <w:bookmarkEnd w:id="5"/>
            <w:bookmarkStart w:id="6" w:name="OLE_LINK22"/>
            <w:r>
              <w:rPr>
                <w:rFonts w:hint="eastAsia" w:ascii="宋体" w:hAnsi="宋体" w:eastAsia="宋体" w:cs="宋体"/>
                <w:b w:val="0"/>
                <w:bCs w:val="0"/>
                <w:color w:val="auto"/>
                <w:sz w:val="24"/>
                <w:szCs w:val="24"/>
                <w:lang w:val="en-US" w:eastAsia="zh-CN"/>
              </w:rPr>
              <w:t>（若成交人为中小企业，则向采购人缴纳合同金额的4%作为履约保证金）</w:t>
            </w:r>
            <w:bookmarkEnd w:id="6"/>
            <w:r>
              <w:rPr>
                <w:rFonts w:hint="eastAsia" w:ascii="宋体" w:hAnsi="宋体" w:eastAsia="宋体" w:cs="宋体"/>
                <w:b w:val="0"/>
                <w:bCs w:val="0"/>
                <w:color w:val="auto"/>
                <w:sz w:val="24"/>
                <w:szCs w:val="24"/>
                <w:lang w:val="en-US" w:eastAsia="zh-CN"/>
              </w:rPr>
              <w:t>，履约保证金以银行转账形式提交。履约保证金在合同期满且经采购人确认双方无未了事项后，采购人在收到成交供应商书面申请后10日内无息退还</w:t>
            </w:r>
            <w:r>
              <w:rPr>
                <w:rFonts w:hint="eastAsia" w:ascii="宋体" w:hAnsi="宋体" w:eastAsia="宋体" w:cs="宋体"/>
                <w:color w:val="auto"/>
                <w:sz w:val="24"/>
                <w:szCs w:val="24"/>
              </w:rPr>
              <w:t>。</w:t>
            </w:r>
          </w:p>
        </w:tc>
      </w:tr>
      <w:tr w14:paraId="0BF3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5" w:hRule="atLeast"/>
        </w:trPr>
        <w:tc>
          <w:tcPr>
            <w:tcW w:w="222" w:type="pct"/>
            <w:shd w:val="clear" w:color="auto" w:fill="auto"/>
            <w:tcMar>
              <w:top w:w="0" w:type="dxa"/>
              <w:left w:w="105" w:type="dxa"/>
              <w:bottom w:w="0" w:type="dxa"/>
              <w:right w:w="105" w:type="dxa"/>
            </w:tcMar>
            <w:vAlign w:val="center"/>
          </w:tcPr>
          <w:p w14:paraId="08340E59">
            <w:pPr>
              <w:pStyle w:val="17"/>
              <w:widowControl/>
              <w:spacing w:beforeAutospacing="0" w:afterAutospacing="0" w:line="435" w:lineRule="atLeast"/>
              <w:jc w:val="center"/>
              <w:rPr>
                <w:color w:val="auto"/>
              </w:rPr>
            </w:pPr>
            <w:r>
              <w:rPr>
                <w:rFonts w:hint="eastAsia" w:ascii="宋体" w:hAnsi="宋体" w:eastAsia="宋体" w:cs="宋体"/>
                <w:color w:val="auto"/>
              </w:rPr>
              <w:t>14</w:t>
            </w:r>
          </w:p>
        </w:tc>
        <w:tc>
          <w:tcPr>
            <w:tcW w:w="329" w:type="pct"/>
            <w:shd w:val="clear" w:color="auto" w:fill="auto"/>
            <w:tcMar>
              <w:top w:w="0" w:type="dxa"/>
              <w:left w:w="105" w:type="dxa"/>
              <w:bottom w:w="0" w:type="dxa"/>
              <w:right w:w="105" w:type="dxa"/>
            </w:tcMar>
            <w:vAlign w:val="center"/>
          </w:tcPr>
          <w:p w14:paraId="0E9943F6">
            <w:pPr>
              <w:pStyle w:val="17"/>
              <w:widowControl/>
              <w:spacing w:beforeAutospacing="0" w:afterAutospacing="0" w:line="435" w:lineRule="atLeast"/>
              <w:rPr>
                <w:color w:val="auto"/>
              </w:rPr>
            </w:pPr>
            <w:r>
              <w:rPr>
                <w:rFonts w:hint="eastAsia" w:ascii="宋体" w:hAnsi="宋体" w:eastAsia="宋体" w:cs="宋体"/>
                <w:color w:val="auto"/>
              </w:rPr>
              <w:t>25</w:t>
            </w:r>
          </w:p>
        </w:tc>
        <w:tc>
          <w:tcPr>
            <w:tcW w:w="4448" w:type="pct"/>
            <w:shd w:val="clear" w:color="auto" w:fill="auto"/>
            <w:tcMar>
              <w:top w:w="0" w:type="dxa"/>
              <w:left w:w="105" w:type="dxa"/>
              <w:bottom w:w="0" w:type="dxa"/>
              <w:right w:w="105" w:type="dxa"/>
            </w:tcMar>
            <w:vAlign w:val="center"/>
          </w:tcPr>
          <w:p w14:paraId="371B3541">
            <w:pPr>
              <w:pStyle w:val="17"/>
              <w:widowControl/>
              <w:wordWrap w:val="0"/>
              <w:spacing w:beforeAutospacing="0" w:afterAutospacing="0" w:line="435" w:lineRule="atLeast"/>
              <w:rPr>
                <w:color w:val="auto"/>
              </w:rPr>
            </w:pPr>
            <w:r>
              <w:rPr>
                <w:rFonts w:hint="eastAsia"/>
                <w:color w:val="auto"/>
              </w:rPr>
              <w:t>根据采购项目特点或政策需要补充的其他新增内容：</w:t>
            </w:r>
          </w:p>
          <w:p w14:paraId="53A219C2">
            <w:pPr>
              <w:pStyle w:val="17"/>
              <w:widowControl/>
              <w:wordWrap w:val="0"/>
              <w:spacing w:beforeAutospacing="0" w:afterAutospacing="0" w:line="435" w:lineRule="atLeast"/>
              <w:rPr>
                <w:color w:val="auto"/>
              </w:rPr>
            </w:pPr>
            <w:r>
              <w:rPr>
                <w:rFonts w:hint="eastAsia"/>
                <w:color w:val="auto"/>
              </w:rPr>
              <w:t>1、本项目由成交供应商支付代理服务费。</w:t>
            </w:r>
          </w:p>
          <w:p w14:paraId="24D46CC2">
            <w:pPr>
              <w:pStyle w:val="17"/>
              <w:widowControl/>
              <w:wordWrap w:val="0"/>
              <w:spacing w:beforeAutospacing="0" w:afterAutospacing="0" w:line="435" w:lineRule="atLeast"/>
              <w:rPr>
                <w:color w:val="auto"/>
              </w:rPr>
            </w:pPr>
            <w:r>
              <w:rPr>
                <w:rFonts w:hint="eastAsia"/>
                <w:color w:val="auto"/>
              </w:rPr>
              <w:t>2、其他：</w:t>
            </w:r>
          </w:p>
          <w:p w14:paraId="00328983">
            <w:pPr>
              <w:pStyle w:val="17"/>
              <w:widowControl/>
              <w:wordWrap w:val="0"/>
              <w:spacing w:beforeAutospacing="0" w:afterAutospacing="0" w:line="435" w:lineRule="atLeast"/>
              <w:rPr>
                <w:color w:val="auto"/>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val="en-US" w:eastAsia="zh-Hans"/>
              </w:rPr>
              <w:t>代理服务费收费标准：</w:t>
            </w:r>
            <w:r>
              <w:rPr>
                <w:rFonts w:hint="eastAsia"/>
                <w:color w:val="auto"/>
              </w:rPr>
              <w:t>①</w:t>
            </w:r>
            <w:r>
              <w:rPr>
                <w:rFonts w:hint="eastAsia" w:ascii="宋体" w:hAnsi="宋体" w:eastAsia="宋体" w:cs="宋体"/>
                <w:color w:val="auto"/>
                <w:kern w:val="0"/>
                <w:sz w:val="24"/>
                <w:szCs w:val="24"/>
                <w:highlight w:val="none"/>
                <w:lang w:val="en-US" w:eastAsia="zh-Hans"/>
              </w:rPr>
              <w:t>以本项目采购包</w:t>
            </w:r>
            <w:r>
              <w:rPr>
                <w:rFonts w:hint="eastAsia" w:ascii="宋体" w:hAnsi="宋体" w:eastAsia="宋体" w:cs="宋体"/>
                <w:color w:val="auto"/>
                <w:kern w:val="0"/>
                <w:sz w:val="24"/>
                <w:szCs w:val="24"/>
                <w:highlight w:val="none"/>
                <w:lang w:val="en-US" w:eastAsia="zh-CN"/>
              </w:rPr>
              <w:t>预算金额（80万元）</w:t>
            </w:r>
            <w:r>
              <w:rPr>
                <w:rFonts w:hint="eastAsia" w:ascii="宋体" w:hAnsi="宋体" w:eastAsia="宋体" w:cs="宋体"/>
                <w:color w:val="auto"/>
                <w:kern w:val="0"/>
                <w:sz w:val="24"/>
                <w:szCs w:val="24"/>
                <w:highlight w:val="none"/>
                <w:lang w:val="en-US" w:eastAsia="zh-Hans"/>
              </w:rPr>
              <w:t>作为收费的计算基数，按差额定率累进法计算</w:t>
            </w:r>
            <w:r>
              <w:rPr>
                <w:rFonts w:hint="eastAsia"/>
                <w:color w:val="auto"/>
              </w:rPr>
              <w:t>。 ②</w:t>
            </w:r>
            <w:r>
              <w:rPr>
                <w:rFonts w:hint="eastAsia" w:ascii="宋体" w:hAnsi="宋体" w:cs="宋体"/>
                <w:color w:val="auto"/>
              </w:rPr>
              <w:t>收费费率标准：金额（万元）50以下，收费费率标准1％；金额（万元）50-100，收费费率标准0.9％；金额（万元）100-500，收费费率标准0.5％，金额（万元）500-1000，收费费率标准0.2％</w:t>
            </w:r>
            <w:r>
              <w:rPr>
                <w:rFonts w:hint="eastAsia"/>
                <w:color w:val="auto"/>
              </w:rPr>
              <w:t>；③代理服务费缴交账号： 开户名：福建信发招标代理有限公司 开户行：福建海峡银行福州鼓楼支行， 账 号：100026211970010002。2)供应商必须对其响应文件中提供各种资料、说明的真实性负责。在评审过程中，如有发现供应商有为谋取成交而提供虚假资料欺骗采购人和磋商小组的行为，将取消其成交资格，其磋商保证金将不予退还。若在成交后和执行合同过程中发现其提供虚假资料的将取消其成交资格，给采购人造成损失的，还必须进行赔偿并负相关责任。评审过程中无论是否有对原件进行核实，供应商都必须对其提供各种资料、说明的真实性负责。 3） 供应商须保障采购人在使用该货物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4）信用记录查询及使用：4.1、信用记录查询渠道及截止时点：磋商小组将在提交响应文件截止时间截止后，通过“信用中国”网站(www.creditchina.gov.cn)、中国政府采购网(www.ccgp.gov.cn)查询供应商的信用记录。4.2信用信息查询记录和证据留存的具体方式：磋商小组将记录、打印各供应商的信用信息查询结果，与其他采购文件一并保存。4.3信用信息的使用规则：依据《财政部关于在政府采购活动中查询及使用信用记录有关问题的通知》财库〔2016〕125号规定，对被列入失信被执行人、重大税收违法案件当事人名单、政府采购严重违法失信行为记录名单的供应商，其在资格性检查中将不合格。5）接收质疑函的方式、联系部门、联系电话和通讯地址：5.1接收质疑函原件的方式：现场方式；5.2接收质疑函的联系部门：办公室；5.3接收质疑函的联系电话：0591-88002309；5.4接收质疑函的通讯地址：福州市鼓楼区铜盘路466-3号大自然文化创意园5号楼4层福建信发招标代理有限公司。6）关于“成立年限满1年及以上的供应商，提供经审计的上一年度的年度财务报告”补充说明：经审计的上一年度的年度财务报告是指经审计的</w:t>
            </w:r>
            <w:r>
              <w:rPr>
                <w:rFonts w:hint="eastAsia"/>
                <w:color w:val="auto"/>
                <w:lang w:val="en-US" w:eastAsia="zh-CN"/>
              </w:rPr>
              <w:t>2023年度</w:t>
            </w:r>
            <w:r>
              <w:rPr>
                <w:rFonts w:hint="eastAsia"/>
                <w:color w:val="auto"/>
              </w:rPr>
              <w:t>财务报告复印件。7）供应商针对竞争性磋商文件中资格证明文件“财务状况报告”若选择提供资信证明复印件的，无需提供其开户（基本存款账户）许可证复印件，若此项规定与竞争性磋商文件其他部分有矛盾的，以此项规定为准。</w:t>
            </w:r>
            <w:r>
              <w:rPr>
                <w:rFonts w:hint="eastAsia"/>
                <w:color w:val="auto"/>
                <w:lang w:val="en-US" w:eastAsia="zh-CN"/>
              </w:rPr>
              <w:t>8</w:t>
            </w:r>
            <w:r>
              <w:rPr>
                <w:rFonts w:hint="eastAsia"/>
                <w:color w:val="auto"/>
              </w:rPr>
              <w:t>）供应商最后报价不能高于首次报价，若高于首次报价应以其首次报价为准。</w:t>
            </w:r>
            <w:r>
              <w:rPr>
                <w:rFonts w:hint="eastAsia"/>
                <w:color w:val="auto"/>
                <w:lang w:val="en-US" w:eastAsia="zh-CN"/>
              </w:rPr>
              <w:t>9</w:t>
            </w:r>
            <w:r>
              <w:rPr>
                <w:rFonts w:hint="eastAsia"/>
                <w:color w:val="auto"/>
              </w:rPr>
              <w:t>）经磋商小组评审，在提交的响应文件全部满足竞争性磋商文件实质性要求的供应商不少于三家的前提下，按各合格供应商评审得分由高到低顺序推荐三名成交候选人。</w:t>
            </w:r>
            <w:r>
              <w:rPr>
                <w:rFonts w:hint="eastAsia"/>
                <w:color w:val="auto"/>
                <w:lang w:val="en-US" w:eastAsia="zh-CN"/>
              </w:rPr>
              <w:t>10</w:t>
            </w:r>
            <w:r>
              <w:rPr>
                <w:rFonts w:hint="eastAsia"/>
                <w:color w:val="auto"/>
              </w:rPr>
              <w:t>）</w:t>
            </w:r>
            <w:r>
              <w:rPr>
                <w:rFonts w:hint="eastAsia" w:ascii="宋体" w:hAnsi="宋体" w:cs="宋体"/>
                <w:color w:val="auto"/>
              </w:rPr>
              <w:t>关于证明材料或资料：若供应商提供注明“复印件无效”的证明材料或资料，其响应文件正本中应提供原件</w:t>
            </w:r>
            <w:r>
              <w:rPr>
                <w:rStyle w:val="26"/>
                <w:rFonts w:hint="eastAsia" w:ascii="宋体" w:hAnsi="宋体" w:cs="宋体"/>
                <w:b w:val="0"/>
                <w:color w:val="auto"/>
              </w:rPr>
              <w:t>（磋商小组将核对响应文件正本，未提供原件的证明材料或资料将导致响应无效或相应的评分项不得分或扣分）。</w:t>
            </w:r>
            <w:r>
              <w:rPr>
                <w:rFonts w:hint="eastAsia"/>
                <w:color w:val="auto"/>
                <w:lang w:val="en-US" w:eastAsia="zh-CN"/>
              </w:rPr>
              <w:t>11</w:t>
            </w:r>
            <w:r>
              <w:rPr>
                <w:rFonts w:hint="eastAsia"/>
                <w:color w:val="auto"/>
              </w:rPr>
              <w:t>）</w:t>
            </w:r>
            <w:r>
              <w:rPr>
                <w:rFonts w:hint="eastAsia" w:ascii="宋体" w:hAnsi="宋体" w:cs="宋体"/>
                <w:color w:val="auto"/>
              </w:rPr>
              <w:t>各类资格资质证书到期无法及时年审的，供应商可以提供相关管理部门政策，在响应时提交书面说明，若</w:t>
            </w:r>
            <w:r>
              <w:rPr>
                <w:rFonts w:hint="eastAsia"/>
                <w:color w:val="auto"/>
              </w:rPr>
              <w:t>供应商</w:t>
            </w:r>
            <w:r>
              <w:rPr>
                <w:rFonts w:hint="eastAsia" w:ascii="宋体" w:hAnsi="宋体" w:cs="宋体"/>
                <w:color w:val="auto"/>
              </w:rPr>
              <w:t>提供了证据证明符合上述情形的，不影响其投标（或评审得分），否则，磋商小组可作出对其不利的评审。</w:t>
            </w:r>
          </w:p>
        </w:tc>
      </w:tr>
    </w:tbl>
    <w:p w14:paraId="7DABBA70">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 </w:t>
      </w:r>
    </w:p>
    <w:p w14:paraId="4E83F171">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专项附件：       </w:t>
      </w:r>
      <w:r>
        <w:rPr>
          <w:rStyle w:val="26"/>
          <w:rFonts w:hint="eastAsia" w:ascii="宋体" w:hAnsi="宋体" w:eastAsia="宋体" w:cs="宋体"/>
          <w:bCs/>
          <w:color w:val="auto"/>
          <w:sz w:val="31"/>
          <w:szCs w:val="31"/>
        </w:rPr>
        <w:t> 评审的标准和方法</w:t>
      </w:r>
    </w:p>
    <w:p w14:paraId="2160DA48">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 </w:t>
      </w:r>
    </w:p>
    <w:p w14:paraId="536E5E90">
      <w:pPr>
        <w:pStyle w:val="17"/>
        <w:widowControl/>
        <w:spacing w:before="75" w:beforeAutospacing="0" w:after="75" w:afterAutospacing="0" w:line="420" w:lineRule="atLeast"/>
        <w:jc w:val="center"/>
        <w:rPr>
          <w:color w:val="auto"/>
        </w:rPr>
      </w:pPr>
      <w:r>
        <w:rPr>
          <w:rStyle w:val="26"/>
          <w:rFonts w:hint="eastAsia" w:ascii="宋体" w:hAnsi="宋体" w:eastAsia="宋体" w:cs="宋体"/>
          <w:bCs/>
          <w:color w:val="auto"/>
        </w:rPr>
        <w:t>一、磋商小组</w:t>
      </w:r>
    </w:p>
    <w:p w14:paraId="378B0ADD">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18DFB945">
      <w:pPr>
        <w:pStyle w:val="17"/>
        <w:widowControl/>
        <w:spacing w:before="75" w:beforeAutospacing="0" w:after="75" w:afterAutospacing="0" w:line="420" w:lineRule="atLeast"/>
        <w:ind w:firstLine="240"/>
        <w:rPr>
          <w:color w:val="auto"/>
        </w:rPr>
      </w:pPr>
      <w:r>
        <w:rPr>
          <w:rFonts w:hint="eastAsia" w:ascii="宋体" w:hAnsi="宋体" w:eastAsia="宋体" w:cs="宋体"/>
          <w:color w:val="auto"/>
        </w:rPr>
        <w:t>1.1采购人根据项目的特点依法组建磋商小组。</w:t>
      </w:r>
    </w:p>
    <w:p w14:paraId="10584C98">
      <w:pPr>
        <w:pStyle w:val="17"/>
        <w:widowControl/>
        <w:spacing w:before="75" w:beforeAutospacing="0" w:after="75" w:afterAutospacing="0" w:line="420" w:lineRule="atLeast"/>
        <w:ind w:firstLine="240"/>
        <w:rPr>
          <w:color w:val="auto"/>
        </w:rPr>
      </w:pPr>
      <w:r>
        <w:rPr>
          <w:rFonts w:hint="eastAsia" w:ascii="宋体" w:hAnsi="宋体" w:eastAsia="宋体" w:cs="宋体"/>
          <w:color w:val="auto"/>
        </w:rPr>
        <w:t>1.2磋商小组由采购人代表和评审专家两部分（以下简称“评委”）共</w:t>
      </w:r>
      <w:r>
        <w:rPr>
          <w:rFonts w:hint="eastAsia" w:ascii="宋体" w:hAnsi="宋体" w:eastAsia="宋体" w:cs="宋体"/>
          <w:color w:val="auto"/>
          <w:u w:val="single"/>
        </w:rPr>
        <w:t>3</w:t>
      </w:r>
      <w:r>
        <w:rPr>
          <w:rFonts w:hint="eastAsia" w:ascii="宋体" w:hAnsi="宋体" w:eastAsia="宋体" w:cs="宋体"/>
          <w:color w:val="auto"/>
        </w:rPr>
        <w:t>人组成，其中：采购人代表</w:t>
      </w:r>
      <w:r>
        <w:rPr>
          <w:rFonts w:hint="eastAsia" w:ascii="宋体" w:hAnsi="宋体" w:eastAsia="宋体" w:cs="宋体"/>
          <w:color w:val="auto"/>
          <w:u w:val="single"/>
        </w:rPr>
        <w:t>1</w:t>
      </w:r>
      <w:r>
        <w:rPr>
          <w:rFonts w:hint="eastAsia" w:ascii="宋体" w:hAnsi="宋体" w:eastAsia="宋体" w:cs="宋体"/>
          <w:color w:val="auto"/>
        </w:rPr>
        <w:t>人由采购人派出，评审专家</w:t>
      </w:r>
      <w:r>
        <w:rPr>
          <w:rFonts w:hint="eastAsia" w:ascii="宋体" w:hAnsi="宋体" w:eastAsia="宋体" w:cs="宋体"/>
          <w:color w:val="auto"/>
          <w:u w:val="single"/>
        </w:rPr>
        <w:t>2</w:t>
      </w:r>
      <w:r>
        <w:rPr>
          <w:rFonts w:hint="eastAsia" w:ascii="宋体" w:hAnsi="宋体" w:eastAsia="宋体" w:cs="宋体"/>
          <w:color w:val="auto"/>
        </w:rPr>
        <w:t>人由福建省政府采购评审专家库产生。技术复杂、专业性强的采购项目，评审专家中应当包含1名法律专家。</w:t>
      </w:r>
    </w:p>
    <w:p w14:paraId="3506C1E2">
      <w:pPr>
        <w:pStyle w:val="17"/>
        <w:widowControl/>
        <w:spacing w:before="75" w:beforeAutospacing="0" w:after="75" w:afterAutospacing="0" w:line="420" w:lineRule="atLeast"/>
        <w:ind w:firstLine="240"/>
        <w:rPr>
          <w:color w:val="auto"/>
        </w:rPr>
      </w:pPr>
      <w:r>
        <w:rPr>
          <w:rFonts w:hint="eastAsia" w:ascii="宋体" w:hAnsi="宋体" w:eastAsia="宋体" w:cs="宋体"/>
          <w:color w:val="auto"/>
        </w:rPr>
        <w:t>1.3磋商小组负责具体磋商和评审事务，并按照下列原则依法独立履行有关职责：</w:t>
      </w:r>
    </w:p>
    <w:p w14:paraId="572C957B">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1.3.1评审应保护国家利益、社会公共利益和各方当事人合法权益，提高采购效益，保证项目质量。</w:t>
      </w:r>
    </w:p>
    <w:p w14:paraId="3BA0226E">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1.3.2评审应遵循公平、公正、科学、严谨和择优原则。</w:t>
      </w:r>
    </w:p>
    <w:p w14:paraId="70635526">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1.3.3评审的依据是磋商文件和响应文件，磋商文件中没有规定的评审标准不得作为评审依据。</w:t>
      </w:r>
    </w:p>
    <w:p w14:paraId="5A647D5B">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1.3.4磋商小组应按照磋商文件规定推荐成交候选供应商或根据采购人的授权确定成交供应商。</w:t>
      </w:r>
    </w:p>
    <w:p w14:paraId="2F7D6182">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1.3.5评审应遵守下列评审纪律：</w:t>
      </w:r>
    </w:p>
    <w:p w14:paraId="1AAA66E7">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①评审情况不得私自外泄，有关信息由采购人或其委托的代理机构统一对外发布。</w:t>
      </w:r>
    </w:p>
    <w:p w14:paraId="78A68973">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②对采购人或供应商提供的要求保密的资料，不得摘记翻印和外传。</w:t>
      </w:r>
    </w:p>
    <w:p w14:paraId="119ECA42">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③不得收受供应商或有关人员的任何礼物，不得串联鼓动其他人袒护某供应商。若与供应商存在利害关系，则应主动声明并回避。</w:t>
      </w:r>
    </w:p>
    <w:p w14:paraId="229E9DE6">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④全体磋商小组成员应按照磋商文件规定进行评审，一切认定事项应查有实据且不得弄虚作假。</w:t>
      </w:r>
    </w:p>
    <w:p w14:paraId="3028BF90">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⑤评审中应充分发扬民主，推荐成交供应商候选人或根据采购人授权确定成交供应商后要服从评审报告。</w:t>
      </w:r>
    </w:p>
    <w:p w14:paraId="1A803E6F">
      <w:pPr>
        <w:pStyle w:val="17"/>
        <w:widowControl/>
        <w:spacing w:before="75" w:beforeAutospacing="0" w:after="75" w:afterAutospacing="0" w:line="420" w:lineRule="atLeast"/>
        <w:ind w:firstLine="480"/>
        <w:rPr>
          <w:color w:val="auto"/>
        </w:rPr>
      </w:pPr>
      <w:r>
        <w:rPr>
          <w:rStyle w:val="26"/>
          <w:rFonts w:hint="eastAsia" w:ascii="宋体" w:hAnsi="宋体" w:eastAsia="宋体" w:cs="宋体"/>
          <w:bCs/>
          <w:color w:val="auto"/>
        </w:rPr>
        <w:t>※对违反评审纪律的评委，将取消其评委资格，对评审工作造成严重损失者将予以通报批评乃至追究法律责任。</w:t>
      </w:r>
    </w:p>
    <w:p w14:paraId="00D21A8A">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73D71AED">
      <w:pPr>
        <w:pStyle w:val="17"/>
        <w:widowControl/>
        <w:spacing w:before="75" w:beforeAutospacing="0" w:after="75" w:afterAutospacing="0" w:line="420" w:lineRule="atLeast"/>
        <w:jc w:val="center"/>
        <w:rPr>
          <w:color w:val="auto"/>
        </w:rPr>
      </w:pPr>
      <w:r>
        <w:rPr>
          <w:rFonts w:hint="eastAsia" w:ascii="宋体" w:hAnsi="宋体" w:eastAsia="宋体" w:cs="宋体"/>
          <w:color w:val="auto"/>
        </w:rPr>
        <w:t>二、</w:t>
      </w:r>
      <w:r>
        <w:rPr>
          <w:rStyle w:val="26"/>
          <w:rFonts w:hint="eastAsia" w:ascii="宋体" w:hAnsi="宋体" w:eastAsia="宋体" w:cs="宋体"/>
          <w:bCs/>
          <w:color w:val="auto"/>
        </w:rPr>
        <w:t>磋商程序</w:t>
      </w:r>
    </w:p>
    <w:p w14:paraId="490B4E75">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41D320D6">
      <w:pPr>
        <w:pStyle w:val="17"/>
        <w:widowControl/>
        <w:spacing w:before="75" w:beforeAutospacing="0" w:after="75" w:afterAutospacing="0" w:line="420" w:lineRule="atLeast"/>
        <w:ind w:firstLine="240"/>
        <w:rPr>
          <w:color w:val="auto"/>
        </w:rPr>
      </w:pPr>
      <w:r>
        <w:rPr>
          <w:rFonts w:hint="eastAsia" w:ascii="宋体" w:hAnsi="宋体" w:eastAsia="宋体" w:cs="宋体"/>
          <w:color w:val="auto"/>
        </w:rPr>
        <w:t>2.1磋商程序按照磋商文件第二章第2节“竞争性磋商须知”第14 条“磋商程序以及评审标准和方法”的相关条款规定执行。</w:t>
      </w:r>
    </w:p>
    <w:p w14:paraId="67BAEC31">
      <w:pPr>
        <w:pStyle w:val="17"/>
        <w:widowControl/>
        <w:spacing w:before="75" w:beforeAutospacing="0" w:after="75" w:afterAutospacing="0" w:line="420" w:lineRule="atLeast"/>
        <w:ind w:firstLine="240"/>
        <w:rPr>
          <w:color w:val="auto"/>
        </w:rPr>
      </w:pPr>
      <w:r>
        <w:rPr>
          <w:rFonts w:hint="eastAsia" w:ascii="宋体" w:hAnsi="宋体" w:eastAsia="宋体" w:cs="宋体"/>
          <w:color w:val="auto"/>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14:paraId="0AFF681E">
      <w:pPr>
        <w:pStyle w:val="17"/>
        <w:widowControl/>
        <w:spacing w:before="75" w:beforeAutospacing="0" w:after="75" w:afterAutospacing="0" w:line="420" w:lineRule="atLeast"/>
        <w:ind w:firstLine="240"/>
        <w:rPr>
          <w:color w:val="auto"/>
        </w:rPr>
      </w:pPr>
      <w:r>
        <w:rPr>
          <w:color w:val="auto"/>
        </w:rPr>
        <w:t>无。</w:t>
      </w:r>
    </w:p>
    <w:p w14:paraId="5835943B">
      <w:pPr>
        <w:pStyle w:val="17"/>
        <w:widowControl/>
        <w:spacing w:before="75" w:beforeAutospacing="0" w:after="75" w:afterAutospacing="0" w:line="420" w:lineRule="atLeast"/>
        <w:ind w:firstLine="240"/>
        <w:rPr>
          <w:color w:val="auto"/>
        </w:rPr>
      </w:pPr>
      <w:r>
        <w:rPr>
          <w:rFonts w:hint="eastAsia" w:ascii="宋体" w:hAnsi="宋体" w:eastAsia="宋体" w:cs="宋体"/>
          <w:color w:val="auto"/>
        </w:rPr>
        <w:t>2.3只有资格审查和实质性响应审查均合格且按规定提交最后报价的合格供应商才能参加综合评分。</w:t>
      </w:r>
    </w:p>
    <w:p w14:paraId="3EC4C2AA">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53704923">
      <w:pPr>
        <w:pStyle w:val="17"/>
        <w:widowControl/>
        <w:spacing w:before="75" w:beforeAutospacing="0" w:after="75" w:afterAutospacing="0" w:line="420" w:lineRule="atLeast"/>
        <w:jc w:val="center"/>
        <w:rPr>
          <w:color w:val="auto"/>
        </w:rPr>
      </w:pPr>
      <w:r>
        <w:rPr>
          <w:rStyle w:val="26"/>
          <w:rFonts w:hint="eastAsia" w:ascii="宋体" w:hAnsi="宋体" w:eastAsia="宋体" w:cs="宋体"/>
          <w:bCs/>
          <w:color w:val="auto"/>
        </w:rPr>
        <w:t>三、综合评分的标准和方法</w:t>
      </w:r>
    </w:p>
    <w:p w14:paraId="6739244D">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29B1F613">
      <w:pPr>
        <w:pStyle w:val="17"/>
        <w:widowControl/>
        <w:spacing w:before="75" w:beforeAutospacing="0" w:after="75" w:afterAutospacing="0" w:line="420" w:lineRule="atLeast"/>
        <w:ind w:firstLine="240"/>
        <w:rPr>
          <w:color w:val="auto"/>
        </w:rPr>
      </w:pPr>
      <w:r>
        <w:rPr>
          <w:rFonts w:hint="eastAsia" w:ascii="宋体" w:hAnsi="宋体" w:eastAsia="宋体" w:cs="宋体"/>
          <w:color w:val="auto"/>
        </w:rPr>
        <w:t>3.1磋商小组将采用综合评分法对提交最后报价的合格供应商的响应文件和最后报价进行综合评分。如果磋商项目有多个合同包，则按相应合同包分别进行，具体综合评分的标准和方法如下：</w:t>
      </w:r>
    </w:p>
    <w:p w14:paraId="17D7E888">
      <w:pPr>
        <w:pStyle w:val="17"/>
        <w:widowControl/>
        <w:spacing w:before="75" w:beforeAutospacing="0" w:after="75" w:afterAutospacing="0" w:line="420" w:lineRule="atLeast"/>
        <w:ind w:firstLine="465"/>
        <w:rPr>
          <w:color w:val="auto"/>
        </w:rPr>
      </w:pPr>
      <w:r>
        <w:rPr>
          <w:rFonts w:hint="eastAsia" w:ascii="宋体" w:hAnsi="宋体" w:eastAsia="宋体" w:cs="宋体"/>
          <w:color w:val="auto"/>
        </w:rPr>
        <w:t>3.3.1磋商小组将对相应合同包提交最后报价的合格供应商从技术、商务及报价部分分别进行评议并评分，并汇总出技术、商务及报价部分的综合得分。各合同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14:paraId="02A2CF0E">
      <w:pPr>
        <w:pStyle w:val="17"/>
        <w:widowControl/>
        <w:spacing w:before="75" w:beforeAutospacing="0" w:after="75" w:afterAutospacing="0" w:line="420" w:lineRule="atLeast"/>
        <w:ind w:firstLine="465"/>
        <w:rPr>
          <w:color w:val="auto"/>
        </w:rPr>
      </w:pPr>
      <w:r>
        <w:rPr>
          <w:rFonts w:hint="eastAsia" w:ascii="宋体" w:hAnsi="宋体" w:eastAsia="宋体" w:cs="宋体"/>
          <w:color w:val="auto"/>
        </w:rPr>
        <w:t>3.3.2具体评审标准和方法：</w:t>
      </w:r>
    </w:p>
    <w:p w14:paraId="7F761CE2">
      <w:pPr>
        <w:pStyle w:val="17"/>
        <w:widowControl/>
        <w:spacing w:before="75" w:beforeAutospacing="0" w:after="75" w:afterAutospacing="0" w:line="405" w:lineRule="atLeast"/>
        <w:ind w:firstLine="480"/>
        <w:rPr>
          <w:color w:val="auto"/>
        </w:rPr>
      </w:pPr>
      <w:r>
        <w:rPr>
          <w:rFonts w:hint="eastAsia" w:ascii="宋体" w:hAnsi="宋体" w:eastAsia="宋体" w:cs="宋体"/>
          <w:color w:val="auto"/>
        </w:rPr>
        <w:t>（1）响应文件满足磋商文件全部实质性要求，且按照评审因素的量化指标综合评审总得分从高到低顺序推荐3名以上成交候选人供应商，其中评审总得分最高的供应商为第一成交候选供应商。</w:t>
      </w:r>
    </w:p>
    <w:p w14:paraId="7FB0BA82">
      <w:pPr>
        <w:pStyle w:val="17"/>
        <w:widowControl/>
        <w:spacing w:before="75" w:beforeAutospacing="0" w:after="75" w:afterAutospacing="0" w:line="405" w:lineRule="atLeast"/>
        <w:ind w:firstLine="480"/>
        <w:rPr>
          <w:color w:val="auto"/>
        </w:rPr>
      </w:pPr>
      <w:r>
        <w:rPr>
          <w:rFonts w:hint="eastAsia" w:ascii="宋体" w:hAnsi="宋体" w:eastAsia="宋体" w:cs="宋体"/>
          <w:color w:val="auto"/>
        </w:rPr>
        <w:t>（2）每个供应商的评审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14:paraId="47171F47">
      <w:pPr>
        <w:pStyle w:val="17"/>
        <w:widowControl/>
        <w:spacing w:before="75" w:beforeAutospacing="0" w:after="75" w:afterAutospacing="0" w:line="405" w:lineRule="atLeast"/>
        <w:ind w:firstLine="480"/>
        <w:rPr>
          <w:color w:val="auto"/>
        </w:rPr>
      </w:pPr>
      <w:r>
        <w:rPr>
          <w:rFonts w:hint="eastAsia" w:ascii="宋体" w:hAnsi="宋体" w:eastAsia="宋体" w:cs="宋体"/>
          <w:color w:val="auto"/>
        </w:rPr>
        <w:t>（3）各项评审因素的设置如下：</w:t>
      </w:r>
    </w:p>
    <w:p w14:paraId="6C9739F1">
      <w:pPr>
        <w:pStyle w:val="17"/>
        <w:widowControl/>
        <w:spacing w:before="75" w:beforeAutospacing="0" w:after="75" w:afterAutospacing="0" w:line="405" w:lineRule="atLeast"/>
        <w:ind w:firstLine="480"/>
        <w:rPr>
          <w:color w:val="auto"/>
        </w:rPr>
      </w:pPr>
      <w:r>
        <w:rPr>
          <w:color w:val="auto"/>
        </w:rPr>
        <w:t>包1</w:t>
      </w:r>
    </w:p>
    <w:p w14:paraId="297A7AF7">
      <w:pPr>
        <w:pStyle w:val="17"/>
        <w:widowControl/>
        <w:numPr>
          <w:ilvl w:val="0"/>
          <w:numId w:val="1"/>
        </w:numPr>
        <w:spacing w:beforeAutospacing="0" w:after="150" w:afterAutospacing="0" w:line="420" w:lineRule="atLeast"/>
        <w:ind w:firstLine="480"/>
        <w:rPr>
          <w:rStyle w:val="26"/>
          <w:rFonts w:hint="eastAsia" w:ascii="宋体" w:hAnsi="宋体" w:eastAsia="宋体" w:cs="宋体"/>
          <w:color w:val="auto"/>
        </w:rPr>
      </w:pPr>
      <w:r>
        <w:rPr>
          <w:rStyle w:val="26"/>
          <w:rFonts w:hint="eastAsia" w:ascii="宋体" w:hAnsi="宋体" w:eastAsia="宋体" w:cs="宋体"/>
          <w:color w:val="auto"/>
        </w:rPr>
        <w:t>技术部分评分PT            满分</w:t>
      </w:r>
      <w:r>
        <w:rPr>
          <w:rStyle w:val="26"/>
          <w:rFonts w:hint="eastAsia" w:ascii="宋体" w:hAnsi="宋体" w:eastAsia="宋体" w:cs="宋体"/>
          <w:color w:val="auto"/>
          <w:lang w:val="en-US" w:eastAsia="zh-CN"/>
        </w:rPr>
        <w:t>68</w:t>
      </w:r>
      <w:r>
        <w:rPr>
          <w:rStyle w:val="26"/>
          <w:rFonts w:hint="eastAsia" w:ascii="宋体" w:hAnsi="宋体" w:eastAsia="宋体" w:cs="宋体"/>
          <w:color w:val="auto"/>
        </w:rPr>
        <w:t>分</w:t>
      </w:r>
    </w:p>
    <w:tbl>
      <w:tblPr>
        <w:tblStyle w:val="23"/>
        <w:tblW w:w="904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80"/>
        <w:gridCol w:w="787"/>
        <w:gridCol w:w="7275"/>
      </w:tblGrid>
      <w:tr w14:paraId="4F8C7E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2" w:hRule="atLeast"/>
        </w:trPr>
        <w:tc>
          <w:tcPr>
            <w:tcW w:w="980" w:type="dxa"/>
            <w:noWrap w:val="0"/>
            <w:vAlign w:val="center"/>
          </w:tcPr>
          <w:p w14:paraId="4786427C">
            <w:pPr>
              <w:pStyle w:val="3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项目</w:t>
            </w:r>
          </w:p>
        </w:tc>
        <w:tc>
          <w:tcPr>
            <w:tcW w:w="787" w:type="dxa"/>
            <w:noWrap w:val="0"/>
            <w:vAlign w:val="center"/>
          </w:tcPr>
          <w:p w14:paraId="41E77166">
            <w:pPr>
              <w:pStyle w:val="3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分值</w:t>
            </w:r>
          </w:p>
        </w:tc>
        <w:tc>
          <w:tcPr>
            <w:tcW w:w="7275" w:type="dxa"/>
            <w:noWrap w:val="0"/>
            <w:vAlign w:val="center"/>
          </w:tcPr>
          <w:p w14:paraId="1E9C1DC0">
            <w:pPr>
              <w:pStyle w:val="3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描述</w:t>
            </w:r>
          </w:p>
        </w:tc>
      </w:tr>
      <w:tr w14:paraId="0A621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0" w:type="dxa"/>
            <w:noWrap w:val="0"/>
            <w:vAlign w:val="center"/>
          </w:tcPr>
          <w:p w14:paraId="2269C5D3">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1.技术要求响应情况</w:t>
            </w:r>
          </w:p>
        </w:tc>
        <w:tc>
          <w:tcPr>
            <w:tcW w:w="787" w:type="dxa"/>
            <w:noWrap w:val="0"/>
            <w:vAlign w:val="center"/>
          </w:tcPr>
          <w:p w14:paraId="065E7D67">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48.00</w:t>
            </w:r>
          </w:p>
        </w:tc>
        <w:tc>
          <w:tcPr>
            <w:tcW w:w="7275" w:type="dxa"/>
            <w:noWrap w:val="0"/>
            <w:vAlign w:val="top"/>
          </w:tcPr>
          <w:p w14:paraId="77AABBB6">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根据供应商提供的《技术规格和商务偏离表》对照竞争性磋商文件第三章《采购内容及要求》“二、技术要求”中各项条款：完全满足技术要求的得</w:t>
            </w:r>
            <w:r>
              <w:rPr>
                <w:rFonts w:hint="eastAsia" w:ascii="宋体" w:hAnsi="宋体" w:eastAsia="宋体" w:cs="宋体"/>
                <w:b w:val="0"/>
                <w:bCs w:val="0"/>
                <w:color w:val="auto"/>
                <w:sz w:val="24"/>
                <w:szCs w:val="24"/>
                <w:lang w:val="en-US" w:eastAsia="zh-CN"/>
              </w:rPr>
              <w:t>48</w:t>
            </w:r>
            <w:r>
              <w:rPr>
                <w:rFonts w:hint="eastAsia" w:ascii="宋体" w:hAnsi="宋体" w:eastAsia="宋体" w:cs="宋体"/>
                <w:b w:val="0"/>
                <w:bCs w:val="0"/>
                <w:color w:val="auto"/>
                <w:sz w:val="24"/>
                <w:szCs w:val="24"/>
              </w:rPr>
              <w:t>分；其中带“★”符号的技术参数为不允许负偏离的实质性要求，负偏离按无效响应处理；未带符号的技术要求</w:t>
            </w:r>
            <w:r>
              <w:rPr>
                <w:rFonts w:hint="eastAsia" w:ascii="宋体" w:hAnsi="宋体" w:eastAsia="宋体" w:cs="宋体"/>
                <w:b w:val="0"/>
                <w:bCs w:val="0"/>
                <w:color w:val="auto"/>
                <w:sz w:val="24"/>
                <w:szCs w:val="24"/>
                <w:lang w:val="en-US" w:eastAsia="zh-CN"/>
              </w:rPr>
              <w:t>按评审项号计进行评审，评审项共</w:t>
            </w:r>
            <w:bookmarkStart w:id="7" w:name="OLE_LINK24"/>
            <w:r>
              <w:rPr>
                <w:rFonts w:hint="eastAsia" w:ascii="宋体" w:hAnsi="宋体" w:eastAsia="宋体" w:cs="宋体"/>
                <w:b w:val="0"/>
                <w:bCs w:val="0"/>
                <w:color w:val="auto"/>
                <w:sz w:val="24"/>
                <w:szCs w:val="24"/>
                <w:lang w:val="en-US" w:eastAsia="zh-CN"/>
              </w:rPr>
              <w:t>24项</w:t>
            </w:r>
            <w:bookmarkEnd w:id="7"/>
            <w:r>
              <w:rPr>
                <w:rFonts w:hint="eastAsia" w:ascii="宋体" w:hAnsi="宋体" w:eastAsia="宋体" w:cs="宋体"/>
                <w:b w:val="0"/>
                <w:bCs w:val="0"/>
                <w:color w:val="auto"/>
                <w:sz w:val="24"/>
                <w:szCs w:val="24"/>
              </w:rPr>
              <w:t>，每负偏离一项扣</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分</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评审项中的任一项参数出现负偏离即视为整项评审项负偏离</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，扣完为止，正偏离不加分。</w:t>
            </w:r>
          </w:p>
        </w:tc>
      </w:tr>
      <w:tr w14:paraId="1BD1F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0" w:type="dxa"/>
            <w:noWrap w:val="0"/>
            <w:vAlign w:val="center"/>
          </w:tcPr>
          <w:p w14:paraId="265B8294">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2.质量保证方案</w:t>
            </w:r>
          </w:p>
        </w:tc>
        <w:tc>
          <w:tcPr>
            <w:tcW w:w="787" w:type="dxa"/>
            <w:noWrap w:val="0"/>
            <w:vAlign w:val="center"/>
          </w:tcPr>
          <w:p w14:paraId="0BB2C5DD">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.0</w:t>
            </w:r>
            <w:r>
              <w:rPr>
                <w:rFonts w:hint="eastAsia" w:ascii="宋体" w:hAnsi="宋体" w:eastAsia="宋体" w:cs="宋体"/>
                <w:b w:val="0"/>
                <w:bCs w:val="0"/>
                <w:color w:val="auto"/>
                <w:sz w:val="24"/>
                <w:szCs w:val="24"/>
                <w:lang w:val="en-US" w:eastAsia="zh-CN"/>
              </w:rPr>
              <w:t>0</w:t>
            </w:r>
          </w:p>
        </w:tc>
        <w:tc>
          <w:tcPr>
            <w:tcW w:w="7275" w:type="dxa"/>
            <w:noWrap w:val="0"/>
            <w:vAlign w:val="top"/>
          </w:tcPr>
          <w:p w14:paraId="3C43E6C7">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根据供应商所提供的工程项目标准质量保证方案（内容包括：保证质量目标的措施、保证安全目标的措施、保证环境和文明施工措施）由磋商小组进行评分：方案所包含的要点齐全、内容与要点相符、内容详实、各要点内容之间关联性强，逻辑清晰，可操性强的得</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分；方案所包含的要点齐全、内容与要点相符，内容相对简略，不符合业主实际，但具有可操作性的得</w:t>
            </w:r>
            <w:r>
              <w:rPr>
                <w:rFonts w:hint="eastAsia" w:ascii="宋体" w:hAnsi="宋体" w:eastAsia="宋体" w:cs="宋体"/>
                <w:b w:val="0"/>
                <w:bCs w:val="0"/>
                <w:color w:val="auto"/>
                <w:sz w:val="24"/>
                <w:szCs w:val="24"/>
                <w:lang w:val="en-US" w:eastAsia="zh-CN"/>
              </w:rPr>
              <w:t>1.6</w:t>
            </w:r>
            <w:r>
              <w:rPr>
                <w:rFonts w:hint="eastAsia" w:ascii="宋体" w:hAnsi="宋体" w:eastAsia="宋体" w:cs="宋体"/>
                <w:b w:val="0"/>
                <w:bCs w:val="0"/>
                <w:color w:val="auto"/>
                <w:sz w:val="24"/>
                <w:szCs w:val="24"/>
              </w:rPr>
              <w:t>分；方案所包含的要点缺项，内容简略，可操作性不明显的得</w:t>
            </w:r>
            <w:r>
              <w:rPr>
                <w:rFonts w:hint="eastAsia" w:ascii="宋体" w:hAnsi="宋体" w:eastAsia="宋体" w:cs="宋体"/>
                <w:b w:val="0"/>
                <w:bCs w:val="0"/>
                <w:color w:val="auto"/>
                <w:sz w:val="24"/>
                <w:szCs w:val="24"/>
                <w:lang w:val="en-US" w:eastAsia="zh-CN"/>
              </w:rPr>
              <w:t>1.3</w:t>
            </w:r>
            <w:r>
              <w:rPr>
                <w:rFonts w:hint="eastAsia" w:ascii="宋体" w:hAnsi="宋体" w:eastAsia="宋体" w:cs="宋体"/>
                <w:b w:val="0"/>
                <w:bCs w:val="0"/>
                <w:color w:val="auto"/>
                <w:sz w:val="24"/>
                <w:szCs w:val="24"/>
              </w:rPr>
              <w:t>分，未提供方案不得分。</w:t>
            </w:r>
          </w:p>
        </w:tc>
      </w:tr>
      <w:tr w14:paraId="3575E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0" w:type="dxa"/>
            <w:noWrap w:val="0"/>
            <w:vAlign w:val="center"/>
          </w:tcPr>
          <w:p w14:paraId="06A81C79">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项</w:t>
            </w:r>
            <w:bookmarkStart w:id="8" w:name="OLE_LINK16"/>
            <w:r>
              <w:rPr>
                <w:rFonts w:hint="eastAsia" w:ascii="宋体" w:hAnsi="宋体" w:eastAsia="宋体" w:cs="宋体"/>
                <w:b w:val="0"/>
                <w:bCs w:val="0"/>
                <w:color w:val="auto"/>
                <w:sz w:val="24"/>
                <w:szCs w:val="24"/>
              </w:rPr>
              <w:t>目施工组织方案</w:t>
            </w:r>
            <w:bookmarkEnd w:id="8"/>
          </w:p>
        </w:tc>
        <w:tc>
          <w:tcPr>
            <w:tcW w:w="787" w:type="dxa"/>
            <w:noWrap w:val="0"/>
            <w:vAlign w:val="center"/>
          </w:tcPr>
          <w:p w14:paraId="7E4AD6AD">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bookmarkStart w:id="9" w:name="OLE_LINK19"/>
            <w:r>
              <w:rPr>
                <w:rFonts w:hint="eastAsia" w:ascii="宋体" w:hAnsi="宋体" w:eastAsia="宋体" w:cs="宋体"/>
                <w:b w:val="0"/>
                <w:bCs w:val="0"/>
                <w:color w:val="auto"/>
                <w:sz w:val="24"/>
                <w:szCs w:val="24"/>
                <w:lang w:val="en-US" w:eastAsia="zh-CN"/>
              </w:rPr>
              <w:t>2.0</w:t>
            </w:r>
            <w:r>
              <w:rPr>
                <w:rFonts w:hint="eastAsia" w:ascii="宋体" w:hAnsi="宋体" w:eastAsia="宋体" w:cs="宋体"/>
                <w:b w:val="0"/>
                <w:bCs w:val="0"/>
                <w:color w:val="auto"/>
                <w:sz w:val="24"/>
                <w:szCs w:val="24"/>
              </w:rPr>
              <w:t>0</w:t>
            </w:r>
            <w:bookmarkEnd w:id="9"/>
          </w:p>
        </w:tc>
        <w:tc>
          <w:tcPr>
            <w:tcW w:w="7275" w:type="dxa"/>
            <w:noWrap w:val="0"/>
            <w:vAlign w:val="top"/>
          </w:tcPr>
          <w:p w14:paraId="0C928D41">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根据</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szCs w:val="24"/>
              </w:rPr>
              <w:t>针对本项目提供的项目施工组织方案(包括但不限于技术人员配备、施工进度计划、货物进场计划、货物安装组织计划）由</w:t>
            </w:r>
            <w:r>
              <w:rPr>
                <w:rFonts w:hint="eastAsia" w:ascii="宋体" w:hAnsi="宋体" w:eastAsia="宋体" w:cs="宋体"/>
                <w:b w:val="0"/>
                <w:bCs w:val="0"/>
                <w:color w:val="auto"/>
                <w:sz w:val="24"/>
                <w:szCs w:val="24"/>
                <w:lang w:eastAsia="zh-CN"/>
              </w:rPr>
              <w:t>磋商小组</w:t>
            </w:r>
            <w:r>
              <w:rPr>
                <w:rFonts w:hint="eastAsia" w:ascii="宋体" w:hAnsi="宋体" w:eastAsia="宋体" w:cs="宋体"/>
                <w:b w:val="0"/>
                <w:bCs w:val="0"/>
                <w:color w:val="auto"/>
                <w:sz w:val="24"/>
                <w:szCs w:val="24"/>
              </w:rPr>
              <w:t>进行评分：方案完整(包括但不限于技术人员配备、施工进度计划、货物进场计划、货物安装组织计划），措施具体齐全（列明具体方式和流程），可操作性强（可实际操作，有利于项目实施）的得</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分；方案完整，保障措施较齐全，可操作性基本可行的得</w:t>
            </w:r>
            <w:r>
              <w:rPr>
                <w:rFonts w:hint="eastAsia" w:ascii="宋体" w:hAnsi="宋体" w:eastAsia="宋体" w:cs="宋体"/>
                <w:b w:val="0"/>
                <w:bCs w:val="0"/>
                <w:color w:val="auto"/>
                <w:sz w:val="24"/>
                <w:szCs w:val="24"/>
                <w:lang w:val="en-US" w:eastAsia="zh-CN"/>
              </w:rPr>
              <w:t>1.6</w:t>
            </w:r>
            <w:r>
              <w:rPr>
                <w:rFonts w:hint="eastAsia" w:ascii="宋体" w:hAnsi="宋体" w:eastAsia="宋体" w:cs="宋体"/>
                <w:b w:val="0"/>
                <w:bCs w:val="0"/>
                <w:color w:val="auto"/>
                <w:sz w:val="24"/>
                <w:szCs w:val="24"/>
              </w:rPr>
              <w:t>分；方案描述简单仅满足基本采购需求的得</w:t>
            </w:r>
            <w:r>
              <w:rPr>
                <w:rFonts w:hint="eastAsia" w:ascii="宋体" w:hAnsi="宋体" w:eastAsia="宋体" w:cs="宋体"/>
                <w:b w:val="0"/>
                <w:bCs w:val="0"/>
                <w:color w:val="auto"/>
                <w:sz w:val="24"/>
                <w:szCs w:val="24"/>
                <w:lang w:val="en-US" w:eastAsia="zh-CN"/>
              </w:rPr>
              <w:t>1.3</w:t>
            </w:r>
            <w:r>
              <w:rPr>
                <w:rFonts w:hint="eastAsia" w:ascii="宋体" w:hAnsi="宋体" w:eastAsia="宋体" w:cs="宋体"/>
                <w:b w:val="0"/>
                <w:bCs w:val="0"/>
                <w:color w:val="auto"/>
                <w:sz w:val="24"/>
                <w:szCs w:val="24"/>
              </w:rPr>
              <w:t>分；未提供的不得分。</w:t>
            </w:r>
          </w:p>
        </w:tc>
      </w:tr>
      <w:tr w14:paraId="0A1B7E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0" w:type="dxa"/>
            <w:noWrap w:val="0"/>
            <w:vAlign w:val="center"/>
          </w:tcPr>
          <w:p w14:paraId="63564979">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.施工</w:t>
            </w:r>
            <w:r>
              <w:rPr>
                <w:rFonts w:hint="eastAsia" w:ascii="宋体" w:hAnsi="宋体" w:eastAsia="宋体" w:cs="宋体"/>
                <w:b w:val="0"/>
                <w:bCs w:val="0"/>
                <w:color w:val="auto"/>
                <w:sz w:val="24"/>
                <w:szCs w:val="24"/>
                <w:lang w:eastAsia="zh-CN"/>
              </w:rPr>
              <w:t>保障</w:t>
            </w:r>
          </w:p>
        </w:tc>
        <w:tc>
          <w:tcPr>
            <w:tcW w:w="787" w:type="dxa"/>
            <w:noWrap w:val="0"/>
            <w:vAlign w:val="center"/>
          </w:tcPr>
          <w:p w14:paraId="11910D75">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bookmarkStart w:id="10" w:name="OLE_LINK17"/>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.00</w:t>
            </w:r>
            <w:bookmarkEnd w:id="10"/>
          </w:p>
        </w:tc>
        <w:tc>
          <w:tcPr>
            <w:tcW w:w="7275" w:type="dxa"/>
            <w:noWrap w:val="0"/>
            <w:vAlign w:val="top"/>
          </w:tcPr>
          <w:p w14:paraId="413EBC60">
            <w:pPr>
              <w:keepNext w:val="0"/>
              <w:keepLines w:val="0"/>
              <w:pageBreakBefore w:val="0"/>
              <w:widowControl/>
              <w:numPr>
                <w:ilvl w:val="0"/>
                <w:numId w:val="2"/>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承诺成交后为投入</w:t>
            </w:r>
            <w:r>
              <w:rPr>
                <w:rFonts w:hint="eastAsia" w:ascii="宋体" w:hAnsi="宋体" w:eastAsia="宋体" w:cs="宋体"/>
                <w:color w:val="auto"/>
                <w:sz w:val="24"/>
                <w:szCs w:val="24"/>
                <w:lang w:eastAsia="zh-CN"/>
              </w:rPr>
              <w:t>施</w:t>
            </w:r>
            <w:r>
              <w:rPr>
                <w:rFonts w:hint="eastAsia" w:ascii="宋体" w:hAnsi="宋体" w:eastAsia="宋体" w:cs="宋体"/>
                <w:color w:val="auto"/>
                <w:sz w:val="24"/>
                <w:szCs w:val="24"/>
                <w:lang w:val="en-US" w:eastAsia="zh-CN"/>
              </w:rPr>
              <w:t>工</w:t>
            </w:r>
            <w:r>
              <w:rPr>
                <w:rFonts w:hint="eastAsia" w:ascii="宋体" w:hAnsi="宋体" w:eastAsia="宋体" w:cs="宋体"/>
                <w:color w:val="auto"/>
                <w:sz w:val="24"/>
                <w:szCs w:val="24"/>
              </w:rPr>
              <w:t>人员购买意外险及雇主责任险（保险期限至少包含项目工期）的得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分，需提供书面承诺，否则不得分</w:t>
            </w:r>
            <w:r>
              <w:rPr>
                <w:rFonts w:hint="eastAsia" w:ascii="宋体" w:hAnsi="宋体" w:eastAsia="宋体" w:cs="宋体"/>
                <w:color w:val="auto"/>
                <w:sz w:val="24"/>
                <w:szCs w:val="24"/>
                <w:lang w:val="en-US" w:eastAsia="zh-CN"/>
              </w:rPr>
              <w:t>.</w:t>
            </w:r>
          </w:p>
        </w:tc>
      </w:tr>
      <w:tr w14:paraId="440EB7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0" w:type="dxa"/>
            <w:noWrap w:val="0"/>
            <w:vAlign w:val="center"/>
          </w:tcPr>
          <w:p w14:paraId="6F2E45CE">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技术培训方案</w:t>
            </w:r>
          </w:p>
        </w:tc>
        <w:tc>
          <w:tcPr>
            <w:tcW w:w="787" w:type="dxa"/>
            <w:noWrap w:val="0"/>
            <w:vAlign w:val="center"/>
          </w:tcPr>
          <w:p w14:paraId="405EDB4F">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2.0</w:t>
            </w:r>
            <w:r>
              <w:rPr>
                <w:rFonts w:hint="eastAsia" w:ascii="宋体" w:hAnsi="宋体" w:eastAsia="宋体" w:cs="宋体"/>
                <w:b w:val="0"/>
                <w:bCs w:val="0"/>
                <w:color w:val="auto"/>
                <w:sz w:val="24"/>
                <w:szCs w:val="24"/>
              </w:rPr>
              <w:t>0</w:t>
            </w:r>
          </w:p>
        </w:tc>
        <w:tc>
          <w:tcPr>
            <w:tcW w:w="7275" w:type="dxa"/>
            <w:noWrap w:val="0"/>
            <w:vAlign w:val="top"/>
          </w:tcPr>
          <w:p w14:paraId="3F271F13">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根据</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szCs w:val="24"/>
              </w:rPr>
              <w:t>针对本项目提供的</w:t>
            </w:r>
            <w:bookmarkStart w:id="11" w:name="OLE_LINK18"/>
            <w:r>
              <w:rPr>
                <w:rFonts w:hint="eastAsia" w:ascii="宋体" w:hAnsi="宋体" w:eastAsia="宋体" w:cs="宋体"/>
                <w:b w:val="0"/>
                <w:bCs w:val="0"/>
                <w:color w:val="auto"/>
                <w:sz w:val="24"/>
                <w:szCs w:val="24"/>
              </w:rPr>
              <w:t>技术培训方案</w:t>
            </w:r>
            <w:bookmarkEnd w:id="11"/>
            <w:r>
              <w:rPr>
                <w:rFonts w:hint="eastAsia" w:ascii="宋体" w:hAnsi="宋体" w:eastAsia="宋体" w:cs="宋体"/>
                <w:b w:val="0"/>
                <w:bCs w:val="0"/>
                <w:color w:val="auto"/>
                <w:sz w:val="24"/>
                <w:szCs w:val="24"/>
              </w:rPr>
              <w:t>（包括但不限于安装、检验、调试、使用和维护）由</w:t>
            </w:r>
            <w:r>
              <w:rPr>
                <w:rFonts w:hint="eastAsia" w:ascii="宋体" w:hAnsi="宋体" w:eastAsia="宋体" w:cs="宋体"/>
                <w:b w:val="0"/>
                <w:bCs w:val="0"/>
                <w:color w:val="auto"/>
                <w:sz w:val="24"/>
                <w:szCs w:val="24"/>
                <w:lang w:eastAsia="zh-CN"/>
              </w:rPr>
              <w:t>磋商小组</w:t>
            </w:r>
            <w:r>
              <w:rPr>
                <w:rFonts w:hint="eastAsia" w:ascii="宋体" w:hAnsi="宋体" w:eastAsia="宋体" w:cs="宋体"/>
                <w:b w:val="0"/>
                <w:bCs w:val="0"/>
                <w:color w:val="auto"/>
                <w:sz w:val="24"/>
                <w:szCs w:val="24"/>
              </w:rPr>
              <w:t>进行评分：方案完整(包括但不限于安装、检验、调试、使用和维护），措施具体齐全（列明具体方式和流程），可操作性强（可实际操作，有利于项目实施）的得</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分；方案完整，保障措施较齐全，可操作性基本可行的得</w:t>
            </w:r>
            <w:r>
              <w:rPr>
                <w:rFonts w:hint="eastAsia" w:ascii="宋体" w:hAnsi="宋体" w:eastAsia="宋体" w:cs="宋体"/>
                <w:b w:val="0"/>
                <w:bCs w:val="0"/>
                <w:color w:val="auto"/>
                <w:sz w:val="24"/>
                <w:szCs w:val="24"/>
                <w:lang w:val="en-US" w:eastAsia="zh-CN"/>
              </w:rPr>
              <w:t>1.6</w:t>
            </w:r>
            <w:r>
              <w:rPr>
                <w:rFonts w:hint="eastAsia" w:ascii="宋体" w:hAnsi="宋体" w:eastAsia="宋体" w:cs="宋体"/>
                <w:b w:val="0"/>
                <w:bCs w:val="0"/>
                <w:color w:val="auto"/>
                <w:sz w:val="24"/>
                <w:szCs w:val="24"/>
              </w:rPr>
              <w:t>分；方案描述简单仅满足基本采购需求的得</w:t>
            </w:r>
            <w:r>
              <w:rPr>
                <w:rFonts w:hint="eastAsia" w:ascii="宋体" w:hAnsi="宋体" w:eastAsia="宋体" w:cs="宋体"/>
                <w:b w:val="0"/>
                <w:bCs w:val="0"/>
                <w:color w:val="auto"/>
                <w:sz w:val="24"/>
                <w:szCs w:val="24"/>
                <w:lang w:val="en-US" w:eastAsia="zh-CN"/>
              </w:rPr>
              <w:t>1.3</w:t>
            </w:r>
            <w:r>
              <w:rPr>
                <w:rFonts w:hint="eastAsia" w:ascii="宋体" w:hAnsi="宋体" w:eastAsia="宋体" w:cs="宋体"/>
                <w:b w:val="0"/>
                <w:bCs w:val="0"/>
                <w:color w:val="auto"/>
                <w:sz w:val="24"/>
                <w:szCs w:val="24"/>
              </w:rPr>
              <w:t>分；未提供的不得分。</w:t>
            </w:r>
          </w:p>
        </w:tc>
      </w:tr>
      <w:tr w14:paraId="7F113E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0" w:type="dxa"/>
            <w:noWrap w:val="0"/>
            <w:vAlign w:val="center"/>
          </w:tcPr>
          <w:p w14:paraId="101BB165">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.工资及时发放的保障措施方案</w:t>
            </w:r>
          </w:p>
        </w:tc>
        <w:tc>
          <w:tcPr>
            <w:tcW w:w="787" w:type="dxa"/>
            <w:noWrap w:val="0"/>
            <w:vAlign w:val="center"/>
          </w:tcPr>
          <w:p w14:paraId="1D7BAF72">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2.0</w:t>
            </w:r>
            <w:r>
              <w:rPr>
                <w:rFonts w:hint="eastAsia" w:ascii="宋体" w:hAnsi="宋体" w:eastAsia="宋体" w:cs="宋体"/>
                <w:b w:val="0"/>
                <w:bCs w:val="0"/>
                <w:color w:val="auto"/>
                <w:sz w:val="24"/>
                <w:szCs w:val="24"/>
              </w:rPr>
              <w:t>0</w:t>
            </w:r>
          </w:p>
        </w:tc>
        <w:tc>
          <w:tcPr>
            <w:tcW w:w="7275" w:type="dxa"/>
            <w:noWrap w:val="0"/>
            <w:vAlign w:val="top"/>
          </w:tcPr>
          <w:p w14:paraId="2E88E967">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供应商应针对本项目制定农民工工资保障措施方案，内容至少包括:①农民工工资发放体系保障措施、投诉及处罚办法；②农民工工资应急处理预案，由评委进行评分：方案包含以上要点，内容与要点相符、且内容具体可行的得</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分；方案所包含的要点齐全、内容与要点相符，内容相对简略，但具有可操作性的得</w:t>
            </w:r>
            <w:r>
              <w:rPr>
                <w:rFonts w:hint="eastAsia" w:ascii="宋体" w:hAnsi="宋体" w:eastAsia="宋体" w:cs="宋体"/>
                <w:b w:val="0"/>
                <w:bCs w:val="0"/>
                <w:color w:val="auto"/>
                <w:sz w:val="24"/>
                <w:szCs w:val="24"/>
                <w:lang w:val="en-US" w:eastAsia="zh-CN"/>
              </w:rPr>
              <w:t>1.6</w:t>
            </w:r>
            <w:r>
              <w:rPr>
                <w:rFonts w:hint="eastAsia" w:ascii="宋体" w:hAnsi="宋体" w:eastAsia="宋体" w:cs="宋体"/>
                <w:b w:val="0"/>
                <w:bCs w:val="0"/>
                <w:color w:val="auto"/>
                <w:sz w:val="24"/>
                <w:szCs w:val="24"/>
              </w:rPr>
              <w:t>分；方案所包含的要点有缺漏或仅笼统描述无具体措施的得</w:t>
            </w:r>
            <w:r>
              <w:rPr>
                <w:rFonts w:hint="eastAsia" w:ascii="宋体" w:hAnsi="宋体" w:eastAsia="宋体" w:cs="宋体"/>
                <w:b w:val="0"/>
                <w:bCs w:val="0"/>
                <w:color w:val="auto"/>
                <w:sz w:val="24"/>
                <w:szCs w:val="24"/>
                <w:lang w:val="en-US" w:eastAsia="zh-CN"/>
              </w:rPr>
              <w:t>1.3</w:t>
            </w:r>
            <w:r>
              <w:rPr>
                <w:rFonts w:hint="eastAsia" w:ascii="宋体" w:hAnsi="宋体" w:eastAsia="宋体" w:cs="宋体"/>
                <w:b w:val="0"/>
                <w:bCs w:val="0"/>
                <w:color w:val="auto"/>
                <w:sz w:val="24"/>
                <w:szCs w:val="24"/>
              </w:rPr>
              <w:t>分，未提供或内容有明显错误与项目情况不相符的不得分。</w:t>
            </w:r>
          </w:p>
        </w:tc>
      </w:tr>
      <w:tr w14:paraId="53CA3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0" w:type="dxa"/>
            <w:noWrap w:val="0"/>
            <w:vAlign w:val="center"/>
          </w:tcPr>
          <w:p w14:paraId="4CF230DA">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7</w:t>
            </w:r>
            <w:r>
              <w:rPr>
                <w:rFonts w:hint="eastAsia" w:ascii="宋体" w:hAnsi="宋体" w:eastAsia="宋体" w:cs="宋体"/>
                <w:b w:val="0"/>
                <w:bCs w:val="0"/>
                <w:color w:val="auto"/>
                <w:sz w:val="24"/>
                <w:szCs w:val="24"/>
              </w:rPr>
              <w:t>.</w:t>
            </w:r>
            <w:r>
              <w:rPr>
                <w:rFonts w:hint="eastAsia" w:ascii="宋体" w:hAnsi="宋体" w:eastAsia="宋体" w:cs="宋体"/>
                <w:b w:val="0"/>
                <w:bCs w:val="0"/>
                <w:color w:val="auto"/>
                <w:sz w:val="24"/>
                <w:szCs w:val="24"/>
                <w:lang w:eastAsia="zh-CN"/>
              </w:rPr>
              <w:t>高压电网系统检测认证</w:t>
            </w:r>
          </w:p>
        </w:tc>
        <w:tc>
          <w:tcPr>
            <w:tcW w:w="787" w:type="dxa"/>
            <w:noWrap w:val="0"/>
            <w:vAlign w:val="center"/>
          </w:tcPr>
          <w:p w14:paraId="580E9362">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3.00</w:t>
            </w:r>
          </w:p>
        </w:tc>
        <w:tc>
          <w:tcPr>
            <w:tcW w:w="7275" w:type="dxa"/>
            <w:noWrap w:val="0"/>
            <w:vAlign w:val="top"/>
          </w:tcPr>
          <w:p w14:paraId="299AABEB">
            <w:pPr>
              <w:pStyle w:val="7"/>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bidi="ar-SA"/>
              </w:rPr>
              <w:t>高压电网项目建设安全质量控制检测认证情况：供应商建设的的高压电网项目建设案例在建设完成后，经过具有高压电网检测资质的机构，进行质量检测并出具的委托检验报告。（需含供应商高压电网装置名称及型号）每提供一份有效检测报告得1分；最高得3分。（需提供建设案例合同和检测报告复印件并加盖公章）</w:t>
            </w:r>
          </w:p>
        </w:tc>
      </w:tr>
      <w:tr w14:paraId="353E7C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0" w:type="dxa"/>
            <w:noWrap w:val="0"/>
            <w:vAlign w:val="center"/>
          </w:tcPr>
          <w:p w14:paraId="02A2CD15">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w:t>
            </w:r>
            <w:r>
              <w:rPr>
                <w:rFonts w:hint="eastAsia" w:ascii="宋体" w:hAnsi="宋体" w:eastAsia="宋体" w:cs="宋体"/>
                <w:color w:val="auto"/>
                <w:sz w:val="24"/>
                <w:szCs w:val="24"/>
              </w:rPr>
              <w:t>特种作业操作</w:t>
            </w:r>
          </w:p>
        </w:tc>
        <w:tc>
          <w:tcPr>
            <w:tcW w:w="787" w:type="dxa"/>
            <w:noWrap w:val="0"/>
            <w:vAlign w:val="center"/>
          </w:tcPr>
          <w:p w14:paraId="7F45963A">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.00</w:t>
            </w:r>
          </w:p>
        </w:tc>
        <w:tc>
          <w:tcPr>
            <w:tcW w:w="7275" w:type="dxa"/>
            <w:noWrap w:val="0"/>
            <w:vAlign w:val="top"/>
          </w:tcPr>
          <w:p w14:paraId="08363025">
            <w:pPr>
              <w:keepNext w:val="0"/>
              <w:keepLines w:val="0"/>
              <w:pageBreakBefore w:val="0"/>
              <w:numPr>
                <w:ilvl w:val="-1"/>
                <w:numId w:val="0"/>
              </w:numPr>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拟投入的技术人员具有特种作业操作证（作业类别：高处作业）进行评价：</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提供3名维修人员得2分，多提供一人（同时具备以上证书）得1分，满分3分；</w:t>
            </w:r>
          </w:p>
        </w:tc>
      </w:tr>
      <w:tr w14:paraId="25CCFB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80" w:type="dxa"/>
            <w:noWrap w:val="0"/>
            <w:vAlign w:val="center"/>
          </w:tcPr>
          <w:p w14:paraId="6937A7F6">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9.</w:t>
            </w:r>
            <w:r>
              <w:rPr>
                <w:rFonts w:hint="eastAsia" w:ascii="宋体" w:hAnsi="宋体" w:eastAsia="宋体" w:cs="宋体"/>
                <w:b w:val="0"/>
                <w:bCs w:val="0"/>
                <w:color w:val="auto"/>
                <w:sz w:val="24"/>
                <w:szCs w:val="24"/>
              </w:rPr>
              <w:t>安全承诺</w:t>
            </w:r>
          </w:p>
        </w:tc>
        <w:tc>
          <w:tcPr>
            <w:tcW w:w="787" w:type="dxa"/>
            <w:noWrap w:val="0"/>
            <w:vAlign w:val="center"/>
          </w:tcPr>
          <w:p w14:paraId="3CCDAA52">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3.00</w:t>
            </w:r>
          </w:p>
        </w:tc>
        <w:tc>
          <w:tcPr>
            <w:tcW w:w="7275" w:type="dxa"/>
            <w:noWrap w:val="0"/>
            <w:vAlign w:val="top"/>
          </w:tcPr>
          <w:p w14:paraId="33A06A18">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供应商</w:t>
            </w:r>
            <w:r>
              <w:rPr>
                <w:rFonts w:hint="eastAsia" w:ascii="宋体" w:hAnsi="宋体" w:eastAsia="宋体" w:cs="宋体"/>
                <w:b w:val="0"/>
                <w:bCs w:val="0"/>
                <w:color w:val="auto"/>
                <w:sz w:val="24"/>
                <w:szCs w:val="24"/>
              </w:rPr>
              <w:t>能够承诺具备“在本项目安装期间，日间施工时段现有电网断电保证施工安全，夜间现有电网恢复供电保障采购单位正常安全需要”能力及技术力量的得</w:t>
            </w: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分。须提供专项承诺函，否则不得分。</w:t>
            </w:r>
          </w:p>
        </w:tc>
      </w:tr>
    </w:tbl>
    <w:p w14:paraId="49C1B8FE">
      <w:pPr>
        <w:pStyle w:val="17"/>
        <w:widowControl/>
        <w:spacing w:beforeAutospacing="0" w:after="150" w:afterAutospacing="0" w:line="420" w:lineRule="atLeast"/>
        <w:rPr>
          <w:rFonts w:ascii="宋体" w:hAnsi="宋体" w:eastAsia="宋体" w:cs="宋体"/>
          <w:b/>
          <w:color w:val="auto"/>
        </w:rPr>
      </w:pPr>
    </w:p>
    <w:p w14:paraId="337AC426">
      <w:pPr>
        <w:pStyle w:val="17"/>
        <w:widowControl/>
        <w:numPr>
          <w:ilvl w:val="0"/>
          <w:numId w:val="3"/>
        </w:numPr>
        <w:spacing w:beforeAutospacing="0" w:after="150" w:afterAutospacing="0" w:line="420" w:lineRule="atLeast"/>
        <w:ind w:firstLine="480"/>
        <w:rPr>
          <w:rStyle w:val="26"/>
          <w:rFonts w:ascii="宋体" w:hAnsi="宋体" w:eastAsia="宋体" w:cs="宋体"/>
          <w:color w:val="auto"/>
        </w:rPr>
      </w:pPr>
      <w:r>
        <w:rPr>
          <w:rStyle w:val="26"/>
          <w:rFonts w:hint="eastAsia" w:ascii="宋体" w:hAnsi="宋体" w:eastAsia="宋体" w:cs="宋体"/>
          <w:color w:val="auto"/>
        </w:rPr>
        <w:t>商务部分评分PB         满分</w:t>
      </w:r>
      <w:r>
        <w:rPr>
          <w:rStyle w:val="26"/>
          <w:rFonts w:hint="eastAsia" w:ascii="宋体" w:hAnsi="宋体" w:eastAsia="宋体" w:cs="宋体"/>
          <w:color w:val="auto"/>
          <w:u w:val="single"/>
          <w:lang w:val="en-US" w:eastAsia="zh-CN"/>
        </w:rPr>
        <w:t>12</w:t>
      </w:r>
      <w:r>
        <w:rPr>
          <w:rStyle w:val="26"/>
          <w:rFonts w:hint="eastAsia" w:ascii="宋体" w:hAnsi="宋体" w:eastAsia="宋体" w:cs="宋体"/>
          <w:color w:val="auto"/>
        </w:rPr>
        <w:t>分</w:t>
      </w:r>
    </w:p>
    <w:tbl>
      <w:tblPr>
        <w:tblStyle w:val="23"/>
        <w:tblW w:w="908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99"/>
        <w:gridCol w:w="768"/>
        <w:gridCol w:w="7313"/>
      </w:tblGrid>
      <w:tr w14:paraId="6DCE65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9" w:type="dxa"/>
            <w:noWrap w:val="0"/>
            <w:vAlign w:val="top"/>
          </w:tcPr>
          <w:p w14:paraId="284FF4CD">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 项目</w:t>
            </w:r>
          </w:p>
        </w:tc>
        <w:tc>
          <w:tcPr>
            <w:tcW w:w="768" w:type="dxa"/>
            <w:noWrap w:val="0"/>
            <w:vAlign w:val="top"/>
          </w:tcPr>
          <w:p w14:paraId="3E4DEE06">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 分值</w:t>
            </w:r>
          </w:p>
        </w:tc>
        <w:tc>
          <w:tcPr>
            <w:tcW w:w="7313" w:type="dxa"/>
            <w:noWrap w:val="0"/>
            <w:vAlign w:val="top"/>
          </w:tcPr>
          <w:p w14:paraId="4D2A7FEE">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 描述</w:t>
            </w:r>
          </w:p>
        </w:tc>
      </w:tr>
      <w:tr w14:paraId="307655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9" w:type="dxa"/>
            <w:noWrap w:val="0"/>
            <w:vAlign w:val="center"/>
          </w:tcPr>
          <w:p w14:paraId="7CB59883">
            <w:pPr>
              <w:pStyle w:val="37"/>
              <w:keepNext w:val="0"/>
              <w:keepLines w:val="0"/>
              <w:pageBreakBefore w:val="0"/>
              <w:widowControl/>
              <w:kinsoku/>
              <w:wordWrap/>
              <w:overflowPunct/>
              <w:topLinePunct w:val="0"/>
              <w:autoSpaceDE/>
              <w:autoSpaceDN/>
              <w:bidi w:val="0"/>
              <w:adjustRightInd/>
              <w:snapToGrid/>
              <w:spacing w:line="400" w:lineRule="exact"/>
              <w:jc w:val="both"/>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1、相关证书</w:t>
            </w:r>
          </w:p>
        </w:tc>
        <w:tc>
          <w:tcPr>
            <w:tcW w:w="768" w:type="dxa"/>
            <w:noWrap w:val="0"/>
            <w:vAlign w:val="center"/>
          </w:tcPr>
          <w:p w14:paraId="7C5FF0B4">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.00</w:t>
            </w:r>
          </w:p>
        </w:tc>
        <w:tc>
          <w:tcPr>
            <w:tcW w:w="7313" w:type="dxa"/>
            <w:noWrap w:val="0"/>
            <w:vAlign w:val="top"/>
          </w:tcPr>
          <w:p w14:paraId="158D1643">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sz w:val="24"/>
                <w:szCs w:val="24"/>
              </w:rPr>
            </w:pPr>
            <w:bookmarkStart w:id="12" w:name="OLE_LINK20"/>
            <w:r>
              <w:rPr>
                <w:rFonts w:hint="eastAsia" w:ascii="宋体" w:hAnsi="宋体" w:eastAsia="宋体" w:cs="宋体"/>
                <w:b w:val="0"/>
                <w:bCs w:val="0"/>
                <w:color w:val="auto"/>
                <w:sz w:val="24"/>
                <w:szCs w:val="24"/>
                <w:lang w:val="en-US" w:eastAsia="zh-CN"/>
              </w:rPr>
              <w:t>供应商</w:t>
            </w:r>
            <w:r>
              <w:rPr>
                <w:rFonts w:hint="eastAsia" w:ascii="宋体" w:hAnsi="宋体" w:eastAsia="宋体" w:cs="宋体"/>
                <w:b w:val="0"/>
                <w:bCs w:val="0"/>
                <w:color w:val="auto"/>
                <w:sz w:val="24"/>
                <w:szCs w:val="24"/>
              </w:rPr>
              <w:t>所投的电网控制平台相关软件具有国家版权局颁发的计算机软件著作权登记证书的得1分，须提供相关证书复印件，否则本项不得分。</w:t>
            </w:r>
            <w:bookmarkEnd w:id="12"/>
          </w:p>
        </w:tc>
      </w:tr>
      <w:tr w14:paraId="714C9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99" w:type="dxa"/>
            <w:noWrap w:val="0"/>
            <w:vAlign w:val="center"/>
          </w:tcPr>
          <w:p w14:paraId="37771451">
            <w:pPr>
              <w:pStyle w:val="37"/>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业绩</w:t>
            </w:r>
          </w:p>
        </w:tc>
        <w:tc>
          <w:tcPr>
            <w:tcW w:w="768" w:type="dxa"/>
            <w:noWrap w:val="0"/>
            <w:vAlign w:val="center"/>
          </w:tcPr>
          <w:p w14:paraId="609543A0">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3.00</w:t>
            </w:r>
          </w:p>
        </w:tc>
        <w:tc>
          <w:tcPr>
            <w:tcW w:w="7313" w:type="dxa"/>
            <w:noWrap w:val="0"/>
            <w:vAlign w:val="top"/>
          </w:tcPr>
          <w:p w14:paraId="51CBBE79">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根据供应商提供的自202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年1月1日（日期以合同签订时间为准）至投标截止时间止，供应商独立完成</w:t>
            </w:r>
            <w:r>
              <w:rPr>
                <w:rFonts w:hint="eastAsia" w:ascii="宋体" w:hAnsi="宋体" w:eastAsia="宋体" w:cs="宋体"/>
                <w:color w:val="auto"/>
                <w:sz w:val="24"/>
                <w:szCs w:val="24"/>
                <w:lang w:val="en-US" w:eastAsia="zh-CN"/>
              </w:rPr>
              <w:t>同类</w:t>
            </w:r>
            <w:r>
              <w:rPr>
                <w:rFonts w:hint="eastAsia" w:ascii="宋体" w:hAnsi="宋体" w:eastAsia="宋体" w:cs="宋体"/>
                <w:color w:val="auto"/>
                <w:sz w:val="24"/>
                <w:szCs w:val="24"/>
              </w:rPr>
              <w:t>工程项目业绩情况进行评分，每提供一份业绩得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满分3分。【须提供该业绩项目的中标公告（提供相关网站中标公告的下载网页并注明网址）、中标通知书复印件、采购合同文本复印件以及能够证明该业绩项目已经采购人验收合格的相关证明文件复印件,并罗列业绩清单，未能提供业绩或业绩资料提供不齐全或提供的材料无法有效证明相关事项的不得分。）】</w:t>
            </w:r>
          </w:p>
        </w:tc>
      </w:tr>
      <w:tr w14:paraId="54D4D7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15" w:hRule="atLeast"/>
        </w:trPr>
        <w:tc>
          <w:tcPr>
            <w:tcW w:w="999" w:type="dxa"/>
            <w:noWrap w:val="0"/>
            <w:vAlign w:val="center"/>
          </w:tcPr>
          <w:p w14:paraId="4F9FEFC7">
            <w:pPr>
              <w:pStyle w:val="37"/>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满意度</w:t>
            </w:r>
          </w:p>
        </w:tc>
        <w:tc>
          <w:tcPr>
            <w:tcW w:w="768" w:type="dxa"/>
            <w:noWrap w:val="0"/>
            <w:vAlign w:val="center"/>
          </w:tcPr>
          <w:p w14:paraId="1ED8988A">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3.00</w:t>
            </w:r>
          </w:p>
        </w:tc>
        <w:tc>
          <w:tcPr>
            <w:tcW w:w="7313" w:type="dxa"/>
            <w:noWrap w:val="0"/>
            <w:vAlign w:val="top"/>
          </w:tcPr>
          <w:p w14:paraId="52672F1A">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根据供应商提供的自202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年1月1日起至提交响应文件截止时间（以合同签订日期为准），由供应商自身已完成的与本次采购项目同类型项目业主满意度评价情况进行评分，每提供一份满意度评价证明材料（评价为满意或好或优或同等评价）的得1分,满分3分。须提供合同复印件及满意度评价表，否则不得分。同一业主单位或其使用部门出具的满意度证明只计算一次。本项与“业绩”评分项同一项目的不重复计分。</w:t>
            </w:r>
          </w:p>
        </w:tc>
      </w:tr>
      <w:tr w14:paraId="03275A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6" w:hRule="atLeast"/>
        </w:trPr>
        <w:tc>
          <w:tcPr>
            <w:tcW w:w="999" w:type="dxa"/>
            <w:noWrap w:val="0"/>
            <w:vAlign w:val="center"/>
          </w:tcPr>
          <w:p w14:paraId="5084BAB3">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color w:val="auto"/>
                <w:sz w:val="24"/>
                <w:szCs w:val="24"/>
                <w:lang w:val="en-US" w:eastAsia="zh-Hans"/>
              </w:rPr>
            </w:pPr>
            <w:r>
              <w:rPr>
                <w:rFonts w:hint="eastAsia" w:ascii="宋体" w:hAnsi="宋体" w:eastAsia="宋体" w:cs="宋体"/>
                <w:b w:val="0"/>
                <w:bCs/>
                <w:color w:val="auto"/>
                <w:sz w:val="24"/>
                <w:szCs w:val="24"/>
                <w:lang w:val="en-US" w:eastAsia="zh-CN"/>
              </w:rPr>
              <w:t>4、</w:t>
            </w:r>
            <w:r>
              <w:rPr>
                <w:rFonts w:hint="eastAsia" w:ascii="宋体" w:hAnsi="宋体" w:eastAsia="宋体" w:cs="宋体"/>
                <w:b w:val="0"/>
                <w:bCs/>
                <w:color w:val="auto"/>
                <w:sz w:val="24"/>
                <w:szCs w:val="24"/>
              </w:rPr>
              <w:t>维修响应承诺</w:t>
            </w:r>
          </w:p>
        </w:tc>
        <w:tc>
          <w:tcPr>
            <w:tcW w:w="768" w:type="dxa"/>
            <w:noWrap w:val="0"/>
            <w:vAlign w:val="center"/>
          </w:tcPr>
          <w:p w14:paraId="34ED6381">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color w:val="auto"/>
                <w:sz w:val="24"/>
                <w:szCs w:val="24"/>
                <w:lang w:val="en-US" w:eastAsia="zh-Hans"/>
              </w:rPr>
            </w:pPr>
            <w:r>
              <w:rPr>
                <w:rFonts w:hint="eastAsia" w:ascii="宋体" w:hAnsi="宋体" w:eastAsia="宋体" w:cs="宋体"/>
                <w:b w:val="0"/>
                <w:bCs/>
                <w:color w:val="auto"/>
                <w:sz w:val="24"/>
                <w:szCs w:val="24"/>
                <w:lang w:val="en-US" w:eastAsia="zh-CN"/>
              </w:rPr>
              <w:t>2</w:t>
            </w:r>
            <w:r>
              <w:rPr>
                <w:rFonts w:hint="eastAsia" w:ascii="宋体" w:hAnsi="宋体" w:eastAsia="宋体" w:cs="宋体"/>
                <w:b w:val="0"/>
                <w:bCs/>
                <w:color w:val="auto"/>
                <w:sz w:val="24"/>
                <w:szCs w:val="24"/>
              </w:rPr>
              <w:t>.00</w:t>
            </w:r>
          </w:p>
        </w:tc>
        <w:tc>
          <w:tcPr>
            <w:tcW w:w="7313" w:type="dxa"/>
            <w:noWrap w:val="0"/>
            <w:vAlign w:val="center"/>
          </w:tcPr>
          <w:p w14:paraId="5095B8ED">
            <w:pPr>
              <w:pStyle w:val="37"/>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lang w:val="en-US" w:eastAsia="zh-Hans"/>
              </w:rPr>
            </w:pPr>
            <w:r>
              <w:rPr>
                <w:rFonts w:hint="eastAsia" w:ascii="宋体" w:hAnsi="宋体" w:eastAsia="宋体" w:cs="宋体"/>
                <w:color w:val="auto"/>
                <w:sz w:val="24"/>
                <w:szCs w:val="24"/>
              </w:rPr>
              <w:t>根据供应商承诺在工程质量保修期内的响应情况进行评审：若出现工程质量问题在≤</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小时到场进行保修的得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小时＜到场进行保修时间≤</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小时的得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分。 须提供承诺书并加盖供应商单位公章，未提供的不得分。</w:t>
            </w:r>
          </w:p>
        </w:tc>
      </w:tr>
      <w:tr w14:paraId="1D07D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6" w:hRule="atLeast"/>
        </w:trPr>
        <w:tc>
          <w:tcPr>
            <w:tcW w:w="999" w:type="dxa"/>
            <w:noWrap w:val="0"/>
            <w:vAlign w:val="top"/>
          </w:tcPr>
          <w:p w14:paraId="6FC10480">
            <w:pPr>
              <w:pStyle w:val="37"/>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5、</w:t>
            </w:r>
            <w:r>
              <w:rPr>
                <w:rFonts w:hint="eastAsia" w:ascii="宋体" w:hAnsi="宋体" w:eastAsia="宋体" w:cs="宋体"/>
                <w:b w:val="0"/>
                <w:bCs/>
                <w:color w:val="auto"/>
                <w:sz w:val="24"/>
                <w:szCs w:val="24"/>
                <w:lang w:eastAsia="zh-CN"/>
              </w:rPr>
              <w:t>系统使用稳定性</w:t>
            </w:r>
          </w:p>
        </w:tc>
        <w:tc>
          <w:tcPr>
            <w:tcW w:w="768" w:type="dxa"/>
            <w:noWrap w:val="0"/>
            <w:vAlign w:val="top"/>
          </w:tcPr>
          <w:p w14:paraId="69E48A14">
            <w:pPr>
              <w:pStyle w:val="37"/>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w:t>
            </w:r>
            <w:r>
              <w:rPr>
                <w:rFonts w:hint="eastAsia" w:ascii="宋体" w:hAnsi="宋体" w:eastAsia="宋体" w:cs="宋体"/>
                <w:b w:val="0"/>
                <w:bCs/>
                <w:color w:val="auto"/>
                <w:sz w:val="24"/>
                <w:szCs w:val="24"/>
              </w:rPr>
              <w:t>.00</w:t>
            </w:r>
          </w:p>
        </w:tc>
        <w:tc>
          <w:tcPr>
            <w:tcW w:w="7313" w:type="dxa"/>
            <w:noWrap w:val="0"/>
            <w:vAlign w:val="top"/>
          </w:tcPr>
          <w:p w14:paraId="627444EA">
            <w:pPr>
              <w:pStyle w:val="37"/>
              <w:keepNext w:val="0"/>
              <w:keepLines w:val="0"/>
              <w:pageBreakBefore w:val="0"/>
              <w:widowControl/>
              <w:kinsoku/>
              <w:wordWrap/>
              <w:overflowPunct/>
              <w:topLinePunct w:val="0"/>
              <w:autoSpaceDE/>
              <w:autoSpaceDN/>
              <w:bidi w:val="0"/>
              <w:adjustRightInd/>
              <w:snapToGrid/>
              <w:spacing w:line="400" w:lineRule="exact"/>
              <w:jc w:val="both"/>
              <w:textAlignment w:val="auto"/>
              <w:rPr>
                <w:rFonts w:hint="default"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同类高压电网设备主机系统稳定性：（</w:t>
            </w:r>
            <w:r>
              <w:rPr>
                <w:rFonts w:hint="eastAsia" w:ascii="宋体" w:hAnsi="宋体" w:eastAsia="宋体" w:cs="宋体"/>
                <w:b w:val="0"/>
                <w:bCs/>
                <w:color w:val="auto"/>
                <w:sz w:val="24"/>
                <w:szCs w:val="24"/>
                <w:lang w:val="en-US" w:eastAsia="zh-CN"/>
              </w:rPr>
              <w:t>1</w:t>
            </w:r>
            <w:r>
              <w:rPr>
                <w:rFonts w:hint="eastAsia" w:ascii="宋体" w:hAnsi="宋体" w:eastAsia="宋体" w:cs="宋体"/>
                <w:b w:val="0"/>
                <w:bCs/>
                <w:color w:val="auto"/>
                <w:sz w:val="24"/>
                <w:szCs w:val="24"/>
                <w:lang w:eastAsia="zh-CN"/>
              </w:rPr>
              <w:t>）设备已稳定使用大于等于</w:t>
            </w:r>
            <w:r>
              <w:rPr>
                <w:rFonts w:hint="eastAsia" w:ascii="宋体" w:hAnsi="宋体" w:eastAsia="宋体" w:cs="宋体"/>
                <w:b w:val="0"/>
                <w:bCs/>
                <w:color w:val="auto"/>
                <w:sz w:val="24"/>
                <w:szCs w:val="24"/>
                <w:lang w:val="en-US" w:eastAsia="zh-CN"/>
              </w:rPr>
              <w:t>10年的，每提供一份得1分；（2）</w:t>
            </w:r>
            <w:r>
              <w:rPr>
                <w:rFonts w:hint="eastAsia" w:ascii="宋体" w:hAnsi="宋体" w:eastAsia="宋体" w:cs="宋体"/>
                <w:b w:val="0"/>
                <w:bCs/>
                <w:color w:val="auto"/>
                <w:sz w:val="24"/>
                <w:szCs w:val="24"/>
                <w:lang w:eastAsia="zh-CN"/>
              </w:rPr>
              <w:t>设备已稳定使用大于等于</w:t>
            </w:r>
            <w:r>
              <w:rPr>
                <w:rFonts w:hint="eastAsia" w:ascii="宋体" w:hAnsi="宋体" w:eastAsia="宋体" w:cs="宋体"/>
                <w:b w:val="0"/>
                <w:bCs/>
                <w:color w:val="auto"/>
                <w:sz w:val="24"/>
                <w:szCs w:val="24"/>
                <w:lang w:val="en-US" w:eastAsia="zh-CN"/>
              </w:rPr>
              <w:t>8年小于10年的，每提供一份得0.5分；（3）</w:t>
            </w:r>
            <w:r>
              <w:rPr>
                <w:rFonts w:hint="eastAsia" w:ascii="宋体" w:hAnsi="宋体" w:eastAsia="宋体" w:cs="宋体"/>
                <w:b w:val="0"/>
                <w:bCs/>
                <w:color w:val="auto"/>
                <w:sz w:val="24"/>
                <w:szCs w:val="24"/>
                <w:lang w:eastAsia="zh-CN"/>
              </w:rPr>
              <w:t>设备已稳定使用大于等于</w:t>
            </w:r>
            <w:r>
              <w:rPr>
                <w:rFonts w:hint="eastAsia" w:ascii="宋体" w:hAnsi="宋体" w:eastAsia="宋体" w:cs="宋体"/>
                <w:b w:val="0"/>
                <w:bCs/>
                <w:color w:val="auto"/>
                <w:sz w:val="24"/>
                <w:szCs w:val="24"/>
                <w:lang w:val="en-US" w:eastAsia="zh-CN"/>
              </w:rPr>
              <w:t>3年小于8年的，每提供一份得0.2分；其他不得分，最高得3分；（需提供加盖公章设备合同复印件）</w:t>
            </w:r>
          </w:p>
        </w:tc>
      </w:tr>
    </w:tbl>
    <w:p w14:paraId="3BC48C88">
      <w:pPr>
        <w:pStyle w:val="17"/>
        <w:widowControl/>
        <w:spacing w:beforeAutospacing="0" w:after="150" w:afterAutospacing="0" w:line="420" w:lineRule="atLeast"/>
        <w:rPr>
          <w:rStyle w:val="26"/>
          <w:rFonts w:ascii="宋体" w:hAnsi="宋体" w:eastAsia="宋体" w:cs="宋体"/>
          <w:color w:val="auto"/>
        </w:rPr>
      </w:pPr>
    </w:p>
    <w:p w14:paraId="42BF8CFE">
      <w:pPr>
        <w:pStyle w:val="17"/>
        <w:widowControl/>
        <w:spacing w:beforeAutospacing="0" w:after="150" w:afterAutospacing="0" w:line="420" w:lineRule="atLeast"/>
        <w:ind w:firstLine="480"/>
        <w:rPr>
          <w:color w:val="auto"/>
        </w:rPr>
      </w:pPr>
      <w:r>
        <w:rPr>
          <w:rStyle w:val="26"/>
          <w:rFonts w:hint="eastAsia" w:ascii="宋体" w:hAnsi="宋体" w:eastAsia="宋体" w:cs="宋体"/>
          <w:bCs/>
          <w:color w:val="auto"/>
        </w:rPr>
        <w:t>（三）报价部分评分PF            满分</w:t>
      </w:r>
      <w:r>
        <w:rPr>
          <w:rStyle w:val="26"/>
          <w:rFonts w:hint="eastAsia" w:ascii="宋体" w:hAnsi="宋体" w:eastAsia="宋体" w:cs="宋体"/>
          <w:bCs/>
          <w:color w:val="auto"/>
          <w:u w:val="single"/>
          <w:lang w:val="en-US" w:eastAsia="zh-CN"/>
        </w:rPr>
        <w:t>20</w:t>
      </w:r>
      <w:r>
        <w:rPr>
          <w:rStyle w:val="26"/>
          <w:rFonts w:hint="eastAsia" w:ascii="宋体" w:hAnsi="宋体" w:eastAsia="宋体" w:cs="宋体"/>
          <w:bCs/>
          <w:color w:val="auto"/>
        </w:rPr>
        <w:t>分</w:t>
      </w:r>
    </w:p>
    <w:p w14:paraId="201D374A">
      <w:pPr>
        <w:pStyle w:val="17"/>
        <w:widowControl/>
        <w:spacing w:beforeAutospacing="0" w:after="150" w:afterAutospacing="0" w:line="420" w:lineRule="atLeast"/>
        <w:ind w:firstLine="480"/>
        <w:rPr>
          <w:color w:val="auto"/>
        </w:rPr>
      </w:pPr>
      <w:r>
        <w:rPr>
          <w:rFonts w:hint="eastAsia" w:ascii="宋体" w:hAnsi="宋体" w:eastAsia="宋体" w:cs="宋体"/>
          <w:color w:val="auto"/>
        </w:rPr>
        <w:t>a.价格分采用低价优先法计算，即满足磋商文件要求且最后报价最低的供应商的价格为磋商基准价，其价格分为满分。其他供应商的价格分统一按照下列公式计算：磋商报价得分=（磋商基准价／最后磋商报价）×价格权值×100。因落实政府采购优惠政策需进行价格扣除的，以扣除后的价格计算磋商基准价和最后磋商报价。</w:t>
      </w:r>
    </w:p>
    <w:p w14:paraId="7B22AD26">
      <w:pPr>
        <w:pStyle w:val="17"/>
        <w:widowControl/>
        <w:spacing w:before="75" w:beforeAutospacing="0" w:after="75" w:afterAutospacing="0" w:line="405" w:lineRule="atLeast"/>
        <w:ind w:firstLine="480"/>
        <w:rPr>
          <w:color w:val="auto"/>
        </w:rPr>
      </w:pPr>
      <w:r>
        <w:rPr>
          <w:rFonts w:hint="eastAsia" w:ascii="宋体" w:hAnsi="宋体" w:eastAsia="宋体" w:cs="宋体"/>
          <w:color w:val="auto"/>
        </w:rPr>
        <w:t>（4）成交候选供应商排列规则顺序和并列相同时的处理约定如下：</w:t>
      </w:r>
    </w:p>
    <w:p w14:paraId="52DD7854">
      <w:pPr>
        <w:pStyle w:val="17"/>
        <w:widowControl/>
        <w:spacing w:before="75" w:beforeAutospacing="0" w:after="75" w:afterAutospacing="0" w:line="405" w:lineRule="atLeast"/>
        <w:ind w:firstLine="480"/>
        <w:rPr>
          <w:color w:val="auto"/>
        </w:rPr>
      </w:pPr>
      <w:r>
        <w:rPr>
          <w:rFonts w:hint="eastAsia" w:ascii="宋体" w:hAnsi="宋体" w:eastAsia="宋体" w:cs="宋体"/>
          <w:color w:val="auto"/>
        </w:rPr>
        <w:t>a.成交候选供应商按照综合评审总得分（FA）由高到低顺序排列推荐。</w:t>
      </w:r>
    </w:p>
    <w:p w14:paraId="00BE6EE3">
      <w:pPr>
        <w:pStyle w:val="17"/>
        <w:widowControl/>
        <w:spacing w:before="75" w:beforeAutospacing="0" w:after="75" w:afterAutospacing="0" w:line="405" w:lineRule="atLeast"/>
        <w:ind w:firstLine="480"/>
        <w:rPr>
          <w:color w:val="auto"/>
        </w:rPr>
      </w:pPr>
      <w:r>
        <w:rPr>
          <w:rFonts w:hint="eastAsia" w:ascii="宋体" w:hAnsi="宋体" w:eastAsia="宋体" w:cs="宋体"/>
          <w:color w:val="auto"/>
        </w:rPr>
        <w:t>b.综合评审总得分（FA）相同的，按照经评审最后磋商报价（即经政府采购优惠政策进行价格扣除后的最后报价）由低到高顺序推荐。</w:t>
      </w:r>
    </w:p>
    <w:p w14:paraId="74BB6B94">
      <w:pPr>
        <w:pStyle w:val="17"/>
        <w:widowControl/>
        <w:spacing w:beforeAutospacing="0" w:afterAutospacing="0" w:line="405" w:lineRule="atLeast"/>
        <w:ind w:firstLine="465"/>
        <w:rPr>
          <w:color w:val="auto"/>
        </w:rPr>
      </w:pPr>
      <w:r>
        <w:rPr>
          <w:rFonts w:hint="eastAsia" w:ascii="宋体" w:hAnsi="宋体" w:eastAsia="宋体" w:cs="宋体"/>
          <w:color w:val="auto"/>
        </w:rPr>
        <w:t>c.综合评审总得分（FA）且经评审最后磋商报价（即经政府采购优惠政策进行价格扣除后的最后报价）仍然相同的，按照技术指标优劣顺序推荐。</w:t>
      </w:r>
    </w:p>
    <w:p w14:paraId="3F167D91">
      <w:pPr>
        <w:pStyle w:val="17"/>
        <w:widowControl/>
        <w:spacing w:beforeAutospacing="0" w:afterAutospacing="0" w:line="405" w:lineRule="atLeast"/>
        <w:ind w:firstLine="465"/>
        <w:rPr>
          <w:color w:val="auto"/>
        </w:rPr>
      </w:pPr>
      <w:r>
        <w:rPr>
          <w:rFonts w:hint="eastAsia" w:ascii="宋体" w:hAnsi="宋体" w:eastAsia="宋体" w:cs="宋体"/>
          <w:color w:val="auto"/>
        </w:rPr>
        <w:t>d.经前述顺序处理仍然并列相同的，则通过随机抽取方式确定优先顺序推荐。</w:t>
      </w:r>
    </w:p>
    <w:p w14:paraId="5D891DB7">
      <w:pPr>
        <w:pStyle w:val="17"/>
        <w:widowControl/>
        <w:spacing w:before="75" w:beforeAutospacing="0" w:after="75" w:afterAutospacing="0" w:line="420" w:lineRule="atLeast"/>
        <w:jc w:val="center"/>
        <w:rPr>
          <w:rStyle w:val="26"/>
          <w:rFonts w:ascii="宋体" w:hAnsi="宋体" w:eastAsia="宋体" w:cs="宋体"/>
          <w:bCs/>
          <w:color w:val="auto"/>
        </w:rPr>
      </w:pPr>
    </w:p>
    <w:p w14:paraId="2B6FAB6A">
      <w:pPr>
        <w:pStyle w:val="17"/>
        <w:widowControl/>
        <w:spacing w:before="75" w:beforeAutospacing="0" w:after="75" w:afterAutospacing="0" w:line="420" w:lineRule="atLeast"/>
        <w:jc w:val="center"/>
        <w:rPr>
          <w:rStyle w:val="26"/>
          <w:rFonts w:ascii="宋体" w:hAnsi="宋体" w:eastAsia="宋体" w:cs="宋体"/>
          <w:bCs/>
          <w:color w:val="auto"/>
        </w:rPr>
      </w:pPr>
    </w:p>
    <w:p w14:paraId="7BA7C046">
      <w:pPr>
        <w:pStyle w:val="17"/>
        <w:widowControl/>
        <w:spacing w:before="75" w:beforeAutospacing="0" w:after="75" w:afterAutospacing="0" w:line="420" w:lineRule="atLeast"/>
        <w:jc w:val="center"/>
        <w:rPr>
          <w:color w:val="auto"/>
        </w:rPr>
      </w:pPr>
      <w:r>
        <w:rPr>
          <w:rStyle w:val="26"/>
          <w:rFonts w:hint="eastAsia" w:ascii="宋体" w:hAnsi="宋体" w:eastAsia="宋体" w:cs="宋体"/>
          <w:bCs/>
          <w:color w:val="auto"/>
        </w:rPr>
        <w:t>四、评审报告</w:t>
      </w:r>
    </w:p>
    <w:p w14:paraId="1EAF7F57">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5D82630A">
      <w:pPr>
        <w:pStyle w:val="17"/>
        <w:widowControl/>
        <w:spacing w:before="75" w:beforeAutospacing="0" w:after="75" w:afterAutospacing="0" w:line="420" w:lineRule="atLeast"/>
        <w:rPr>
          <w:color w:val="auto"/>
        </w:rPr>
      </w:pPr>
      <w:r>
        <w:rPr>
          <w:rFonts w:hint="eastAsia" w:ascii="宋体" w:hAnsi="宋体" w:eastAsia="宋体" w:cs="宋体"/>
          <w:color w:val="auto"/>
        </w:rPr>
        <w:t> 4.1磋商小组完成评审后，应当编写评审报告并提交给采购人。</w:t>
      </w:r>
    </w:p>
    <w:p w14:paraId="1E4D434E">
      <w:pPr>
        <w:pStyle w:val="17"/>
        <w:widowControl/>
        <w:spacing w:before="75" w:beforeAutospacing="0" w:after="75" w:afterAutospacing="0" w:line="420" w:lineRule="atLeast"/>
        <w:rPr>
          <w:color w:val="auto"/>
        </w:rPr>
      </w:pPr>
      <w:r>
        <w:rPr>
          <w:rFonts w:hint="eastAsia" w:ascii="宋体" w:hAnsi="宋体" w:eastAsia="宋体" w:cs="宋体"/>
          <w:color w:val="auto"/>
        </w:rPr>
        <w:t> 4.2评审报告应当包括以下主要内容：</w:t>
      </w:r>
    </w:p>
    <w:p w14:paraId="3024A352">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（一）邀请供应商参加采购活动的具体方式和相关情况；</w:t>
      </w:r>
    </w:p>
    <w:p w14:paraId="4E5E7F43">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（二）响应文件开启日期和地点；</w:t>
      </w:r>
    </w:p>
    <w:p w14:paraId="1FE1D8C4">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（三）获取磋商文件的供应商名单和磋商小组成员名单；</w:t>
      </w:r>
    </w:p>
    <w:p w14:paraId="4C6CDDAF">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（四）评审情况记录和说明，包括对供应商的资格审查情况、供应商响应文件评审情况、磋商情况、报价情况等；</w:t>
      </w:r>
    </w:p>
    <w:p w14:paraId="17D029B5">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（五）提出的成交候选供应商的排序名单及理由。</w:t>
      </w:r>
    </w:p>
    <w:p w14:paraId="25F55A58">
      <w:pPr>
        <w:pStyle w:val="17"/>
        <w:widowControl/>
        <w:spacing w:before="75" w:beforeAutospacing="0" w:after="75" w:afterAutospacing="0" w:line="420" w:lineRule="atLeast"/>
        <w:rPr>
          <w:color w:val="auto"/>
        </w:rPr>
      </w:pPr>
      <w:r>
        <w:rPr>
          <w:rFonts w:hint="eastAsia" w:ascii="宋体" w:hAnsi="宋体" w:eastAsia="宋体" w:cs="宋体"/>
          <w:color w:val="auto"/>
        </w:rPr>
        <w:t> 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192768C7">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 </w:t>
      </w:r>
    </w:p>
    <w:p w14:paraId="25E1D0B4">
      <w:pPr>
        <w:pStyle w:val="17"/>
        <w:widowControl/>
        <w:spacing w:before="75" w:beforeAutospacing="0" w:after="75" w:afterAutospacing="0" w:line="420" w:lineRule="atLeast"/>
        <w:jc w:val="center"/>
        <w:rPr>
          <w:color w:val="auto"/>
        </w:rPr>
      </w:pPr>
      <w:r>
        <w:rPr>
          <w:rStyle w:val="26"/>
          <w:rFonts w:hint="eastAsia" w:ascii="宋体" w:hAnsi="宋体" w:eastAsia="宋体" w:cs="宋体"/>
          <w:bCs/>
          <w:color w:val="auto"/>
        </w:rPr>
        <w:t>五、其他规定</w:t>
      </w:r>
    </w:p>
    <w:p w14:paraId="4EE9B1D6">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406A8BF8">
      <w:pPr>
        <w:pStyle w:val="17"/>
        <w:widowControl/>
        <w:spacing w:before="75" w:beforeAutospacing="0" w:after="75" w:afterAutospacing="0" w:line="420" w:lineRule="atLeast"/>
        <w:rPr>
          <w:color w:val="auto"/>
        </w:rPr>
      </w:pPr>
      <w:r>
        <w:rPr>
          <w:rFonts w:hint="eastAsia" w:ascii="宋体" w:hAnsi="宋体" w:eastAsia="宋体" w:cs="宋体"/>
          <w:color w:val="auto"/>
        </w:rPr>
        <w:t> 5.1其他规定</w:t>
      </w:r>
    </w:p>
    <w:p w14:paraId="06A0B246">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5.1.1评审应全程保密且不得透露给任一供应商或与评审工作无关的人员。</w:t>
      </w:r>
    </w:p>
    <w:p w14:paraId="0B03F798">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5.1.2评审将进行全程实时录音录像，录音录像资料随采购文件一并存档。</w:t>
      </w:r>
    </w:p>
    <w:p w14:paraId="623572AA">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5.1.3若供应商有任何试图干扰具体评审事务，影响磋商小组独立履行职责的行为，其响应无效且不予退还磋商保证金。情节严重的，由财政部门列入不良行为记录。</w:t>
      </w:r>
    </w:p>
    <w:p w14:paraId="33BBC6C2">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5.1.4根据采购项目的特点和需要，需要加以详细说明的其他磋商程序规定、要求等内容：</w:t>
      </w:r>
    </w:p>
    <w:p w14:paraId="458E149D">
      <w:pPr>
        <w:pStyle w:val="17"/>
        <w:widowControl/>
        <w:spacing w:before="75" w:beforeAutospacing="0" w:after="75" w:afterAutospacing="0" w:line="420" w:lineRule="atLeast"/>
        <w:ind w:firstLine="480"/>
        <w:rPr>
          <w:rFonts w:ascii="宋体" w:hAnsi="宋体" w:eastAsia="宋体" w:cs="宋体"/>
          <w:color w:val="auto"/>
        </w:rPr>
      </w:pPr>
      <w:r>
        <w:rPr>
          <w:rFonts w:hint="eastAsia" w:ascii="宋体" w:hAnsi="宋体" w:eastAsia="宋体" w:cs="宋体"/>
          <w:color w:val="auto"/>
        </w:rPr>
        <w:t>无。</w:t>
      </w:r>
    </w:p>
    <w:p w14:paraId="75BB5A94">
      <w:pPr>
        <w:pStyle w:val="17"/>
        <w:widowControl/>
        <w:spacing w:before="75" w:beforeAutospacing="0" w:after="75" w:afterAutospacing="0"/>
        <w:jc w:val="center"/>
        <w:rPr>
          <w:rFonts w:ascii="宋体" w:hAnsi="宋体" w:eastAsia="宋体" w:cs="宋体"/>
          <w:color w:val="auto"/>
        </w:rPr>
      </w:pPr>
    </w:p>
    <w:p w14:paraId="671713CC">
      <w:pPr>
        <w:pStyle w:val="17"/>
        <w:widowControl/>
        <w:spacing w:before="75" w:beforeAutospacing="0" w:after="75" w:afterAutospacing="0"/>
        <w:jc w:val="center"/>
        <w:rPr>
          <w:color w:val="auto"/>
        </w:rPr>
      </w:pPr>
      <w:r>
        <w:rPr>
          <w:rStyle w:val="26"/>
          <w:rFonts w:hint="eastAsia" w:ascii="宋体" w:hAnsi="宋体" w:eastAsia="宋体" w:cs="宋体"/>
          <w:bCs/>
          <w:color w:val="auto"/>
          <w:sz w:val="31"/>
          <w:szCs w:val="31"/>
        </w:rPr>
        <w:t>第2节 竞争性磋商须知</w:t>
      </w:r>
      <w:r>
        <w:rPr>
          <w:rStyle w:val="26"/>
          <w:rFonts w:hint="eastAsia" w:ascii="宋体" w:hAnsi="宋体" w:eastAsia="宋体" w:cs="宋体"/>
          <w:bCs/>
          <w:color w:val="auto"/>
          <w:sz w:val="36"/>
          <w:szCs w:val="36"/>
        </w:rPr>
        <w:t> </w:t>
      </w:r>
    </w:p>
    <w:p w14:paraId="7B6CF7BF">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一、总则</w:t>
      </w:r>
    </w:p>
    <w:p w14:paraId="3EA92494">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2046C3AB">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1.适用范围：</w:t>
      </w:r>
    </w:p>
    <w:p w14:paraId="2B98582A">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1.1适用于磋商文件载明项目的采购活动（以下简称：“本次采购活动”）。</w:t>
      </w:r>
    </w:p>
    <w:p w14:paraId="3C36B88F">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2.定义及要求：</w:t>
      </w:r>
    </w:p>
    <w:p w14:paraId="476C4D3B">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2.1“采购标的”指磋商文件载明的需要采购的货物、服务、工程。</w:t>
      </w:r>
    </w:p>
    <w:p w14:paraId="4AF739A6">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2.2“采购人”指本次采购项目的买方、或业主方、或甲方，具体见磋商文件第一章；“采购代理机构”系指接受采购人委托，组织开展竞争性磋商采购活动的代理机构，具体见磋商文件第一章。</w:t>
      </w:r>
    </w:p>
    <w:p w14:paraId="30B15A4D">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2.3“潜在供应商”按照磋商文件第一章规定进行报名，且有意向参加本项目响应磋商的供应商。</w:t>
      </w:r>
    </w:p>
    <w:p w14:paraId="3244250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2.4“供应商”指按照磋商文件第一章规定进行报名，且已经提交响应文件的法人或其他组织或自然人。只有适合自然人参与和承接的政府采购项目，供应商才可以是自然人。</w:t>
      </w:r>
    </w:p>
    <w:p w14:paraId="5FA6A03C">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2.5“单位负责人”指单位法定代表人（供应商为法人的）或法律、法规规定代表单位行使职权的主要负责人（供应商为其他组织的）。</w:t>
      </w:r>
    </w:p>
    <w:p w14:paraId="155E38B8">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2.6“供应商代表”指供应商（为法人或其他组织的）的单位负责人或由其授权的委托代理人，即单位负责人授权书中载明的接受授权方。供应商为自然人的，由本人签字并附身份证明。</w:t>
      </w:r>
    </w:p>
    <w:p w14:paraId="5DEC93DA">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3.合格的</w:t>
      </w:r>
      <w:r>
        <w:rPr>
          <w:color w:val="auto"/>
        </w:rPr>
        <w:t>供应商</w:t>
      </w:r>
      <w:r>
        <w:rPr>
          <w:rStyle w:val="26"/>
          <w:rFonts w:hint="eastAsia" w:ascii="宋体" w:hAnsi="宋体" w:eastAsia="宋体" w:cs="宋体"/>
          <w:bCs/>
          <w:color w:val="auto"/>
        </w:rPr>
        <w:t>：</w:t>
      </w:r>
    </w:p>
    <w:p w14:paraId="50C549A3">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3.1一般规定</w:t>
      </w:r>
    </w:p>
    <w:p w14:paraId="3EE058D4">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3.1.1供应商应当遵守中国的有关法律、法规和规章的规定，参加政府采购活动时已经自觉检查并按照政府采购相关法律规定，主动回避相应利害关系。</w:t>
      </w:r>
    </w:p>
    <w:p w14:paraId="66BD4D5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3.1.2为采购项目提供整体设计、规范编制或项目管理、监理、检测等服务的供应商，不得再参加该采购项目除整体设计、规范编制和项目管理、监理、检测等服务之外的其他采购活动</w:t>
      </w:r>
      <w:r>
        <w:rPr>
          <w:rStyle w:val="26"/>
          <w:rFonts w:hint="eastAsia" w:ascii="宋体" w:hAnsi="宋体" w:eastAsia="宋体" w:cs="宋体"/>
          <w:bCs/>
          <w:color w:val="auto"/>
        </w:rPr>
        <w:t>。</w:t>
      </w:r>
    </w:p>
    <w:p w14:paraId="48C2AE68">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3.1.3列入失信被执行人、重大税收违法案件当事人名单、政府采购严重违法失信行为记录名单及其他不符合《中华人民共和国政府采购法》第二十二条规定条件的供应商，不得参加政府采购活动</w:t>
      </w:r>
      <w:r>
        <w:rPr>
          <w:rStyle w:val="26"/>
          <w:rFonts w:hint="eastAsia" w:ascii="宋体" w:hAnsi="宋体" w:eastAsia="宋体" w:cs="宋体"/>
          <w:bCs/>
          <w:color w:val="auto"/>
        </w:rPr>
        <w:t>。</w:t>
      </w:r>
    </w:p>
    <w:p w14:paraId="1255A6D2">
      <w:pPr>
        <w:pStyle w:val="17"/>
        <w:widowControl/>
        <w:spacing w:before="75" w:beforeAutospacing="0" w:after="75" w:afterAutospacing="0" w:line="435" w:lineRule="atLeast"/>
        <w:ind w:firstLine="480"/>
        <w:rPr>
          <w:color w:val="auto"/>
        </w:rPr>
      </w:pPr>
      <w:r>
        <w:rPr>
          <w:rStyle w:val="26"/>
          <w:rFonts w:hint="eastAsia" w:ascii="宋体" w:hAnsi="宋体" w:eastAsia="宋体" w:cs="宋体"/>
          <w:bCs/>
          <w:color w:val="auto"/>
        </w:rPr>
        <w:t>供应商有责任检查自身情况，在响应文件中对是否违反以上一般规定做出如实声明，否则其响应文件将被否决。</w:t>
      </w:r>
    </w:p>
    <w:p w14:paraId="5078800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3.2特别规定</w:t>
      </w:r>
    </w:p>
    <w:p w14:paraId="78DFBF58">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3.2.1供应商的资格要求：详见竞争性磋商须知前附表第</w:t>
      </w:r>
      <w:r>
        <w:rPr>
          <w:rFonts w:hint="eastAsia" w:ascii="宋体" w:hAnsi="宋体" w:eastAsia="宋体" w:cs="宋体"/>
          <w:color w:val="auto"/>
          <w:u w:val="single"/>
        </w:rPr>
        <w:t>1</w:t>
      </w:r>
      <w:r>
        <w:rPr>
          <w:rFonts w:hint="eastAsia" w:ascii="宋体" w:hAnsi="宋体" w:eastAsia="宋体" w:cs="宋体"/>
          <w:color w:val="auto"/>
        </w:rPr>
        <w:t>项。</w:t>
      </w:r>
    </w:p>
    <w:p w14:paraId="39C295B2">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3.2.2是否接受联合体形式的响应磋商：详见竞争性磋商须知前附表第</w:t>
      </w:r>
      <w:r>
        <w:rPr>
          <w:rFonts w:hint="eastAsia" w:ascii="宋体" w:hAnsi="宋体" w:eastAsia="宋体" w:cs="宋体"/>
          <w:color w:val="auto"/>
          <w:u w:val="single"/>
        </w:rPr>
        <w:t>2</w:t>
      </w:r>
      <w:r>
        <w:rPr>
          <w:rFonts w:hint="eastAsia" w:ascii="宋体" w:hAnsi="宋体" w:eastAsia="宋体" w:cs="宋体"/>
          <w:color w:val="auto"/>
        </w:rPr>
        <w:t>项。若接受联合体形式且供应商为联合体，则联合体各方除了应遵守本章第3.1条规定外，还应遵守下列规定：</w:t>
      </w:r>
    </w:p>
    <w:p w14:paraId="175BF9D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（1）联合体各方应提交联合体协议，联合体协议应符合磋商文件规定。</w:t>
      </w:r>
    </w:p>
    <w:p w14:paraId="3558596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（2）联合体各方不得再单独参加或与其他供应商另外组成联合体参加同一合同项下的响应磋商。</w:t>
      </w:r>
    </w:p>
    <w:p w14:paraId="6CFDB776">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（3）联合体各方应共同与采购人签订政府采购合同，就政府采购合同约定的事项对采购人承担连带责任。</w:t>
      </w:r>
    </w:p>
    <w:p w14:paraId="3CEF05DE">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14:paraId="443B24FB">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4.参与竞争性磋商费用：</w:t>
      </w:r>
    </w:p>
    <w:p w14:paraId="1846222A">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4.1除法律法规或采购文件另有规定之外，供应商应自行承担其准备与参加竞争性磋商所涉及的一切费用。</w:t>
      </w:r>
    </w:p>
    <w:p w14:paraId="27D23E6F">
      <w:pPr>
        <w:pStyle w:val="17"/>
        <w:widowControl/>
        <w:spacing w:before="75" w:beforeAutospacing="0" w:after="75" w:afterAutospacing="0" w:line="435" w:lineRule="atLeast"/>
        <w:jc w:val="center"/>
        <w:rPr>
          <w:color w:val="auto"/>
        </w:rPr>
      </w:pPr>
      <w:r>
        <w:rPr>
          <w:rFonts w:hint="eastAsia" w:ascii="宋体" w:hAnsi="宋体" w:eastAsia="宋体" w:cs="宋体"/>
          <w:color w:val="auto"/>
        </w:rPr>
        <w:t> </w:t>
      </w:r>
    </w:p>
    <w:p w14:paraId="5ADF3573">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二、竞争性磋商文件</w:t>
      </w:r>
    </w:p>
    <w:p w14:paraId="53CDEC1B">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 </w:t>
      </w:r>
    </w:p>
    <w:p w14:paraId="1BA14E77">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5.竞争性磋商文件的组成：</w:t>
      </w:r>
    </w:p>
    <w:p w14:paraId="0BDFDFF3">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5.1竞争性磋商文件由下述部分组成：</w:t>
      </w:r>
    </w:p>
    <w:p w14:paraId="7CB4EA4B">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第一章 采购公告（或采购邀请书）</w:t>
      </w:r>
    </w:p>
    <w:p w14:paraId="27F50B2F">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第二章 竞争性磋商须知</w:t>
      </w:r>
    </w:p>
    <w:p w14:paraId="7D8C4EBC">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第三章 采购内容及要求</w:t>
      </w:r>
    </w:p>
    <w:p w14:paraId="420840E8">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第四章 合同主要条款及格式</w:t>
      </w:r>
    </w:p>
    <w:p w14:paraId="461477DA">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第五章 首次响应文件格式</w:t>
      </w:r>
    </w:p>
    <w:p w14:paraId="35F3DB1C">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5.2除上述内容以外，采购人、采购代理机构或者磋商小组在采购过程期间对磋商文件所作的澄清、修改或补充，均构成磋商文件的组成部分，对采购人和供应商具有约束力。</w:t>
      </w:r>
    </w:p>
    <w:p w14:paraId="19E055A3">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6.竞争性磋商文件的澄清、补充、修改及现场考察等：</w:t>
      </w:r>
    </w:p>
    <w:p w14:paraId="775929D2">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14:paraId="758A5406">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14:paraId="0313F618">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6.3采购人、采购代理机构可以视采购项目的具体情况，组织供应商进行现场考察或召开磋商前答疑会，是否组织现场考察或召开磋商前答疑会详见竞争性磋商须知前附表第</w:t>
      </w:r>
      <w:r>
        <w:rPr>
          <w:rFonts w:hint="eastAsia" w:ascii="宋体" w:hAnsi="宋体" w:eastAsia="宋体" w:cs="宋体"/>
          <w:color w:val="auto"/>
          <w:u w:val="single"/>
        </w:rPr>
        <w:t>3</w:t>
      </w:r>
      <w:r>
        <w:rPr>
          <w:rFonts w:hint="eastAsia" w:ascii="宋体" w:hAnsi="宋体" w:eastAsia="宋体" w:cs="宋体"/>
          <w:color w:val="auto"/>
        </w:rPr>
        <w:t>项。</w:t>
      </w:r>
    </w:p>
    <w:p w14:paraId="4135A7A0">
      <w:pPr>
        <w:pStyle w:val="17"/>
        <w:widowControl/>
        <w:spacing w:before="75" w:beforeAutospacing="0" w:after="75" w:afterAutospacing="0" w:line="435" w:lineRule="atLeast"/>
        <w:jc w:val="center"/>
        <w:rPr>
          <w:color w:val="auto"/>
        </w:rPr>
      </w:pPr>
      <w:r>
        <w:rPr>
          <w:rFonts w:hint="eastAsia" w:ascii="宋体" w:hAnsi="宋体" w:eastAsia="宋体" w:cs="宋体"/>
          <w:color w:val="auto"/>
        </w:rPr>
        <w:t> </w:t>
      </w:r>
      <w:r>
        <w:rPr>
          <w:rStyle w:val="26"/>
          <w:rFonts w:hint="eastAsia" w:ascii="宋体" w:hAnsi="宋体" w:eastAsia="宋体" w:cs="宋体"/>
          <w:bCs/>
          <w:color w:val="auto"/>
        </w:rPr>
        <w:t>三、响应文件编制</w:t>
      </w:r>
    </w:p>
    <w:p w14:paraId="76A3C09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w:t>
      </w:r>
    </w:p>
    <w:p w14:paraId="5853B2FD">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7.应标要求</w:t>
      </w:r>
    </w:p>
    <w:p w14:paraId="5569EBA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7.1供应商可按照合同包号，对竞争性磋商文件中载明的全部或部分合同包进行响应。对于能够详细列明采购标的技术、服务要求的采购项目，供应商响应时，对同一个合同包内所有的采购内容和要求必须进行完整响应，否则其相应合同包的响应文件将被否决。</w:t>
      </w:r>
    </w:p>
    <w:p w14:paraId="0054BD5C">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7.2供应商代表在同一个合同项下只能接受一个供应商的委托参加响应磋商，否则其响应文件将被否决。</w:t>
      </w:r>
    </w:p>
    <w:p w14:paraId="71E5E46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7.3供应商应仔细阅读磋商文件的所有内容和要求，按磋商文件的规定提供响应文件，并对其所提供的全部资料、承诺和声明的真实性、合法性和准确性负责。</w:t>
      </w:r>
    </w:p>
    <w:p w14:paraId="6FFC34DF">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7.4除非竞争性磋商须知前附表另有规定外，供应商提供的响应文件应使用中文文本，若有不同文字文本，以中文文本为准。</w:t>
      </w:r>
    </w:p>
    <w:p w14:paraId="3602C890">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25C4C85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7.6除非竞争性磋商须知前附表另有规定外，供应商承诺的报价应以人民币进行报价，合同实施结算时亦以人民币支付；所有计量均采用中华人民共和国法定计量单位。</w:t>
      </w:r>
    </w:p>
    <w:p w14:paraId="32F65559">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8.首次响应文件的组成：</w:t>
      </w:r>
    </w:p>
    <w:p w14:paraId="0EA17CB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8.1首次响应文件包括但不限于下列部分：</w:t>
      </w:r>
    </w:p>
    <w:p w14:paraId="757D6AA7">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（1）响应函</w:t>
      </w:r>
    </w:p>
    <w:p w14:paraId="6403FC1C">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（2）报价一览表（含详细报价书）</w:t>
      </w:r>
    </w:p>
    <w:p w14:paraId="68A87447">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（3）资格证明文件</w:t>
      </w:r>
    </w:p>
    <w:p w14:paraId="4BB37B7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（4）磋商保证金凭证</w:t>
      </w:r>
    </w:p>
    <w:p w14:paraId="67CAC297">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（5）技术和商务偏离表</w:t>
      </w:r>
    </w:p>
    <w:p w14:paraId="5D8451BD">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（6）相关技术、商务、服务响应承诺及资料</w:t>
      </w:r>
    </w:p>
    <w:p w14:paraId="33BB051A">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（7）供应商提交的其他资料</w:t>
      </w:r>
    </w:p>
    <w:p w14:paraId="53EC0AF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（8）要求作为响应文件组成部分的其他内容（若有）</w:t>
      </w:r>
    </w:p>
    <w:p w14:paraId="1E2099E5">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9.响应文件有效期：</w:t>
      </w:r>
    </w:p>
    <w:p w14:paraId="1052D63F">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9.1响应文件有效期见竞争性磋商须知前附表第</w:t>
      </w:r>
      <w:r>
        <w:rPr>
          <w:rFonts w:hint="eastAsia" w:ascii="宋体" w:hAnsi="宋体" w:eastAsia="宋体" w:cs="宋体"/>
          <w:color w:val="auto"/>
          <w:u w:val="single"/>
        </w:rPr>
        <w:t>4</w:t>
      </w:r>
      <w:r>
        <w:rPr>
          <w:rFonts w:hint="eastAsia" w:ascii="宋体" w:hAnsi="宋体" w:eastAsia="宋体" w:cs="宋体"/>
          <w:color w:val="auto"/>
        </w:rPr>
        <w:t>项，响应文件承诺的有效期不得少于磋商文件载明的有效期，</w:t>
      </w:r>
      <w:r>
        <w:rPr>
          <w:rStyle w:val="26"/>
          <w:rFonts w:hint="eastAsia" w:ascii="宋体" w:hAnsi="宋体" w:eastAsia="宋体" w:cs="宋体"/>
          <w:bCs/>
          <w:color w:val="auto"/>
        </w:rPr>
        <w:t>否则其响应文件将被否决。</w:t>
      </w:r>
    </w:p>
    <w:p w14:paraId="6883D1DD">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14:paraId="0789291A">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10.磋商保证金：</w:t>
      </w:r>
    </w:p>
    <w:p w14:paraId="5B0882C1">
      <w:pPr>
        <w:pStyle w:val="17"/>
        <w:widowControl/>
        <w:spacing w:before="75" w:beforeAutospacing="0" w:after="75" w:afterAutospacing="0" w:line="435" w:lineRule="atLeast"/>
        <w:rPr>
          <w:color w:val="auto"/>
        </w:rPr>
      </w:pPr>
      <w:r>
        <w:rPr>
          <w:rFonts w:hint="eastAsia" w:ascii="宋体" w:hAnsi="宋体" w:eastAsia="宋体" w:cs="宋体"/>
          <w:color w:val="auto"/>
        </w:rPr>
        <w:t>  10.1供应商应在参加竞争性磋商之前按竞争性磋商须知前附表第</w:t>
      </w:r>
      <w:r>
        <w:rPr>
          <w:rFonts w:hint="eastAsia" w:ascii="宋体" w:hAnsi="宋体" w:eastAsia="宋体" w:cs="宋体"/>
          <w:color w:val="auto"/>
          <w:u w:val="single"/>
        </w:rPr>
        <w:t>5</w:t>
      </w:r>
      <w:r>
        <w:rPr>
          <w:rFonts w:hint="eastAsia" w:ascii="宋体" w:hAnsi="宋体" w:eastAsia="宋体" w:cs="宋体"/>
          <w:color w:val="auto"/>
        </w:rPr>
        <w:t>项规定的金额、形式等要求提交磋商保证金。磋商文件若接受联合体形式且供应商为联合体的，则可以由联合体中的牵头方提交磋商保证金，其提交的磋商保证金对联合体各方均具有约束力。</w:t>
      </w:r>
    </w:p>
    <w:p w14:paraId="4E1CC40E">
      <w:pPr>
        <w:pStyle w:val="17"/>
        <w:widowControl/>
        <w:spacing w:before="75" w:beforeAutospacing="0" w:after="75" w:afterAutospacing="0" w:line="435" w:lineRule="atLeast"/>
        <w:rPr>
          <w:color w:val="auto"/>
        </w:rPr>
      </w:pPr>
      <w:r>
        <w:rPr>
          <w:rFonts w:hint="eastAsia" w:ascii="宋体" w:hAnsi="宋体" w:eastAsia="宋体" w:cs="宋体"/>
          <w:color w:val="auto"/>
        </w:rPr>
        <w:t>  10.2磋商保证金为响应文件的重要组成部分之一。磋商保证金用于保护本次磋商活动免受供应商的违约或失信行为而引起的风险。未按规定提交磋商保证金的，</w:t>
      </w:r>
      <w:r>
        <w:rPr>
          <w:rStyle w:val="26"/>
          <w:rFonts w:hint="eastAsia" w:ascii="宋体" w:hAnsi="宋体" w:eastAsia="宋体" w:cs="宋体"/>
          <w:bCs/>
          <w:color w:val="auto"/>
        </w:rPr>
        <w:t>其响应文件将被否决。</w:t>
      </w:r>
    </w:p>
    <w:p w14:paraId="7299321C">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10.3磋商保证金退还：</w:t>
      </w:r>
    </w:p>
    <w:p w14:paraId="42C96B00">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供应商的保证金将在成交通知书发出后5个工作日内退还，成交供应商的保证金将在采购合同签订后5个工作日内退还。关于磋商保证金退还的其它要求见竞争性磋商须知前附表第</w:t>
      </w:r>
      <w:r>
        <w:rPr>
          <w:rFonts w:hint="eastAsia" w:ascii="宋体" w:hAnsi="宋体" w:eastAsia="宋体" w:cs="宋体"/>
          <w:color w:val="auto"/>
          <w:u w:val="single"/>
        </w:rPr>
        <w:t>6</w:t>
      </w:r>
      <w:r>
        <w:rPr>
          <w:rFonts w:hint="eastAsia" w:ascii="宋体" w:hAnsi="宋体" w:eastAsia="宋体" w:cs="宋体"/>
          <w:color w:val="auto"/>
        </w:rPr>
        <w:t>项。</w:t>
      </w:r>
    </w:p>
    <w:p w14:paraId="5A37E11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10.3.2质疑或投诉涉及的供应商，若其磋商保证金尚未退还，则待质疑或投诉处理完毕后，且没有发生法律法规或者磋商文件规定的不予退还磋商保证金情形，则由采购人或采购代理机构给予及时退还。</w:t>
      </w:r>
    </w:p>
    <w:p w14:paraId="7DDD914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10.4如果供应商发生以下任何一种情况时，其磋商保证金将被不予退还：</w:t>
      </w:r>
    </w:p>
    <w:p w14:paraId="3F7CA67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(1)供应商在提交响应文件截止时间后撤回响应文件的；</w:t>
      </w:r>
    </w:p>
    <w:p w14:paraId="092BF607">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(2)供应商在响应文件中提供虚假材料的；</w:t>
      </w:r>
    </w:p>
    <w:p w14:paraId="45C912DE">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(3)除因不可抗力或磋商文件认可的情形以外，成交供应商不与采购人签订合同的；</w:t>
      </w:r>
    </w:p>
    <w:p w14:paraId="25E329FF">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(4)供应商与采购人、其他供应商或者采购代理机构恶意串通的；</w:t>
      </w:r>
    </w:p>
    <w:p w14:paraId="3EFC657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(5)供应商在提交最后报价后要求退出磋商的；</w:t>
      </w:r>
    </w:p>
    <w:p w14:paraId="2B45B182">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(6)供应商假借以他人名义参加磋商或者以其他方式弄虚作假，骗取成交；</w:t>
      </w:r>
    </w:p>
    <w:p w14:paraId="2D225CAB">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(7)国家法律法规以及磋商文件中规定的其他磋商保证金不予退还的情形。</w:t>
      </w:r>
    </w:p>
    <w:p w14:paraId="1CC44318">
      <w:pPr>
        <w:pStyle w:val="17"/>
        <w:widowControl/>
        <w:spacing w:before="75" w:beforeAutospacing="0" w:after="75" w:afterAutospacing="0" w:line="435" w:lineRule="atLeast"/>
        <w:rPr>
          <w:color w:val="auto"/>
        </w:rPr>
      </w:pPr>
      <w:r>
        <w:rPr>
          <w:rFonts w:hint="eastAsia" w:ascii="宋体" w:hAnsi="宋体" w:eastAsia="宋体" w:cs="宋体"/>
          <w:color w:val="auto"/>
        </w:rPr>
        <w:t>    上述不予退还磋商保证金的情况不能抵偿给采购人或采购代理机构造成损失的，供应商还要承担赔偿责任。</w:t>
      </w:r>
    </w:p>
    <w:p w14:paraId="513222A4">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11.响应文件基本编制要求：</w:t>
      </w:r>
    </w:p>
    <w:p w14:paraId="0C6FA98A">
      <w:pPr>
        <w:pStyle w:val="17"/>
        <w:widowControl/>
        <w:spacing w:before="75" w:beforeAutospacing="0" w:after="75" w:afterAutospacing="0" w:line="435" w:lineRule="atLeast"/>
        <w:rPr>
          <w:color w:val="auto"/>
        </w:rPr>
      </w:pPr>
      <w:r>
        <w:rPr>
          <w:rFonts w:hint="eastAsia" w:ascii="宋体" w:hAnsi="宋体" w:eastAsia="宋体" w:cs="宋体"/>
          <w:color w:val="auto"/>
        </w:rPr>
        <w:t>   11.1供应商须编制由本须知规定组成的响应文件正副本份数详见竞争性磋商须知前附表第</w:t>
      </w:r>
      <w:r>
        <w:rPr>
          <w:rFonts w:hint="eastAsia" w:ascii="宋体" w:hAnsi="宋体" w:eastAsia="宋体" w:cs="宋体"/>
          <w:color w:val="auto"/>
          <w:u w:val="single"/>
        </w:rPr>
        <w:t>7</w:t>
      </w:r>
      <w:r>
        <w:rPr>
          <w:rFonts w:hint="eastAsia" w:ascii="宋体" w:hAnsi="宋体" w:eastAsia="宋体" w:cs="宋体"/>
          <w:color w:val="auto"/>
        </w:rPr>
        <w:t>项。响应文件正本和全部副本均应使用不能擦去的墨料或墨水打印、书写或复印，副本可以用正本的完整复印件。响应文件封面上应标明“正本”、“副本”字样。正本与副本内容如有不一致，则以正本为准。</w:t>
      </w:r>
    </w:p>
    <w:p w14:paraId="024E5DEC">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11.2响应文件应由供应商代表签字并加盖公章。供应商代表如果不是竞争性磋商须知中定义的“单位负责人”，则其响应文件中还必须提供“单位负责人授权书”。</w:t>
      </w:r>
    </w:p>
    <w:p w14:paraId="1A72A0CF">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11.3响应文件应尽量避免涂改、行间插字或删除。如果出现上述情况，改动之处应加盖供应商单位公章或由供应商代表签字确认。</w:t>
      </w:r>
    </w:p>
    <w:p w14:paraId="535C3D98">
      <w:pPr>
        <w:pStyle w:val="17"/>
        <w:widowControl/>
        <w:spacing w:before="75" w:beforeAutospacing="0" w:after="75" w:afterAutospacing="0" w:line="435" w:lineRule="atLeast"/>
        <w:rPr>
          <w:color w:val="auto"/>
        </w:rPr>
      </w:pPr>
      <w:r>
        <w:rPr>
          <w:rFonts w:hint="eastAsia" w:ascii="宋体" w:hAnsi="宋体" w:eastAsia="宋体" w:cs="宋体"/>
          <w:color w:val="auto"/>
        </w:rPr>
        <w:t>   11.4供应商应提交证明其拟提供货物、服务或工程符合磋商文件要求的技术和商务响应文件，该文件可以是文字资料、图纸和数据，并对拟提供的货物、服务或工程的主要内容进行详细描述。</w:t>
      </w:r>
    </w:p>
    <w:p w14:paraId="48E029B5">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12.纸质响应文件的密封、标识、签署和提交（除磋商文件相应章节已有规定之外。）</w:t>
      </w:r>
    </w:p>
    <w:p w14:paraId="625B3892">
      <w:pPr>
        <w:pStyle w:val="17"/>
        <w:widowControl/>
        <w:spacing w:before="75" w:beforeAutospacing="0" w:after="75" w:afterAutospacing="0" w:line="435" w:lineRule="atLeast"/>
        <w:rPr>
          <w:color w:val="auto"/>
        </w:rPr>
      </w:pPr>
      <w:r>
        <w:rPr>
          <w:rFonts w:hint="eastAsia" w:ascii="宋体" w:hAnsi="宋体" w:eastAsia="宋体" w:cs="宋体"/>
          <w:color w:val="auto"/>
        </w:rPr>
        <w:t>   12.1供应商应当将响应文件密封包装提交，并在外封套上标识项目名称、项目编号、供应商单位名称以及“于 </w:t>
      </w:r>
      <w:r>
        <w:rPr>
          <w:rFonts w:hint="eastAsia" w:ascii="宋体" w:hAnsi="宋体" w:eastAsia="宋体" w:cs="宋体"/>
          <w:color w:val="auto"/>
          <w:u w:val="single"/>
        </w:rPr>
        <w:t>        </w:t>
      </w:r>
      <w:r>
        <w:rPr>
          <w:rFonts w:hint="eastAsia" w:ascii="宋体" w:hAnsi="宋体" w:eastAsia="宋体" w:cs="宋体"/>
          <w:color w:val="auto"/>
        </w:rPr>
        <w:t>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14:paraId="3D319360">
      <w:pPr>
        <w:pStyle w:val="17"/>
        <w:widowControl/>
        <w:spacing w:before="75" w:beforeAutospacing="0" w:after="75" w:afterAutospacing="0" w:line="435" w:lineRule="atLeast"/>
        <w:rPr>
          <w:color w:val="auto"/>
        </w:rPr>
      </w:pPr>
      <w:r>
        <w:rPr>
          <w:rFonts w:hint="eastAsia" w:ascii="宋体" w:hAnsi="宋体" w:eastAsia="宋体" w:cs="宋体"/>
          <w:color w:val="auto"/>
        </w:rPr>
        <w:t>   12.2供应商应当在磋商文件规定的提交响应文件截止时间前，将首次响应文件密封送达磋商文件规定的指定地点。在截止时间后送达的首次响应文件为无效文件，采购人、采购代理机构或者磋商小组将不予接收。</w:t>
      </w:r>
    </w:p>
    <w:p w14:paraId="291E1F97">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14:paraId="1C4C4A00">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14:paraId="512903AF">
      <w:pPr>
        <w:pStyle w:val="17"/>
        <w:widowControl/>
        <w:spacing w:before="75" w:beforeAutospacing="0" w:after="75" w:afterAutospacing="0" w:line="435" w:lineRule="atLeast"/>
        <w:rPr>
          <w:color w:val="auto"/>
        </w:rPr>
      </w:pPr>
      <w:r>
        <w:rPr>
          <w:rFonts w:hint="eastAsia" w:ascii="宋体" w:hAnsi="宋体" w:eastAsia="宋体" w:cs="宋体"/>
          <w:color w:val="auto"/>
        </w:rPr>
        <w:t>   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14:paraId="12EA70E3">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3865E7B1">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四、竞争性磋商</w:t>
      </w:r>
    </w:p>
    <w:p w14:paraId="0398A466">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 </w:t>
      </w:r>
    </w:p>
    <w:p w14:paraId="628041BA">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13.评审和磋商基本准则</w:t>
      </w:r>
    </w:p>
    <w:p w14:paraId="5A3799F4">
      <w:pPr>
        <w:pStyle w:val="17"/>
        <w:widowControl/>
        <w:spacing w:before="75" w:beforeAutospacing="0" w:after="75" w:afterAutospacing="0" w:line="435" w:lineRule="atLeast"/>
        <w:rPr>
          <w:color w:val="auto"/>
        </w:rPr>
      </w:pPr>
      <w:r>
        <w:rPr>
          <w:rFonts w:hint="eastAsia" w:ascii="宋体" w:hAnsi="宋体" w:eastAsia="宋体" w:cs="宋体"/>
          <w:color w:val="auto"/>
        </w:rPr>
        <w:t>  13.1对所有供应商的评审和磋商，都采用相同的程序和标准。</w:t>
      </w:r>
    </w:p>
    <w:p w14:paraId="6AFBEA56">
      <w:pPr>
        <w:pStyle w:val="17"/>
        <w:widowControl/>
        <w:spacing w:before="75" w:beforeAutospacing="0" w:after="75" w:afterAutospacing="0" w:line="435" w:lineRule="atLeast"/>
        <w:rPr>
          <w:color w:val="auto"/>
        </w:rPr>
      </w:pPr>
      <w:r>
        <w:rPr>
          <w:rFonts w:hint="eastAsia" w:ascii="宋体" w:hAnsi="宋体" w:eastAsia="宋体" w:cs="宋体"/>
          <w:color w:val="auto"/>
        </w:rPr>
        <w:t>  13.2磋商及评审过程将严格按照磋商文件的要求和条件进行，磋商小组将根据供应商的响应文件，按磋商文件规定的磋商程序及评审的标准和方法进行评审、磋商，并推荐成交候选人。</w:t>
      </w:r>
    </w:p>
    <w:p w14:paraId="293CFE7A">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14.磋商程序以及评审标准和方法</w:t>
      </w:r>
    </w:p>
    <w:p w14:paraId="07F1C15D">
      <w:pPr>
        <w:pStyle w:val="17"/>
        <w:widowControl/>
        <w:spacing w:before="75" w:beforeAutospacing="0" w:after="75" w:afterAutospacing="0" w:line="435" w:lineRule="atLeast"/>
        <w:rPr>
          <w:color w:val="auto"/>
        </w:rPr>
      </w:pPr>
      <w:r>
        <w:rPr>
          <w:rFonts w:hint="eastAsia" w:ascii="宋体" w:hAnsi="宋体" w:eastAsia="宋体" w:cs="宋体"/>
          <w:color w:val="auto"/>
        </w:rPr>
        <w:t>   14.1采购人将根据项目的特点依法组建磋商小组。磋商小组将根据磋商文件规定的程序、评审标准和方法等内容对供应商进行评审、磋商。</w:t>
      </w:r>
    </w:p>
    <w:p w14:paraId="01F24550">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14:paraId="2F4B69B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14.2.1供应商有下列情况之一者，其提交的响应文件将被视为未实质性响应磋商文件要求，磋商小组将否决其响应文件，按无效处理：</w:t>
      </w:r>
    </w:p>
    <w:p w14:paraId="01381E0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(1)响应文件中提供的资格证明文件不全的；</w:t>
      </w:r>
    </w:p>
    <w:p w14:paraId="35281C1B">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(2)响应文件未按磋商文件规定由供应商代表签字，或未按磋商文件规定加盖供应商单位公章的；或供应商代表未获得有效授权的；</w:t>
      </w:r>
    </w:p>
    <w:p w14:paraId="32EC495A">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(3)供应商未按磋商文件规定提交磋商保证金的；</w:t>
      </w:r>
    </w:p>
    <w:p w14:paraId="7BF67D18">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(4)响应文件有效期不满足磋商文件要求的；</w:t>
      </w:r>
    </w:p>
    <w:p w14:paraId="440A06F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(5)响应内容与磋商采购内容及要求有重大偏离或保留的，限制了采购人的权利或者减少成交供应商合同项下的义务；（由于磋商项目本身特点，不能详细列明采购标的的技术、服务要求的除外）；</w:t>
      </w:r>
    </w:p>
    <w:p w14:paraId="3788F69C">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(6)响应文件中附有采购人无法接受的条件的；</w:t>
      </w:r>
    </w:p>
    <w:p w14:paraId="38B4C3D0">
      <w:pPr>
        <w:pStyle w:val="17"/>
        <w:widowControl/>
        <w:spacing w:before="75" w:beforeAutospacing="0" w:after="75" w:afterAutospacing="0" w:line="435" w:lineRule="atLeast"/>
        <w:ind w:firstLine="480"/>
        <w:rPr>
          <w:rFonts w:ascii="宋体" w:hAnsi="宋体" w:eastAsia="宋体" w:cs="宋体"/>
          <w:color w:val="auto"/>
        </w:rPr>
      </w:pPr>
      <w:r>
        <w:rPr>
          <w:rFonts w:hint="eastAsia" w:ascii="宋体" w:hAnsi="宋体" w:eastAsia="宋体" w:cs="宋体"/>
          <w:color w:val="auto"/>
        </w:rPr>
        <w:t>(7)不符合磋商文件中规定的其它实质性条款（比如：报价超过了磋商文件规定的最高限价）。</w:t>
      </w:r>
    </w:p>
    <w:p w14:paraId="70CADD41">
      <w:pPr>
        <w:pStyle w:val="17"/>
        <w:widowControl/>
        <w:spacing w:before="75" w:beforeAutospacing="0" w:after="75" w:afterAutospacing="0" w:line="435" w:lineRule="atLeast"/>
        <w:ind w:firstLine="480"/>
        <w:rPr>
          <w:rFonts w:ascii="宋体" w:hAnsi="宋体" w:eastAsia="宋体" w:cs="宋体"/>
          <w:color w:val="auto"/>
        </w:rPr>
      </w:pPr>
      <w:r>
        <w:rPr>
          <w:rFonts w:hint="eastAsia" w:ascii="宋体" w:hAnsi="宋体" w:eastAsia="宋体" w:cs="宋体"/>
          <w:color w:val="auto"/>
        </w:rPr>
        <w:t>14.2.2其他情形</w:t>
      </w:r>
    </w:p>
    <w:p w14:paraId="429E6340">
      <w:pPr>
        <w:pStyle w:val="17"/>
        <w:widowControl/>
        <w:spacing w:before="75" w:beforeAutospacing="0" w:after="75" w:afterAutospacing="0" w:line="435" w:lineRule="atLeast"/>
        <w:ind w:firstLine="480"/>
        <w:rPr>
          <w:rFonts w:ascii="宋体" w:hAnsi="宋体" w:eastAsia="宋体" w:cs="宋体"/>
          <w:color w:val="auto"/>
        </w:rPr>
      </w:pPr>
      <w:r>
        <w:rPr>
          <w:rFonts w:hint="eastAsia" w:ascii="宋体" w:hAnsi="宋体" w:eastAsia="宋体" w:cs="宋体"/>
          <w:color w:val="auto"/>
        </w:rPr>
        <w:t>包：1</w:t>
      </w:r>
    </w:p>
    <w:p w14:paraId="14CA117A">
      <w:pPr>
        <w:pStyle w:val="17"/>
        <w:widowControl/>
        <w:spacing w:before="75" w:beforeAutospacing="0" w:after="75" w:afterAutospacing="0" w:line="435" w:lineRule="atLeast"/>
        <w:ind w:firstLine="480"/>
        <w:rPr>
          <w:rFonts w:ascii="宋体" w:hAnsi="宋体" w:eastAsia="宋体" w:cs="宋体"/>
          <w:color w:val="auto"/>
        </w:rPr>
      </w:pPr>
      <w:r>
        <w:rPr>
          <w:rFonts w:hint="eastAsia" w:ascii="宋体" w:hAnsi="宋体" w:eastAsia="宋体" w:cs="宋体"/>
          <w:color w:val="auto"/>
        </w:rPr>
        <w:t>包一般情形</w:t>
      </w:r>
    </w:p>
    <w:p w14:paraId="276A2A98">
      <w:pPr>
        <w:pStyle w:val="17"/>
        <w:widowControl/>
        <w:spacing w:before="75" w:beforeAutospacing="0" w:after="75" w:afterAutospacing="0" w:line="435" w:lineRule="atLeast"/>
        <w:ind w:firstLine="480"/>
        <w:rPr>
          <w:color w:val="auto"/>
        </w:rPr>
      </w:pPr>
      <w:r>
        <w:rPr>
          <w:rStyle w:val="26"/>
          <w:bCs/>
          <w:color w:val="auto"/>
        </w:rPr>
        <w:t>         无</w:t>
      </w:r>
    </w:p>
    <w:p w14:paraId="4EC699F4">
      <w:pPr>
        <w:widowControl/>
        <w:jc w:val="left"/>
        <w:rPr>
          <w:rFonts w:ascii="宋体" w:hAnsi="宋体" w:eastAsia="宋体" w:cs="宋体"/>
          <w:color w:val="auto"/>
          <w:kern w:val="0"/>
          <w:sz w:val="24"/>
        </w:rPr>
      </w:pPr>
    </w:p>
    <w:p w14:paraId="08E6DCFB">
      <w:pPr>
        <w:widowControl/>
        <w:jc w:val="left"/>
        <w:rPr>
          <w:color w:val="auto"/>
        </w:rPr>
      </w:pPr>
      <w:r>
        <w:rPr>
          <w:rFonts w:ascii="宋体" w:hAnsi="宋体" w:eastAsia="宋体" w:cs="宋体"/>
          <w:color w:val="auto"/>
          <w:kern w:val="0"/>
          <w:sz w:val="24"/>
        </w:rPr>
        <w:t>技术符合性</w:t>
      </w:r>
    </w:p>
    <w:tbl>
      <w:tblPr>
        <w:tblStyle w:val="23"/>
        <w:tblW w:w="5009"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8758"/>
      </w:tblGrid>
      <w:tr w14:paraId="508E2C6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5000" w:type="pct"/>
            <w:tcBorders>
              <w:top w:val="outset" w:color="auto" w:sz="6" w:space="0"/>
              <w:left w:val="outset" w:color="auto" w:sz="6" w:space="0"/>
              <w:bottom w:val="outset" w:color="auto" w:sz="6" w:space="0"/>
              <w:right w:val="outset" w:color="auto" w:sz="6" w:space="0"/>
            </w:tcBorders>
            <w:shd w:val="clear" w:color="auto" w:fill="auto"/>
            <w:vAlign w:val="center"/>
          </w:tcPr>
          <w:p w14:paraId="194424F8">
            <w:pPr>
              <w:widowControl/>
              <w:jc w:val="left"/>
              <w:rPr>
                <w:b/>
                <w:bCs/>
                <w:color w:val="auto"/>
              </w:rPr>
            </w:pPr>
            <w:r>
              <w:rPr>
                <w:rFonts w:ascii="宋体" w:hAnsi="宋体" w:eastAsia="宋体" w:cs="宋体"/>
                <w:b/>
                <w:bCs/>
                <w:color w:val="auto"/>
                <w:kern w:val="0"/>
                <w:sz w:val="24"/>
              </w:rPr>
              <w:t>明细</w:t>
            </w:r>
          </w:p>
        </w:tc>
      </w:tr>
      <w:tr w14:paraId="1E8683E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4555CD8E">
            <w:pPr>
              <w:widowControl/>
              <w:jc w:val="left"/>
              <w:rPr>
                <w:color w:val="auto"/>
              </w:rPr>
            </w:pPr>
            <w:r>
              <w:rPr>
                <w:rFonts w:ascii="宋体" w:hAnsi="宋体" w:eastAsia="宋体" w:cs="宋体"/>
                <w:color w:val="auto"/>
                <w:kern w:val="0"/>
                <w:sz w:val="24"/>
              </w:rPr>
              <w:t>技术部分“★”标示的内容存在负偏离。</w:t>
            </w:r>
          </w:p>
        </w:tc>
      </w:tr>
      <w:tr w14:paraId="1D42883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34A85C96">
            <w:pPr>
              <w:widowControl/>
              <w:jc w:val="left"/>
              <w:rPr>
                <w:color w:val="auto"/>
              </w:rPr>
            </w:pPr>
            <w:r>
              <w:rPr>
                <w:rFonts w:ascii="宋体" w:hAnsi="宋体" w:eastAsia="宋体" w:cs="宋体"/>
                <w:color w:val="auto"/>
                <w:kern w:val="0"/>
                <w:sz w:val="24"/>
              </w:rPr>
              <w:t>违反竞争性磋商文件中载明“响应无效”条款的规定。</w:t>
            </w:r>
          </w:p>
        </w:tc>
      </w:tr>
      <w:tr w14:paraId="635708C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3AEC4D8E">
            <w:pPr>
              <w:widowControl/>
              <w:jc w:val="left"/>
              <w:rPr>
                <w:color w:val="auto"/>
              </w:rPr>
            </w:pPr>
            <w:r>
              <w:rPr>
                <w:rFonts w:ascii="宋体" w:hAnsi="宋体" w:eastAsia="宋体" w:cs="宋体"/>
                <w:color w:val="auto"/>
                <w:kern w:val="0"/>
                <w:sz w:val="24"/>
              </w:rPr>
              <w:t>属于竞争性磋商文件规定磋商小组应否决其响应的情形。</w:t>
            </w:r>
          </w:p>
        </w:tc>
      </w:tr>
    </w:tbl>
    <w:p w14:paraId="7E41C498">
      <w:pPr>
        <w:widowControl/>
        <w:jc w:val="left"/>
        <w:rPr>
          <w:rFonts w:ascii="宋体" w:hAnsi="宋体" w:eastAsia="宋体" w:cs="宋体"/>
          <w:color w:val="auto"/>
          <w:kern w:val="0"/>
          <w:sz w:val="24"/>
        </w:rPr>
      </w:pPr>
    </w:p>
    <w:p w14:paraId="6930A2F8">
      <w:pPr>
        <w:widowControl/>
        <w:jc w:val="left"/>
        <w:rPr>
          <w:color w:val="auto"/>
        </w:rPr>
      </w:pPr>
      <w:r>
        <w:rPr>
          <w:rFonts w:ascii="宋体" w:hAnsi="宋体" w:eastAsia="宋体" w:cs="宋体"/>
          <w:color w:val="auto"/>
          <w:kern w:val="0"/>
          <w:sz w:val="24"/>
        </w:rPr>
        <w:t>商务符合性</w:t>
      </w:r>
    </w:p>
    <w:tbl>
      <w:tblPr>
        <w:tblStyle w:val="23"/>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8742"/>
      </w:tblGrid>
      <w:tr w14:paraId="5693A41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Header/>
        </w:trPr>
        <w:tc>
          <w:tcPr>
            <w:tcW w:w="5000" w:type="pct"/>
            <w:tcBorders>
              <w:top w:val="outset" w:color="auto" w:sz="6" w:space="0"/>
              <w:left w:val="outset" w:color="auto" w:sz="6" w:space="0"/>
              <w:bottom w:val="outset" w:color="auto" w:sz="6" w:space="0"/>
              <w:right w:val="outset" w:color="auto" w:sz="6" w:space="0"/>
            </w:tcBorders>
            <w:shd w:val="clear" w:color="auto" w:fill="auto"/>
            <w:vAlign w:val="center"/>
          </w:tcPr>
          <w:p w14:paraId="4CAB1F93">
            <w:pPr>
              <w:widowControl/>
              <w:jc w:val="left"/>
              <w:rPr>
                <w:b/>
                <w:bCs/>
                <w:color w:val="auto"/>
              </w:rPr>
            </w:pPr>
            <w:r>
              <w:rPr>
                <w:rFonts w:ascii="宋体" w:hAnsi="宋体" w:eastAsia="宋体" w:cs="宋体"/>
                <w:b/>
                <w:bCs/>
                <w:color w:val="auto"/>
                <w:kern w:val="0"/>
                <w:sz w:val="24"/>
              </w:rPr>
              <w:t>明细</w:t>
            </w:r>
          </w:p>
        </w:tc>
      </w:tr>
      <w:tr w14:paraId="0938AC2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5A275730">
            <w:pPr>
              <w:widowControl/>
              <w:jc w:val="left"/>
              <w:rPr>
                <w:color w:val="auto"/>
              </w:rPr>
            </w:pPr>
            <w:r>
              <w:rPr>
                <w:rFonts w:ascii="宋体" w:hAnsi="宋体" w:eastAsia="宋体" w:cs="宋体"/>
                <w:color w:val="auto"/>
                <w:kern w:val="0"/>
                <w:sz w:val="24"/>
              </w:rPr>
              <w:t>供应商未在竞争性磋商文件中完全响应竞争性磋商文件第三章采购内容及要求中第“三、商务条件”全部条款的。</w:t>
            </w:r>
          </w:p>
        </w:tc>
      </w:tr>
      <w:tr w14:paraId="51FD577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49C14914">
            <w:pPr>
              <w:widowControl/>
              <w:jc w:val="left"/>
              <w:rPr>
                <w:color w:val="auto"/>
              </w:rPr>
            </w:pPr>
            <w:r>
              <w:rPr>
                <w:rFonts w:ascii="宋体" w:hAnsi="宋体" w:eastAsia="宋体" w:cs="宋体"/>
                <w:color w:val="auto"/>
                <w:kern w:val="0"/>
                <w:sz w:val="24"/>
              </w:rPr>
              <w:t>违反竞争性磋商文件中载明“响应无效”条款的规定。</w:t>
            </w:r>
          </w:p>
        </w:tc>
      </w:tr>
      <w:tr w14:paraId="12D24D0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outset" w:color="auto" w:sz="6" w:space="0"/>
              <w:left w:val="outset" w:color="auto" w:sz="6" w:space="0"/>
              <w:bottom w:val="outset" w:color="auto" w:sz="6" w:space="0"/>
              <w:right w:val="outset" w:color="auto" w:sz="6" w:space="0"/>
            </w:tcBorders>
            <w:shd w:val="clear" w:color="auto" w:fill="auto"/>
            <w:vAlign w:val="center"/>
          </w:tcPr>
          <w:p w14:paraId="76CBCEC3">
            <w:pPr>
              <w:widowControl/>
              <w:jc w:val="left"/>
              <w:rPr>
                <w:color w:val="auto"/>
              </w:rPr>
            </w:pPr>
            <w:r>
              <w:rPr>
                <w:rFonts w:ascii="宋体" w:hAnsi="宋体" w:eastAsia="宋体" w:cs="宋体"/>
                <w:color w:val="auto"/>
                <w:kern w:val="0"/>
                <w:sz w:val="24"/>
              </w:rPr>
              <w:t>属于竞争性磋商文件规定磋商小组应否决其响应的情形。</w:t>
            </w:r>
          </w:p>
        </w:tc>
      </w:tr>
    </w:tbl>
    <w:p w14:paraId="7AC1B510">
      <w:pPr>
        <w:widowControl/>
        <w:jc w:val="left"/>
        <w:rPr>
          <w:rFonts w:ascii="宋体" w:hAnsi="宋体" w:eastAsia="宋体" w:cs="宋体"/>
          <w:color w:val="auto"/>
          <w:kern w:val="0"/>
          <w:sz w:val="24"/>
        </w:rPr>
      </w:pPr>
    </w:p>
    <w:p w14:paraId="03BA07A9">
      <w:pPr>
        <w:widowControl/>
        <w:jc w:val="left"/>
        <w:rPr>
          <w:rFonts w:ascii="宋体" w:hAnsi="宋体" w:eastAsia="宋体" w:cs="宋体"/>
          <w:color w:val="auto"/>
          <w:kern w:val="0"/>
          <w:sz w:val="24"/>
        </w:rPr>
      </w:pPr>
      <w:r>
        <w:rPr>
          <w:rFonts w:ascii="宋体" w:hAnsi="宋体" w:eastAsia="宋体" w:cs="宋体"/>
          <w:color w:val="auto"/>
          <w:kern w:val="0"/>
          <w:sz w:val="24"/>
        </w:rPr>
        <w:t>附加符合性</w:t>
      </w:r>
    </w:p>
    <w:p w14:paraId="797DDFA7">
      <w:pPr>
        <w:widowControl/>
        <w:jc w:val="left"/>
        <w:rPr>
          <w:rStyle w:val="26"/>
          <w:rFonts w:ascii="宋体" w:hAnsi="宋体" w:eastAsia="宋体" w:cs="宋体"/>
          <w:bCs/>
          <w:color w:val="auto"/>
          <w:kern w:val="0"/>
          <w:sz w:val="24"/>
        </w:rPr>
      </w:pPr>
      <w:r>
        <w:rPr>
          <w:rStyle w:val="26"/>
          <w:rFonts w:ascii="宋体" w:hAnsi="宋体" w:eastAsia="宋体" w:cs="宋体"/>
          <w:bCs/>
          <w:color w:val="auto"/>
          <w:kern w:val="0"/>
          <w:sz w:val="24"/>
        </w:rPr>
        <w:t>         无</w:t>
      </w:r>
    </w:p>
    <w:p w14:paraId="55329424">
      <w:pPr>
        <w:pStyle w:val="31"/>
        <w:rPr>
          <w:color w:val="auto"/>
        </w:rPr>
      </w:pPr>
    </w:p>
    <w:p w14:paraId="0C7595F0">
      <w:pPr>
        <w:widowControl/>
        <w:jc w:val="left"/>
        <w:rPr>
          <w:color w:val="auto"/>
        </w:rPr>
      </w:pPr>
      <w:r>
        <w:rPr>
          <w:rFonts w:ascii="宋体" w:hAnsi="宋体" w:eastAsia="宋体" w:cs="宋体"/>
          <w:color w:val="auto"/>
          <w:kern w:val="0"/>
          <w:sz w:val="24"/>
        </w:rPr>
        <w:t>价格符合性</w:t>
      </w:r>
    </w:p>
    <w:p w14:paraId="3A59459F">
      <w:pPr>
        <w:pStyle w:val="17"/>
        <w:widowControl/>
        <w:spacing w:before="75" w:beforeAutospacing="0" w:after="75" w:afterAutospacing="0" w:line="435" w:lineRule="atLeast"/>
        <w:rPr>
          <w:color w:val="auto"/>
        </w:rPr>
      </w:pPr>
      <w:r>
        <w:rPr>
          <w:rFonts w:hint="eastAsia" w:ascii="宋体" w:hAnsi="宋体" w:eastAsia="宋体" w:cs="宋体"/>
          <w:color w:val="auto"/>
        </w:rPr>
        <w:t>   磋商小组决定供应商的响应性只根据响应文件本身的内容，而不寻求其他的外部证据。</w:t>
      </w:r>
    </w:p>
    <w:p w14:paraId="714C287A">
      <w:pPr>
        <w:widowControl/>
        <w:jc w:val="left"/>
        <w:rPr>
          <w:rFonts w:ascii="宋体" w:hAnsi="宋体" w:eastAsia="宋体" w:cs="宋体"/>
          <w:color w:val="auto"/>
        </w:rPr>
      </w:pPr>
      <w:r>
        <w:rPr>
          <w:rFonts w:hint="eastAsia" w:ascii="宋体" w:hAnsi="宋体" w:eastAsia="宋体" w:cs="宋体"/>
          <w:color w:val="auto"/>
        </w:rPr>
        <w:t> </w:t>
      </w:r>
    </w:p>
    <w:p w14:paraId="4BE56030">
      <w:pPr>
        <w:pStyle w:val="17"/>
        <w:widowControl/>
        <w:spacing w:before="75" w:beforeAutospacing="0" w:after="75" w:afterAutospacing="0" w:line="435" w:lineRule="atLeast"/>
        <w:ind w:firstLine="480" w:firstLineChars="200"/>
        <w:rPr>
          <w:color w:val="auto"/>
        </w:rPr>
      </w:pPr>
      <w:r>
        <w:rPr>
          <w:rFonts w:hint="eastAsia" w:ascii="宋体" w:hAnsi="宋体" w:eastAsia="宋体" w:cs="宋体"/>
          <w:color w:val="auto"/>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14:paraId="12ABDE2E">
      <w:pPr>
        <w:pStyle w:val="17"/>
        <w:widowControl/>
        <w:spacing w:before="75" w:beforeAutospacing="0" w:after="75" w:afterAutospacing="0" w:line="435" w:lineRule="atLeast"/>
        <w:rPr>
          <w:color w:val="auto"/>
        </w:rPr>
      </w:pPr>
      <w:r>
        <w:rPr>
          <w:rFonts w:hint="eastAsia" w:ascii="宋体" w:hAnsi="宋体" w:eastAsia="宋体" w:cs="宋体"/>
          <w:color w:val="auto"/>
        </w:rPr>
        <w:t>  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w:t>
      </w:r>
      <w:r>
        <w:rPr>
          <w:rFonts w:hint="eastAsia" w:ascii="宋体" w:hAnsi="宋体" w:eastAsia="宋体" w:cs="宋体"/>
          <w:color w:val="auto"/>
          <w:u w:val="single"/>
        </w:rPr>
        <w:t>8</w:t>
      </w:r>
      <w:r>
        <w:rPr>
          <w:rFonts w:hint="eastAsia" w:ascii="宋体" w:hAnsi="宋体" w:eastAsia="宋体" w:cs="宋体"/>
          <w:color w:val="auto"/>
        </w:rPr>
        <w:t>项。</w:t>
      </w:r>
    </w:p>
    <w:p w14:paraId="58BCEFF0">
      <w:pPr>
        <w:pStyle w:val="17"/>
        <w:widowControl/>
        <w:spacing w:before="75" w:beforeAutospacing="0" w:after="75" w:afterAutospacing="0" w:line="435" w:lineRule="atLeast"/>
        <w:rPr>
          <w:color w:val="auto"/>
        </w:rPr>
      </w:pPr>
      <w:r>
        <w:rPr>
          <w:rFonts w:hint="eastAsia" w:ascii="宋体" w:hAnsi="宋体" w:eastAsia="宋体" w:cs="宋体"/>
          <w:color w:val="auto"/>
        </w:rPr>
        <w:t>  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14:paraId="20D71785">
      <w:pPr>
        <w:pStyle w:val="17"/>
        <w:widowControl/>
        <w:spacing w:before="75" w:beforeAutospacing="0" w:after="75" w:afterAutospacing="0" w:line="435" w:lineRule="atLeast"/>
        <w:rPr>
          <w:color w:val="auto"/>
        </w:rPr>
      </w:pPr>
      <w:r>
        <w:rPr>
          <w:rFonts w:hint="eastAsia" w:ascii="宋体" w:hAnsi="宋体" w:eastAsia="宋体" w:cs="宋体"/>
          <w:color w:val="auto"/>
        </w:rPr>
        <w:t>  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14:paraId="3EB5CBB9">
      <w:pPr>
        <w:pStyle w:val="17"/>
        <w:widowControl/>
        <w:spacing w:before="75" w:beforeAutospacing="0" w:after="75" w:afterAutospacing="0" w:line="435" w:lineRule="atLeast"/>
        <w:rPr>
          <w:rFonts w:ascii="宋体" w:hAnsi="宋体" w:eastAsia="宋体" w:cs="宋体"/>
          <w:color w:val="auto"/>
        </w:rPr>
      </w:pPr>
      <w:r>
        <w:rPr>
          <w:rFonts w:hint="eastAsia" w:ascii="宋体" w:hAnsi="宋体" w:eastAsia="宋体" w:cs="宋体"/>
          <w:color w:val="auto"/>
        </w:rPr>
        <w:t>  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14:paraId="02B05E22">
      <w:pPr>
        <w:pStyle w:val="17"/>
        <w:widowControl/>
        <w:spacing w:before="75" w:beforeAutospacing="0" w:after="75" w:afterAutospacing="0" w:line="435" w:lineRule="atLeast"/>
        <w:rPr>
          <w:rFonts w:ascii="宋体" w:hAnsi="宋体" w:eastAsia="宋体" w:cs="宋体"/>
          <w:color w:val="auto"/>
        </w:rPr>
      </w:pPr>
      <w:r>
        <w:rPr>
          <w:rFonts w:hint="eastAsia" w:ascii="宋体" w:hAnsi="宋体" w:eastAsia="宋体" w:cs="宋体"/>
          <w:color w:val="auto"/>
        </w:rPr>
        <w:t>  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14:paraId="6105142F">
      <w:pPr>
        <w:pStyle w:val="17"/>
        <w:widowControl/>
        <w:spacing w:before="75" w:beforeAutospacing="0" w:after="75" w:afterAutospacing="0" w:line="435" w:lineRule="atLeast"/>
        <w:rPr>
          <w:color w:val="auto"/>
        </w:rPr>
      </w:pPr>
      <w:r>
        <w:rPr>
          <w:rFonts w:hint="eastAsia" w:ascii="宋体" w:hAnsi="宋体" w:eastAsia="宋体" w:cs="宋体"/>
          <w:color w:val="auto"/>
        </w:rPr>
        <w:t>  14.9磋商小组将采用综合评分法对提交最后报价的供应商的响应文件和最后报价进行综合评分，具体评审的标准和方法详见竞争性磋商须知前附表第9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14:paraId="4EB97E4A">
      <w:pPr>
        <w:pStyle w:val="17"/>
        <w:widowControl/>
        <w:spacing w:before="75" w:beforeAutospacing="0" w:after="75" w:afterAutospacing="0" w:line="435" w:lineRule="atLeast"/>
        <w:rPr>
          <w:color w:val="auto"/>
        </w:rPr>
      </w:pPr>
      <w:r>
        <w:rPr>
          <w:rFonts w:hint="eastAsia" w:ascii="宋体" w:hAnsi="宋体" w:eastAsia="宋体" w:cs="宋体"/>
          <w:color w:val="auto"/>
        </w:rPr>
        <w:t>  14.10供应商提交的响应文件和资料将给予保密，但不退回（有关证件或证照的原件除外）。</w:t>
      </w:r>
    </w:p>
    <w:p w14:paraId="7C9B55C4">
      <w:pPr>
        <w:pStyle w:val="17"/>
        <w:widowControl/>
        <w:spacing w:before="75" w:beforeAutospacing="0" w:after="75" w:afterAutospacing="0" w:line="435" w:lineRule="atLeast"/>
        <w:rPr>
          <w:color w:val="auto"/>
        </w:rPr>
      </w:pPr>
      <w:r>
        <w:rPr>
          <w:color w:val="auto"/>
        </w:rPr>
        <w:t> </w:t>
      </w:r>
    </w:p>
    <w:p w14:paraId="19C0977D">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67D1A92C">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五、合同授予</w:t>
      </w:r>
    </w:p>
    <w:p w14:paraId="54F5EF1D">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 </w:t>
      </w:r>
    </w:p>
    <w:p w14:paraId="777844EA">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15.授予合同的准则：</w:t>
      </w:r>
    </w:p>
    <w:p w14:paraId="71A9E353">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15.1除不可抗力等因素外，合同将授予响应文件符合竞争性磋商文件要求，能够圆满地履行合同，且被磋商小组推荐为第一成交候选人的供应商。</w:t>
      </w:r>
    </w:p>
    <w:p w14:paraId="4D891B14">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15.2 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14:paraId="1C46134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15.3为维护国家利益和社会公共利益，最低报价不是被授予合同的绝对保证。</w:t>
      </w:r>
    </w:p>
    <w:p w14:paraId="06C3F4A7">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16.确定成交供应商：</w:t>
      </w:r>
    </w:p>
    <w:p w14:paraId="756CD563">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16.1采购人委托代理机构组织竞争性磋商采购活动的，采购代理机构在评审结束后2个工作日内将评审报告送采购人确认。</w:t>
      </w:r>
    </w:p>
    <w:p w14:paraId="75678DA8">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16.2采购人在收到评审报告后5个工作日内，从评审报告提出的成交候选人中，按照综合评分得分排序由高到低的原则确定成交供应商，也可以书面授权磋商小组直接确定成交供应商。采购人逾期未确定成交供应商且不提出异议的，视为确定评审报告提出的排序第一的供应商为成交供应商。</w:t>
      </w:r>
    </w:p>
    <w:p w14:paraId="5FD5ACD1">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17.成交通知:</w:t>
      </w:r>
    </w:p>
    <w:p w14:paraId="0C11EB3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17.1采购人或者采购代理机构在成交供应商确定后2个工作日内，在省级以上财政部门指定的媒体上公告成交结果，同时向成交供应商发出成交通知书。采用书面推荐供应商参加采购活动的，还将公告采购人和评审专家的推荐意见。</w:t>
      </w:r>
    </w:p>
    <w:p w14:paraId="5E2805EC">
      <w:pPr>
        <w:pStyle w:val="17"/>
        <w:widowControl/>
        <w:spacing w:before="75" w:beforeAutospacing="0" w:after="75" w:afterAutospacing="0" w:line="435" w:lineRule="atLeast"/>
        <w:rPr>
          <w:color w:val="auto"/>
        </w:rPr>
      </w:pPr>
      <w:r>
        <w:rPr>
          <w:rFonts w:hint="eastAsia" w:ascii="宋体" w:hAnsi="宋体" w:eastAsia="宋体" w:cs="宋体"/>
          <w:color w:val="auto"/>
        </w:rPr>
        <w:t>  17.2成交通知书对采购人和成交供应商具有同等法律效力。除不可抗力因素或政策原因外，成交通知书发出后，采购人改变成交结果，或者成交供应商拒绝签订政府采购合同的，均应当承担相应的法律责任。未成交供应商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14:paraId="4436F7BF">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18.签订合同：</w:t>
      </w:r>
    </w:p>
    <w:p w14:paraId="4ABC1AD8">
      <w:pPr>
        <w:pStyle w:val="17"/>
        <w:widowControl/>
        <w:spacing w:before="75" w:beforeAutospacing="0" w:after="75" w:afterAutospacing="0" w:line="435" w:lineRule="atLeast"/>
        <w:rPr>
          <w:rFonts w:ascii="宋体" w:hAnsi="宋体" w:eastAsia="宋体" w:cs="宋体"/>
          <w:color w:val="auto"/>
        </w:rPr>
      </w:pPr>
      <w:r>
        <w:rPr>
          <w:rFonts w:hint="eastAsia" w:ascii="宋体" w:hAnsi="宋体" w:eastAsia="宋体" w:cs="宋体"/>
          <w:color w:val="auto"/>
        </w:rPr>
        <w:t>  18.1采购人与成交供应商应当自中标通知书发出之日起30个日历日内。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14:paraId="4E2D99E8">
      <w:pPr>
        <w:pStyle w:val="17"/>
        <w:widowControl/>
        <w:spacing w:before="75" w:beforeAutospacing="0" w:after="75" w:afterAutospacing="0" w:line="435" w:lineRule="atLeast"/>
        <w:rPr>
          <w:color w:val="auto"/>
        </w:rPr>
      </w:pPr>
      <w:r>
        <w:rPr>
          <w:rFonts w:hint="eastAsia" w:ascii="宋体" w:hAnsi="宋体" w:eastAsia="宋体" w:cs="宋体"/>
          <w:color w:val="auto"/>
        </w:rPr>
        <w:t>  18.2竞争性磋商文件、成交供应商的响应文件及其有关澄清承诺文件等，均为签订政府采购合同的依据和组成部分。</w:t>
      </w:r>
    </w:p>
    <w:p w14:paraId="2B04B121">
      <w:pPr>
        <w:pStyle w:val="17"/>
        <w:widowControl/>
        <w:spacing w:before="75" w:beforeAutospacing="0" w:after="75" w:afterAutospacing="0" w:line="435" w:lineRule="atLeast"/>
        <w:rPr>
          <w:color w:val="auto"/>
        </w:rPr>
      </w:pPr>
      <w:r>
        <w:rPr>
          <w:rFonts w:hint="eastAsia" w:ascii="宋体" w:hAnsi="宋体" w:eastAsia="宋体" w:cs="宋体"/>
          <w:color w:val="auto"/>
        </w:rPr>
        <w:t>  18.3采购人不得向成交供应商提出超出竞争性磋商文件以外的任何要求作为签订合同的条件，不得与成交供应商订立背离竞争性磋商文件确定的合同文本以及采购标的、规格型号、采购金额、采购数量、技术和服务要求等实质性内容的协议。</w:t>
      </w:r>
    </w:p>
    <w:p w14:paraId="46458B6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w:t>
      </w:r>
    </w:p>
    <w:p w14:paraId="490731B4">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六、询问、质疑与投诉</w:t>
      </w:r>
    </w:p>
    <w:p w14:paraId="6118971E">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368471E0">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19.询问</w:t>
      </w:r>
    </w:p>
    <w:p w14:paraId="246A31C7">
      <w:pPr>
        <w:pStyle w:val="17"/>
        <w:widowControl/>
        <w:spacing w:before="75" w:beforeAutospacing="0" w:after="75" w:afterAutospacing="0" w:line="435" w:lineRule="atLeast"/>
        <w:rPr>
          <w:color w:val="auto"/>
        </w:rPr>
      </w:pPr>
      <w:r>
        <w:rPr>
          <w:rFonts w:hint="eastAsia" w:ascii="宋体" w:hAnsi="宋体" w:eastAsia="宋体" w:cs="宋体"/>
          <w:color w:val="auto"/>
        </w:rPr>
        <w:t>  19.1潜在供应商或供应商对本次采购活动的有关事项若有疑问，可向采购人或采购代理机构提出询问，采购人或采购代理机构将按照政府采购法及实施条例的有关规定进行答复。</w:t>
      </w:r>
    </w:p>
    <w:p w14:paraId="61C0DB8B">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20.质疑</w:t>
      </w:r>
    </w:p>
    <w:p w14:paraId="150D8FD9">
      <w:pPr>
        <w:pStyle w:val="17"/>
        <w:widowControl/>
        <w:spacing w:before="75" w:beforeAutospacing="0" w:after="75" w:afterAutospacing="0" w:line="435" w:lineRule="atLeast"/>
        <w:rPr>
          <w:color w:val="auto"/>
        </w:rPr>
      </w:pPr>
      <w:r>
        <w:rPr>
          <w:rFonts w:hint="eastAsia" w:ascii="宋体" w:hAnsi="宋体" w:eastAsia="宋体" w:cs="宋体"/>
          <w:color w:val="auto"/>
        </w:rPr>
        <w:t>  20.1质疑应在政府采购法及实施条例规定的时效内提出，并符合下列条件：</w:t>
      </w:r>
    </w:p>
    <w:p w14:paraId="18F02D40">
      <w:pPr>
        <w:pStyle w:val="17"/>
        <w:widowControl/>
        <w:spacing w:before="75" w:beforeAutospacing="0" w:after="75" w:afterAutospacing="0" w:line="435" w:lineRule="atLeast"/>
        <w:rPr>
          <w:color w:val="auto"/>
        </w:rPr>
      </w:pPr>
      <w:r>
        <w:rPr>
          <w:rFonts w:hint="eastAsia" w:ascii="宋体" w:hAnsi="宋体" w:eastAsia="宋体" w:cs="宋体"/>
          <w:color w:val="auto"/>
        </w:rPr>
        <w:t>  20.1.1对磋商文件提出质疑的，质疑人应为潜在供应商，且两者的身份、名称等均应保持一致。对采购过程、结果提出质疑的，质疑人应为供应商，且两者的身份、名称等均应保持一致。提出质疑的供应商应当是直接参与所质疑项目采购活动的供应商。</w:t>
      </w:r>
    </w:p>
    <w:p w14:paraId="7E2DA9C4">
      <w:pPr>
        <w:pStyle w:val="17"/>
        <w:widowControl/>
        <w:spacing w:before="75" w:beforeAutospacing="0" w:after="75" w:afterAutospacing="0" w:line="435" w:lineRule="atLeast"/>
        <w:rPr>
          <w:color w:val="auto"/>
        </w:rPr>
      </w:pPr>
      <w:r>
        <w:rPr>
          <w:rFonts w:hint="eastAsia" w:ascii="宋体" w:hAnsi="宋体" w:eastAsia="宋体" w:cs="宋体"/>
          <w:color w:val="auto"/>
        </w:rPr>
        <w:t>  20.1.2质疑人应提交质疑函原件。</w:t>
      </w:r>
    </w:p>
    <w:p w14:paraId="2812CA5B">
      <w:pPr>
        <w:pStyle w:val="17"/>
        <w:widowControl/>
        <w:spacing w:before="75" w:beforeAutospacing="0" w:after="75" w:afterAutospacing="0" w:line="435" w:lineRule="atLeast"/>
        <w:rPr>
          <w:color w:val="auto"/>
        </w:rPr>
      </w:pPr>
      <w:r>
        <w:rPr>
          <w:rFonts w:hint="eastAsia" w:ascii="宋体" w:hAnsi="宋体" w:eastAsia="宋体" w:cs="宋体"/>
          <w:color w:val="auto"/>
        </w:rPr>
        <w:t>  20.1.3质疑函应包括下列主要内容：</w:t>
      </w:r>
    </w:p>
    <w:p w14:paraId="79DE71EA">
      <w:pPr>
        <w:pStyle w:val="17"/>
        <w:widowControl/>
        <w:spacing w:before="75" w:beforeAutospacing="0" w:after="75" w:afterAutospacing="0" w:line="435" w:lineRule="atLeast"/>
        <w:rPr>
          <w:color w:val="auto"/>
        </w:rPr>
      </w:pPr>
      <w:r>
        <w:rPr>
          <w:rFonts w:hint="eastAsia" w:ascii="宋体" w:hAnsi="宋体" w:eastAsia="宋体" w:cs="宋体"/>
          <w:color w:val="auto"/>
        </w:rPr>
        <w:t>  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14:paraId="302B230E">
      <w:pPr>
        <w:pStyle w:val="17"/>
        <w:widowControl/>
        <w:spacing w:before="75" w:beforeAutospacing="0" w:after="75" w:afterAutospacing="0" w:line="435" w:lineRule="atLeast"/>
        <w:rPr>
          <w:color w:val="auto"/>
        </w:rPr>
      </w:pPr>
      <w:r>
        <w:rPr>
          <w:rFonts w:hint="eastAsia" w:ascii="宋体" w:hAnsi="宋体" w:eastAsia="宋体" w:cs="宋体"/>
          <w:color w:val="auto"/>
        </w:rPr>
        <w:t>  ②所质疑项目的基本信息，至少包括：项目编号、项目名称等；</w:t>
      </w:r>
    </w:p>
    <w:p w14:paraId="7EDB6BC7">
      <w:pPr>
        <w:pStyle w:val="17"/>
        <w:widowControl/>
        <w:spacing w:before="75" w:beforeAutospacing="0" w:after="75" w:afterAutospacing="0" w:line="435" w:lineRule="atLeast"/>
        <w:rPr>
          <w:rFonts w:ascii="宋体" w:hAnsi="宋体" w:eastAsia="宋体" w:cs="宋体"/>
          <w:color w:val="auto"/>
        </w:rPr>
      </w:pPr>
      <w:r>
        <w:rPr>
          <w:rFonts w:hint="eastAsia" w:ascii="宋体" w:hAnsi="宋体" w:eastAsia="宋体" w:cs="宋体"/>
          <w:color w:val="auto"/>
        </w:rPr>
        <w:t>  ③所质疑的具体事项（以下简称：“质疑事项”）；</w:t>
      </w:r>
    </w:p>
    <w:p w14:paraId="041662D5">
      <w:pPr>
        <w:pStyle w:val="17"/>
        <w:widowControl/>
        <w:spacing w:before="75" w:beforeAutospacing="0" w:after="75" w:afterAutospacing="0" w:line="435" w:lineRule="atLeast"/>
        <w:rPr>
          <w:color w:val="auto"/>
        </w:rPr>
      </w:pPr>
      <w:r>
        <w:rPr>
          <w:rFonts w:hint="eastAsia" w:ascii="宋体" w:hAnsi="宋体" w:eastAsia="宋体" w:cs="宋体"/>
          <w:color w:val="auto"/>
        </w:rPr>
        <w:t>  ④质疑人自身权益受到损害的事实依据和证明材料，至少包括：</w:t>
      </w:r>
    </w:p>
    <w:p w14:paraId="005547B8">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a1所质疑的具体事项事实存在的证明材料；</w:t>
      </w:r>
    </w:p>
    <w:p w14:paraId="41C7576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a2所质疑的具体事项事实导致质疑人自身权益受到损害的证明材料，如：采购文件、采购过程或成交结果违法违规，损害自已合法权益等证明材料；</w:t>
      </w:r>
    </w:p>
    <w:p w14:paraId="799C7346">
      <w:pPr>
        <w:pStyle w:val="17"/>
        <w:widowControl/>
        <w:spacing w:before="75" w:beforeAutospacing="0" w:after="75" w:afterAutospacing="0" w:line="435" w:lineRule="atLeast"/>
        <w:rPr>
          <w:rFonts w:ascii="宋体" w:hAnsi="宋体" w:eastAsia="宋体" w:cs="宋体"/>
          <w:color w:val="auto"/>
        </w:rPr>
      </w:pPr>
      <w:r>
        <w:rPr>
          <w:rFonts w:hint="eastAsia" w:ascii="宋体" w:hAnsi="宋体" w:eastAsia="宋体" w:cs="宋体"/>
          <w:color w:val="auto"/>
        </w:rPr>
        <w:t>   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14:paraId="1ECC7B6D">
      <w:pPr>
        <w:pStyle w:val="17"/>
        <w:widowControl/>
        <w:spacing w:before="75" w:beforeAutospacing="0" w:after="75" w:afterAutospacing="0" w:line="435" w:lineRule="atLeast"/>
        <w:rPr>
          <w:color w:val="auto"/>
        </w:rPr>
      </w:pPr>
      <w:r>
        <w:rPr>
          <w:rFonts w:hint="eastAsia" w:ascii="宋体" w:hAnsi="宋体" w:eastAsia="宋体" w:cs="宋体"/>
          <w:color w:val="auto"/>
        </w:rPr>
        <w:t>  ⑤针对质疑事项提出的明确请求和法律依据，</w:t>
      </w:r>
    </w:p>
    <w:p w14:paraId="7CB59A1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14:paraId="1435F68C">
      <w:pPr>
        <w:pStyle w:val="17"/>
        <w:widowControl/>
        <w:spacing w:before="75" w:beforeAutospacing="0" w:after="75" w:afterAutospacing="0" w:line="435" w:lineRule="atLeast"/>
        <w:rPr>
          <w:color w:val="auto"/>
        </w:rPr>
      </w:pPr>
      <w:r>
        <w:rPr>
          <w:rFonts w:hint="eastAsia" w:ascii="宋体" w:hAnsi="宋体" w:eastAsia="宋体" w:cs="宋体"/>
          <w:color w:val="auto"/>
        </w:rPr>
        <w:t>  ⑥提出质疑的日期以及质疑人代表联系方式，至少包括：姓名、手机、电子信箱、邮寄地址等。</w:t>
      </w:r>
    </w:p>
    <w:p w14:paraId="17BD3E88">
      <w:pPr>
        <w:pStyle w:val="17"/>
        <w:widowControl/>
        <w:spacing w:before="75" w:beforeAutospacing="0" w:after="75" w:afterAutospacing="0" w:line="435" w:lineRule="atLeast"/>
        <w:rPr>
          <w:color w:val="auto"/>
        </w:rPr>
      </w:pPr>
      <w:r>
        <w:rPr>
          <w:rFonts w:hint="eastAsia" w:ascii="宋体" w:hAnsi="宋体" w:eastAsia="宋体" w:cs="宋体"/>
          <w:color w:val="auto"/>
        </w:rPr>
        <w:t>  20.2对不符合前文第20.1条规定的质疑，采购人或采购代理机构将按照下列规定进行处理：</w:t>
      </w:r>
    </w:p>
    <w:p w14:paraId="473CDF1D">
      <w:pPr>
        <w:pStyle w:val="17"/>
        <w:widowControl/>
        <w:spacing w:before="75" w:beforeAutospacing="0" w:after="75" w:afterAutospacing="0" w:line="435" w:lineRule="atLeast"/>
        <w:rPr>
          <w:rFonts w:ascii="宋体" w:hAnsi="宋体" w:eastAsia="宋体" w:cs="宋体"/>
          <w:color w:val="auto"/>
        </w:rPr>
      </w:pPr>
      <w:r>
        <w:rPr>
          <w:rFonts w:hint="eastAsia" w:ascii="宋体" w:hAnsi="宋体" w:eastAsia="宋体" w:cs="宋体"/>
          <w:color w:val="auto"/>
        </w:rPr>
        <w:t>  20.2.1超过质疑时效提交的或者质疑人不是直接参与所质疑项目采购活动的供应商，书面告知质疑人其质疑不成立的原因和理由。</w:t>
      </w:r>
    </w:p>
    <w:p w14:paraId="2D44D735">
      <w:pPr>
        <w:pStyle w:val="17"/>
        <w:widowControl/>
        <w:spacing w:before="75" w:beforeAutospacing="0" w:after="75" w:afterAutospacing="0" w:line="435" w:lineRule="atLeast"/>
        <w:rPr>
          <w:color w:val="auto"/>
        </w:rPr>
      </w:pPr>
      <w:r>
        <w:rPr>
          <w:rFonts w:hint="eastAsia" w:ascii="宋体" w:hAnsi="宋体" w:eastAsia="宋体" w:cs="宋体"/>
          <w:color w:val="auto"/>
        </w:rPr>
        <w:t>  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14:paraId="18A805C3">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20.2.3质疑人修改、补充质疑函超过质疑时效提交的按20.2.1款处理。供应商提交质疑函时，要认真阅读本章第20条关于质疑的相关规定，以免内容或资料不齐，需要修改补充而延误时间。</w:t>
      </w:r>
    </w:p>
    <w:p w14:paraId="2CCAD54B">
      <w:pPr>
        <w:pStyle w:val="17"/>
        <w:widowControl/>
        <w:spacing w:before="75" w:beforeAutospacing="0" w:after="75" w:afterAutospacing="0" w:line="435" w:lineRule="atLeast"/>
        <w:rPr>
          <w:color w:val="auto"/>
        </w:rPr>
      </w:pPr>
      <w:r>
        <w:rPr>
          <w:rFonts w:hint="eastAsia" w:ascii="宋体" w:hAnsi="宋体" w:eastAsia="宋体" w:cs="宋体"/>
          <w:color w:val="auto"/>
        </w:rPr>
        <w:t>  20.3对符合前文第20.1条规定的质疑，采购人或采购代理机构将按照政府采购法及实施条例的有关规定进行答复。</w:t>
      </w:r>
    </w:p>
    <w:p w14:paraId="63C51F0D">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21.投诉</w:t>
      </w:r>
    </w:p>
    <w:p w14:paraId="5A78FCD5">
      <w:pPr>
        <w:pStyle w:val="17"/>
        <w:widowControl/>
        <w:spacing w:before="75" w:beforeAutospacing="0" w:after="75" w:afterAutospacing="0" w:line="435" w:lineRule="atLeast"/>
        <w:rPr>
          <w:color w:val="auto"/>
        </w:rPr>
      </w:pPr>
      <w:r>
        <w:rPr>
          <w:rFonts w:hint="eastAsia" w:ascii="宋体" w:hAnsi="宋体" w:eastAsia="宋体" w:cs="宋体"/>
          <w:color w:val="auto"/>
        </w:rPr>
        <w:t>  21.1若对质疑答复不满意或质疑答复未在答复期限内作出，质疑人可在答复期限届满之日起15个工作日内向磋商文件中载明的监督管理部门投诉。</w:t>
      </w:r>
    </w:p>
    <w:p w14:paraId="7BFD2F6B">
      <w:pPr>
        <w:pStyle w:val="17"/>
        <w:widowControl/>
        <w:spacing w:before="75" w:beforeAutospacing="0" w:after="75" w:afterAutospacing="0" w:line="435" w:lineRule="atLeast"/>
        <w:rPr>
          <w:color w:val="auto"/>
        </w:rPr>
      </w:pPr>
      <w:r>
        <w:rPr>
          <w:rFonts w:hint="eastAsia" w:ascii="宋体" w:hAnsi="宋体" w:eastAsia="宋体" w:cs="宋体"/>
          <w:color w:val="auto"/>
        </w:rPr>
        <w:t>  21.2投诉应有明确的请求和必要的证明材料，投诉的事项不得超出已质疑事项的范围。</w:t>
      </w:r>
    </w:p>
    <w:p w14:paraId="662325B7">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1E6FADD3">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七、有关信息公告和监督部门</w:t>
      </w:r>
    </w:p>
    <w:p w14:paraId="74C431F4">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 </w:t>
      </w:r>
    </w:p>
    <w:p w14:paraId="24783D4D">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22.政府采购信息公告媒体</w:t>
      </w:r>
    </w:p>
    <w:p w14:paraId="6F2C477C">
      <w:pPr>
        <w:pStyle w:val="17"/>
        <w:widowControl/>
        <w:spacing w:before="75" w:beforeAutospacing="0" w:after="75" w:afterAutospacing="0" w:line="435" w:lineRule="atLeast"/>
        <w:rPr>
          <w:color w:val="auto"/>
        </w:rPr>
      </w:pPr>
      <w:r>
        <w:rPr>
          <w:rFonts w:hint="eastAsia" w:ascii="宋体" w:hAnsi="宋体" w:eastAsia="宋体" w:cs="宋体"/>
          <w:color w:val="auto"/>
        </w:rPr>
        <w:t>  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14:paraId="064C4132">
      <w:pPr>
        <w:pStyle w:val="17"/>
        <w:widowControl/>
        <w:spacing w:before="75" w:beforeAutospacing="0" w:after="75" w:afterAutospacing="0" w:line="435" w:lineRule="atLeast"/>
        <w:rPr>
          <w:color w:val="auto"/>
        </w:rPr>
      </w:pPr>
      <w:r>
        <w:rPr>
          <w:rFonts w:hint="eastAsia" w:ascii="宋体" w:hAnsi="宋体" w:eastAsia="宋体" w:cs="宋体"/>
          <w:color w:val="auto"/>
        </w:rPr>
        <w:t>  22.2信息公告指定媒体：详见竞争性磋商须知前附表第</w:t>
      </w:r>
      <w:r>
        <w:rPr>
          <w:rFonts w:hint="eastAsia" w:ascii="宋体" w:hAnsi="宋体" w:eastAsia="宋体" w:cs="宋体"/>
          <w:color w:val="auto"/>
          <w:u w:val="single"/>
        </w:rPr>
        <w:t>11</w:t>
      </w:r>
      <w:r>
        <w:rPr>
          <w:rFonts w:hint="eastAsia" w:ascii="宋体" w:hAnsi="宋体" w:eastAsia="宋体" w:cs="宋体"/>
          <w:color w:val="auto"/>
        </w:rPr>
        <w:t>项。</w:t>
      </w:r>
    </w:p>
    <w:p w14:paraId="2AC46764">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23.监督管理部门</w:t>
      </w:r>
    </w:p>
    <w:p w14:paraId="38E7C70C">
      <w:pPr>
        <w:pStyle w:val="17"/>
        <w:widowControl/>
        <w:spacing w:before="75" w:beforeAutospacing="0" w:after="75" w:afterAutospacing="0" w:line="435" w:lineRule="atLeast"/>
        <w:rPr>
          <w:color w:val="auto"/>
        </w:rPr>
      </w:pPr>
      <w:r>
        <w:rPr>
          <w:rFonts w:hint="eastAsia" w:ascii="宋体" w:hAnsi="宋体" w:eastAsia="宋体" w:cs="宋体"/>
          <w:color w:val="auto"/>
        </w:rPr>
        <w:t>  23.1磋商采购活动的监督管理部门详见竞争性磋商须知前附表第</w:t>
      </w:r>
      <w:r>
        <w:rPr>
          <w:rFonts w:hint="eastAsia" w:ascii="宋体" w:hAnsi="宋体" w:eastAsia="宋体" w:cs="宋体"/>
          <w:color w:val="auto"/>
          <w:u w:val="single"/>
        </w:rPr>
        <w:t>12</w:t>
      </w:r>
      <w:r>
        <w:rPr>
          <w:rFonts w:hint="eastAsia" w:ascii="宋体" w:hAnsi="宋体" w:eastAsia="宋体" w:cs="宋体"/>
          <w:color w:val="auto"/>
        </w:rPr>
        <w:t>项。</w:t>
      </w:r>
    </w:p>
    <w:p w14:paraId="423AC06E">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 </w:t>
      </w:r>
    </w:p>
    <w:p w14:paraId="35C9F47C">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八、根据采购项目特点或政策需要补充的其他内容</w:t>
      </w:r>
    </w:p>
    <w:p w14:paraId="6C125912">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2FBB23B3">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24.履约保证金</w:t>
      </w:r>
    </w:p>
    <w:p w14:paraId="2E098B27">
      <w:pPr>
        <w:pStyle w:val="17"/>
        <w:widowControl/>
        <w:spacing w:before="75" w:beforeAutospacing="0" w:after="75" w:afterAutospacing="0" w:line="435" w:lineRule="atLeast"/>
        <w:rPr>
          <w:color w:val="auto"/>
        </w:rPr>
      </w:pPr>
      <w:r>
        <w:rPr>
          <w:rFonts w:hint="eastAsia" w:ascii="宋体" w:hAnsi="宋体" w:eastAsia="宋体" w:cs="宋体"/>
          <w:color w:val="auto"/>
        </w:rPr>
        <w:t> 24.1采购人可以根据项目特点和需要，确定是否要求成交供应商在合同签订前，按照磋商文件规定的时间、形式、金额提交履约保证金，履约保证金的数额不超过中标合同金额的10%，具体详见磋商须知前附表第</w:t>
      </w:r>
      <w:r>
        <w:rPr>
          <w:rFonts w:hint="eastAsia" w:ascii="宋体" w:hAnsi="宋体" w:eastAsia="宋体" w:cs="宋体"/>
          <w:color w:val="auto"/>
          <w:u w:val="single"/>
        </w:rPr>
        <w:t>13</w:t>
      </w:r>
      <w:r>
        <w:rPr>
          <w:rFonts w:hint="eastAsia" w:ascii="宋体" w:hAnsi="宋体" w:eastAsia="宋体" w:cs="宋体"/>
          <w:color w:val="auto"/>
        </w:rPr>
        <w:t>项规定。</w:t>
      </w:r>
    </w:p>
    <w:p w14:paraId="180A6F4B">
      <w:pPr>
        <w:pStyle w:val="17"/>
        <w:widowControl/>
        <w:spacing w:before="75" w:beforeAutospacing="0" w:after="75" w:afterAutospacing="0" w:line="435" w:lineRule="atLeast"/>
        <w:rPr>
          <w:color w:val="auto"/>
        </w:rPr>
      </w:pPr>
      <w:r>
        <w:rPr>
          <w:rFonts w:hint="eastAsia" w:ascii="宋体" w:hAnsi="宋体" w:eastAsia="宋体" w:cs="宋体"/>
          <w:color w:val="auto"/>
        </w:rPr>
        <w:t> 24.2磋商文件要求在合同签订前提交履约保证金，如果成交供应商无故拖延或者拒不提交履约保证金的，则视为成交供应商拒绝与采购人签订合同，该成交供应商将承担违法行为的法律责任。</w:t>
      </w:r>
    </w:p>
    <w:p w14:paraId="24D1930D">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25.其他新增内容：</w:t>
      </w:r>
    </w:p>
    <w:p w14:paraId="501AD728">
      <w:pPr>
        <w:pStyle w:val="17"/>
        <w:widowControl/>
        <w:spacing w:before="75" w:beforeAutospacing="0" w:after="75" w:afterAutospacing="0" w:line="435" w:lineRule="atLeast"/>
        <w:rPr>
          <w:color w:val="auto"/>
        </w:rPr>
      </w:pPr>
      <w:r>
        <w:rPr>
          <w:rFonts w:hint="eastAsia" w:ascii="宋体" w:hAnsi="宋体" w:eastAsia="宋体" w:cs="宋体"/>
          <w:color w:val="auto"/>
        </w:rPr>
        <w:t>    根据采购项目特点或政策需要补充的其他新增内容详见竞争性磋商须知前附表第</w:t>
      </w:r>
      <w:r>
        <w:rPr>
          <w:rFonts w:hint="eastAsia" w:ascii="宋体" w:hAnsi="宋体" w:eastAsia="宋体" w:cs="宋体"/>
          <w:color w:val="auto"/>
          <w:u w:val="single"/>
        </w:rPr>
        <w:t>14</w:t>
      </w:r>
      <w:r>
        <w:rPr>
          <w:rFonts w:hint="eastAsia" w:ascii="宋体" w:hAnsi="宋体" w:eastAsia="宋体" w:cs="宋体"/>
          <w:color w:val="auto"/>
        </w:rPr>
        <w:t>项。</w:t>
      </w:r>
    </w:p>
    <w:p w14:paraId="71C1931C">
      <w:pPr>
        <w:rPr>
          <w:rStyle w:val="26"/>
          <w:rFonts w:ascii="宋体" w:hAnsi="宋体" w:eastAsia="宋体" w:cs="宋体"/>
          <w:bCs/>
          <w:color w:val="auto"/>
          <w:sz w:val="36"/>
          <w:szCs w:val="36"/>
        </w:rPr>
      </w:pPr>
      <w:r>
        <w:rPr>
          <w:rStyle w:val="26"/>
          <w:rFonts w:hint="eastAsia" w:ascii="宋体" w:hAnsi="宋体" w:eastAsia="宋体" w:cs="宋体"/>
          <w:bCs/>
          <w:color w:val="auto"/>
          <w:sz w:val="36"/>
          <w:szCs w:val="36"/>
        </w:rPr>
        <w:br w:type="page"/>
      </w:r>
    </w:p>
    <w:p w14:paraId="1B4BA7B9">
      <w:pPr>
        <w:pStyle w:val="17"/>
        <w:widowControl/>
        <w:spacing w:before="75" w:beforeAutospacing="0" w:after="75" w:afterAutospacing="0"/>
        <w:jc w:val="center"/>
        <w:rPr>
          <w:color w:val="auto"/>
        </w:rPr>
      </w:pPr>
      <w:r>
        <w:rPr>
          <w:rStyle w:val="26"/>
          <w:rFonts w:hint="eastAsia" w:ascii="宋体" w:hAnsi="宋体" w:eastAsia="宋体" w:cs="宋体"/>
          <w:bCs/>
          <w:color w:val="auto"/>
          <w:sz w:val="36"/>
          <w:szCs w:val="36"/>
        </w:rPr>
        <w:t>第三章  采购内容及要求</w:t>
      </w:r>
    </w:p>
    <w:p w14:paraId="429CDAC6">
      <w:pPr>
        <w:numPr>
          <w:ilvl w:val="0"/>
          <w:numId w:val="4"/>
        </w:numPr>
        <w:spacing w:beforeLines="50" w:afterLines="50" w:line="380" w:lineRule="exact"/>
        <w:ind w:left="210" w:leftChars="0" w:firstLineChars="0"/>
        <w:rPr>
          <w:rFonts w:ascii="宋体" w:hAnsi="宋体" w:cs="宋体"/>
          <w:b/>
          <w:color w:val="auto"/>
          <w:sz w:val="24"/>
        </w:rPr>
      </w:pPr>
      <w:r>
        <w:rPr>
          <w:rFonts w:hint="eastAsia" w:ascii="宋体" w:hAnsi="宋体" w:cs="宋体"/>
          <w:b/>
          <w:color w:val="auto"/>
          <w:sz w:val="24"/>
        </w:rPr>
        <w:t>项目概述</w:t>
      </w:r>
    </w:p>
    <w:p w14:paraId="7736CA64">
      <w:pPr>
        <w:pStyle w:val="37"/>
        <w:keepNext w:val="0"/>
        <w:keepLines w:val="0"/>
        <w:pageBreakBefore w:val="0"/>
        <w:widowControl/>
        <w:kinsoku/>
        <w:wordWrap/>
        <w:overflowPunct/>
        <w:topLinePunct w:val="0"/>
        <w:autoSpaceDE/>
        <w:autoSpaceDN/>
        <w:bidi w:val="0"/>
        <w:adjustRightInd/>
        <w:snapToGrid/>
        <w:spacing w:line="400" w:lineRule="exact"/>
        <w:ind w:firstLine="482"/>
        <w:jc w:val="both"/>
        <w:textAlignment w:val="auto"/>
        <w:rPr>
          <w:b w:val="0"/>
          <w:bCs/>
          <w:color w:val="auto"/>
          <w:sz w:val="24"/>
          <w:szCs w:val="24"/>
        </w:rPr>
      </w:pPr>
      <w:bookmarkStart w:id="13" w:name="OLE_LINK2"/>
      <w:bookmarkEnd w:id="13"/>
      <w:bookmarkStart w:id="14" w:name="OLE_LINK4"/>
      <w:bookmarkEnd w:id="14"/>
      <w:bookmarkStart w:id="15" w:name="OLE_LINK3"/>
      <w:bookmarkEnd w:id="15"/>
      <w:bookmarkStart w:id="16" w:name="OLE_LINK1"/>
      <w:bookmarkEnd w:id="16"/>
      <w:r>
        <w:rPr>
          <w:rFonts w:ascii="宋体" w:hAnsi="宋体" w:eastAsia="宋体" w:cs="宋体"/>
          <w:b w:val="0"/>
          <w:bCs/>
          <w:color w:val="auto"/>
          <w:sz w:val="24"/>
          <w:szCs w:val="24"/>
        </w:rPr>
        <w:t>1、本项目为</w:t>
      </w:r>
      <w:r>
        <w:rPr>
          <w:rFonts w:hint="eastAsia" w:ascii="宋体" w:hAnsi="宋体" w:eastAsia="宋体" w:cs="宋体"/>
          <w:b w:val="0"/>
          <w:bCs/>
          <w:color w:val="auto"/>
          <w:sz w:val="24"/>
          <w:szCs w:val="24"/>
          <w:lang w:eastAsia="zh-CN"/>
        </w:rPr>
        <w:t>福建省翔安监狱二层高压电网工程项目</w:t>
      </w:r>
      <w:r>
        <w:rPr>
          <w:rFonts w:ascii="宋体" w:hAnsi="宋体" w:eastAsia="宋体" w:cs="宋体"/>
          <w:b w:val="0"/>
          <w:bCs/>
          <w:color w:val="auto"/>
          <w:sz w:val="24"/>
          <w:szCs w:val="24"/>
        </w:rPr>
        <w:t>。</w:t>
      </w:r>
      <w:r>
        <w:rPr>
          <w:rFonts w:hint="eastAsia" w:ascii="宋体" w:hAnsi="宋体" w:eastAsia="宋体" w:cs="宋体"/>
          <w:b w:val="0"/>
          <w:bCs/>
          <w:color w:val="auto"/>
          <w:sz w:val="24"/>
          <w:szCs w:val="24"/>
          <w:lang w:eastAsia="zh-CN"/>
        </w:rPr>
        <w:t>供应商</w:t>
      </w:r>
      <w:r>
        <w:rPr>
          <w:rFonts w:ascii="宋体" w:hAnsi="宋体" w:eastAsia="宋体" w:cs="宋体"/>
          <w:b w:val="0"/>
          <w:bCs/>
          <w:color w:val="auto"/>
          <w:sz w:val="24"/>
          <w:szCs w:val="24"/>
        </w:rPr>
        <w:t>需保证所提供的货物是全新的、未使用过的原装设备，在各个方面符合规定的质量、规格和性能要求。保证货物经过正确安装、合理操作和维护保养，在货物寿命期内运转良好。</w:t>
      </w:r>
    </w:p>
    <w:p w14:paraId="377E4BE5">
      <w:pPr>
        <w:pStyle w:val="37"/>
        <w:keepNext w:val="0"/>
        <w:keepLines w:val="0"/>
        <w:pageBreakBefore w:val="0"/>
        <w:widowControl/>
        <w:kinsoku/>
        <w:wordWrap/>
        <w:overflowPunct/>
        <w:topLinePunct w:val="0"/>
        <w:autoSpaceDE/>
        <w:autoSpaceDN/>
        <w:bidi w:val="0"/>
        <w:adjustRightInd/>
        <w:snapToGrid/>
        <w:spacing w:line="400" w:lineRule="exact"/>
        <w:ind w:firstLine="482"/>
        <w:jc w:val="both"/>
        <w:textAlignment w:val="auto"/>
        <w:rPr>
          <w:b w:val="0"/>
          <w:bCs/>
          <w:color w:val="auto"/>
          <w:sz w:val="24"/>
          <w:szCs w:val="24"/>
        </w:rPr>
      </w:pPr>
      <w:r>
        <w:rPr>
          <w:rFonts w:ascii="宋体" w:hAnsi="宋体" w:eastAsia="宋体" w:cs="宋体"/>
          <w:b w:val="0"/>
          <w:bCs/>
          <w:color w:val="auto"/>
          <w:sz w:val="24"/>
          <w:szCs w:val="24"/>
        </w:rPr>
        <w:t>2、本项目的最高限价为</w:t>
      </w:r>
      <w:r>
        <w:rPr>
          <w:rFonts w:hint="eastAsia" w:ascii="宋体" w:hAnsi="宋体" w:eastAsia="宋体" w:cs="宋体"/>
          <w:b w:val="0"/>
          <w:bCs/>
          <w:color w:val="auto"/>
          <w:sz w:val="24"/>
          <w:szCs w:val="24"/>
          <w:lang w:eastAsia="zh-CN"/>
        </w:rPr>
        <w:t>809190.47</w:t>
      </w:r>
      <w:r>
        <w:rPr>
          <w:rFonts w:ascii="宋体" w:hAnsi="宋体" w:eastAsia="宋体" w:cs="宋体"/>
          <w:b w:val="0"/>
          <w:bCs/>
          <w:color w:val="auto"/>
          <w:sz w:val="24"/>
          <w:szCs w:val="24"/>
        </w:rPr>
        <w:t>元，</w:t>
      </w:r>
      <w:r>
        <w:rPr>
          <w:rFonts w:hint="eastAsia" w:ascii="宋体" w:hAnsi="宋体" w:eastAsia="宋体" w:cs="宋体"/>
          <w:b w:val="0"/>
          <w:bCs/>
          <w:color w:val="auto"/>
          <w:sz w:val="24"/>
          <w:szCs w:val="24"/>
          <w:lang w:eastAsia="zh-CN"/>
        </w:rPr>
        <w:t>供应商</w:t>
      </w:r>
      <w:r>
        <w:rPr>
          <w:rFonts w:ascii="宋体" w:hAnsi="宋体" w:eastAsia="宋体" w:cs="宋体"/>
          <w:b w:val="0"/>
          <w:bCs/>
          <w:color w:val="auto"/>
          <w:sz w:val="24"/>
          <w:szCs w:val="24"/>
        </w:rPr>
        <w:t>应以包括有关本项目的所有费用进行报价，应包括产品所应配附属配件以及产品制造、运输、保险、安装、施工、调试、保修、技术服务等费用。</w:t>
      </w:r>
    </w:p>
    <w:p w14:paraId="441043B5">
      <w:pPr>
        <w:pStyle w:val="37"/>
        <w:keepNext w:val="0"/>
        <w:keepLines w:val="0"/>
        <w:pageBreakBefore w:val="0"/>
        <w:widowControl/>
        <w:kinsoku/>
        <w:wordWrap/>
        <w:overflowPunct/>
        <w:topLinePunct w:val="0"/>
        <w:autoSpaceDE/>
        <w:autoSpaceDN/>
        <w:bidi w:val="0"/>
        <w:adjustRightInd/>
        <w:snapToGrid/>
        <w:spacing w:line="400" w:lineRule="exact"/>
        <w:ind w:firstLine="482"/>
        <w:jc w:val="both"/>
        <w:textAlignment w:val="auto"/>
        <w:rPr>
          <w:rFonts w:ascii="宋体" w:hAnsi="宋体" w:eastAsia="宋体" w:cs="宋体"/>
          <w:b/>
          <w:bCs w:val="0"/>
          <w:color w:val="auto"/>
          <w:sz w:val="24"/>
          <w:szCs w:val="24"/>
        </w:rPr>
      </w:pPr>
      <w:r>
        <w:rPr>
          <w:rFonts w:ascii="宋体" w:hAnsi="宋体" w:eastAsia="宋体" w:cs="宋体"/>
          <w:b/>
          <w:bCs w:val="0"/>
          <w:color w:val="auto"/>
          <w:sz w:val="24"/>
          <w:szCs w:val="24"/>
        </w:rPr>
        <w:t>3、</w:t>
      </w:r>
      <w:r>
        <w:rPr>
          <w:rFonts w:hint="eastAsia" w:ascii="宋体" w:hAnsi="宋体" w:eastAsia="宋体" w:cs="宋体"/>
          <w:b/>
          <w:bCs w:val="0"/>
          <w:color w:val="auto"/>
          <w:sz w:val="24"/>
          <w:szCs w:val="24"/>
          <w:lang w:eastAsia="zh-CN"/>
        </w:rPr>
        <w:t>供应商</w:t>
      </w:r>
      <w:r>
        <w:rPr>
          <w:rFonts w:ascii="宋体" w:hAnsi="宋体" w:eastAsia="宋体" w:cs="宋体"/>
          <w:b/>
          <w:bCs w:val="0"/>
          <w:color w:val="auto"/>
          <w:sz w:val="24"/>
          <w:szCs w:val="24"/>
        </w:rPr>
        <w:t>应以包括有关本项目产生的原有设备及线路的拆除（且原有设备及线路拆除后按采购人要求放置在指定位置）、周界管道、钢芯铝绞线、镀锌支架、高压线、电源线、主干电缆、金属桥架、避雷器等费用。</w:t>
      </w:r>
    </w:p>
    <w:p w14:paraId="0F325248">
      <w:pPr>
        <w:pStyle w:val="37"/>
        <w:keepNext w:val="0"/>
        <w:keepLines w:val="0"/>
        <w:pageBreakBefore w:val="0"/>
        <w:widowControl/>
        <w:kinsoku/>
        <w:wordWrap/>
        <w:overflowPunct/>
        <w:topLinePunct w:val="0"/>
        <w:autoSpaceDE/>
        <w:autoSpaceDN/>
        <w:bidi w:val="0"/>
        <w:adjustRightInd/>
        <w:snapToGrid/>
        <w:spacing w:line="400" w:lineRule="exact"/>
        <w:ind w:firstLine="482"/>
        <w:jc w:val="both"/>
        <w:textAlignment w:val="auto"/>
        <w:rPr>
          <w:b w:val="0"/>
          <w:bCs/>
          <w:color w:val="auto"/>
          <w:sz w:val="24"/>
          <w:szCs w:val="24"/>
        </w:rPr>
      </w:pPr>
      <w:r>
        <w:rPr>
          <w:rFonts w:hint="eastAsia" w:ascii="宋体" w:hAnsi="宋体" w:eastAsia="宋体" w:cs="宋体"/>
          <w:b w:val="0"/>
          <w:bCs/>
          <w:color w:val="auto"/>
          <w:sz w:val="24"/>
          <w:szCs w:val="24"/>
          <w:lang w:val="en-US" w:eastAsia="zh-CN"/>
        </w:rPr>
        <w:t>4</w:t>
      </w:r>
      <w:r>
        <w:rPr>
          <w:rFonts w:ascii="宋体" w:hAnsi="宋体" w:eastAsia="宋体" w:cs="宋体"/>
          <w:b w:val="0"/>
          <w:bCs/>
          <w:color w:val="auto"/>
          <w:sz w:val="24"/>
          <w:szCs w:val="24"/>
        </w:rPr>
        <w:t>、本项目工程内容如因场地原因</w:t>
      </w:r>
      <w:r>
        <w:rPr>
          <w:rFonts w:hint="eastAsia" w:ascii="宋体" w:hAnsi="宋体" w:eastAsia="宋体" w:cs="宋体"/>
          <w:b w:val="0"/>
          <w:bCs/>
          <w:color w:val="auto"/>
          <w:sz w:val="24"/>
          <w:szCs w:val="24"/>
          <w:lang w:eastAsia="zh-CN"/>
        </w:rPr>
        <w:t>或者监管安全、功能</w:t>
      </w:r>
      <w:r>
        <w:rPr>
          <w:rFonts w:ascii="宋体" w:hAnsi="宋体" w:eastAsia="宋体" w:cs="宋体"/>
          <w:b w:val="0"/>
          <w:bCs/>
          <w:color w:val="auto"/>
          <w:sz w:val="24"/>
          <w:szCs w:val="24"/>
        </w:rPr>
        <w:t>需要调整的，以实际施工量为准，进行结算。本项目的《工程量清单》、《控制价文件》、图纸等详见</w:t>
      </w:r>
      <w:r>
        <w:rPr>
          <w:rFonts w:hint="eastAsia" w:ascii="宋体" w:hAnsi="宋体" w:eastAsia="宋体" w:cs="宋体"/>
          <w:b w:val="0"/>
          <w:bCs/>
          <w:color w:val="auto"/>
          <w:sz w:val="24"/>
          <w:szCs w:val="24"/>
          <w:lang w:val="en-US" w:eastAsia="zh-CN"/>
        </w:rPr>
        <w:t>竞争性磋商</w:t>
      </w:r>
      <w:r>
        <w:rPr>
          <w:rFonts w:ascii="宋体" w:hAnsi="宋体" w:eastAsia="宋体" w:cs="宋体"/>
          <w:b w:val="0"/>
          <w:bCs/>
          <w:color w:val="auto"/>
          <w:sz w:val="24"/>
          <w:szCs w:val="24"/>
        </w:rPr>
        <w:t>文件相关附件；若图纸与《工程量清单》内容冲突时，需经采购人确认，以有利于项目执行为原则进行调整；若《工程量清单》中关于设备的“项目特征描述”与</w:t>
      </w:r>
      <w:r>
        <w:rPr>
          <w:rFonts w:hint="eastAsia" w:ascii="宋体" w:hAnsi="宋体" w:eastAsia="宋体" w:cs="宋体"/>
          <w:b w:val="0"/>
          <w:bCs/>
          <w:color w:val="auto"/>
          <w:sz w:val="24"/>
          <w:szCs w:val="24"/>
          <w:lang w:val="en-US" w:eastAsia="zh-CN"/>
        </w:rPr>
        <w:t>竞争性磋商</w:t>
      </w:r>
      <w:r>
        <w:rPr>
          <w:rFonts w:ascii="宋体" w:hAnsi="宋体" w:eastAsia="宋体" w:cs="宋体"/>
          <w:b w:val="0"/>
          <w:bCs/>
          <w:color w:val="auto"/>
          <w:sz w:val="24"/>
          <w:szCs w:val="24"/>
        </w:rPr>
        <w:t>文件设备参数不一致的，以</w:t>
      </w:r>
      <w:r>
        <w:rPr>
          <w:rFonts w:hint="eastAsia" w:ascii="宋体" w:hAnsi="宋体" w:eastAsia="宋体" w:cs="宋体"/>
          <w:b w:val="0"/>
          <w:bCs/>
          <w:color w:val="auto"/>
          <w:sz w:val="24"/>
          <w:szCs w:val="24"/>
          <w:lang w:val="en-US" w:eastAsia="zh-CN"/>
        </w:rPr>
        <w:t>竞争性磋商</w:t>
      </w:r>
      <w:r>
        <w:rPr>
          <w:rFonts w:ascii="宋体" w:hAnsi="宋体" w:eastAsia="宋体" w:cs="宋体"/>
          <w:b w:val="0"/>
          <w:bCs/>
          <w:color w:val="auto"/>
          <w:sz w:val="24"/>
          <w:szCs w:val="24"/>
        </w:rPr>
        <w:t>文件为准。</w:t>
      </w:r>
    </w:p>
    <w:p w14:paraId="5641B7D7">
      <w:pPr>
        <w:pageBreakBefore w:val="0"/>
        <w:widowControl/>
        <w:kinsoku/>
        <w:wordWrap/>
        <w:overflowPunct/>
        <w:topLinePunct w:val="0"/>
        <w:autoSpaceDE/>
        <w:autoSpaceDN/>
        <w:bidi w:val="0"/>
        <w:spacing w:line="400" w:lineRule="exact"/>
        <w:ind w:firstLine="480" w:firstLineChars="200"/>
        <w:textAlignment w:val="auto"/>
        <w:rPr>
          <w:rFonts w:hint="eastAsia" w:ascii="宋体" w:hAnsi="宋体" w:eastAsia="宋体" w:cs="宋体"/>
          <w:b/>
          <w:bCs/>
          <w:color w:val="auto"/>
          <w:sz w:val="24"/>
          <w:szCs w:val="24"/>
          <w:highlight w:val="none"/>
          <w:shd w:val="clear" w:color="auto" w:fill="FFFFFF"/>
          <w:lang w:eastAsia="zh-CN"/>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bCs/>
          <w:color w:val="auto"/>
          <w:sz w:val="24"/>
          <w:szCs w:val="24"/>
          <w:highlight w:val="none"/>
          <w:shd w:val="clear" w:color="auto" w:fill="FFFFFF"/>
          <w:lang w:eastAsia="zh-CN"/>
        </w:rPr>
        <w:t>监狱属于特殊场所，施工时段及施工方式受限（每日有效施工时间约为6-7小时，女性施工人员无法进入监管区域内），供应商报价时应综合考虑用工成本。</w:t>
      </w:r>
    </w:p>
    <w:p w14:paraId="672744C3">
      <w:pPr>
        <w:pageBreakBefore w:val="0"/>
        <w:widowControl/>
        <w:kinsoku/>
        <w:wordWrap/>
        <w:overflowPunct/>
        <w:topLinePunct w:val="0"/>
        <w:autoSpaceDE/>
        <w:autoSpaceDN/>
        <w:bidi w:val="0"/>
        <w:spacing w:line="40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highlight w:val="none"/>
          <w:shd w:val="clear" w:color="auto" w:fill="FFFFFF"/>
          <w:lang w:val="en-US" w:eastAsia="zh-CN"/>
        </w:rPr>
        <w:t>6、</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进入</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监管区的工作人员必须遵守</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的工作制度和监管安全规定</w:t>
      </w:r>
      <w:r>
        <w:rPr>
          <w:rFonts w:hint="eastAsia" w:ascii="宋体" w:hAnsi="宋体" w:eastAsia="宋体" w:cs="宋体"/>
          <w:color w:val="auto"/>
          <w:sz w:val="24"/>
          <w:szCs w:val="24"/>
          <w:lang w:eastAsia="zh-CN"/>
        </w:rPr>
        <w:t>、保密规定</w:t>
      </w:r>
      <w:r>
        <w:rPr>
          <w:rFonts w:hint="eastAsia" w:ascii="宋体" w:hAnsi="宋体" w:eastAsia="宋体" w:cs="宋体"/>
          <w:color w:val="auto"/>
          <w:sz w:val="24"/>
          <w:szCs w:val="24"/>
        </w:rPr>
        <w:t>，服从</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人员的指挥，不得</w:t>
      </w:r>
      <w:r>
        <w:rPr>
          <w:rFonts w:hint="eastAsia" w:ascii="宋体" w:hAnsi="宋体" w:eastAsia="宋体" w:cs="宋体"/>
          <w:color w:val="auto"/>
          <w:sz w:val="24"/>
          <w:szCs w:val="24"/>
          <w:lang w:eastAsia="zh-CN"/>
        </w:rPr>
        <w:t>泄密</w:t>
      </w:r>
      <w:r>
        <w:rPr>
          <w:rFonts w:hint="eastAsia" w:ascii="宋体" w:hAnsi="宋体" w:eastAsia="宋体" w:cs="宋体"/>
          <w:color w:val="auto"/>
          <w:sz w:val="24"/>
          <w:szCs w:val="24"/>
        </w:rPr>
        <w:t>。</w:t>
      </w:r>
    </w:p>
    <w:p w14:paraId="3FE9B80E">
      <w:pPr>
        <w:numPr>
          <w:ilvl w:val="0"/>
          <w:numId w:val="4"/>
        </w:numPr>
        <w:spacing w:beforeLines="50" w:afterLines="50" w:line="380" w:lineRule="exact"/>
        <w:ind w:left="210" w:leftChars="0" w:firstLineChars="0"/>
        <w:rPr>
          <w:rFonts w:ascii="宋体" w:hAnsi="宋体" w:cs="宋体"/>
          <w:b/>
          <w:color w:val="auto"/>
          <w:sz w:val="24"/>
        </w:rPr>
      </w:pPr>
      <w:bookmarkStart w:id="17" w:name="OLE_LINK8"/>
      <w:bookmarkEnd w:id="17"/>
      <w:bookmarkStart w:id="18" w:name="OLE_LINK7"/>
      <w:bookmarkEnd w:id="18"/>
      <w:r>
        <w:rPr>
          <w:rFonts w:hint="eastAsia" w:ascii="宋体" w:hAnsi="宋体" w:cs="宋体"/>
          <w:b/>
          <w:color w:val="auto"/>
          <w:sz w:val="24"/>
        </w:rPr>
        <w:t>技术要求（以“★”标示的内容为不允许负偏离的实质性要求）</w:t>
      </w:r>
    </w:p>
    <w:p w14:paraId="7C7A467A">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bookmarkStart w:id="19" w:name="_Toc156419478"/>
      <w:bookmarkEnd w:id="19"/>
      <w:r>
        <w:rPr>
          <w:rFonts w:hint="eastAsia" w:ascii="宋体" w:hAnsi="宋体" w:eastAsia="宋体" w:cs="宋体"/>
          <w:b w:val="0"/>
          <w:bCs w:val="0"/>
          <w:color w:val="auto"/>
          <w:sz w:val="24"/>
          <w:szCs w:val="24"/>
          <w:lang w:val="en-US" w:eastAsia="zh-CN"/>
        </w:rPr>
        <w:t>★</w:t>
      </w:r>
      <w:bookmarkStart w:id="20" w:name="OLE_LINK25"/>
      <w:r>
        <w:rPr>
          <w:rFonts w:hint="eastAsia" w:ascii="宋体" w:hAnsi="宋体" w:eastAsia="宋体" w:cs="宋体"/>
          <w:b w:val="0"/>
          <w:bCs w:val="0"/>
          <w:color w:val="auto"/>
          <w:sz w:val="24"/>
          <w:szCs w:val="24"/>
          <w:lang w:val="en-US" w:eastAsia="zh-CN"/>
        </w:rPr>
        <w:t>（一）设计要求</w:t>
      </w:r>
    </w:p>
    <w:p w14:paraId="3A8F0361">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1)高压电网系统应做到双主机备份,电网应有可靠后备供电设施,主电源故障时可自动立刻切换后备电源供电,保证备用时间不低于4小时。</w:t>
      </w:r>
    </w:p>
    <w:p w14:paraId="4975D05E">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系统要采用性能可靠的设备,成熟的技术手段,保证系统具有很强的安全性和可靠性。主控设备应具有连续不间断工作特性。主控系统要求过载能力强,当电网网上发生线间或对地直接短路时,主控设备能不断电工作大于120分钟以上,不停机和不损毁,而导致整个电网无电。当警情或短路消失后,电网系统自动恢复正常工作状态。</w:t>
      </w:r>
    </w:p>
    <w:p w14:paraId="37039D51">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配备“警情信息管理监控系统”,该系统设置在远离电网控制设备处的监控中心，用信号线将电网设备与该系统计算机连接。平时值班状态。计算机显示器显示监狱围墙分段电子图形及电网设备的工作状况等。当围墙电网发生警情时,通过计算机显示器上的电子图形立即提示出警情发生区段、警情种类,警情发生时间等信息 同时进行声光报警、存储、记忆</w:t>
      </w:r>
      <w:bookmarkStart w:id="21" w:name="OLE_LINK12"/>
      <w:r>
        <w:rPr>
          <w:rFonts w:hint="eastAsia" w:ascii="宋体" w:hAnsi="宋体" w:eastAsia="宋体" w:cs="宋体"/>
          <w:b w:val="0"/>
          <w:bCs w:val="0"/>
          <w:color w:val="auto"/>
          <w:sz w:val="24"/>
          <w:szCs w:val="24"/>
          <w:lang w:val="en-US" w:eastAsia="zh-CN"/>
        </w:rPr>
        <w:t>(</w:t>
      </w:r>
      <w:bookmarkEnd w:id="21"/>
      <w:r>
        <w:rPr>
          <w:rFonts w:hint="eastAsia" w:ascii="宋体" w:hAnsi="宋体" w:eastAsia="宋体" w:cs="宋体"/>
          <w:b w:val="0"/>
          <w:bCs w:val="0"/>
          <w:color w:val="auto"/>
          <w:sz w:val="24"/>
          <w:szCs w:val="24"/>
          <w:lang w:val="en-US" w:eastAsia="zh-CN"/>
        </w:rPr>
        <w:t>一年的警情信息及电网设备的工作状态)等，此系统为独立运行系统,不影响电网设备的独立运行。</w:t>
      </w:r>
    </w:p>
    <w:p w14:paraId="0F45826E">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集中控制:主控设备(含升压器)必须采用集中控制、集中管理方式、围墙上不允许安装任何升压及检测控制设备。即:整套主控设备(含升压器)必须集中安放在指定的同一房间内，防止造成监管隐患。(安装在AB门处电网值班室)</w:t>
      </w:r>
    </w:p>
    <w:p w14:paraId="442B7E58">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lang w:val="en-US" w:eastAsia="zh-CN"/>
        </w:rPr>
        <w:t>5)电网主控设备(含升压及控制系统)与电网分段入口的连接采用抗低温高压屏蔽绝缘线,耐压不低于2OKV。</w:t>
      </w:r>
      <w:r>
        <w:rPr>
          <w:rFonts w:hint="eastAsia" w:ascii="宋体" w:hAnsi="宋体" w:eastAsia="宋体" w:cs="宋体"/>
          <w:color w:val="auto"/>
          <w:spacing w:val="0"/>
          <w:sz w:val="24"/>
          <w:u w:val="none"/>
        </w:rPr>
        <w:t>系统报警响应时间应不大于2秒。电网系统应具有灵敏度可调档或设有雨天档，减少系统误报。系统在触网、短路状态可保持60分钟持续高压输出，便于民警、武警处理警情。电网控制设备应专门配备用于断开电网监控系统主机的应急开关，当电网监控系统发生故障时，启动应急开关，能保持高压电网正常工作。电网打击输出电流大于500mA</w:t>
      </w:r>
      <w:r>
        <w:rPr>
          <w:rFonts w:hint="eastAsia" w:ascii="宋体" w:hAnsi="宋体" w:eastAsia="宋体" w:cs="宋体"/>
          <w:color w:val="auto"/>
          <w:spacing w:val="0"/>
          <w:sz w:val="24"/>
          <w:u w:val="none"/>
          <w:lang w:eastAsia="zh-CN"/>
        </w:rPr>
        <w:t>。</w:t>
      </w:r>
    </w:p>
    <w:p w14:paraId="69205B52">
      <w:pPr>
        <w:pStyle w:val="37"/>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★（二 ）工程技术要求</w:t>
      </w:r>
    </w:p>
    <w:p w14:paraId="63CD9805">
      <w:pPr>
        <w:pStyle w:val="37"/>
        <w:keepNext w:val="0"/>
        <w:keepLines w:val="0"/>
        <w:pageBreakBefore w:val="0"/>
        <w:kinsoku/>
        <w:wordWrap/>
        <w:overflowPunct/>
        <w:topLinePunct w:val="0"/>
        <w:autoSpaceDE/>
        <w:autoSpaceDN/>
        <w:bidi w:val="0"/>
        <w:adjustRightInd/>
        <w:snapToGrid/>
        <w:spacing w:line="360" w:lineRule="auto"/>
        <w:ind w:firstLine="240" w:firstLineChars="1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1、成交人在合同期内应根据采购人的实际需求承担项目的施工，不得以任何技术性问题和其他原因拒绝施工或拖延施工。</w:t>
      </w:r>
    </w:p>
    <w:p w14:paraId="033ACDAA">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2、在各单项工程竣工未移交采购人之前，成交人负责对现场的一切设施和工程成品进行保护。</w:t>
      </w:r>
    </w:p>
    <w:p w14:paraId="2BCA9C28">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3、成交人在施工期间必须服从采购人管理，文明施工，保持施工现场整洁卫生，损坏物品须照价赔偿或负责修复；成交人须承担施工中的安全责任，出现任何安全事故，成交人须负全责。</w:t>
      </w:r>
    </w:p>
    <w:p w14:paraId="3B8C4A13">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4、成交人必须严格按照工程量清单、工程预算、技术标准、国家颁布的施工规范和福建省有关现行管理办法及地方标准进行施工。</w:t>
      </w:r>
    </w:p>
    <w:p w14:paraId="4FDBFB26">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color w:val="auto"/>
          <w:sz w:val="24"/>
          <w:lang w:val="en-US" w:eastAsia="zh-CN"/>
        </w:rPr>
        <w:t>供应商</w:t>
      </w:r>
      <w:r>
        <w:rPr>
          <w:rFonts w:ascii="宋体" w:hAnsi="宋体" w:eastAsia="宋体" w:cs="宋体"/>
          <w:b/>
          <w:color w:val="auto"/>
          <w:sz w:val="24"/>
        </w:rPr>
        <w:t>提供的“高压电网设备装置”应符合《周界防范高压电网装置》GB25287-</w:t>
      </w:r>
      <w:r>
        <w:rPr>
          <w:rFonts w:hint="default" w:ascii="宋体" w:hAnsi="宋体" w:eastAsia="宋体" w:cs="宋体"/>
          <w:b/>
          <w:color w:val="auto"/>
          <w:sz w:val="24"/>
          <w:lang w:val="en-US"/>
        </w:rPr>
        <w:t>2010b</w:t>
      </w:r>
      <w:r>
        <w:rPr>
          <w:rFonts w:ascii="宋体" w:hAnsi="宋体" w:eastAsia="宋体" w:cs="宋体"/>
          <w:b/>
          <w:color w:val="auto"/>
          <w:sz w:val="24"/>
        </w:rPr>
        <w:t>标准要求，并能达到《福建省监狱周界防范高压电网建设和管理指导意见》要求,</w:t>
      </w:r>
      <w:r>
        <w:rPr>
          <w:rFonts w:hint="eastAsia" w:ascii="宋体" w:hAnsi="宋体" w:eastAsia="宋体" w:cs="宋体"/>
          <w:b w:val="0"/>
          <w:bCs w:val="0"/>
          <w:color w:val="auto"/>
          <w:sz w:val="24"/>
          <w:szCs w:val="24"/>
          <w:lang w:val="en-US" w:eastAsia="zh-CN"/>
        </w:rPr>
        <w:t>。</w:t>
      </w:r>
    </w:p>
    <w:p w14:paraId="311706FF">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6、成交人如要更换项目管理人员、技术负责人以及其他施工现场主要施工管理人员的，须经采购人批准后方可更换，且接替人员的水平和能力不得低于被替换人员。</w:t>
      </w:r>
    </w:p>
    <w:bookmarkEnd w:id="20"/>
    <w:p w14:paraId="567C766A">
      <w:pPr>
        <w:pStyle w:val="17"/>
        <w:widowControl/>
        <w:spacing w:before="0" w:beforeAutospacing="0" w:after="0" w:afterAutospacing="0" w:line="360" w:lineRule="auto"/>
        <w:outlineLvl w:val="1"/>
        <w:rPr>
          <w:rFonts w:hint="eastAsia" w:ascii="宋体" w:hAnsi="宋体" w:cs="宋体"/>
          <w:b/>
          <w:bCs/>
          <w:color w:val="auto"/>
          <w:lang w:eastAsia="zh-CN"/>
        </w:rPr>
      </w:pPr>
      <w:r>
        <w:rPr>
          <w:rFonts w:hint="eastAsia" w:ascii="宋体" w:hAnsi="宋体" w:cs="宋体"/>
          <w:b/>
          <w:bCs/>
          <w:color w:val="auto"/>
          <w:lang w:eastAsia="zh-CN"/>
        </w:rPr>
        <w:t>（</w:t>
      </w:r>
      <w:r>
        <w:rPr>
          <w:rFonts w:hint="eastAsia" w:ascii="宋体" w:hAnsi="宋体" w:cs="宋体"/>
          <w:b/>
          <w:bCs/>
          <w:color w:val="auto"/>
          <w:lang w:val="en-US" w:eastAsia="zh-CN"/>
        </w:rPr>
        <w:t>三</w:t>
      </w:r>
      <w:r>
        <w:rPr>
          <w:rFonts w:hint="eastAsia" w:ascii="宋体" w:hAnsi="宋体" w:cs="宋体"/>
          <w:b/>
          <w:bCs/>
          <w:color w:val="auto"/>
          <w:lang w:eastAsia="zh-CN"/>
        </w:rPr>
        <w:t>）</w:t>
      </w:r>
      <w:bookmarkStart w:id="22" w:name="OLE_LINK14"/>
      <w:r>
        <w:rPr>
          <w:rFonts w:ascii="宋体" w:hAnsi="宋体" w:eastAsia="宋体" w:cs="宋体"/>
          <w:b/>
          <w:color w:val="auto"/>
          <w:sz w:val="24"/>
        </w:rPr>
        <w:t>、设备技术参数一览表</w:t>
      </w:r>
      <w:bookmarkEnd w:id="22"/>
    </w:p>
    <w:tbl>
      <w:tblPr>
        <w:tblStyle w:val="23"/>
        <w:tblW w:w="9737" w:type="dxa"/>
        <w:tblInd w:w="0" w:type="dxa"/>
        <w:tblLayout w:type="fixed"/>
        <w:tblCellMar>
          <w:top w:w="0" w:type="dxa"/>
          <w:left w:w="108" w:type="dxa"/>
          <w:bottom w:w="0" w:type="dxa"/>
          <w:right w:w="108" w:type="dxa"/>
        </w:tblCellMar>
      </w:tblPr>
      <w:tblGrid>
        <w:gridCol w:w="849"/>
        <w:gridCol w:w="1321"/>
        <w:gridCol w:w="5700"/>
        <w:gridCol w:w="949"/>
        <w:gridCol w:w="918"/>
      </w:tblGrid>
      <w:tr w14:paraId="003C4392">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D602329">
            <w:pPr>
              <w:widowControl/>
              <w:jc w:val="center"/>
              <w:textAlignment w:val="center"/>
              <w:rPr>
                <w:rFonts w:hint="eastAsia" w:ascii="宋体" w:hAnsi="宋体" w:cs="宋体"/>
                <w:b/>
                <w:bCs/>
                <w:color w:val="auto"/>
                <w:sz w:val="24"/>
              </w:rPr>
            </w:pPr>
            <w:r>
              <w:rPr>
                <w:rFonts w:hint="eastAsia" w:ascii="宋体" w:hAnsi="宋体" w:cs="宋体"/>
                <w:b/>
                <w:bCs/>
                <w:color w:val="auto"/>
                <w:kern w:val="0"/>
                <w:sz w:val="24"/>
                <w:lang w:bidi="ar"/>
              </w:rPr>
              <w:t>序号</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56E4374F">
            <w:pPr>
              <w:widowControl/>
              <w:jc w:val="center"/>
              <w:textAlignment w:val="center"/>
              <w:rPr>
                <w:rFonts w:hint="eastAsia" w:ascii="宋体" w:hAnsi="宋体" w:eastAsia="宋体" w:cs="宋体"/>
                <w:b/>
                <w:bCs/>
                <w:color w:val="auto"/>
                <w:kern w:val="0"/>
                <w:sz w:val="24"/>
                <w:lang w:bidi="ar"/>
              </w:rPr>
            </w:pPr>
            <w:r>
              <w:rPr>
                <w:rFonts w:hint="eastAsia" w:ascii="宋体" w:hAnsi="宋体" w:eastAsia="宋体" w:cs="宋体"/>
                <w:b/>
                <w:bCs/>
                <w:color w:val="auto"/>
                <w:kern w:val="0"/>
                <w:sz w:val="24"/>
                <w:lang w:val="en-US" w:eastAsia="zh-CN" w:bidi="ar"/>
              </w:rPr>
              <w:t>设备</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67400755">
            <w:pPr>
              <w:widowControl/>
              <w:jc w:val="center"/>
              <w:textAlignment w:val="center"/>
              <w:rPr>
                <w:rFonts w:hint="eastAsia" w:ascii="宋体" w:hAnsi="宋体" w:eastAsia="宋体" w:cs="宋体"/>
                <w:b/>
                <w:bCs/>
                <w:color w:val="auto"/>
                <w:kern w:val="0"/>
                <w:sz w:val="24"/>
                <w:lang w:bidi="ar"/>
              </w:rPr>
            </w:pPr>
            <w:r>
              <w:rPr>
                <w:rFonts w:hint="eastAsia" w:ascii="宋体" w:hAnsi="宋体" w:eastAsia="宋体" w:cs="宋体"/>
                <w:b/>
                <w:bCs/>
                <w:color w:val="auto"/>
                <w:kern w:val="0"/>
                <w:sz w:val="24"/>
                <w:lang w:val="en-US" w:eastAsia="zh-CN" w:bidi="ar"/>
              </w:rPr>
              <w:t>设备参数（以下设备属于固定尺寸的，允许±2%偏差）</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7CC66FAC">
            <w:pPr>
              <w:widowControl/>
              <w:jc w:val="center"/>
              <w:textAlignment w:val="center"/>
              <w:rPr>
                <w:rFonts w:hint="eastAsia" w:ascii="宋体" w:hAnsi="宋体" w:cs="宋体"/>
                <w:b/>
                <w:bCs/>
                <w:color w:val="auto"/>
                <w:sz w:val="24"/>
              </w:rPr>
            </w:pPr>
            <w:r>
              <w:rPr>
                <w:rFonts w:hint="eastAsia" w:ascii="宋体" w:hAnsi="宋体" w:cs="宋体"/>
                <w:b/>
                <w:bCs/>
                <w:color w:val="auto"/>
                <w:kern w:val="0"/>
                <w:sz w:val="24"/>
                <w:lang w:bidi="ar"/>
              </w:rPr>
              <w:t>数量</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4485CB0C">
            <w:pPr>
              <w:widowControl/>
              <w:jc w:val="center"/>
              <w:textAlignment w:val="center"/>
              <w:rPr>
                <w:rFonts w:hint="eastAsia" w:ascii="宋体" w:hAnsi="宋体" w:cs="宋体"/>
                <w:b/>
                <w:bCs/>
                <w:color w:val="auto"/>
                <w:sz w:val="24"/>
              </w:rPr>
            </w:pPr>
            <w:r>
              <w:rPr>
                <w:rFonts w:hint="eastAsia" w:ascii="宋体" w:hAnsi="宋体" w:cs="宋体"/>
                <w:b/>
                <w:bCs/>
                <w:color w:val="auto"/>
                <w:kern w:val="0"/>
                <w:sz w:val="24"/>
                <w:lang w:bidi="ar"/>
              </w:rPr>
              <w:t>单位</w:t>
            </w:r>
          </w:p>
        </w:tc>
      </w:tr>
      <w:tr w14:paraId="2880DB72">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361F68B4">
            <w:pPr>
              <w:widowControl/>
              <w:jc w:val="center"/>
              <w:textAlignment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val="en-US" w:eastAsia="zh-CN" w:bidi="ar"/>
              </w:rPr>
              <w:t>评审项</w:t>
            </w:r>
            <w:r>
              <w:rPr>
                <w:rFonts w:hint="eastAsia" w:ascii="宋体" w:hAnsi="宋体" w:eastAsia="宋体" w:cs="宋体"/>
                <w:color w:val="auto"/>
                <w:kern w:val="0"/>
                <w:sz w:val="24"/>
                <w:lang w:bidi="ar"/>
              </w:rPr>
              <w:t>1</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5212B83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电网支架</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796D18D3">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1.电网支架63mm×63mm×6mm</w:t>
            </w:r>
          </w:p>
          <w:p w14:paraId="062A7F3B">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2.定制热镀锌处理，安装间距：4米一个</w:t>
            </w:r>
          </w:p>
          <w:p w14:paraId="67E132AC">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3.安装在距地面高度为4</w:t>
            </w:r>
            <w:r>
              <w:rPr>
                <w:rFonts w:hint="eastAsia" w:ascii="宋体" w:hAnsi="宋体" w:cs="宋体"/>
                <w:color w:val="auto"/>
                <w:kern w:val="0"/>
                <w:sz w:val="24"/>
                <w:lang w:val="en-US" w:eastAsia="zh-CN" w:bidi="ar"/>
              </w:rPr>
              <w:t>.5</w:t>
            </w:r>
            <w:r>
              <w:rPr>
                <w:rFonts w:hint="eastAsia" w:ascii="宋体" w:hAnsi="宋体" w:cs="宋体"/>
                <w:color w:val="auto"/>
                <w:kern w:val="0"/>
                <w:sz w:val="24"/>
                <w:lang w:bidi="ar"/>
              </w:rPr>
              <w:t>-6米处</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087988A7">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185</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28F3902D">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个</w:t>
            </w:r>
          </w:p>
        </w:tc>
      </w:tr>
      <w:tr w14:paraId="03330E9E">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1A061EAD">
            <w:pPr>
              <w:widowControl/>
              <w:jc w:val="center"/>
              <w:textAlignment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val="en-US" w:eastAsia="zh-CN" w:bidi="ar"/>
              </w:rPr>
              <w:t>评审项</w:t>
            </w:r>
            <w:r>
              <w:rPr>
                <w:rFonts w:hint="eastAsia" w:ascii="宋体" w:hAnsi="宋体" w:eastAsia="宋体" w:cs="宋体"/>
                <w:color w:val="auto"/>
                <w:kern w:val="0"/>
                <w:sz w:val="24"/>
                <w:lang w:bidi="ar"/>
              </w:rPr>
              <w:t>2</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1071D319">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瓷瓶</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67EFDF03">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PQ-10T 防污型</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283D976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1110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43079A87">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个</w:t>
            </w:r>
          </w:p>
        </w:tc>
      </w:tr>
      <w:tr w14:paraId="09E8EA39">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347423FD">
            <w:pPr>
              <w:widowControl/>
              <w:jc w:val="center"/>
              <w:textAlignment w:val="center"/>
              <w:rPr>
                <w:rFonts w:hint="eastAsia" w:ascii="宋体" w:hAnsi="宋体" w:eastAsia="宋体" w:cs="宋体"/>
                <w:color w:val="auto"/>
                <w:kern w:val="0"/>
                <w:sz w:val="24"/>
                <w:lang w:bidi="ar"/>
              </w:rPr>
            </w:pPr>
            <w:r>
              <w:rPr>
                <w:rFonts w:hint="eastAsia" w:ascii="宋体" w:hAnsi="宋体" w:eastAsia="宋体" w:cs="宋体"/>
                <w:color w:val="auto"/>
                <w:kern w:val="0"/>
                <w:sz w:val="24"/>
                <w:lang w:val="en-US" w:eastAsia="zh-CN" w:bidi="ar"/>
              </w:rPr>
              <w:t>评审项</w:t>
            </w:r>
            <w:r>
              <w:rPr>
                <w:rFonts w:hint="eastAsia" w:ascii="宋体" w:hAnsi="宋体" w:eastAsia="宋体" w:cs="宋体"/>
                <w:color w:val="auto"/>
                <w:kern w:val="0"/>
                <w:sz w:val="24"/>
                <w:lang w:bidi="ar"/>
              </w:rPr>
              <w:t>3</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3FA12CEA">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钢芯铝绞网线</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23FAF1AB">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网线材料采用16平方毫米钢芯铝绞网线，线间距离约为18-20厘米（不大于20厘米），最低端金属线与墙体之间距离不应大于20厘米。网线支架跨度平均距离4-6米。瓷瓶保持直立，电网网线采用绑扎安装在距地面约5-6米处电网支架上的瓷瓶导槽内。</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48296C8B">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6600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79634F25">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米</w:t>
            </w:r>
          </w:p>
        </w:tc>
      </w:tr>
      <w:tr w14:paraId="443F205B">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0E53FB14">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4</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68A7E536">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扎线</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67F49298">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铝材质</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642BB4ED">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2000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056096EE">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米</w:t>
            </w:r>
          </w:p>
        </w:tc>
      </w:tr>
      <w:tr w14:paraId="39C8C0A8">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55C97DCB">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5</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56FC9B67">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胀栓</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6459E107">
            <w:pPr>
              <w:widowControl/>
              <w:jc w:val="left"/>
              <w:textAlignment w:val="center"/>
              <w:rPr>
                <w:rFonts w:hint="eastAsia" w:ascii="宋体" w:hAnsi="宋体" w:eastAsia="宋体" w:cs="宋体"/>
                <w:color w:val="auto"/>
                <w:sz w:val="24"/>
                <w:lang w:val="en-US" w:eastAsia="zh-CN"/>
              </w:rPr>
            </w:pPr>
            <w:r>
              <w:rPr>
                <w:rFonts w:hint="eastAsia" w:ascii="宋体" w:hAnsi="宋体" w:cs="宋体"/>
                <w:color w:val="auto"/>
                <w:kern w:val="0"/>
                <w:sz w:val="24"/>
                <w:lang w:bidi="ar"/>
              </w:rPr>
              <w:t>φ12×120</w:t>
            </w:r>
            <w:r>
              <w:rPr>
                <w:rFonts w:hint="eastAsia" w:ascii="宋体" w:hAnsi="宋体" w:cs="宋体"/>
                <w:color w:val="auto"/>
                <w:kern w:val="0"/>
                <w:sz w:val="24"/>
                <w:lang w:val="en-US" w:eastAsia="zh-CN" w:bidi="ar"/>
              </w:rPr>
              <w:t>mm</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5A285462">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750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5BCE1F4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个</w:t>
            </w:r>
          </w:p>
        </w:tc>
      </w:tr>
      <w:tr w14:paraId="64D07758">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75921B0D">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6</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5E3BB4D0">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高压屏蔽传输线</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58B2692F">
            <w:pPr>
              <w:widowControl/>
              <w:jc w:val="left"/>
              <w:textAlignment w:val="center"/>
              <w:rPr>
                <w:rFonts w:hint="eastAsia" w:ascii="宋体" w:hAnsi="宋体" w:eastAsia="宋体" w:cs="宋体"/>
                <w:b/>
                <w:bCs/>
                <w:color w:val="auto"/>
                <w:kern w:val="0"/>
                <w:sz w:val="24"/>
                <w:lang w:eastAsia="zh-CN" w:bidi="ar"/>
              </w:rPr>
            </w:pPr>
            <w:r>
              <w:rPr>
                <w:rFonts w:hint="eastAsia" w:ascii="宋体" w:hAnsi="宋体" w:cs="宋体"/>
                <w:color w:val="auto"/>
                <w:kern w:val="0"/>
                <w:sz w:val="24"/>
                <w:lang w:bidi="ar"/>
              </w:rPr>
              <w:t>1．H线抗低温线；φ10MM （耐压不低于20kv），线芯不小于0.</w:t>
            </w:r>
            <w:r>
              <w:rPr>
                <w:rFonts w:hint="eastAsia" w:ascii="宋体" w:hAnsi="宋体" w:cs="宋体"/>
                <w:color w:val="auto"/>
                <w:kern w:val="0"/>
                <w:sz w:val="24"/>
                <w:lang w:val="en-US" w:eastAsia="zh-CN" w:bidi="ar"/>
              </w:rPr>
              <w:t>75</w:t>
            </w:r>
            <w:r>
              <w:rPr>
                <w:rFonts w:hint="eastAsia" w:ascii="宋体" w:hAnsi="宋体" w:cs="宋体"/>
                <w:color w:val="auto"/>
                <w:kern w:val="0"/>
                <w:sz w:val="24"/>
                <w:lang w:bidi="ar"/>
              </w:rPr>
              <w:t xml:space="preserve"> mm2（绝缘材质：硅橡胶）（导体与屏蔽层之间耐压：2米不低于40kv/5min不击穿；整盘20kv/5min不击穿）</w:t>
            </w:r>
          </w:p>
          <w:p w14:paraId="01715FAF">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2．L线抗低温线；φ4.2MM，线芯不小于0.</w:t>
            </w:r>
            <w:r>
              <w:rPr>
                <w:rFonts w:hint="eastAsia" w:ascii="宋体" w:hAnsi="宋体" w:cs="宋体"/>
                <w:color w:val="auto"/>
                <w:kern w:val="0"/>
                <w:sz w:val="24"/>
                <w:lang w:val="en-US" w:eastAsia="zh-CN" w:bidi="ar"/>
              </w:rPr>
              <w:t>75</w:t>
            </w:r>
            <w:r>
              <w:rPr>
                <w:rFonts w:hint="eastAsia" w:ascii="宋体" w:hAnsi="宋体" w:cs="宋体"/>
                <w:color w:val="auto"/>
                <w:kern w:val="0"/>
                <w:sz w:val="24"/>
                <w:lang w:bidi="ar"/>
              </w:rPr>
              <w:t xml:space="preserve"> mm2（绝缘材质：硅橡胶）（导体与屏蔽层之间耐压：2米不低于10kv/5min不击穿；整盘5kv/5min不击穿），</w:t>
            </w:r>
          </w:p>
          <w:p w14:paraId="5D7214EF">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3.导体：镀锡铜</w:t>
            </w:r>
          </w:p>
          <w:p w14:paraId="6BF8302C">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4.绝缘体：硅橡胶</w:t>
            </w:r>
          </w:p>
          <w:p w14:paraId="0763E01C">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5.填充：滑石粉</w:t>
            </w:r>
          </w:p>
          <w:p w14:paraId="745EFD6D">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6.屏蔽：镀锡铜网  覆盖率：80%以上</w:t>
            </w:r>
          </w:p>
          <w:p w14:paraId="1B3A91FF">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7.外被：硅橡胶</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73AEB2AC">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3400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1FBB4B8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米</w:t>
            </w:r>
          </w:p>
        </w:tc>
      </w:tr>
      <w:tr w14:paraId="1C3E4F51">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61E9117E">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7</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05E46B5A">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传输槽</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1F3E5500">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镀锌 50mm×</w:t>
            </w:r>
            <w:r>
              <w:rPr>
                <w:rFonts w:hint="eastAsia" w:ascii="宋体" w:hAnsi="宋体" w:cs="宋体"/>
                <w:color w:val="auto"/>
                <w:kern w:val="0"/>
                <w:sz w:val="24"/>
                <w:lang w:val="en-US" w:eastAsia="zh-CN" w:bidi="ar"/>
              </w:rPr>
              <w:t>5</w:t>
            </w:r>
            <w:r>
              <w:rPr>
                <w:rFonts w:hint="eastAsia" w:ascii="宋体" w:hAnsi="宋体" w:cs="宋体"/>
                <w:color w:val="auto"/>
                <w:kern w:val="0"/>
                <w:sz w:val="24"/>
                <w:lang w:bidi="ar"/>
              </w:rPr>
              <w:t>0mm</w:t>
            </w:r>
          </w:p>
          <w:p w14:paraId="35E2DA98">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安装要求：金属线槽安装在巡逻通道狱内</w:t>
            </w:r>
            <w:r>
              <w:rPr>
                <w:rFonts w:hint="eastAsia" w:ascii="宋体" w:hAnsi="宋体" w:cs="宋体"/>
                <w:color w:val="auto"/>
                <w:kern w:val="0"/>
                <w:sz w:val="24"/>
                <w:lang w:val="en-US" w:eastAsia="zh-CN" w:bidi="ar"/>
              </w:rPr>
              <w:t>侧，</w:t>
            </w:r>
            <w:r>
              <w:rPr>
                <w:rFonts w:hint="eastAsia" w:ascii="宋体" w:hAnsi="宋体" w:cs="宋体"/>
                <w:color w:val="auto"/>
                <w:kern w:val="0"/>
                <w:sz w:val="24"/>
                <w:lang w:bidi="ar"/>
              </w:rPr>
              <w:t>距顶部 200mm处</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46A10254">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540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09E0AF01">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米</w:t>
            </w:r>
          </w:p>
        </w:tc>
      </w:tr>
      <w:tr w14:paraId="47DCD3E0">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5302A79C">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8</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3312850D">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触电警示牌</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22B69AE1">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材质：铝朔板 500mm×550mm</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71E85332">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50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1EC0F1AB">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块</w:t>
            </w:r>
          </w:p>
        </w:tc>
      </w:tr>
      <w:tr w14:paraId="050840E7">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72211F04">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9</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494F38F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地网制作</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66A7D12A">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接地电阻≤4Ω</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4DB12673">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4</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283D0F61">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处</w:t>
            </w:r>
          </w:p>
        </w:tc>
      </w:tr>
      <w:tr w14:paraId="3125B09A">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121464EC">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10</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0D82ADBB">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智能型高压脉冲分段报警（电网）监控系统</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22C7951C">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1.集中安装在电网主机房内</w:t>
            </w:r>
          </w:p>
          <w:p w14:paraId="5860CA11">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2.电源：交流电220V±10%，50HZ，电源功率&gt;7KW。</w:t>
            </w:r>
          </w:p>
          <w:p w14:paraId="59D92281">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3.电网电压、电流（有效值）</w:t>
            </w:r>
          </w:p>
          <w:p w14:paraId="7DDD3D69">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4.对地电压：5000±10%V；</w:t>
            </w:r>
          </w:p>
          <w:p w14:paraId="2C66B7EF">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5.相邻线间电压：10000±10%V；</w:t>
            </w:r>
          </w:p>
          <w:p w14:paraId="63D10EB7">
            <w:pPr>
              <w:widowControl/>
              <w:jc w:val="left"/>
              <w:textAlignment w:val="center"/>
              <w:rPr>
                <w:rFonts w:hint="eastAsia" w:ascii="宋体" w:hAnsi="宋体" w:cs="宋体"/>
                <w:color w:val="auto"/>
                <w:kern w:val="0"/>
                <w:sz w:val="24"/>
                <w:lang w:bidi="ar"/>
              </w:rPr>
            </w:pPr>
            <w:r>
              <w:rPr>
                <w:rFonts w:hint="eastAsia" w:ascii="宋体" w:hAnsi="宋体" w:cs="宋体"/>
                <w:color w:val="auto"/>
                <w:kern w:val="0"/>
                <w:sz w:val="24"/>
                <w:lang w:bidi="ar"/>
              </w:rPr>
              <w:t>6.电网短路时，电网瞬时电流：0.5A&lt;电网高压端瞬时电流く1.5A（有就值）；（高度戒备监狱型）</w:t>
            </w:r>
          </w:p>
          <w:p w14:paraId="2CF17FA5">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7.打击力：可调节，并且电网任一单根火线在瞬间（6秒内）将约100公斤重的生物击死或击毙。</w:t>
            </w:r>
          </w:p>
          <w:p w14:paraId="397D5F3E">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8.过载能力：当电网网上发生线间或对地直接短路时，能不断电工作大于120分钟以上，不停机和不损毁。</w:t>
            </w:r>
          </w:p>
          <w:p w14:paraId="322545DD">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9.恢复能力：当警情或短路消失后，电网主机系统自动恢复正常工作状态。</w:t>
            </w:r>
          </w:p>
          <w:p w14:paraId="7319CD73">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10.双主机相互备份，每个主机控制二个防区。</w:t>
            </w:r>
          </w:p>
          <w:p w14:paraId="02DE5F45">
            <w:pPr>
              <w:widowControl/>
              <w:jc w:val="left"/>
              <w:textAlignment w:val="center"/>
              <w:rPr>
                <w:rFonts w:ascii="宋体" w:hAnsi="宋体" w:cs="宋体"/>
                <w:color w:val="auto"/>
                <w:kern w:val="0"/>
                <w:sz w:val="24"/>
                <w:lang w:bidi="ar"/>
              </w:rPr>
            </w:pPr>
            <w:r>
              <w:rPr>
                <w:rFonts w:hint="eastAsia" w:ascii="宋体" w:hAnsi="宋体" w:cs="宋体"/>
                <w:color w:val="auto"/>
                <w:kern w:val="0"/>
                <w:sz w:val="24"/>
                <w:lang w:bidi="ar"/>
              </w:rPr>
              <w:t>11.每一面墙为一个防区，共计4个防区。</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5D7CD907">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053184A5">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套</w:t>
            </w:r>
          </w:p>
        </w:tc>
      </w:tr>
      <w:tr w14:paraId="2D3D4B4A">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520F9A87">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11</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27A8D96E">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设备防雷</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175A5DD2">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安装在前端柜内（1套/柜）：</w:t>
            </w:r>
          </w:p>
          <w:p w14:paraId="5D2B86CF">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1.避雷设备安装在低压控制柜输入电源入口， 低压控制柜输入额定电压(220V)；</w:t>
            </w:r>
          </w:p>
          <w:p w14:paraId="71F3A5FD">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2.防护等级：输入端承受雷电波8/20uS雷电电压20KV；输入端承受雷电波10/700uS雷电电压15KV；</w:t>
            </w:r>
          </w:p>
          <w:p w14:paraId="62C1F128">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3.冲击电流：8/20uS模拟雷电波冲击，短路保护电流大于2×40KA；</w:t>
            </w:r>
          </w:p>
          <w:p w14:paraId="07BB3892">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4.过压保护：2mS操作过电压时短路保护电流120A；</w:t>
            </w:r>
          </w:p>
          <w:p w14:paraId="56343E15">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5.最大工作电压：AC 285V  50/60Hz；</w:t>
            </w:r>
          </w:p>
          <w:p w14:paraId="1FFB8FFF">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6.效    率：≥99%；</w:t>
            </w:r>
          </w:p>
          <w:p w14:paraId="6C4BE740">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7.额定功率： 3000W；</w:t>
            </w:r>
          </w:p>
          <w:p w14:paraId="601794BC">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8.响应速度：≤10nS；</w:t>
            </w:r>
          </w:p>
          <w:p w14:paraId="4DB03697">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9.滤波范围：500Hz-1000Hz；</w:t>
            </w:r>
          </w:p>
          <w:p w14:paraId="4D64D41E">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10.使用条件：-45°C－+65°C；</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4756AD09">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477B1E25">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套</w:t>
            </w:r>
          </w:p>
        </w:tc>
      </w:tr>
      <w:tr w14:paraId="19838834">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4A9FBEA9">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12</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0FA5D3D2">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网线防雷</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238FD115">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安装网线避雷器安装在距地面高度为4-6米的定做热镀锌角钢支架60mm×60mm×5.5mm上</w:t>
            </w:r>
          </w:p>
          <w:p w14:paraId="3DFEBE15">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1.避雷器安装网线上，网线单线额定电压(5kV±10%V)</w:t>
            </w:r>
          </w:p>
          <w:p w14:paraId="65E9B8CC">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2.网线避雷器安装在距地面高度为4-6米的定做热镀锌角钢支架60mm×60mm×55mm上（含安装），支架通过长7米40mm×4m镀锌扁钢与地网焊接在一起。</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79196C53">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16</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7EB667C8">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只</w:t>
            </w:r>
          </w:p>
        </w:tc>
      </w:tr>
      <w:tr w14:paraId="6873ADBA">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0D6624F0">
            <w:pPr>
              <w:widowControl/>
              <w:jc w:val="center"/>
              <w:textAlignment w:val="center"/>
              <w:rPr>
                <w:rFonts w:hint="eastAsia" w:ascii="宋体" w:hAnsi="宋体" w:cs="宋体"/>
                <w:color w:val="auto"/>
                <w:sz w:val="24"/>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bidi="ar"/>
              </w:rPr>
              <w:t>13</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2E6E80EE">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设备警情监视系统</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5EC58BF4">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CPU≥3.6G、内存≥4G、硬盘≥1T。</w:t>
            </w:r>
          </w:p>
          <w:p w14:paraId="55DDA3E9">
            <w:pPr>
              <w:widowControl/>
              <w:jc w:val="left"/>
              <w:textAlignment w:val="center"/>
              <w:rPr>
                <w:rFonts w:hint="eastAsia" w:ascii="宋体" w:hAnsi="宋体" w:cs="宋体"/>
                <w:color w:val="auto"/>
                <w:kern w:val="0"/>
                <w:sz w:val="24"/>
                <w:lang w:bidi="ar"/>
              </w:rPr>
            </w:pPr>
            <w:r>
              <w:rPr>
                <w:rFonts w:hint="eastAsia" w:ascii="宋体" w:hAnsi="宋体" w:cs="宋体"/>
                <w:color w:val="auto"/>
                <w:kern w:val="0"/>
                <w:sz w:val="24"/>
                <w:lang w:bidi="ar"/>
              </w:rPr>
              <w:t>21寸的液晶显示(含</w:t>
            </w:r>
            <w:r>
              <w:rPr>
                <w:rFonts w:hint="eastAsia" w:ascii="宋体" w:hAnsi="宋体" w:cs="宋体"/>
                <w:color w:val="auto"/>
                <w:kern w:val="0"/>
                <w:sz w:val="24"/>
                <w:lang w:val="en-US" w:eastAsia="zh-CN" w:bidi="ar"/>
              </w:rPr>
              <w:t>控制主机</w:t>
            </w:r>
            <w:r>
              <w:rPr>
                <w:rFonts w:hint="eastAsia" w:ascii="宋体" w:hAnsi="宋体" w:cs="宋体"/>
                <w:color w:val="auto"/>
                <w:kern w:val="0"/>
                <w:sz w:val="24"/>
                <w:lang w:bidi="ar"/>
              </w:rPr>
              <w:t>、适配卡、专用软件、打印</w:t>
            </w:r>
            <w:r>
              <w:rPr>
                <w:rFonts w:hint="eastAsia" w:ascii="宋体" w:hAnsi="宋体" w:cs="宋体"/>
                <w:color w:val="auto"/>
                <w:kern w:val="0"/>
                <w:sz w:val="24"/>
                <w:lang w:val="en-US" w:eastAsia="zh-CN" w:bidi="ar"/>
              </w:rPr>
              <w:t>功能</w:t>
            </w:r>
            <w:r>
              <w:rPr>
                <w:rFonts w:hint="eastAsia" w:ascii="宋体" w:hAnsi="宋体" w:cs="宋体"/>
                <w:color w:val="auto"/>
                <w:kern w:val="0"/>
                <w:sz w:val="24"/>
                <w:lang w:bidi="ar"/>
              </w:rPr>
              <w:t>、500VAUPS）</w:t>
            </w:r>
          </w:p>
          <w:p w14:paraId="09D3640D">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软件要求：</w:t>
            </w:r>
          </w:p>
          <w:p w14:paraId="1784DE7B">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1.智能周界高压电网控制系统，具备计算机控制界面，可现场绘制实景报警地图，电子地图分区段显示，电网数据监控；</w:t>
            </w:r>
          </w:p>
          <w:p w14:paraId="0F678909">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2.各防区独立布防、撤防、复位，报警记录、撤/设防记录、查询打印，原始报警记录存储时间大于1年；</w:t>
            </w:r>
          </w:p>
          <w:p w14:paraId="05E2919A">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3.实时电网数据打印，语音、坐标、图像联动报警功能；</w:t>
            </w:r>
          </w:p>
          <w:p w14:paraId="63D1D5D9">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4.具备数字化扩展功能，满足后续智能化管理。管理软件网络化，实现多台电脑管理多台主机，使用RS485总线接口以及网络接口（插上交换机即可联网），依托网络可远程控制、大范围组网等多种管理；可以综合报警平台软件可管理高压电网、IP四警情定位紧急报警、监控图像联动、电子墙等设施、可完成民警武警四防一体化联动报警；</w:t>
            </w:r>
          </w:p>
          <w:p w14:paraId="6D9B8112">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5.各报警系统软件定制模块，支持对视频进行实时查看和录像查询、回放、电视墙等基础视频功能、报警主机在电子地图上可以展示报警主机报警信息以及关联视频，并且可以自动上报异常事件，可实现联动视频、抓拍图片、上墙、录像等。</w:t>
            </w:r>
          </w:p>
          <w:p w14:paraId="586E47D5">
            <w:pPr>
              <w:widowControl/>
              <w:jc w:val="left"/>
              <w:textAlignment w:val="center"/>
              <w:rPr>
                <w:rFonts w:hint="eastAsia" w:ascii="宋体" w:hAnsi="宋体" w:cs="宋体"/>
                <w:color w:val="auto"/>
                <w:kern w:val="0"/>
                <w:sz w:val="24"/>
                <w:lang w:bidi="ar"/>
              </w:rPr>
            </w:pPr>
            <w:r>
              <w:rPr>
                <w:rFonts w:hint="eastAsia" w:ascii="宋体" w:hAnsi="宋体" w:cs="宋体"/>
                <w:color w:val="auto"/>
                <w:kern w:val="0"/>
                <w:sz w:val="24"/>
                <w:lang w:bidi="ar"/>
              </w:rPr>
              <w:t>6.视频监控与电网报警平台API接口对接开发。</w:t>
            </w:r>
          </w:p>
          <w:p w14:paraId="57398CDB">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7.电网报警平台数据寄存器访问提取，报警激活时联动指定监控画面弹窗。</w:t>
            </w:r>
          </w:p>
          <w:p w14:paraId="7CEE2A95">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8.具备计算机控制界面，且可现场绘制实景报警地图，电子地图分区段显示，电网的数据可在情报指挥中心实时监控显示；</w:t>
            </w:r>
          </w:p>
          <w:p w14:paraId="3F3DB145">
            <w:pPr>
              <w:widowControl/>
              <w:jc w:val="left"/>
              <w:textAlignment w:val="center"/>
              <w:rPr>
                <w:rFonts w:hint="eastAsia" w:ascii="宋体" w:hAnsi="宋体" w:eastAsia="宋体" w:cs="宋体"/>
                <w:b/>
                <w:bCs/>
                <w:color w:val="auto"/>
                <w:sz w:val="24"/>
                <w:lang w:eastAsia="zh-CN"/>
              </w:rPr>
            </w:pPr>
            <w:r>
              <w:rPr>
                <w:rFonts w:hint="eastAsia" w:ascii="宋体" w:hAnsi="宋体" w:cs="宋体"/>
                <w:color w:val="auto"/>
                <w:kern w:val="0"/>
                <w:sz w:val="24"/>
                <w:lang w:bidi="ar"/>
              </w:rPr>
              <w:t>9.可对系统交直流自动转换控制；</w:t>
            </w:r>
          </w:p>
          <w:p w14:paraId="7DEE852E">
            <w:pPr>
              <w:widowControl/>
              <w:jc w:val="left"/>
              <w:textAlignment w:val="center"/>
              <w:rPr>
                <w:rFonts w:hint="eastAsia" w:ascii="宋体" w:hAnsi="宋体" w:cs="宋体"/>
                <w:color w:val="auto"/>
                <w:kern w:val="0"/>
                <w:sz w:val="24"/>
                <w:lang w:bidi="ar"/>
              </w:rPr>
            </w:pP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0DD67991">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1</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20802731">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套</w:t>
            </w:r>
          </w:p>
        </w:tc>
      </w:tr>
      <w:tr w14:paraId="2928BBB0">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51BC92AD">
            <w:pPr>
              <w:keepNext w:val="0"/>
              <w:keepLines w:val="0"/>
              <w:widowControl/>
              <w:suppressLineNumbers w:val="0"/>
              <w:jc w:val="center"/>
              <w:textAlignment w:val="center"/>
              <w:rPr>
                <w:rFonts w:hint="eastAsia" w:ascii="宋体" w:hAnsi="宋体" w:cs="宋体"/>
                <w:color w:val="auto"/>
                <w:kern w:val="0"/>
                <w:sz w:val="24"/>
                <w:lang w:bidi="ar"/>
              </w:rPr>
            </w:pPr>
            <w:r>
              <w:rPr>
                <w:rFonts w:hint="eastAsia" w:ascii="宋体" w:hAnsi="宋体" w:eastAsia="宋体" w:cs="宋体"/>
                <w:color w:val="auto"/>
                <w:kern w:val="0"/>
                <w:sz w:val="24"/>
                <w:lang w:val="en-US" w:eastAsia="zh-CN" w:bidi="ar"/>
              </w:rPr>
              <w:t>评审项</w:t>
            </w:r>
            <w:r>
              <w:rPr>
                <w:rFonts w:hint="eastAsia" w:ascii="宋体" w:hAnsi="宋体" w:eastAsia="宋体" w:cs="宋体"/>
                <w:i w:val="0"/>
                <w:iCs w:val="0"/>
                <w:color w:val="auto"/>
                <w:kern w:val="0"/>
                <w:sz w:val="24"/>
                <w:szCs w:val="24"/>
                <w:u w:val="none"/>
                <w:lang w:val="en-US" w:eastAsia="zh-CN" w:bidi="ar"/>
              </w:rPr>
              <w:t>14</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6AA7A0ED">
            <w:pPr>
              <w:keepNext w:val="0"/>
              <w:keepLines w:val="0"/>
              <w:widowControl/>
              <w:suppressLineNumbers w:val="0"/>
              <w:jc w:val="center"/>
              <w:textAlignment w:val="center"/>
              <w:rPr>
                <w:rFonts w:hint="eastAsia" w:ascii="宋体" w:hAnsi="宋体" w:cs="宋体"/>
                <w:color w:val="auto"/>
                <w:kern w:val="0"/>
                <w:sz w:val="24"/>
                <w:lang w:bidi="ar"/>
              </w:rPr>
            </w:pPr>
            <w:r>
              <w:rPr>
                <w:rFonts w:hint="eastAsia" w:ascii="宋体" w:hAnsi="宋体" w:eastAsia="宋体" w:cs="宋体"/>
                <w:i w:val="0"/>
                <w:iCs w:val="0"/>
                <w:color w:val="auto"/>
                <w:kern w:val="0"/>
                <w:sz w:val="24"/>
                <w:szCs w:val="24"/>
                <w:u w:val="none"/>
                <w:lang w:val="en-US" w:eastAsia="zh-CN" w:bidi="ar"/>
              </w:rPr>
              <w:t>高压电网融合预警一体机</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258F753F">
            <w:pPr>
              <w:keepNext w:val="0"/>
              <w:keepLines w:val="0"/>
              <w:widowControl/>
              <w:suppressLineNumbers w:val="0"/>
              <w:jc w:val="left"/>
              <w:textAlignment w:val="center"/>
              <w:rPr>
                <w:rFonts w:hint="eastAsia" w:ascii="宋体" w:hAnsi="宋体" w:cs="宋体"/>
                <w:color w:val="auto"/>
                <w:sz w:val="24"/>
              </w:rPr>
            </w:pPr>
            <w:r>
              <w:rPr>
                <w:rFonts w:hint="eastAsia" w:ascii="宋体" w:hAnsi="宋体" w:eastAsia="宋体" w:cs="宋体"/>
                <w:i w:val="0"/>
                <w:iCs w:val="0"/>
                <w:color w:val="auto"/>
                <w:kern w:val="0"/>
                <w:sz w:val="24"/>
                <w:szCs w:val="24"/>
                <w:u w:val="none"/>
                <w:lang w:val="en-US" w:eastAsia="zh-CN" w:bidi="ar"/>
              </w:rPr>
              <w:t xml:space="preserve">CPU≥四核 主频≥3.6G 缓存≥4M/内存≥8GB ；固态硬盘≥256GB，集成显卡/无光驱/键盘/光电鼠标USB/电源≥200W/多功能底座（可俯仰、旋转）/内置音箱/显示器≥21英寸 </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6552B9B6">
            <w:pPr>
              <w:keepNext w:val="0"/>
              <w:keepLines w:val="0"/>
              <w:widowControl/>
              <w:suppressLineNumbers w:val="0"/>
              <w:jc w:val="center"/>
              <w:textAlignment w:val="center"/>
              <w:rPr>
                <w:rFonts w:hint="eastAsia" w:ascii="宋体" w:hAnsi="宋体" w:cs="宋体"/>
                <w:color w:val="auto"/>
                <w:kern w:val="0"/>
                <w:sz w:val="24"/>
                <w:lang w:bidi="ar"/>
              </w:rPr>
            </w:pPr>
            <w:r>
              <w:rPr>
                <w:rFonts w:hint="eastAsia" w:ascii="宋体" w:hAnsi="宋体" w:eastAsia="宋体" w:cs="宋体"/>
                <w:i w:val="0"/>
                <w:iCs w:val="0"/>
                <w:color w:val="auto"/>
                <w:kern w:val="0"/>
                <w:sz w:val="24"/>
                <w:szCs w:val="24"/>
                <w:u w:val="none"/>
                <w:lang w:val="en-US" w:eastAsia="zh-CN" w:bidi="ar"/>
              </w:rPr>
              <w:t>7</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00D1B870">
            <w:pPr>
              <w:keepNext w:val="0"/>
              <w:keepLines w:val="0"/>
              <w:widowControl/>
              <w:suppressLineNumbers w:val="0"/>
              <w:jc w:val="center"/>
              <w:textAlignment w:val="center"/>
              <w:rPr>
                <w:rFonts w:hint="eastAsia" w:ascii="宋体" w:hAnsi="宋体" w:cs="宋体"/>
                <w:color w:val="auto"/>
                <w:kern w:val="0"/>
                <w:sz w:val="24"/>
                <w:lang w:bidi="ar"/>
              </w:rPr>
            </w:pPr>
            <w:r>
              <w:rPr>
                <w:rFonts w:hint="eastAsia" w:ascii="宋体" w:hAnsi="宋体" w:eastAsia="宋体" w:cs="宋体"/>
                <w:i w:val="0"/>
                <w:iCs w:val="0"/>
                <w:color w:val="auto"/>
                <w:kern w:val="0"/>
                <w:sz w:val="24"/>
                <w:szCs w:val="24"/>
                <w:u w:val="none"/>
                <w:lang w:val="en-US" w:eastAsia="zh-CN" w:bidi="ar"/>
              </w:rPr>
              <w:t>台</w:t>
            </w:r>
          </w:p>
        </w:tc>
      </w:tr>
      <w:tr w14:paraId="526ADF99">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5169BA5C">
            <w:pPr>
              <w:widowControl/>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val="en-US" w:eastAsia="zh-CN" w:bidi="ar"/>
              </w:rPr>
              <w:t>15</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0A79548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信号线(外套铁管)</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13E1085C">
            <w:pPr>
              <w:jc w:val="left"/>
              <w:rPr>
                <w:rFonts w:hint="eastAsia" w:ascii="宋体" w:hAnsi="宋体" w:eastAsia="宋体" w:cs="宋体"/>
                <w:color w:val="auto"/>
                <w:sz w:val="24"/>
                <w:lang w:val="en-US" w:eastAsia="zh-CN"/>
              </w:rPr>
            </w:pPr>
            <w:r>
              <w:rPr>
                <w:rFonts w:hint="eastAsia" w:ascii="宋体" w:hAnsi="宋体" w:cs="宋体"/>
                <w:color w:val="auto"/>
                <w:sz w:val="24"/>
              </w:rPr>
              <w:t>RVVP</w:t>
            </w:r>
            <w:r>
              <w:rPr>
                <w:rFonts w:hint="eastAsia" w:ascii="宋体" w:hAnsi="宋体" w:cs="宋体"/>
                <w:color w:val="auto"/>
                <w:sz w:val="24"/>
                <w:lang w:val="en-US" w:eastAsia="zh-CN"/>
              </w:rPr>
              <w:t>2</w:t>
            </w:r>
            <w:r>
              <w:rPr>
                <w:rFonts w:hint="eastAsia" w:ascii="宋体" w:hAnsi="宋体" w:cs="宋体"/>
                <w:color w:val="auto"/>
                <w:kern w:val="0"/>
                <w:sz w:val="24"/>
                <w:lang w:bidi="ar"/>
              </w:rPr>
              <w:t>×</w:t>
            </w:r>
            <w:r>
              <w:rPr>
                <w:rFonts w:hint="eastAsia" w:ascii="宋体" w:hAnsi="宋体" w:cs="宋体"/>
                <w:color w:val="auto"/>
                <w:sz w:val="24"/>
              </w:rPr>
              <w:t>0.75</w:t>
            </w:r>
            <w:r>
              <w:rPr>
                <w:rFonts w:hint="eastAsia" w:ascii="宋体" w:hAnsi="宋体" w:cs="宋体"/>
                <w:color w:val="auto"/>
                <w:sz w:val="24"/>
                <w:lang w:val="en-US" w:eastAsia="zh-CN"/>
              </w:rPr>
              <w:t>mm</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2454FFFB">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50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4A0526B0">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米</w:t>
            </w:r>
          </w:p>
        </w:tc>
      </w:tr>
      <w:tr w14:paraId="11AB4670">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4EFAD9D1">
            <w:pPr>
              <w:widowControl/>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val="en-US" w:eastAsia="zh-CN" w:bidi="ar"/>
              </w:rPr>
              <w:t>16</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3161A021">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信号防雷器</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4B9367F8">
            <w:pPr>
              <w:widowControl/>
              <w:jc w:val="left"/>
              <w:textAlignment w:val="center"/>
              <w:rPr>
                <w:rFonts w:hint="eastAsia" w:ascii="宋体" w:hAnsi="宋体" w:eastAsia="宋体" w:cs="宋体"/>
                <w:color w:val="auto"/>
                <w:kern w:val="0"/>
                <w:sz w:val="24"/>
                <w:lang w:val="en-US" w:eastAsia="zh-CN" w:bidi="ar"/>
              </w:rPr>
            </w:pPr>
            <w:r>
              <w:rPr>
                <w:rFonts w:hint="eastAsia" w:ascii="宋体" w:hAnsi="宋体" w:cs="宋体"/>
                <w:color w:val="auto"/>
                <w:kern w:val="0"/>
                <w:sz w:val="24"/>
                <w:lang w:bidi="ar"/>
              </w:rPr>
              <w:t>1.接地装置调试 接地网</w:t>
            </w:r>
            <w:r>
              <w:rPr>
                <w:rFonts w:hint="eastAsia" w:ascii="宋体" w:hAnsi="宋体" w:cs="宋体"/>
                <w:color w:val="auto"/>
                <w:kern w:val="0"/>
                <w:sz w:val="24"/>
                <w:lang w:val="en-US" w:eastAsia="zh-CN" w:bidi="ar"/>
              </w:rPr>
              <w:t>;</w:t>
            </w:r>
          </w:p>
          <w:p w14:paraId="11FFD4B7">
            <w:pPr>
              <w:widowControl/>
              <w:jc w:val="left"/>
              <w:textAlignment w:val="center"/>
              <w:rPr>
                <w:rFonts w:hint="eastAsia" w:ascii="宋体" w:hAnsi="宋体" w:eastAsia="宋体" w:cs="宋体"/>
                <w:b/>
                <w:bCs/>
                <w:color w:val="auto"/>
                <w:sz w:val="24"/>
                <w:lang w:val="en-US" w:eastAsia="zh-CN"/>
              </w:rPr>
            </w:pPr>
            <w:r>
              <w:rPr>
                <w:rFonts w:hint="eastAsia" w:ascii="宋体" w:hAnsi="宋体" w:cs="宋体"/>
                <w:color w:val="auto"/>
                <w:kern w:val="0"/>
                <w:sz w:val="24"/>
                <w:lang w:bidi="ar"/>
              </w:rPr>
              <w:t>2.额定电压 Un:5V</w:t>
            </w:r>
            <w:r>
              <w:rPr>
                <w:rFonts w:hint="eastAsia" w:ascii="宋体" w:hAnsi="宋体" w:cs="宋体"/>
                <w:color w:val="auto"/>
                <w:kern w:val="0"/>
                <w:sz w:val="24"/>
                <w:lang w:val="en-US" w:eastAsia="zh-CN" w:bidi="ar"/>
              </w:rPr>
              <w:t>;</w:t>
            </w:r>
          </w:p>
          <w:p w14:paraId="5ECD7832">
            <w:pPr>
              <w:widowControl/>
              <w:jc w:val="left"/>
              <w:textAlignment w:val="center"/>
              <w:rPr>
                <w:rFonts w:hint="eastAsia" w:ascii="宋体" w:hAnsi="宋体" w:eastAsia="宋体" w:cs="宋体"/>
                <w:b/>
                <w:bCs/>
                <w:color w:val="auto"/>
                <w:sz w:val="24"/>
                <w:lang w:val="en-US" w:eastAsia="zh-CN"/>
              </w:rPr>
            </w:pPr>
            <w:r>
              <w:rPr>
                <w:rFonts w:hint="eastAsia" w:ascii="宋体" w:hAnsi="宋体" w:cs="宋体"/>
                <w:color w:val="auto"/>
                <w:kern w:val="0"/>
                <w:sz w:val="24"/>
                <w:lang w:bidi="ar"/>
              </w:rPr>
              <w:t>3.标称放电电流 In: 5KA（8/20uS）</w:t>
            </w:r>
            <w:r>
              <w:rPr>
                <w:rFonts w:hint="eastAsia" w:ascii="宋体" w:hAnsi="宋体" w:cs="宋体"/>
                <w:color w:val="auto"/>
                <w:kern w:val="0"/>
                <w:sz w:val="24"/>
                <w:lang w:val="en-US" w:eastAsia="zh-CN" w:bidi="ar"/>
              </w:rPr>
              <w:t>;</w:t>
            </w:r>
          </w:p>
          <w:p w14:paraId="38836722">
            <w:pPr>
              <w:widowControl/>
              <w:jc w:val="left"/>
              <w:textAlignment w:val="center"/>
              <w:rPr>
                <w:rFonts w:hint="eastAsia" w:ascii="宋体" w:hAnsi="宋体" w:eastAsia="宋体" w:cs="宋体"/>
                <w:b/>
                <w:bCs/>
                <w:color w:val="auto"/>
                <w:sz w:val="24"/>
                <w:lang w:val="en-US" w:eastAsia="zh-CN"/>
              </w:rPr>
            </w:pPr>
            <w:r>
              <w:rPr>
                <w:rFonts w:hint="eastAsia" w:ascii="宋体" w:hAnsi="宋体" w:cs="宋体"/>
                <w:color w:val="auto"/>
                <w:kern w:val="0"/>
                <w:sz w:val="24"/>
                <w:lang w:bidi="ar"/>
              </w:rPr>
              <w:t>4.最大放电电流 Imax: 10KA（8/20uS）</w:t>
            </w:r>
            <w:r>
              <w:rPr>
                <w:rFonts w:hint="eastAsia" w:ascii="宋体" w:hAnsi="宋体" w:cs="宋体"/>
                <w:color w:val="auto"/>
                <w:kern w:val="0"/>
                <w:sz w:val="24"/>
                <w:lang w:val="en-US" w:eastAsia="zh-CN" w:bidi="ar"/>
              </w:rPr>
              <w:t>;</w:t>
            </w:r>
          </w:p>
          <w:p w14:paraId="5CC5F84B">
            <w:pPr>
              <w:widowControl/>
              <w:jc w:val="left"/>
              <w:textAlignment w:val="center"/>
              <w:rPr>
                <w:rFonts w:hint="eastAsia" w:ascii="宋体" w:hAnsi="宋体" w:eastAsia="宋体" w:cs="宋体"/>
                <w:b/>
                <w:bCs/>
                <w:color w:val="auto"/>
                <w:sz w:val="24"/>
                <w:lang w:val="en-US" w:eastAsia="zh-CN"/>
              </w:rPr>
            </w:pPr>
            <w:r>
              <w:rPr>
                <w:rFonts w:hint="eastAsia" w:ascii="宋体" w:hAnsi="宋体" w:cs="宋体"/>
                <w:color w:val="auto"/>
                <w:kern w:val="0"/>
                <w:sz w:val="24"/>
                <w:lang w:bidi="ar"/>
              </w:rPr>
              <w:t>5.限制电压 Up: 20V</w:t>
            </w:r>
            <w:r>
              <w:rPr>
                <w:rFonts w:hint="eastAsia" w:ascii="宋体" w:hAnsi="宋体" w:cs="宋体"/>
                <w:color w:val="auto"/>
                <w:kern w:val="0"/>
                <w:sz w:val="24"/>
                <w:lang w:val="en-US" w:eastAsia="zh-CN" w:bidi="ar"/>
              </w:rPr>
              <w:t>;</w:t>
            </w:r>
          </w:p>
          <w:p w14:paraId="1983BD0A">
            <w:pPr>
              <w:widowControl/>
              <w:jc w:val="left"/>
              <w:textAlignment w:val="center"/>
              <w:rPr>
                <w:rFonts w:hint="default" w:ascii="宋体" w:hAnsi="宋体" w:eastAsia="宋体" w:cs="宋体"/>
                <w:b/>
                <w:bCs/>
                <w:color w:val="auto"/>
                <w:sz w:val="24"/>
                <w:lang w:val="en-US" w:eastAsia="zh-CN"/>
              </w:rPr>
            </w:pPr>
            <w:r>
              <w:rPr>
                <w:rFonts w:hint="eastAsia" w:ascii="宋体" w:hAnsi="宋体" w:cs="宋体"/>
                <w:color w:val="auto"/>
                <w:kern w:val="0"/>
                <w:sz w:val="24"/>
                <w:lang w:bidi="ar"/>
              </w:rPr>
              <w:t>6.最大传输速率: 10Mbps</w:t>
            </w:r>
            <w:r>
              <w:rPr>
                <w:rFonts w:hint="eastAsia" w:ascii="宋体" w:hAnsi="宋体" w:cs="宋体"/>
                <w:color w:val="auto"/>
                <w:kern w:val="0"/>
                <w:sz w:val="24"/>
                <w:lang w:val="en-US" w:eastAsia="zh-CN" w:bidi="ar"/>
              </w:rPr>
              <w:t>;</w:t>
            </w:r>
          </w:p>
          <w:p w14:paraId="18DCA240">
            <w:pPr>
              <w:widowControl/>
              <w:jc w:val="left"/>
              <w:textAlignment w:val="center"/>
              <w:rPr>
                <w:rFonts w:hint="eastAsia" w:ascii="宋体" w:hAnsi="宋体" w:eastAsia="宋体" w:cs="宋体"/>
                <w:b/>
                <w:bCs/>
                <w:color w:val="auto"/>
                <w:sz w:val="24"/>
                <w:lang w:val="en-US" w:eastAsia="zh-CN"/>
              </w:rPr>
            </w:pPr>
            <w:r>
              <w:rPr>
                <w:rFonts w:hint="eastAsia" w:ascii="宋体" w:hAnsi="宋体" w:cs="宋体"/>
                <w:color w:val="auto"/>
                <w:kern w:val="0"/>
                <w:sz w:val="24"/>
                <w:lang w:bidi="ar"/>
              </w:rPr>
              <w:t>7.插入损耗:≤0.15db</w:t>
            </w:r>
            <w:r>
              <w:rPr>
                <w:rFonts w:hint="eastAsia" w:ascii="宋体" w:hAnsi="宋体" w:cs="宋体"/>
                <w:color w:val="auto"/>
                <w:kern w:val="0"/>
                <w:sz w:val="24"/>
                <w:lang w:val="en-US" w:eastAsia="zh-CN" w:bidi="ar"/>
              </w:rPr>
              <w:t>;</w:t>
            </w:r>
          </w:p>
          <w:p w14:paraId="68ABFBEF">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8.外壳防护等级: IP20</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1DF38DD9">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3</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3FE6268A">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只</w:t>
            </w:r>
          </w:p>
        </w:tc>
      </w:tr>
      <w:tr w14:paraId="71599582">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1ED4FB9">
            <w:pPr>
              <w:widowControl/>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val="en-US" w:eastAsia="zh-CN" w:bidi="ar"/>
              </w:rPr>
              <w:t>17</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2E114B5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抗干扰卡</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3CBE9FCB">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1.放大器安装 明装</w:t>
            </w:r>
          </w:p>
          <w:p w14:paraId="405C24F7">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2.接地装置调试 接地网</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56F239D4">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21C8078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个</w:t>
            </w:r>
          </w:p>
        </w:tc>
      </w:tr>
      <w:tr w14:paraId="0E32FD3A">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6554765C">
            <w:pPr>
              <w:widowControl/>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kern w:val="0"/>
                <w:sz w:val="24"/>
                <w:lang w:val="en-US" w:eastAsia="zh-CN" w:bidi="ar"/>
              </w:rPr>
              <w:t>评审项</w:t>
            </w:r>
            <w:r>
              <w:rPr>
                <w:rFonts w:hint="eastAsia" w:ascii="宋体" w:hAnsi="宋体" w:cs="宋体"/>
                <w:color w:val="auto"/>
                <w:kern w:val="0"/>
                <w:sz w:val="24"/>
                <w:lang w:val="en-US" w:eastAsia="zh-CN" w:bidi="ar"/>
              </w:rPr>
              <w:t>18</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6A188CD0">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声光报警灯</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742B2C3D">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1.工作电压：AC220V，额定电流300MA；</w:t>
            </w:r>
          </w:p>
          <w:p w14:paraId="1CC99F29">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2.声压：108-120+3DB,报警方式：通电立即报警，断电停止报警；</w:t>
            </w:r>
          </w:p>
          <w:p w14:paraId="1A89053E">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3.安装方式：螺丝固定。</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497FF266">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10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46F28017">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套</w:t>
            </w:r>
          </w:p>
        </w:tc>
      </w:tr>
      <w:tr w14:paraId="2D953A7D">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40877783">
            <w:pPr>
              <w:widowControl/>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kern w:val="0"/>
                <w:sz w:val="24"/>
                <w:lang w:val="en-US" w:eastAsia="zh-CN" w:bidi="ar"/>
              </w:rPr>
              <w:t>评审项19</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14BA56E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报警传输线</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7A7EF90D">
            <w:pPr>
              <w:widowControl/>
              <w:jc w:val="left"/>
              <w:textAlignment w:val="center"/>
              <w:rPr>
                <w:rFonts w:hint="eastAsia" w:ascii="宋体" w:hAnsi="宋体" w:eastAsia="宋体" w:cs="宋体"/>
                <w:color w:val="auto"/>
                <w:sz w:val="24"/>
                <w:lang w:val="en-US" w:eastAsia="zh-CN"/>
              </w:rPr>
            </w:pPr>
            <w:r>
              <w:rPr>
                <w:rFonts w:hint="eastAsia" w:ascii="宋体" w:hAnsi="宋体" w:cs="宋体"/>
                <w:color w:val="auto"/>
                <w:kern w:val="0"/>
                <w:sz w:val="24"/>
                <w:lang w:bidi="ar"/>
              </w:rPr>
              <w:t>护套2×2.5</w:t>
            </w:r>
            <w:r>
              <w:rPr>
                <w:rFonts w:hint="eastAsia" w:ascii="宋体" w:hAnsi="宋体" w:cs="宋体"/>
                <w:color w:val="auto"/>
                <w:kern w:val="0"/>
                <w:sz w:val="24"/>
                <w:lang w:val="en-US" w:eastAsia="zh-CN" w:bidi="ar"/>
              </w:rPr>
              <w:t>mm</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107FEF7D">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1100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06AEF7CD">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米</w:t>
            </w:r>
          </w:p>
        </w:tc>
      </w:tr>
      <w:tr w14:paraId="382C8DCC">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47157384">
            <w:pPr>
              <w:widowControl/>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kern w:val="0"/>
                <w:sz w:val="24"/>
                <w:lang w:val="en-US" w:eastAsia="zh-CN" w:bidi="ar"/>
              </w:rPr>
              <w:t>评审项20</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3F22FD7B">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红色警示灯</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4AD962F9">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1.工作电压：AC220V，额定电流300MA；</w:t>
            </w:r>
          </w:p>
          <w:p w14:paraId="48DECE98">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2.声压：108-120+3DB,报警方式：通电立即报警，断电停止报警；</w:t>
            </w:r>
          </w:p>
          <w:p w14:paraId="65C5D55A">
            <w:pPr>
              <w:widowControl/>
              <w:jc w:val="left"/>
              <w:textAlignment w:val="center"/>
              <w:rPr>
                <w:rFonts w:hint="eastAsia" w:ascii="宋体" w:hAnsi="宋体" w:cs="宋体"/>
                <w:color w:val="auto"/>
                <w:sz w:val="24"/>
              </w:rPr>
            </w:pPr>
            <w:r>
              <w:rPr>
                <w:rFonts w:hint="eastAsia" w:ascii="宋体" w:hAnsi="宋体" w:cs="宋体"/>
                <w:color w:val="auto"/>
                <w:kern w:val="0"/>
                <w:sz w:val="24"/>
                <w:lang w:bidi="ar"/>
              </w:rPr>
              <w:t>3.安装方式：螺丝固定。</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4B5555D0">
            <w:pPr>
              <w:widowControl/>
              <w:jc w:val="center"/>
              <w:textAlignment w:val="center"/>
              <w:rPr>
                <w:rFonts w:hint="default" w:ascii="宋体" w:hAnsi="宋体" w:cs="宋体" w:eastAsiaTheme="minorEastAsia"/>
                <w:color w:val="auto"/>
                <w:sz w:val="24"/>
                <w:lang w:val="en-US" w:eastAsia="zh-CN"/>
              </w:rPr>
            </w:pPr>
            <w:r>
              <w:rPr>
                <w:rFonts w:hint="eastAsia" w:ascii="宋体" w:hAnsi="宋体" w:cs="宋体"/>
                <w:color w:val="auto"/>
                <w:kern w:val="0"/>
                <w:sz w:val="24"/>
                <w:lang w:val="en-US" w:eastAsia="zh-CN" w:bidi="ar"/>
              </w:rPr>
              <w:t>70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573ADFF9">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套</w:t>
            </w:r>
          </w:p>
        </w:tc>
      </w:tr>
      <w:tr w14:paraId="19BE6B31">
        <w:tblPrEx>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6AF245D0">
            <w:pPr>
              <w:widowControl/>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kern w:val="0"/>
                <w:sz w:val="24"/>
                <w:lang w:val="en-US" w:eastAsia="zh-CN" w:bidi="ar"/>
              </w:rPr>
              <w:t>评审项21</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28F7231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传输线</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54254213">
            <w:pPr>
              <w:widowControl/>
              <w:jc w:val="left"/>
              <w:textAlignment w:val="center"/>
              <w:rPr>
                <w:rFonts w:hint="eastAsia" w:ascii="宋体" w:hAnsi="宋体" w:eastAsia="宋体" w:cs="宋体"/>
                <w:color w:val="auto"/>
                <w:sz w:val="24"/>
                <w:lang w:val="en-US" w:eastAsia="zh-CN"/>
              </w:rPr>
            </w:pPr>
            <w:r>
              <w:rPr>
                <w:rFonts w:hint="eastAsia" w:ascii="宋体" w:hAnsi="宋体" w:cs="宋体"/>
                <w:color w:val="auto"/>
                <w:sz w:val="24"/>
              </w:rPr>
              <w:t>RVVP</w:t>
            </w:r>
            <w:r>
              <w:rPr>
                <w:rFonts w:hint="eastAsia" w:ascii="宋体" w:hAnsi="宋体" w:cs="宋体"/>
                <w:color w:val="auto"/>
                <w:kern w:val="0"/>
                <w:sz w:val="24"/>
                <w:lang w:bidi="ar"/>
              </w:rPr>
              <w:t>2×1.5</w:t>
            </w:r>
            <w:r>
              <w:rPr>
                <w:rFonts w:hint="eastAsia" w:ascii="宋体" w:hAnsi="宋体" w:cs="宋体"/>
                <w:color w:val="auto"/>
                <w:kern w:val="0"/>
                <w:sz w:val="24"/>
                <w:lang w:val="en-US" w:eastAsia="zh-CN" w:bidi="ar"/>
              </w:rPr>
              <w:t>mm</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321144A1">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1100</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091517C4">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米</w:t>
            </w:r>
          </w:p>
        </w:tc>
      </w:tr>
      <w:tr w14:paraId="7FA84402">
        <w:tblPrEx>
          <w:tblCellMar>
            <w:top w:w="0" w:type="dxa"/>
            <w:left w:w="108" w:type="dxa"/>
            <w:bottom w:w="0" w:type="dxa"/>
            <w:right w:w="108" w:type="dxa"/>
          </w:tblCellMar>
        </w:tblPrEx>
        <w:trPr>
          <w:trHeight w:val="1233"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06BAB7BA">
            <w:pPr>
              <w:widowControl/>
              <w:jc w:val="center"/>
              <w:textAlignment w:val="center"/>
              <w:rPr>
                <w:rFonts w:hint="default" w:ascii="宋体" w:hAnsi="宋体" w:eastAsia="宋体" w:cs="宋体"/>
                <w:color w:val="auto"/>
                <w:sz w:val="24"/>
                <w:lang w:val="en-US" w:eastAsia="zh-CN"/>
              </w:rPr>
            </w:pPr>
            <w:r>
              <w:rPr>
                <w:rFonts w:hint="eastAsia" w:ascii="宋体" w:hAnsi="宋体" w:eastAsia="宋体" w:cs="宋体"/>
                <w:color w:val="auto"/>
                <w:kern w:val="0"/>
                <w:sz w:val="24"/>
                <w:lang w:val="en-US" w:eastAsia="zh-CN" w:bidi="ar"/>
              </w:rPr>
              <w:t>评审项22</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6EC79B76">
            <w:pPr>
              <w:widowControl/>
              <w:jc w:val="center"/>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不间断电源系统</w:t>
            </w:r>
          </w:p>
          <w:p w14:paraId="7A2457F7">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在线式UPS电源</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0AC28137">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 xml:space="preserve">1.不间断电源主机安装(10kV·A) </w:t>
            </w:r>
          </w:p>
          <w:p w14:paraId="4405E0BD">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 xml:space="preserve">2.不间断电池柜安装 </w:t>
            </w:r>
          </w:p>
          <w:p w14:paraId="350F1036">
            <w:pPr>
              <w:widowControl/>
              <w:jc w:val="left"/>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bidi="ar"/>
              </w:rPr>
              <w:t>3.不间断电源切换箱安装</w:t>
            </w:r>
          </w:p>
          <w:p w14:paraId="1C4F95C6">
            <w:pPr>
              <w:widowControl/>
              <w:jc w:val="left"/>
              <w:textAlignment w:val="center"/>
              <w:rPr>
                <w:rFonts w:hint="default" w:ascii="宋体" w:hAnsi="宋体" w:eastAsia="宋体" w:cs="宋体"/>
                <w:color w:val="auto"/>
                <w:sz w:val="24"/>
                <w:lang w:val="en-US" w:eastAsia="zh-CN"/>
              </w:rPr>
            </w:pPr>
            <w:r>
              <w:rPr>
                <w:rFonts w:hint="eastAsia" w:ascii="宋体" w:hAnsi="宋体" w:cs="宋体"/>
                <w:color w:val="auto"/>
                <w:kern w:val="0"/>
                <w:sz w:val="24"/>
                <w:lang w:bidi="ar"/>
              </w:rPr>
              <w:t>4.</w:t>
            </w:r>
            <w:r>
              <w:rPr>
                <w:rFonts w:hint="eastAsia" w:ascii="宋体" w:hAnsi="宋体" w:cs="宋体"/>
                <w:color w:val="auto"/>
                <w:kern w:val="0"/>
                <w:sz w:val="24"/>
                <w:lang w:val="en-US" w:eastAsia="zh-CN" w:bidi="ar"/>
              </w:rPr>
              <w:t>备用时间4小时以上</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1BA54CF3">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1</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4B40360F">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套</w:t>
            </w:r>
          </w:p>
        </w:tc>
      </w:tr>
      <w:tr w14:paraId="0F04A604">
        <w:tblPrEx>
          <w:tblCellMar>
            <w:top w:w="0" w:type="dxa"/>
            <w:left w:w="108" w:type="dxa"/>
            <w:bottom w:w="0" w:type="dxa"/>
            <w:right w:w="108" w:type="dxa"/>
          </w:tblCellMar>
        </w:tblPrEx>
        <w:trPr>
          <w:trHeight w:val="1233"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3B21A075">
            <w:pPr>
              <w:widowControl/>
              <w:jc w:val="center"/>
              <w:textAlignment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0"/>
                <w:sz w:val="24"/>
                <w:lang w:val="en-US" w:eastAsia="zh-CN" w:bidi="ar"/>
              </w:rPr>
              <w:t>评审项23</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229E4A0D">
            <w:pPr>
              <w:widowControl/>
              <w:jc w:val="center"/>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eastAsia="zh-CN" w:bidi="ar"/>
              </w:rPr>
              <w:t>温度调节设备</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10FDA2F9">
            <w:pPr>
              <w:widowControl/>
              <w:jc w:val="left"/>
              <w:textAlignment w:val="center"/>
              <w:rPr>
                <w:rFonts w:hint="default" w:ascii="宋体" w:hAnsi="宋体" w:eastAsia="宋体" w:cs="宋体"/>
                <w:color w:val="auto"/>
                <w:kern w:val="0"/>
                <w:sz w:val="24"/>
                <w:lang w:val="en-US" w:eastAsia="zh-CN" w:bidi="ar"/>
              </w:rPr>
            </w:pPr>
            <w:r>
              <w:rPr>
                <w:rFonts w:hint="eastAsia" w:ascii="宋体" w:hAnsi="宋体" w:cs="宋体"/>
                <w:color w:val="auto"/>
                <w:kern w:val="0"/>
                <w:sz w:val="24"/>
                <w:lang w:eastAsia="zh-CN" w:bidi="ar"/>
              </w:rPr>
              <w:t>额定制冷量（</w:t>
            </w:r>
            <w:r>
              <w:rPr>
                <w:rFonts w:hint="eastAsia" w:ascii="宋体" w:hAnsi="宋体" w:cs="宋体"/>
                <w:color w:val="auto"/>
                <w:kern w:val="0"/>
                <w:sz w:val="24"/>
                <w:lang w:val="en-US" w:eastAsia="zh-CN" w:bidi="ar"/>
              </w:rPr>
              <w:t>W</w:t>
            </w:r>
            <w:r>
              <w:rPr>
                <w:rFonts w:hint="eastAsia" w:ascii="宋体" w:hAnsi="宋体" w:cs="宋体"/>
                <w:color w:val="auto"/>
                <w:kern w:val="0"/>
                <w:sz w:val="24"/>
                <w:lang w:eastAsia="zh-CN" w:bidi="ar"/>
              </w:rPr>
              <w:t>）≥</w:t>
            </w:r>
            <w:r>
              <w:rPr>
                <w:rFonts w:hint="eastAsia" w:ascii="宋体" w:hAnsi="宋体" w:cs="宋体"/>
                <w:color w:val="auto"/>
                <w:kern w:val="0"/>
                <w:sz w:val="24"/>
                <w:lang w:val="en-US" w:eastAsia="zh-CN" w:bidi="ar"/>
              </w:rPr>
              <w:t>5000,能效等级一</w:t>
            </w:r>
            <w:r>
              <w:rPr>
                <w:rFonts w:hint="eastAsia" w:ascii="宋体" w:hAnsi="宋体" w:cs="宋体"/>
                <w:color w:val="auto"/>
                <w:kern w:val="0"/>
                <w:sz w:val="24"/>
                <w:lang w:eastAsia="zh-CN" w:bidi="ar"/>
              </w:rPr>
              <w:t>级</w:t>
            </w:r>
            <w:r>
              <w:rPr>
                <w:rFonts w:hint="eastAsia" w:ascii="宋体" w:hAnsi="宋体" w:cs="宋体"/>
                <w:color w:val="auto"/>
                <w:kern w:val="0"/>
                <w:sz w:val="24"/>
                <w:lang w:val="en-US" w:eastAsia="zh-CN" w:bidi="ar"/>
              </w:rPr>
              <w:t>;制冷功率</w:t>
            </w:r>
            <w:r>
              <w:rPr>
                <w:rFonts w:hint="eastAsia" w:ascii="宋体" w:hAnsi="宋体" w:cs="宋体"/>
                <w:color w:val="auto"/>
                <w:kern w:val="0"/>
                <w:sz w:val="24"/>
                <w:lang w:eastAsia="zh-CN" w:bidi="ar"/>
              </w:rPr>
              <w:t>（</w:t>
            </w:r>
            <w:r>
              <w:rPr>
                <w:rFonts w:hint="eastAsia" w:ascii="宋体" w:hAnsi="宋体" w:cs="宋体"/>
                <w:color w:val="auto"/>
                <w:kern w:val="0"/>
                <w:sz w:val="24"/>
                <w:lang w:val="en-US" w:eastAsia="zh-CN" w:bidi="ar"/>
              </w:rPr>
              <w:t>W</w:t>
            </w:r>
            <w:r>
              <w:rPr>
                <w:rFonts w:hint="eastAsia" w:ascii="宋体" w:hAnsi="宋体" w:cs="宋体"/>
                <w:color w:val="auto"/>
                <w:kern w:val="0"/>
                <w:sz w:val="24"/>
                <w:lang w:eastAsia="zh-CN" w:bidi="ar"/>
              </w:rPr>
              <w:t>）≥</w:t>
            </w:r>
            <w:r>
              <w:rPr>
                <w:rFonts w:hint="eastAsia" w:ascii="宋体" w:hAnsi="宋体" w:cs="宋体"/>
                <w:color w:val="auto"/>
                <w:kern w:val="0"/>
                <w:sz w:val="24"/>
                <w:lang w:val="en-US" w:eastAsia="zh-CN" w:bidi="ar"/>
              </w:rPr>
              <w:t>1260.</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6018B5A3">
            <w:pPr>
              <w:widowControl/>
              <w:jc w:val="center"/>
              <w:textAlignment w:val="center"/>
              <w:rPr>
                <w:rFonts w:hint="eastAsia" w:ascii="宋体" w:hAnsi="宋体" w:eastAsia="宋体" w:cs="宋体"/>
                <w:color w:val="auto"/>
                <w:kern w:val="0"/>
                <w:sz w:val="24"/>
                <w:lang w:val="en-US" w:eastAsia="zh-CN" w:bidi="ar"/>
              </w:rPr>
            </w:pPr>
            <w:r>
              <w:rPr>
                <w:rFonts w:hint="eastAsia" w:ascii="宋体" w:hAnsi="宋体" w:cs="宋体"/>
                <w:color w:val="auto"/>
                <w:kern w:val="0"/>
                <w:sz w:val="24"/>
                <w:lang w:val="en-US" w:eastAsia="zh-CN" w:bidi="ar"/>
              </w:rPr>
              <w:t>1</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564F4EB4">
            <w:pPr>
              <w:widowControl/>
              <w:jc w:val="center"/>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eastAsia="zh-CN" w:bidi="ar"/>
              </w:rPr>
              <w:t>台</w:t>
            </w:r>
          </w:p>
        </w:tc>
      </w:tr>
      <w:tr w14:paraId="337FC67E">
        <w:tblPrEx>
          <w:tblCellMar>
            <w:top w:w="0" w:type="dxa"/>
            <w:left w:w="108" w:type="dxa"/>
            <w:bottom w:w="0" w:type="dxa"/>
            <w:right w:w="108" w:type="dxa"/>
          </w:tblCellMar>
        </w:tblPrEx>
        <w:trPr>
          <w:trHeight w:val="1233" w:hRule="atLeas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6C22E26">
            <w:pPr>
              <w:widowControl/>
              <w:jc w:val="center"/>
              <w:textAlignment w:val="center"/>
              <w:rPr>
                <w:rFonts w:hint="default" w:ascii="宋体" w:hAnsi="宋体" w:eastAsia="宋体" w:cs="宋体"/>
                <w:color w:val="auto"/>
                <w:kern w:val="0"/>
                <w:sz w:val="24"/>
                <w:lang w:val="en-US" w:eastAsia="zh-CN" w:bidi="ar"/>
              </w:rPr>
            </w:pPr>
            <w:r>
              <w:rPr>
                <w:rFonts w:hint="eastAsia" w:ascii="宋体" w:hAnsi="宋体" w:eastAsia="宋体" w:cs="宋体"/>
                <w:color w:val="auto"/>
                <w:kern w:val="0"/>
                <w:sz w:val="24"/>
                <w:lang w:val="en-US" w:eastAsia="zh-CN" w:bidi="ar"/>
              </w:rPr>
              <w:t>评审项24</w:t>
            </w:r>
          </w:p>
        </w:tc>
        <w:tc>
          <w:tcPr>
            <w:tcW w:w="1321" w:type="dxa"/>
            <w:tcBorders>
              <w:top w:val="single" w:color="000000" w:sz="4" w:space="0"/>
              <w:left w:val="single" w:color="000000" w:sz="4" w:space="0"/>
              <w:bottom w:val="single" w:color="000000" w:sz="4" w:space="0"/>
              <w:right w:val="single" w:color="000000" w:sz="4" w:space="0"/>
            </w:tcBorders>
            <w:noWrap w:val="0"/>
            <w:vAlign w:val="center"/>
          </w:tcPr>
          <w:p w14:paraId="1F6A3F87">
            <w:pPr>
              <w:widowControl/>
              <w:jc w:val="both"/>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eastAsia="zh-CN" w:bidi="ar"/>
              </w:rPr>
              <w:t>静电地板</w:t>
            </w:r>
          </w:p>
        </w:tc>
        <w:tc>
          <w:tcPr>
            <w:tcW w:w="5700" w:type="dxa"/>
            <w:tcBorders>
              <w:top w:val="single" w:color="000000" w:sz="4" w:space="0"/>
              <w:left w:val="single" w:color="000000" w:sz="4" w:space="0"/>
              <w:bottom w:val="single" w:color="000000" w:sz="4" w:space="0"/>
              <w:right w:val="single" w:color="000000" w:sz="4" w:space="0"/>
            </w:tcBorders>
            <w:noWrap w:val="0"/>
            <w:vAlign w:val="center"/>
          </w:tcPr>
          <w:p w14:paraId="31D1FEB5">
            <w:pPr>
              <w:widowControl/>
              <w:jc w:val="left"/>
              <w:textAlignment w:val="center"/>
              <w:rPr>
                <w:rFonts w:hint="default" w:ascii="宋体" w:hAnsi="宋体" w:eastAsia="宋体" w:cs="宋体"/>
                <w:color w:val="auto"/>
                <w:kern w:val="0"/>
                <w:sz w:val="24"/>
                <w:lang w:val="en-US" w:eastAsia="zh-CN" w:bidi="ar"/>
              </w:rPr>
            </w:pPr>
            <w:r>
              <w:rPr>
                <w:rFonts w:hint="eastAsia" w:ascii="宋体" w:hAnsi="宋体" w:cs="宋体"/>
                <w:color w:val="auto"/>
                <w:kern w:val="0"/>
                <w:sz w:val="24"/>
                <w:lang w:eastAsia="zh-CN" w:bidi="ar"/>
              </w:rPr>
              <w:t>包含铺设地板的相关辅材</w:t>
            </w:r>
          </w:p>
        </w:tc>
        <w:tc>
          <w:tcPr>
            <w:tcW w:w="949" w:type="dxa"/>
            <w:tcBorders>
              <w:top w:val="single" w:color="000000" w:sz="4" w:space="0"/>
              <w:left w:val="single" w:color="000000" w:sz="4" w:space="0"/>
              <w:bottom w:val="single" w:color="000000" w:sz="4" w:space="0"/>
              <w:right w:val="single" w:color="000000" w:sz="4" w:space="0"/>
            </w:tcBorders>
            <w:noWrap w:val="0"/>
            <w:vAlign w:val="center"/>
          </w:tcPr>
          <w:p w14:paraId="6B993DB6">
            <w:pPr>
              <w:widowControl/>
              <w:jc w:val="center"/>
              <w:textAlignment w:val="center"/>
              <w:rPr>
                <w:rFonts w:hint="default" w:ascii="宋体" w:hAnsi="宋体" w:eastAsia="宋体" w:cs="宋体"/>
                <w:color w:val="auto"/>
                <w:kern w:val="0"/>
                <w:sz w:val="24"/>
                <w:lang w:val="en-US" w:eastAsia="zh-CN" w:bidi="ar"/>
              </w:rPr>
            </w:pPr>
            <w:r>
              <w:rPr>
                <w:rFonts w:hint="eastAsia" w:ascii="宋体" w:hAnsi="宋体" w:cs="宋体"/>
                <w:color w:val="auto"/>
                <w:kern w:val="0"/>
                <w:sz w:val="24"/>
                <w:lang w:val="en-US" w:eastAsia="zh-CN" w:bidi="ar"/>
              </w:rPr>
              <w:t>15.8</w:t>
            </w:r>
          </w:p>
        </w:tc>
        <w:tc>
          <w:tcPr>
            <w:tcW w:w="918" w:type="dxa"/>
            <w:tcBorders>
              <w:top w:val="single" w:color="000000" w:sz="4" w:space="0"/>
              <w:left w:val="single" w:color="000000" w:sz="4" w:space="0"/>
              <w:bottom w:val="single" w:color="000000" w:sz="4" w:space="0"/>
              <w:right w:val="single" w:color="000000" w:sz="4" w:space="0"/>
            </w:tcBorders>
            <w:noWrap w:val="0"/>
            <w:vAlign w:val="center"/>
          </w:tcPr>
          <w:p w14:paraId="5537CD36">
            <w:pPr>
              <w:widowControl/>
              <w:jc w:val="center"/>
              <w:textAlignment w:val="center"/>
              <w:rPr>
                <w:rFonts w:hint="eastAsia" w:ascii="宋体" w:hAnsi="宋体" w:eastAsia="宋体" w:cs="宋体"/>
                <w:color w:val="auto"/>
                <w:kern w:val="0"/>
                <w:sz w:val="24"/>
                <w:lang w:eastAsia="zh-CN" w:bidi="ar"/>
              </w:rPr>
            </w:pPr>
            <w:r>
              <w:rPr>
                <w:rFonts w:hint="eastAsia" w:ascii="宋体" w:hAnsi="宋体" w:cs="宋体"/>
                <w:color w:val="auto"/>
                <w:kern w:val="0"/>
                <w:sz w:val="24"/>
                <w:lang w:eastAsia="zh-CN" w:bidi="ar"/>
              </w:rPr>
              <w:t>平米</w:t>
            </w:r>
          </w:p>
        </w:tc>
      </w:tr>
    </w:tbl>
    <w:p w14:paraId="2FCE44F7">
      <w:pPr>
        <w:pStyle w:val="17"/>
        <w:widowControl/>
        <w:spacing w:before="0" w:beforeAutospacing="0" w:after="0" w:afterAutospacing="0" w:line="360" w:lineRule="auto"/>
        <w:outlineLvl w:val="1"/>
        <w:rPr>
          <w:rFonts w:hint="eastAsia" w:ascii="宋体" w:hAnsi="宋体" w:cs="宋体"/>
          <w:b/>
          <w:bCs/>
          <w:color w:val="auto"/>
          <w:lang w:eastAsia="zh-CN"/>
        </w:rPr>
      </w:pPr>
    </w:p>
    <w:p w14:paraId="60A2F214">
      <w:pPr>
        <w:pStyle w:val="17"/>
        <w:widowControl/>
        <w:spacing w:before="0" w:beforeAutospacing="0" w:after="0" w:afterAutospacing="0" w:line="360" w:lineRule="auto"/>
        <w:outlineLvl w:val="1"/>
        <w:rPr>
          <w:rFonts w:ascii="宋体" w:hAnsi="宋体" w:cs="宋体"/>
          <w:b/>
          <w:bCs/>
          <w:color w:val="auto"/>
        </w:rPr>
      </w:pPr>
      <w:r>
        <w:rPr>
          <w:rFonts w:hint="eastAsia" w:ascii="宋体" w:hAnsi="宋体" w:cs="宋体"/>
          <w:b/>
          <w:bCs/>
          <w:color w:val="auto"/>
        </w:rPr>
        <w:t>三、商务条件（以下内容均为不允许负偏离的实质性要求）</w:t>
      </w:r>
    </w:p>
    <w:p w14:paraId="5D0D1650">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Pr>
          <w:rFonts w:hint="eastAsia" w:ascii="宋体" w:hAnsi="宋体" w:eastAsia="宋体" w:cs="宋体"/>
          <w:b/>
          <w:bCs/>
          <w:color w:val="auto"/>
          <w:sz w:val="24"/>
          <w:szCs w:val="24"/>
        </w:rPr>
      </w:pPr>
      <w:bookmarkStart w:id="23" w:name="OLE_LINK13"/>
      <w:r>
        <w:rPr>
          <w:rFonts w:hint="eastAsia" w:ascii="宋体" w:hAnsi="宋体" w:eastAsia="宋体" w:cs="宋体"/>
          <w:b/>
          <w:bCs/>
          <w:color w:val="auto"/>
          <w:sz w:val="24"/>
          <w:szCs w:val="24"/>
        </w:rPr>
        <w:t>包：1</w:t>
      </w:r>
    </w:p>
    <w:p w14:paraId="0B57C7B9">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Pr>
          <w:rFonts w:hint="eastAsia" w:ascii="宋体" w:hAnsi="宋体" w:eastAsia="宋体" w:cs="宋体"/>
          <w:bCs/>
          <w:color w:val="auto"/>
          <w:sz w:val="24"/>
          <w:szCs w:val="24"/>
        </w:rPr>
      </w:pPr>
      <w:r>
        <w:rPr>
          <w:rFonts w:hint="eastAsia" w:ascii="宋体" w:hAnsi="宋体" w:eastAsia="宋体" w:cs="宋体"/>
          <w:b/>
          <w:bCs w:val="0"/>
          <w:color w:val="auto"/>
          <w:sz w:val="24"/>
          <w:szCs w:val="24"/>
        </w:rPr>
        <w:t>1、</w:t>
      </w:r>
      <w:r>
        <w:rPr>
          <w:rFonts w:hint="eastAsia" w:ascii="宋体" w:hAnsi="宋体" w:eastAsia="宋体" w:cs="宋体"/>
          <w:b/>
          <w:bCs w:val="0"/>
          <w:color w:val="auto"/>
          <w:sz w:val="24"/>
          <w:szCs w:val="24"/>
          <w:lang w:val="en-US" w:eastAsia="zh-CN"/>
        </w:rPr>
        <w:t>施工地点</w:t>
      </w:r>
      <w:r>
        <w:rPr>
          <w:rFonts w:hint="eastAsia" w:ascii="宋体" w:hAnsi="宋体" w:eastAsia="宋体" w:cs="宋体"/>
          <w:b w:val="0"/>
          <w:bCs w:val="0"/>
          <w:color w:val="auto"/>
          <w:sz w:val="24"/>
          <w:szCs w:val="24"/>
          <w:lang w:val="en-US" w:eastAsia="zh-CN"/>
        </w:rPr>
        <w:t>：采购人指定地点</w:t>
      </w:r>
      <w:r>
        <w:rPr>
          <w:rFonts w:hint="eastAsia" w:ascii="宋体" w:hAnsi="宋体" w:eastAsia="宋体" w:cs="宋体"/>
          <w:bCs/>
          <w:color w:val="auto"/>
          <w:sz w:val="24"/>
          <w:szCs w:val="24"/>
        </w:rPr>
        <w:t>。</w:t>
      </w:r>
    </w:p>
    <w:p w14:paraId="6CF54090">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Pr>
          <w:rFonts w:hint="eastAsia" w:ascii="宋体" w:hAnsi="宋体" w:eastAsia="宋体" w:cs="宋体"/>
          <w:bCs/>
          <w:color w:val="auto"/>
          <w:sz w:val="24"/>
          <w:szCs w:val="24"/>
          <w:lang w:val="en-US" w:eastAsia="zh-CN"/>
        </w:rPr>
      </w:pPr>
      <w:r>
        <w:rPr>
          <w:rFonts w:hint="eastAsia" w:ascii="宋体" w:hAnsi="宋体" w:eastAsia="宋体" w:cs="宋体"/>
          <w:b/>
          <w:bCs w:val="0"/>
          <w:color w:val="auto"/>
          <w:sz w:val="24"/>
          <w:szCs w:val="24"/>
        </w:rPr>
        <w:t>2、</w:t>
      </w:r>
      <w:r>
        <w:rPr>
          <w:rFonts w:hint="eastAsia" w:ascii="宋体" w:hAnsi="宋体" w:eastAsia="宋体" w:cs="宋体"/>
          <w:b/>
          <w:bCs w:val="0"/>
          <w:color w:val="auto"/>
          <w:sz w:val="24"/>
          <w:szCs w:val="24"/>
          <w:lang w:val="en-US" w:eastAsia="zh-CN"/>
        </w:rPr>
        <w:t>合同期限</w:t>
      </w:r>
      <w:r>
        <w:rPr>
          <w:rFonts w:hint="eastAsia" w:ascii="宋体" w:hAnsi="宋体" w:eastAsia="宋体" w:cs="宋体"/>
          <w:b/>
          <w:bCs w:val="0"/>
          <w:color w:val="auto"/>
          <w:sz w:val="24"/>
          <w:szCs w:val="24"/>
        </w:rPr>
        <w:t>：</w:t>
      </w:r>
      <w:r>
        <w:rPr>
          <w:rFonts w:hint="eastAsia" w:ascii="宋体" w:hAnsi="宋体" w:eastAsia="宋体" w:cs="宋体"/>
          <w:bCs/>
          <w:color w:val="auto"/>
          <w:sz w:val="24"/>
          <w:szCs w:val="24"/>
          <w:lang w:val="en-US" w:eastAsia="zh-CN"/>
        </w:rPr>
        <w:t>自合同签订之日起80日内完工</w:t>
      </w:r>
    </w:p>
    <w:p w14:paraId="05C1B9D0">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Pr>
          <w:rFonts w:hint="eastAsia" w:ascii="宋体" w:hAnsi="宋体" w:eastAsia="宋体" w:cs="宋体"/>
          <w:bCs/>
          <w:color w:val="auto"/>
          <w:sz w:val="24"/>
          <w:szCs w:val="24"/>
        </w:rPr>
      </w:pPr>
      <w:r>
        <w:rPr>
          <w:rFonts w:hint="eastAsia" w:ascii="宋体" w:hAnsi="宋体" w:eastAsia="宋体" w:cs="宋体"/>
          <w:b/>
          <w:bCs w:val="0"/>
          <w:color w:val="auto"/>
          <w:sz w:val="24"/>
          <w:szCs w:val="24"/>
        </w:rPr>
        <w:t>3、交付条件</w:t>
      </w:r>
      <w:r>
        <w:rPr>
          <w:rFonts w:hint="eastAsia" w:ascii="宋体" w:hAnsi="宋体" w:eastAsia="宋体" w:cs="宋体"/>
          <w:bCs/>
          <w:color w:val="auto"/>
          <w:sz w:val="24"/>
          <w:szCs w:val="24"/>
        </w:rPr>
        <w:t>：经采购人验收合格。</w:t>
      </w:r>
    </w:p>
    <w:p w14:paraId="6DA72775">
      <w:pPr>
        <w:pStyle w:val="3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val="0"/>
          <w:color w:val="auto"/>
          <w:sz w:val="24"/>
          <w:szCs w:val="24"/>
        </w:rPr>
        <w:t>4、是否收取履约保证金：</w:t>
      </w:r>
      <w:r>
        <w:rPr>
          <w:rFonts w:hint="eastAsia" w:ascii="宋体" w:hAnsi="宋体" w:eastAsia="宋体" w:cs="宋体"/>
          <w:bCs/>
          <w:color w:val="auto"/>
          <w:sz w:val="24"/>
          <w:szCs w:val="24"/>
        </w:rPr>
        <w:t>是，说明：</w:t>
      </w:r>
      <w:r>
        <w:rPr>
          <w:rFonts w:hint="eastAsia" w:ascii="宋体" w:hAnsi="宋体" w:eastAsia="宋体" w:cs="宋体"/>
          <w:b w:val="0"/>
          <w:bCs w:val="0"/>
          <w:color w:val="auto"/>
          <w:sz w:val="24"/>
          <w:szCs w:val="24"/>
          <w:lang w:val="en-US" w:eastAsia="zh-CN"/>
        </w:rPr>
        <w:t>成交人应在合同签订前向采购人缴纳合同金额的5%作为履约保证金（若成交人为中小企业，则向采购人缴纳合同金额的4%作为履约保证金），履约保证金以银行转账形式提交。履约保证金在合同期满且经采购人确认双方无未了事项后，采购人在收到成交供应商书面申请后30日内无息退还。</w:t>
      </w:r>
    </w:p>
    <w:p w14:paraId="40185DC6">
      <w:pPr>
        <w:pStyle w:val="17"/>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0" w:leftChars="0"/>
        <w:rPr>
          <w:rFonts w:hint="eastAsia" w:ascii="宋体" w:hAnsi="宋体" w:eastAsia="宋体" w:cs="宋体"/>
          <w:bCs/>
          <w:color w:val="auto"/>
          <w:sz w:val="24"/>
          <w:szCs w:val="24"/>
        </w:rPr>
      </w:pPr>
      <w:r>
        <w:rPr>
          <w:rFonts w:hint="eastAsia" w:ascii="宋体" w:hAnsi="宋体" w:eastAsia="宋体" w:cs="宋体"/>
          <w:b/>
          <w:bCs w:val="0"/>
          <w:color w:val="auto"/>
          <w:sz w:val="24"/>
          <w:szCs w:val="24"/>
        </w:rPr>
        <w:t>5、是否邀请供应商参与验收：</w:t>
      </w:r>
      <w:r>
        <w:rPr>
          <w:rFonts w:hint="eastAsia" w:ascii="宋体" w:hAnsi="宋体" w:eastAsia="宋体" w:cs="宋体"/>
          <w:bCs/>
          <w:color w:val="auto"/>
          <w:sz w:val="24"/>
          <w:szCs w:val="24"/>
        </w:rPr>
        <w:t>否</w:t>
      </w:r>
    </w:p>
    <w:p w14:paraId="20DFFC2D">
      <w:pPr>
        <w:pStyle w:val="3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val="0"/>
          <w:color w:val="auto"/>
          <w:sz w:val="24"/>
          <w:szCs w:val="24"/>
        </w:rPr>
        <w:t>6、</w:t>
      </w:r>
      <w:r>
        <w:rPr>
          <w:rFonts w:hint="eastAsia" w:ascii="宋体" w:hAnsi="宋体" w:eastAsia="宋体" w:cs="宋体"/>
          <w:b/>
          <w:bCs w:val="0"/>
          <w:color w:val="auto"/>
          <w:sz w:val="24"/>
          <w:szCs w:val="24"/>
          <w:lang w:val="en-US" w:eastAsia="zh-CN"/>
        </w:rPr>
        <w:t>验收方式：</w:t>
      </w:r>
      <w:r>
        <w:rPr>
          <w:rFonts w:hint="eastAsia" w:ascii="宋体" w:hAnsi="宋体" w:eastAsia="宋体" w:cs="宋体"/>
          <w:b w:val="0"/>
          <w:bCs w:val="0"/>
          <w:color w:val="auto"/>
          <w:sz w:val="24"/>
          <w:szCs w:val="24"/>
          <w:lang w:val="en-US" w:eastAsia="zh-CN"/>
        </w:rPr>
        <w:t>工程竣工后，成交人向采购人提交验收申请，采购人组织相关部门进行现场验收。</w:t>
      </w:r>
    </w:p>
    <w:p w14:paraId="7DDF7AB6">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z w:val="24"/>
          <w:szCs w:val="24"/>
          <w:lang w:val="en-US" w:eastAsia="zh-CN"/>
        </w:rPr>
        <w:t>7、验收标准：</w:t>
      </w:r>
      <w:r>
        <w:rPr>
          <w:rFonts w:hint="eastAsia" w:ascii="宋体" w:hAnsi="宋体" w:eastAsia="宋体" w:cs="宋体"/>
          <w:b w:val="0"/>
          <w:bCs w:val="0"/>
          <w:color w:val="auto"/>
          <w:sz w:val="24"/>
          <w:szCs w:val="24"/>
          <w:lang w:val="en-US" w:eastAsia="zh-CN"/>
        </w:rPr>
        <w:t>按照工程的工程量清单、图纸、操作规程、施工合同及磋商文件等材料进行验收。成交人</w:t>
      </w:r>
      <w:r>
        <w:rPr>
          <w:rFonts w:hint="eastAsia" w:ascii="宋体" w:hAnsi="宋体" w:eastAsia="宋体" w:cs="宋体"/>
          <w:b w:val="0"/>
          <w:bCs w:val="0"/>
          <w:color w:val="auto"/>
          <w:sz w:val="24"/>
          <w:szCs w:val="24"/>
        </w:rPr>
        <w:t>必须将高压电网所有配套设备安装调试完毕，达到方案中所要求的技术要求，如不能通过测试，设备须无条件退回或更换。</w:t>
      </w:r>
      <w:r>
        <w:rPr>
          <w:rStyle w:val="26"/>
          <w:rFonts w:hint="eastAsia" w:ascii="宋体" w:hAnsi="宋体" w:eastAsia="宋体" w:cs="宋体"/>
          <w:color w:val="auto"/>
          <w:spacing w:val="0"/>
          <w:sz w:val="24"/>
          <w:szCs w:val="24"/>
        </w:rPr>
        <w:t>安装调试完毕后，</w:t>
      </w:r>
      <w:r>
        <w:rPr>
          <w:rStyle w:val="26"/>
          <w:rFonts w:hint="eastAsia" w:ascii="宋体" w:hAnsi="宋体" w:eastAsia="宋体" w:cs="宋体"/>
          <w:color w:val="auto"/>
          <w:spacing w:val="0"/>
          <w:sz w:val="24"/>
          <w:szCs w:val="24"/>
          <w:lang w:eastAsia="zh-CN"/>
        </w:rPr>
        <w:t>由采购人委托</w:t>
      </w:r>
      <w:r>
        <w:rPr>
          <w:rStyle w:val="26"/>
          <w:rFonts w:hint="eastAsia" w:ascii="宋体" w:hAnsi="宋体" w:eastAsia="宋体" w:cs="宋体"/>
          <w:color w:val="auto"/>
          <w:spacing w:val="0"/>
          <w:sz w:val="24"/>
          <w:szCs w:val="24"/>
        </w:rPr>
        <w:t>公安部下属有资质验收高压电网的专业权威检测机构进行</w:t>
      </w:r>
      <w:r>
        <w:rPr>
          <w:rStyle w:val="26"/>
          <w:rFonts w:hint="eastAsia" w:ascii="宋体" w:hAnsi="宋体" w:eastAsia="宋体" w:cs="宋体"/>
          <w:color w:val="auto"/>
          <w:spacing w:val="0"/>
          <w:sz w:val="24"/>
          <w:szCs w:val="24"/>
          <w:lang w:eastAsia="zh-CN"/>
        </w:rPr>
        <w:t>检测</w:t>
      </w:r>
      <w:r>
        <w:rPr>
          <w:rStyle w:val="26"/>
          <w:rFonts w:hint="eastAsia" w:ascii="宋体" w:hAnsi="宋体" w:eastAsia="宋体" w:cs="宋体"/>
          <w:color w:val="auto"/>
          <w:spacing w:val="0"/>
          <w:sz w:val="24"/>
          <w:szCs w:val="24"/>
        </w:rPr>
        <w:t>，并</w:t>
      </w:r>
      <w:r>
        <w:rPr>
          <w:rStyle w:val="26"/>
          <w:rFonts w:hint="eastAsia" w:ascii="宋体" w:hAnsi="宋体" w:eastAsia="宋体" w:cs="宋体"/>
          <w:color w:val="auto"/>
          <w:spacing w:val="0"/>
          <w:sz w:val="24"/>
          <w:szCs w:val="24"/>
          <w:lang w:eastAsia="zh-CN"/>
        </w:rPr>
        <w:t>由第三方检测机构</w:t>
      </w:r>
      <w:r>
        <w:rPr>
          <w:rStyle w:val="26"/>
          <w:rFonts w:hint="eastAsia" w:ascii="宋体" w:hAnsi="宋体" w:eastAsia="宋体" w:cs="宋体"/>
          <w:color w:val="auto"/>
          <w:spacing w:val="0"/>
          <w:sz w:val="24"/>
          <w:szCs w:val="24"/>
        </w:rPr>
        <w:t>出具</w:t>
      </w:r>
      <w:r>
        <w:rPr>
          <w:rStyle w:val="26"/>
          <w:rFonts w:hint="eastAsia" w:ascii="宋体" w:hAnsi="宋体" w:eastAsia="宋体" w:cs="宋体"/>
          <w:color w:val="auto"/>
          <w:spacing w:val="0"/>
          <w:sz w:val="24"/>
          <w:szCs w:val="24"/>
          <w:lang w:eastAsia="zh-CN"/>
        </w:rPr>
        <w:t>检测</w:t>
      </w:r>
      <w:r>
        <w:rPr>
          <w:rStyle w:val="26"/>
          <w:rFonts w:hint="eastAsia" w:ascii="宋体" w:hAnsi="宋体" w:eastAsia="宋体" w:cs="宋体"/>
          <w:color w:val="auto"/>
          <w:spacing w:val="0"/>
          <w:sz w:val="24"/>
          <w:szCs w:val="24"/>
        </w:rPr>
        <w:t>报告</w:t>
      </w:r>
      <w:r>
        <w:rPr>
          <w:rStyle w:val="26"/>
          <w:rFonts w:hint="eastAsia" w:ascii="宋体" w:hAnsi="宋体" w:eastAsia="宋体" w:cs="宋体"/>
          <w:color w:val="auto"/>
          <w:spacing w:val="0"/>
          <w:sz w:val="24"/>
          <w:szCs w:val="24"/>
          <w:lang w:eastAsia="zh-CN"/>
        </w:rPr>
        <w:t>，如出具的检测报告内容不符合</w:t>
      </w:r>
      <w:r>
        <w:rPr>
          <w:rStyle w:val="26"/>
          <w:rFonts w:hint="eastAsia" w:ascii="宋体" w:hAnsi="宋体" w:eastAsia="宋体" w:cs="宋体"/>
          <w:color w:val="auto"/>
          <w:spacing w:val="0"/>
          <w:sz w:val="24"/>
          <w:szCs w:val="24"/>
          <w:lang w:val="en-US" w:eastAsia="zh-CN"/>
        </w:rPr>
        <w:t>竞争性磋商</w:t>
      </w:r>
      <w:r>
        <w:rPr>
          <w:rStyle w:val="26"/>
          <w:rFonts w:hint="eastAsia" w:ascii="宋体" w:hAnsi="宋体" w:eastAsia="宋体" w:cs="宋体"/>
          <w:color w:val="auto"/>
          <w:spacing w:val="0"/>
          <w:sz w:val="24"/>
          <w:szCs w:val="24"/>
          <w:lang w:eastAsia="zh-CN"/>
        </w:rPr>
        <w:t>文件及合同要求，则</w:t>
      </w:r>
      <w:r>
        <w:rPr>
          <w:rStyle w:val="26"/>
          <w:rFonts w:hint="eastAsia" w:ascii="宋体" w:hAnsi="宋体" w:eastAsia="宋体" w:cs="宋体"/>
          <w:color w:val="auto"/>
          <w:spacing w:val="0"/>
          <w:sz w:val="24"/>
          <w:szCs w:val="24"/>
          <w:lang w:val="en-US" w:eastAsia="zh-CN"/>
        </w:rPr>
        <w:t>成交人</w:t>
      </w:r>
      <w:r>
        <w:rPr>
          <w:rStyle w:val="26"/>
          <w:rFonts w:hint="eastAsia" w:ascii="宋体" w:hAnsi="宋体" w:eastAsia="宋体" w:cs="宋体"/>
          <w:color w:val="auto"/>
          <w:spacing w:val="0"/>
          <w:sz w:val="24"/>
          <w:szCs w:val="24"/>
          <w:lang w:eastAsia="zh-CN"/>
        </w:rPr>
        <w:t>须重新更换合格的设备，直至第三方检测机构检测合格为止，验收过程中第三方检测机构的检测</w:t>
      </w:r>
      <w:r>
        <w:rPr>
          <w:rStyle w:val="26"/>
          <w:rFonts w:hint="eastAsia" w:ascii="宋体" w:hAnsi="宋体" w:eastAsia="宋体" w:cs="宋体"/>
          <w:color w:val="auto"/>
          <w:spacing w:val="0"/>
          <w:sz w:val="24"/>
          <w:szCs w:val="24"/>
          <w:lang w:val="en-US" w:eastAsia="zh-CN"/>
        </w:rPr>
        <w:t>费用含在成交金额中；</w:t>
      </w:r>
    </w:p>
    <w:p w14:paraId="350EC676">
      <w:pPr>
        <w:pStyle w:val="37"/>
        <w:keepNext w:val="0"/>
        <w:keepLines w:val="0"/>
        <w:pageBreakBefore w:val="0"/>
        <w:widowControl/>
        <w:kinsoku/>
        <w:wordWrap/>
        <w:overflowPunct/>
        <w:topLinePunct w:val="0"/>
        <w:autoSpaceDE/>
        <w:autoSpaceDN/>
        <w:bidi w:val="0"/>
        <w:adjustRightInd/>
        <w:snapToGrid/>
        <w:spacing w:line="400" w:lineRule="exact"/>
        <w:ind w:firstLine="482"/>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rPr>
        <w:t>现场检查</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包括检查电网线的架设，报警器、供电系统、高压设备的安装、工艺、质量是否符合设计要求；操作规程、规章制度是否制定。符合设计要求且已制定操作规程、制度的为合格。</w:t>
      </w:r>
      <w:r>
        <w:rPr>
          <w:rFonts w:hint="eastAsia" w:ascii="宋体" w:hAnsi="宋体" w:eastAsia="宋体" w:cs="宋体"/>
          <w:color w:val="auto"/>
          <w:spacing w:val="-4"/>
          <w:sz w:val="24"/>
          <w:szCs w:val="24"/>
        </w:rPr>
        <w:t>常规性试验。用一头约100公斤的动物和约3公斤的动物2只分别进行单线及线间触网试验；观察动物对地触网时的反应及电压是否足够，触网时瞬间被击倒或击死且产生警报和自动打印触网警情的为试验合格。</w:t>
      </w:r>
    </w:p>
    <w:p w14:paraId="096E9B9A">
      <w:pPr>
        <w:pStyle w:val="3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8、结算方式：</w:t>
      </w:r>
      <w:r>
        <w:rPr>
          <w:rFonts w:hint="eastAsia" w:ascii="宋体" w:hAnsi="宋体"/>
          <w:color w:val="auto"/>
          <w:sz w:val="24"/>
          <w:lang w:val="en-US" w:eastAsia="zh-CN"/>
        </w:rPr>
        <w:t>成交人</w:t>
      </w:r>
      <w:r>
        <w:rPr>
          <w:rFonts w:hint="eastAsia" w:ascii="宋体" w:hAnsi="宋体"/>
          <w:color w:val="auto"/>
          <w:sz w:val="24"/>
        </w:rPr>
        <w:t>按合同规定时间</w:t>
      </w:r>
      <w:r>
        <w:rPr>
          <w:rFonts w:hint="eastAsia" w:ascii="宋体" w:hAnsi="宋体"/>
          <w:color w:val="auto"/>
          <w:sz w:val="24"/>
          <w:lang w:val="en-US" w:eastAsia="zh-CN"/>
        </w:rPr>
        <w:t>80日</w:t>
      </w:r>
      <w:r>
        <w:rPr>
          <w:rFonts w:hint="eastAsia" w:ascii="宋体" w:hAnsi="宋体" w:eastAsia="宋体" w:cs="宋体"/>
          <w:bCs/>
          <w:color w:val="auto"/>
          <w:sz w:val="24"/>
          <w:szCs w:val="24"/>
          <w:lang w:val="en-US" w:eastAsia="zh-CN"/>
        </w:rPr>
        <w:t>内完工</w:t>
      </w:r>
      <w:r>
        <w:rPr>
          <w:rFonts w:hint="eastAsia" w:ascii="宋体" w:hAnsi="宋体"/>
          <w:color w:val="auto"/>
          <w:sz w:val="24"/>
          <w:lang w:eastAsia="zh-CN"/>
        </w:rPr>
        <w:t>，</w:t>
      </w:r>
      <w:r>
        <w:rPr>
          <w:rFonts w:hint="eastAsia" w:ascii="宋体" w:hAnsi="宋体" w:eastAsia="宋体" w:cs="宋体"/>
          <w:b w:val="0"/>
          <w:bCs w:val="0"/>
          <w:color w:val="auto"/>
          <w:sz w:val="24"/>
          <w:szCs w:val="24"/>
        </w:rPr>
        <w:t>将高压电网所有配套设备安装调试完毕</w:t>
      </w:r>
      <w:r>
        <w:rPr>
          <w:rFonts w:hint="eastAsia" w:ascii="宋体" w:hAnsi="宋体" w:eastAsia="宋体" w:cs="宋体"/>
          <w:b w:val="0"/>
          <w:bCs w:val="0"/>
          <w:color w:val="auto"/>
          <w:sz w:val="24"/>
          <w:szCs w:val="24"/>
          <w:lang w:eastAsia="zh-CN"/>
        </w:rPr>
        <w:t>。</w:t>
      </w:r>
      <w:r>
        <w:rPr>
          <w:rFonts w:hint="eastAsia" w:ascii="宋体" w:hAnsi="宋体"/>
          <w:color w:val="auto"/>
          <w:sz w:val="24"/>
        </w:rPr>
        <w:t>采购人在收到</w:t>
      </w:r>
      <w:bookmarkStart w:id="24" w:name="OLE_LINK23"/>
      <w:r>
        <w:rPr>
          <w:rFonts w:hint="eastAsia" w:ascii="宋体" w:hAnsi="宋体"/>
          <w:color w:val="auto"/>
          <w:sz w:val="24"/>
          <w:lang w:val="en-US" w:eastAsia="zh-CN"/>
        </w:rPr>
        <w:t>成交人</w:t>
      </w:r>
      <w:bookmarkEnd w:id="24"/>
      <w:r>
        <w:rPr>
          <w:rFonts w:hint="eastAsia" w:ascii="宋体" w:hAnsi="宋体"/>
          <w:color w:val="auto"/>
          <w:sz w:val="24"/>
        </w:rPr>
        <w:t>提交</w:t>
      </w:r>
      <w:r>
        <w:rPr>
          <w:rFonts w:hint="eastAsia" w:ascii="宋体" w:hAnsi="宋体"/>
          <w:color w:val="auto"/>
          <w:sz w:val="24"/>
          <w:lang w:eastAsia="zh-CN"/>
        </w:rPr>
        <w:t>合同金额的</w:t>
      </w:r>
      <w:r>
        <w:rPr>
          <w:rFonts w:hint="eastAsia" w:ascii="宋体" w:hAnsi="宋体"/>
          <w:color w:val="auto"/>
          <w:sz w:val="24"/>
          <w:lang w:val="en-US" w:eastAsia="zh-CN"/>
        </w:rPr>
        <w:t>70%</w:t>
      </w:r>
      <w:r>
        <w:rPr>
          <w:rFonts w:hint="eastAsia" w:ascii="宋体" w:hAnsi="宋体"/>
          <w:color w:val="auto"/>
          <w:sz w:val="24"/>
        </w:rPr>
        <w:t>等额</w:t>
      </w:r>
      <w:r>
        <w:rPr>
          <w:rFonts w:hint="eastAsia" w:ascii="宋体" w:hAnsi="宋体"/>
          <w:color w:val="auto"/>
          <w:sz w:val="24"/>
          <w:lang w:eastAsia="zh-CN"/>
        </w:rPr>
        <w:t>税务</w:t>
      </w:r>
      <w:r>
        <w:rPr>
          <w:rFonts w:hint="eastAsia" w:ascii="宋体" w:hAnsi="宋体"/>
          <w:color w:val="auto"/>
          <w:sz w:val="24"/>
        </w:rPr>
        <w:t>发票等相关材料支付</w:t>
      </w:r>
      <w:r>
        <w:rPr>
          <w:rFonts w:hint="eastAsia" w:ascii="宋体" w:hAnsi="宋体"/>
          <w:color w:val="auto"/>
          <w:sz w:val="24"/>
          <w:lang w:eastAsia="zh-CN"/>
        </w:rPr>
        <w:t>至</w:t>
      </w:r>
      <w:r>
        <w:rPr>
          <w:rFonts w:hint="eastAsia" w:ascii="宋体" w:hAnsi="宋体" w:eastAsia="宋体" w:cs="宋体"/>
          <w:color w:val="auto"/>
          <w:kern w:val="0"/>
          <w:sz w:val="24"/>
          <w:szCs w:val="24"/>
          <w:lang w:val="en-US" w:eastAsia="zh-CN" w:bidi="ar"/>
        </w:rPr>
        <w:t>合同款70%。</w:t>
      </w:r>
      <w:r>
        <w:rPr>
          <w:rFonts w:hint="eastAsia" w:ascii="宋体" w:hAnsi="宋体"/>
          <w:color w:val="auto"/>
          <w:sz w:val="24"/>
        </w:rPr>
        <w:t>最终验收合格后，</w:t>
      </w:r>
      <w:r>
        <w:rPr>
          <w:rFonts w:hint="eastAsia" w:ascii="宋体" w:hAnsi="宋体"/>
          <w:color w:val="auto"/>
          <w:sz w:val="24"/>
          <w:lang w:val="en-US" w:eastAsia="zh-CN"/>
        </w:rPr>
        <w:t>成交人</w:t>
      </w:r>
      <w:r>
        <w:rPr>
          <w:rFonts w:hint="eastAsia" w:ascii="宋体" w:hAnsi="宋体"/>
          <w:color w:val="auto"/>
          <w:sz w:val="24"/>
        </w:rPr>
        <w:t>提交</w:t>
      </w:r>
      <w:r>
        <w:rPr>
          <w:rFonts w:hint="eastAsia" w:ascii="宋体" w:hAnsi="宋体"/>
          <w:color w:val="auto"/>
          <w:sz w:val="24"/>
          <w:lang w:eastAsia="zh-CN"/>
        </w:rPr>
        <w:t>结算审核尾款的</w:t>
      </w:r>
      <w:r>
        <w:rPr>
          <w:rFonts w:hint="eastAsia" w:ascii="宋体" w:hAnsi="宋体"/>
          <w:color w:val="auto"/>
          <w:sz w:val="24"/>
        </w:rPr>
        <w:t>等额发票</w:t>
      </w:r>
      <w:r>
        <w:rPr>
          <w:rFonts w:hint="eastAsia" w:ascii="宋体" w:hAnsi="宋体"/>
          <w:color w:val="auto"/>
          <w:sz w:val="24"/>
          <w:lang w:eastAsia="zh-CN"/>
        </w:rPr>
        <w:t>及</w:t>
      </w:r>
      <w:r>
        <w:rPr>
          <w:rFonts w:hint="eastAsia" w:ascii="宋体" w:hAnsi="宋体"/>
          <w:color w:val="auto"/>
          <w:sz w:val="24"/>
        </w:rPr>
        <w:t>相关材料</w:t>
      </w:r>
      <w:r>
        <w:rPr>
          <w:rFonts w:hint="eastAsia" w:ascii="宋体" w:hAnsi="宋体"/>
          <w:color w:val="auto"/>
          <w:sz w:val="24"/>
          <w:lang w:eastAsia="zh-CN"/>
        </w:rPr>
        <w:t>，采购人</w:t>
      </w:r>
      <w:r>
        <w:rPr>
          <w:rFonts w:hint="eastAsia" w:ascii="宋体" w:hAnsi="宋体"/>
          <w:color w:val="auto"/>
          <w:sz w:val="24"/>
          <w:lang w:val="en-US" w:eastAsia="zh-CN"/>
        </w:rPr>
        <w:t>10</w:t>
      </w:r>
      <w:r>
        <w:rPr>
          <w:rFonts w:hint="eastAsia" w:ascii="宋体" w:hAnsi="宋体"/>
          <w:color w:val="auto"/>
          <w:sz w:val="24"/>
        </w:rPr>
        <w:t>日内支付</w:t>
      </w:r>
      <w:r>
        <w:rPr>
          <w:rFonts w:hint="eastAsia" w:ascii="宋体" w:hAnsi="宋体"/>
          <w:color w:val="auto"/>
          <w:sz w:val="24"/>
          <w:lang w:eastAsia="zh-CN"/>
        </w:rPr>
        <w:t>至</w:t>
      </w:r>
      <w:r>
        <w:rPr>
          <w:rFonts w:hint="eastAsia" w:ascii="宋体" w:hAnsi="宋体" w:eastAsia="宋体" w:cs="宋体"/>
          <w:color w:val="auto"/>
          <w:kern w:val="0"/>
          <w:sz w:val="24"/>
          <w:szCs w:val="24"/>
          <w:lang w:val="en-US" w:eastAsia="zh-CN" w:bidi="ar"/>
        </w:rPr>
        <w:t>结算款100%</w:t>
      </w:r>
      <w:r>
        <w:rPr>
          <w:rFonts w:hint="eastAsia" w:ascii="宋体" w:hAnsi="宋体"/>
          <w:color w:val="auto"/>
          <w:sz w:val="24"/>
        </w:rPr>
        <w:t>到</w:t>
      </w:r>
      <w:r>
        <w:rPr>
          <w:rFonts w:hint="eastAsia" w:ascii="宋体" w:hAnsi="宋体"/>
          <w:color w:val="auto"/>
          <w:sz w:val="24"/>
          <w:lang w:eastAsia="zh-CN"/>
        </w:rPr>
        <w:t>成交人</w:t>
      </w:r>
      <w:r>
        <w:rPr>
          <w:rFonts w:hint="eastAsia" w:ascii="宋体" w:hAnsi="宋体"/>
          <w:color w:val="auto"/>
          <w:sz w:val="24"/>
        </w:rPr>
        <w:t>账户。</w:t>
      </w:r>
    </w:p>
    <w:p w14:paraId="3784798B">
      <w:pPr>
        <w:pStyle w:val="37"/>
        <w:keepNext w:val="0"/>
        <w:keepLines w:val="0"/>
        <w:pageBreakBefore w:val="0"/>
        <w:widowControl/>
        <w:kinsoku/>
        <w:wordWrap/>
        <w:overflowPunct/>
        <w:topLinePunct w:val="0"/>
        <w:autoSpaceDE/>
        <w:autoSpaceDN/>
        <w:bidi w:val="0"/>
        <w:adjustRightInd/>
        <w:snapToGrid/>
        <w:spacing w:line="400" w:lineRule="exact"/>
        <w:jc w:val="both"/>
        <w:textAlignment w:val="auto"/>
        <w:rPr>
          <w:b/>
          <w:bCs w:val="0"/>
          <w:color w:val="auto"/>
        </w:rPr>
      </w:pPr>
      <w:r>
        <w:rPr>
          <w:rFonts w:hint="eastAsia" w:ascii="宋体" w:hAnsi="宋体" w:eastAsia="宋体" w:cs="宋体"/>
          <w:b/>
          <w:bCs w:val="0"/>
          <w:color w:val="auto"/>
          <w:sz w:val="24"/>
          <w:lang w:val="en-US" w:eastAsia="zh-CN"/>
        </w:rPr>
        <w:t>9、</w:t>
      </w:r>
      <w:r>
        <w:rPr>
          <w:rFonts w:ascii="宋体" w:hAnsi="宋体" w:eastAsia="宋体" w:cs="宋体"/>
          <w:b/>
          <w:bCs w:val="0"/>
          <w:color w:val="auto"/>
          <w:sz w:val="24"/>
        </w:rPr>
        <w:t>售后服务要求</w:t>
      </w:r>
    </w:p>
    <w:p w14:paraId="0DAC00DC">
      <w:pPr>
        <w:pStyle w:val="37"/>
        <w:keepNext w:val="0"/>
        <w:keepLines w:val="0"/>
        <w:pageBreakBefore w:val="0"/>
        <w:widowControl/>
        <w:kinsoku/>
        <w:wordWrap/>
        <w:overflowPunct/>
        <w:topLinePunct w:val="0"/>
        <w:autoSpaceDE/>
        <w:autoSpaceDN/>
        <w:bidi w:val="0"/>
        <w:adjustRightInd/>
        <w:snapToGrid/>
        <w:spacing w:line="400" w:lineRule="exact"/>
        <w:ind w:firstLine="482"/>
        <w:jc w:val="left"/>
        <w:textAlignment w:val="auto"/>
        <w:rPr>
          <w:b w:val="0"/>
          <w:bCs/>
          <w:color w:val="auto"/>
        </w:rPr>
      </w:pPr>
      <w:r>
        <w:rPr>
          <w:rFonts w:hint="eastAsia" w:ascii="宋体" w:hAnsi="宋体" w:eastAsia="宋体" w:cs="宋体"/>
          <w:b w:val="0"/>
          <w:bCs/>
          <w:color w:val="auto"/>
          <w:sz w:val="24"/>
          <w:lang w:val="en-US" w:eastAsia="zh-CN"/>
        </w:rPr>
        <w:t>9</w:t>
      </w:r>
      <w:r>
        <w:rPr>
          <w:rFonts w:ascii="宋体" w:hAnsi="宋体" w:eastAsia="宋体" w:cs="宋体"/>
          <w:b w:val="0"/>
          <w:bCs/>
          <w:color w:val="auto"/>
          <w:sz w:val="24"/>
        </w:rPr>
        <w:t>.1</w:t>
      </w:r>
      <w:r>
        <w:rPr>
          <w:rFonts w:hint="eastAsia" w:ascii="宋体" w:hAnsi="宋体" w:eastAsia="宋体" w:cs="宋体"/>
          <w:b w:val="0"/>
          <w:bCs/>
          <w:color w:val="auto"/>
          <w:sz w:val="24"/>
          <w:lang w:eastAsia="zh-CN"/>
        </w:rPr>
        <w:t>成交人</w:t>
      </w:r>
      <w:r>
        <w:rPr>
          <w:rFonts w:ascii="宋体" w:hAnsi="宋体" w:eastAsia="宋体" w:cs="宋体"/>
          <w:b w:val="0"/>
          <w:bCs/>
          <w:color w:val="auto"/>
          <w:sz w:val="24"/>
        </w:rPr>
        <w:t>须按</w:t>
      </w:r>
      <w:r>
        <w:rPr>
          <w:rFonts w:hint="eastAsia" w:ascii="宋体" w:hAnsi="宋体" w:eastAsia="宋体" w:cs="宋体"/>
          <w:b w:val="0"/>
          <w:bCs/>
          <w:color w:val="auto"/>
          <w:sz w:val="24"/>
          <w:lang w:eastAsia="zh-CN"/>
        </w:rPr>
        <w:t>竞争性磋商文件</w:t>
      </w:r>
      <w:r>
        <w:rPr>
          <w:rFonts w:ascii="宋体" w:hAnsi="宋体" w:eastAsia="宋体" w:cs="宋体"/>
          <w:b w:val="0"/>
          <w:bCs/>
          <w:color w:val="auto"/>
          <w:sz w:val="24"/>
        </w:rPr>
        <w:t>的要求提供合格的产品，承诺自验收合格后</w:t>
      </w:r>
      <w:r>
        <w:rPr>
          <w:rFonts w:hint="eastAsia" w:ascii="宋体" w:hAnsi="宋体" w:eastAsia="宋体" w:cs="宋体"/>
          <w:b w:val="0"/>
          <w:bCs/>
          <w:color w:val="auto"/>
          <w:sz w:val="24"/>
          <w:lang w:val="en-US" w:eastAsia="zh-CN"/>
        </w:rPr>
        <w:t>继续</w:t>
      </w:r>
      <w:r>
        <w:rPr>
          <w:rFonts w:ascii="宋体" w:hAnsi="宋体" w:eastAsia="宋体" w:cs="宋体"/>
          <w:b w:val="0"/>
          <w:bCs/>
          <w:color w:val="auto"/>
          <w:sz w:val="24"/>
        </w:rPr>
        <w:t>保修3年</w:t>
      </w:r>
      <w:r>
        <w:rPr>
          <w:rFonts w:hint="eastAsia" w:ascii="宋体" w:hAnsi="宋体" w:eastAsia="宋体" w:cs="宋体"/>
          <w:b w:val="0"/>
          <w:bCs/>
          <w:color w:val="auto"/>
          <w:sz w:val="24"/>
          <w:lang w:eastAsia="zh-CN"/>
        </w:rPr>
        <w:t>（每年巡检不能少于</w:t>
      </w:r>
      <w:r>
        <w:rPr>
          <w:rFonts w:hint="eastAsia" w:ascii="宋体" w:hAnsi="宋体" w:eastAsia="宋体" w:cs="宋体"/>
          <w:b w:val="0"/>
          <w:bCs/>
          <w:color w:val="auto"/>
          <w:sz w:val="24"/>
          <w:lang w:val="en-US" w:eastAsia="zh-CN"/>
        </w:rPr>
        <w:t>2次</w:t>
      </w:r>
      <w:r>
        <w:rPr>
          <w:rFonts w:hint="eastAsia" w:ascii="宋体" w:hAnsi="宋体" w:eastAsia="宋体" w:cs="宋体"/>
          <w:b w:val="0"/>
          <w:bCs/>
          <w:color w:val="auto"/>
          <w:sz w:val="24"/>
          <w:lang w:eastAsia="zh-CN"/>
        </w:rPr>
        <w:t>）</w:t>
      </w:r>
      <w:r>
        <w:rPr>
          <w:rFonts w:ascii="宋体" w:hAnsi="宋体" w:eastAsia="宋体" w:cs="宋体"/>
          <w:b w:val="0"/>
          <w:bCs/>
          <w:color w:val="auto"/>
          <w:sz w:val="24"/>
        </w:rPr>
        <w:t>；售后维保期自验收合格签名之日起计算。售后维保期内，须按合同条款提供服务，非因操作不当造成要更换的零配件及仪器设备由</w:t>
      </w:r>
      <w:r>
        <w:rPr>
          <w:rFonts w:hint="eastAsia" w:ascii="宋体" w:hAnsi="宋体" w:eastAsia="宋体" w:cs="宋体"/>
          <w:b w:val="0"/>
          <w:bCs/>
          <w:color w:val="auto"/>
          <w:sz w:val="24"/>
          <w:lang w:eastAsia="zh-CN"/>
        </w:rPr>
        <w:t>成交人</w:t>
      </w:r>
      <w:r>
        <w:rPr>
          <w:rFonts w:ascii="宋体" w:hAnsi="宋体" w:eastAsia="宋体" w:cs="宋体"/>
          <w:b w:val="0"/>
          <w:bCs/>
          <w:color w:val="auto"/>
          <w:sz w:val="24"/>
        </w:rPr>
        <w:t>负责包修、包换。</w:t>
      </w:r>
    </w:p>
    <w:p w14:paraId="790C33BB">
      <w:pPr>
        <w:pStyle w:val="37"/>
        <w:keepNext w:val="0"/>
        <w:keepLines w:val="0"/>
        <w:pageBreakBefore w:val="0"/>
        <w:widowControl/>
        <w:kinsoku/>
        <w:wordWrap/>
        <w:overflowPunct/>
        <w:topLinePunct w:val="0"/>
        <w:autoSpaceDE/>
        <w:autoSpaceDN/>
        <w:bidi w:val="0"/>
        <w:adjustRightInd/>
        <w:snapToGrid/>
        <w:spacing w:line="400" w:lineRule="exact"/>
        <w:ind w:firstLine="482"/>
        <w:jc w:val="left"/>
        <w:textAlignment w:val="auto"/>
        <w:rPr>
          <w:b w:val="0"/>
          <w:bCs/>
          <w:color w:val="auto"/>
        </w:rPr>
      </w:pPr>
      <w:r>
        <w:rPr>
          <w:rFonts w:hint="eastAsia" w:ascii="宋体" w:hAnsi="宋体" w:eastAsia="宋体" w:cs="宋体"/>
          <w:b w:val="0"/>
          <w:bCs/>
          <w:color w:val="auto"/>
          <w:sz w:val="24"/>
          <w:lang w:val="en-US" w:eastAsia="zh-CN"/>
        </w:rPr>
        <w:t>9</w:t>
      </w:r>
      <w:r>
        <w:rPr>
          <w:rFonts w:ascii="宋体" w:hAnsi="宋体" w:eastAsia="宋体" w:cs="宋体"/>
          <w:b w:val="0"/>
          <w:bCs/>
          <w:color w:val="auto"/>
          <w:sz w:val="24"/>
        </w:rPr>
        <w:t>.2</w:t>
      </w:r>
      <w:r>
        <w:rPr>
          <w:rFonts w:hint="eastAsia" w:ascii="宋体" w:hAnsi="宋体" w:eastAsia="宋体" w:cs="宋体"/>
          <w:b w:val="0"/>
          <w:bCs/>
          <w:color w:val="auto"/>
          <w:sz w:val="24"/>
          <w:lang w:eastAsia="zh-CN"/>
        </w:rPr>
        <w:t>成交人</w:t>
      </w:r>
      <w:r>
        <w:rPr>
          <w:rFonts w:ascii="宋体" w:hAnsi="宋体" w:eastAsia="宋体" w:cs="宋体"/>
          <w:b w:val="0"/>
          <w:bCs/>
          <w:color w:val="auto"/>
          <w:sz w:val="24"/>
        </w:rPr>
        <w:t>在售后维保期内须提供上门维修服务，设备运行发生故障时</w:t>
      </w:r>
      <w:r>
        <w:rPr>
          <w:rFonts w:hint="eastAsia" w:ascii="宋体" w:hAnsi="宋体" w:eastAsia="宋体" w:cs="宋体"/>
          <w:b w:val="0"/>
          <w:bCs/>
          <w:color w:val="auto"/>
          <w:sz w:val="24"/>
          <w:lang w:eastAsia="zh-CN"/>
        </w:rPr>
        <w:t>成交人</w:t>
      </w:r>
      <w:r>
        <w:rPr>
          <w:rFonts w:ascii="宋体" w:hAnsi="宋体" w:eastAsia="宋体" w:cs="宋体"/>
          <w:b w:val="0"/>
          <w:bCs/>
          <w:color w:val="auto"/>
          <w:sz w:val="24"/>
        </w:rPr>
        <w:t>在接到使用单位故障通知后2小时内响应，并在4小时内到达现场，负责修理或更换有缺陷的零部件或整机，对造成的损失按合同规定赔偿及负责违约责任。在售后维保期一年内出现设备质量问题(同一故障发生二次)，使用单位则有权要求免费更换整机，更换的售后维保期从更换之日起相应顺延。</w:t>
      </w:r>
    </w:p>
    <w:p w14:paraId="16C77F95">
      <w:pPr>
        <w:pStyle w:val="37"/>
        <w:keepNext w:val="0"/>
        <w:keepLines w:val="0"/>
        <w:pageBreakBefore w:val="0"/>
        <w:widowControl/>
        <w:kinsoku/>
        <w:wordWrap/>
        <w:overflowPunct/>
        <w:topLinePunct w:val="0"/>
        <w:autoSpaceDE/>
        <w:autoSpaceDN/>
        <w:bidi w:val="0"/>
        <w:adjustRightInd/>
        <w:snapToGrid/>
        <w:spacing w:line="400" w:lineRule="exact"/>
        <w:ind w:firstLine="482"/>
        <w:jc w:val="left"/>
        <w:textAlignment w:val="auto"/>
        <w:rPr>
          <w:b w:val="0"/>
          <w:bCs/>
          <w:color w:val="auto"/>
        </w:rPr>
      </w:pPr>
      <w:r>
        <w:rPr>
          <w:rFonts w:hint="eastAsia" w:ascii="宋体" w:hAnsi="宋体" w:eastAsia="宋体" w:cs="宋体"/>
          <w:b w:val="0"/>
          <w:bCs/>
          <w:color w:val="auto"/>
          <w:sz w:val="24"/>
          <w:lang w:val="en-US" w:eastAsia="zh-CN"/>
        </w:rPr>
        <w:t>9</w:t>
      </w:r>
      <w:r>
        <w:rPr>
          <w:rFonts w:ascii="宋体" w:hAnsi="宋体" w:eastAsia="宋体" w:cs="宋体"/>
          <w:b w:val="0"/>
          <w:bCs/>
          <w:color w:val="auto"/>
          <w:sz w:val="24"/>
        </w:rPr>
        <w:t>.3售后维保期满前1个月内</w:t>
      </w:r>
      <w:r>
        <w:rPr>
          <w:rFonts w:hint="eastAsia" w:ascii="宋体" w:hAnsi="宋体" w:eastAsia="宋体" w:cs="宋体"/>
          <w:b w:val="0"/>
          <w:bCs/>
          <w:color w:val="auto"/>
          <w:sz w:val="24"/>
          <w:lang w:eastAsia="zh-CN"/>
        </w:rPr>
        <w:t>成交人</w:t>
      </w:r>
      <w:r>
        <w:rPr>
          <w:rFonts w:ascii="宋体" w:hAnsi="宋体" w:eastAsia="宋体" w:cs="宋体"/>
          <w:b w:val="0"/>
          <w:bCs/>
          <w:color w:val="auto"/>
          <w:sz w:val="24"/>
        </w:rPr>
        <w:t>应负责对设备进行一次全面检查，如发现潜在问题，应负责排除，保证设备正常运行。</w:t>
      </w:r>
    </w:p>
    <w:p w14:paraId="53C77D5E">
      <w:pPr>
        <w:pStyle w:val="37"/>
        <w:keepNext w:val="0"/>
        <w:keepLines w:val="0"/>
        <w:pageBreakBefore w:val="0"/>
        <w:widowControl/>
        <w:kinsoku/>
        <w:wordWrap/>
        <w:overflowPunct/>
        <w:topLinePunct w:val="0"/>
        <w:autoSpaceDE/>
        <w:autoSpaceDN/>
        <w:bidi w:val="0"/>
        <w:adjustRightInd/>
        <w:snapToGrid/>
        <w:spacing w:line="400" w:lineRule="exact"/>
        <w:ind w:firstLine="482"/>
        <w:jc w:val="left"/>
        <w:textAlignment w:val="auto"/>
        <w:rPr>
          <w:b w:val="0"/>
          <w:bCs/>
          <w:color w:val="auto"/>
        </w:rPr>
      </w:pPr>
      <w:r>
        <w:rPr>
          <w:rFonts w:hint="eastAsia" w:ascii="宋体" w:hAnsi="宋体" w:eastAsia="宋体" w:cs="宋体"/>
          <w:b w:val="0"/>
          <w:bCs/>
          <w:color w:val="auto"/>
          <w:sz w:val="24"/>
          <w:lang w:val="en-US" w:eastAsia="zh-CN"/>
        </w:rPr>
        <w:t>9</w:t>
      </w:r>
      <w:r>
        <w:rPr>
          <w:rFonts w:ascii="宋体" w:hAnsi="宋体" w:eastAsia="宋体" w:cs="宋体"/>
          <w:b w:val="0"/>
          <w:bCs/>
          <w:color w:val="auto"/>
          <w:sz w:val="24"/>
        </w:rPr>
        <w:t>.4采购人因工作需要投标人到现场保障的，</w:t>
      </w:r>
      <w:r>
        <w:rPr>
          <w:rFonts w:hint="eastAsia" w:ascii="宋体" w:hAnsi="宋体" w:eastAsia="宋体" w:cs="宋体"/>
          <w:b w:val="0"/>
          <w:bCs/>
          <w:color w:val="auto"/>
          <w:sz w:val="24"/>
          <w:lang w:eastAsia="zh-CN"/>
        </w:rPr>
        <w:t>成交人</w:t>
      </w:r>
      <w:r>
        <w:rPr>
          <w:rFonts w:ascii="宋体" w:hAnsi="宋体" w:eastAsia="宋体" w:cs="宋体"/>
          <w:b w:val="0"/>
          <w:bCs/>
          <w:color w:val="auto"/>
          <w:sz w:val="24"/>
        </w:rPr>
        <w:t>必须安排技术人员现场给予支持。</w:t>
      </w:r>
    </w:p>
    <w:p w14:paraId="5A54BEB9">
      <w:pPr>
        <w:pStyle w:val="37"/>
        <w:keepNext w:val="0"/>
        <w:keepLines w:val="0"/>
        <w:pageBreakBefore w:val="0"/>
        <w:widowControl/>
        <w:kinsoku/>
        <w:wordWrap/>
        <w:overflowPunct/>
        <w:topLinePunct w:val="0"/>
        <w:autoSpaceDE/>
        <w:autoSpaceDN/>
        <w:bidi w:val="0"/>
        <w:adjustRightInd/>
        <w:snapToGrid/>
        <w:spacing w:line="400" w:lineRule="exact"/>
        <w:ind w:firstLine="482"/>
        <w:jc w:val="left"/>
        <w:textAlignment w:val="auto"/>
        <w:rPr>
          <w:b w:val="0"/>
          <w:bCs/>
          <w:color w:val="auto"/>
        </w:rPr>
      </w:pPr>
      <w:r>
        <w:rPr>
          <w:rFonts w:hint="eastAsia" w:ascii="宋体" w:hAnsi="宋体" w:eastAsia="宋体" w:cs="宋体"/>
          <w:b w:val="0"/>
          <w:bCs/>
          <w:color w:val="auto"/>
          <w:sz w:val="24"/>
          <w:lang w:val="en-US" w:eastAsia="zh-CN"/>
        </w:rPr>
        <w:t>9</w:t>
      </w:r>
      <w:r>
        <w:rPr>
          <w:rFonts w:ascii="宋体" w:hAnsi="宋体" w:eastAsia="宋体" w:cs="宋体"/>
          <w:b w:val="0"/>
          <w:bCs/>
          <w:color w:val="auto"/>
          <w:sz w:val="24"/>
        </w:rPr>
        <w:t>.5售后维保期结束后，</w:t>
      </w:r>
      <w:r>
        <w:rPr>
          <w:rFonts w:hint="eastAsia" w:ascii="宋体" w:hAnsi="宋体" w:eastAsia="宋体" w:cs="宋体"/>
          <w:b w:val="0"/>
          <w:bCs/>
          <w:color w:val="auto"/>
          <w:sz w:val="24"/>
          <w:lang w:eastAsia="zh-CN"/>
        </w:rPr>
        <w:t>成交人</w:t>
      </w:r>
      <w:r>
        <w:rPr>
          <w:rFonts w:ascii="宋体" w:hAnsi="宋体" w:eastAsia="宋体" w:cs="宋体"/>
          <w:b w:val="0"/>
          <w:bCs/>
          <w:color w:val="auto"/>
          <w:sz w:val="24"/>
        </w:rPr>
        <w:t>仍负责提供终身保修服务，能长期提供良好的技术支持，包括响应时间、服务质量与维保期内相同，如有零配件更换，只收取配件费用，不另外计取人工费用。</w:t>
      </w:r>
    </w:p>
    <w:p w14:paraId="276571A8">
      <w:pPr>
        <w:pStyle w:val="3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lang w:val="en-US" w:eastAsia="zh-CN"/>
        </w:rPr>
      </w:pPr>
    </w:p>
    <w:p w14:paraId="12578BDB">
      <w:pPr>
        <w:pStyle w:val="3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10、违约责任</w:t>
      </w:r>
    </w:p>
    <w:p w14:paraId="7F427CC3">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bidi="ar-SA"/>
        </w:rPr>
        <w:t xml:space="preserve">10.1 </w:t>
      </w:r>
      <w:r>
        <w:rPr>
          <w:rFonts w:hint="eastAsia" w:ascii="宋体" w:hAnsi="宋体" w:eastAsia="宋体" w:cs="宋体"/>
          <w:b w:val="0"/>
          <w:bCs w:val="0"/>
          <w:color w:val="auto"/>
          <w:sz w:val="24"/>
          <w:szCs w:val="24"/>
          <w:lang w:val="en-US" w:eastAsia="zh-CN"/>
        </w:rPr>
        <w:t>签订合同后因成交人任何违约行为导致本合同无法正常继续履行或提前终止，采购人有权不予退还履约保证金。</w:t>
      </w:r>
    </w:p>
    <w:p w14:paraId="13B7CE3A">
      <w:pPr>
        <w:pStyle w:val="37"/>
        <w:keepNext w:val="0"/>
        <w:keepLines w:val="0"/>
        <w:pageBreakBefore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bidi="ar-SA"/>
        </w:rPr>
        <w:t>10.</w:t>
      </w:r>
      <w:r>
        <w:rPr>
          <w:rFonts w:hint="default" w:ascii="宋体" w:hAnsi="宋体" w:eastAsia="宋体" w:cs="宋体"/>
          <w:b w:val="0"/>
          <w:bCs w:val="0"/>
          <w:color w:val="auto"/>
          <w:sz w:val="24"/>
          <w:szCs w:val="24"/>
          <w:lang w:val="en-US" w:eastAsia="zh-CN" w:bidi="ar-SA"/>
        </w:rPr>
        <w:t>2</w:t>
      </w:r>
      <w:r>
        <w:rPr>
          <w:rFonts w:hint="eastAsia" w:ascii="宋体" w:hAnsi="宋体" w:eastAsia="宋体" w:cs="宋体"/>
          <w:b w:val="0"/>
          <w:bCs w:val="0"/>
          <w:color w:val="auto"/>
          <w:sz w:val="24"/>
          <w:szCs w:val="24"/>
          <w:lang w:val="en-US" w:eastAsia="zh-CN" w:bidi="ar-SA"/>
        </w:rPr>
        <w:t xml:space="preserve"> </w:t>
      </w:r>
      <w:r>
        <w:rPr>
          <w:rFonts w:hint="eastAsia" w:ascii="宋体" w:hAnsi="宋体" w:eastAsia="宋体" w:cs="宋体"/>
          <w:b w:val="0"/>
          <w:bCs w:val="0"/>
          <w:color w:val="auto"/>
          <w:sz w:val="24"/>
          <w:szCs w:val="24"/>
          <w:lang w:val="en-US" w:eastAsia="zh-CN"/>
        </w:rPr>
        <w:t>成交人不得将本项目进行分包或转包，如发现经查实，采购人有权单方解除合同并不予退还履约保证金。</w:t>
      </w:r>
    </w:p>
    <w:p w14:paraId="4E29E3CC">
      <w:pPr>
        <w:pStyle w:val="37"/>
        <w:spacing w:before="75" w:after="75"/>
        <w:ind w:firstLine="480" w:firstLineChars="200"/>
        <w:jc w:val="both"/>
        <w:rPr>
          <w:color w:val="auto"/>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color w:val="auto"/>
          <w:sz w:val="24"/>
          <w:lang w:val="en-US" w:eastAsia="zh-CN"/>
        </w:rPr>
        <w:t xml:space="preserve">3 </w:t>
      </w:r>
      <w:r>
        <w:rPr>
          <w:rFonts w:ascii="宋体" w:hAnsi="宋体" w:eastAsia="宋体" w:cs="宋体"/>
          <w:color w:val="auto"/>
          <w:sz w:val="24"/>
        </w:rPr>
        <w:t>成交人对项目逾期交付的，每逾期一天，按</w:t>
      </w:r>
      <w:r>
        <w:rPr>
          <w:rFonts w:hint="eastAsia" w:ascii="宋体" w:hAnsi="宋体" w:eastAsia="宋体" w:cs="宋体"/>
          <w:color w:val="auto"/>
          <w:sz w:val="24"/>
          <w:lang w:val="en-US" w:eastAsia="zh-CN"/>
        </w:rPr>
        <w:t>10</w:t>
      </w:r>
      <w:r>
        <w:rPr>
          <w:rFonts w:ascii="宋体" w:hAnsi="宋体" w:eastAsia="宋体" w:cs="宋体"/>
          <w:color w:val="auto"/>
          <w:sz w:val="24"/>
        </w:rPr>
        <w:t>00元/天偿付违约金，</w:t>
      </w:r>
      <w:r>
        <w:rPr>
          <w:rFonts w:hint="eastAsia" w:ascii="宋体" w:hAnsi="宋体" w:eastAsia="宋体" w:cs="宋体"/>
          <w:color w:val="auto"/>
          <w:sz w:val="24"/>
          <w:lang w:eastAsia="zh-CN"/>
        </w:rPr>
        <w:t>上限为合同款项</w:t>
      </w:r>
      <w:r>
        <w:rPr>
          <w:rFonts w:hint="eastAsia" w:ascii="宋体" w:hAnsi="宋体" w:eastAsia="宋体" w:cs="宋体"/>
          <w:color w:val="auto"/>
          <w:sz w:val="24"/>
          <w:lang w:val="en-US" w:eastAsia="zh-CN"/>
        </w:rPr>
        <w:t>5%。</w:t>
      </w:r>
    </w:p>
    <w:p w14:paraId="02CE9460">
      <w:pPr>
        <w:spacing w:before="75" w:after="75" w:line="400" w:lineRule="exact"/>
        <w:ind w:firstLine="480" w:firstLineChars="200"/>
        <w:jc w:val="both"/>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b w:val="0"/>
          <w:bCs w:val="0"/>
          <w:color w:val="auto"/>
          <w:sz w:val="24"/>
          <w:szCs w:val="24"/>
          <w:lang w:val="en-US" w:eastAsia="zh-CN"/>
        </w:rPr>
        <w:t>4、</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提供的货物质量不符合合同（或</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文件）约定的，</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应无条件予以配合退货换货，因退换货不及时影响</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工作的，发现一次，</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应向</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支付10%履约保证金的违约金；因产品质量问题造成</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或任何第三方损害的，</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应承担一切损害赔偿、法律责任，</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有权单方解除合同，不予退还</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的履约保证金。违约金可直接从应付货款中扣除，不足部分</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还须向</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缴纳；违约金不足以弥补给</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造成的损失的，</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还应承担相应的赔偿责任</w:t>
      </w:r>
      <w:r>
        <w:rPr>
          <w:rFonts w:hint="eastAsia" w:ascii="宋体" w:hAnsi="宋体" w:eastAsia="宋体" w:cs="宋体"/>
          <w:b w:val="0"/>
          <w:bCs w:val="0"/>
          <w:color w:val="auto"/>
          <w:sz w:val="24"/>
          <w:szCs w:val="24"/>
          <w:lang w:val="en-US" w:eastAsia="zh-CN"/>
        </w:rPr>
        <w:t>。</w:t>
      </w:r>
    </w:p>
    <w:p w14:paraId="3A720524">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z w:val="24"/>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color w:val="auto"/>
          <w:sz w:val="24"/>
          <w:lang w:val="en-US" w:eastAsia="zh-CN"/>
        </w:rPr>
        <w:t xml:space="preserve">5 </w:t>
      </w:r>
      <w:r>
        <w:rPr>
          <w:rFonts w:ascii="宋体" w:hAnsi="宋体" w:eastAsia="宋体" w:cs="宋体"/>
          <w:color w:val="auto"/>
          <w:sz w:val="24"/>
        </w:rPr>
        <w:t>成交人在施工中的安全责任出现任何安全事故，成交人须负全责</w:t>
      </w:r>
      <w:r>
        <w:rPr>
          <w:rFonts w:hint="eastAsia" w:ascii="宋体" w:hAnsi="宋体" w:eastAsia="宋体" w:cs="宋体"/>
          <w:color w:val="auto"/>
          <w:sz w:val="24"/>
          <w:lang w:eastAsia="zh-CN"/>
        </w:rPr>
        <w:t>。</w:t>
      </w:r>
      <w:r>
        <w:rPr>
          <w:rFonts w:ascii="宋体" w:hAnsi="宋体" w:eastAsia="宋体" w:cs="宋体"/>
          <w:color w:val="auto"/>
          <w:sz w:val="24"/>
        </w:rPr>
        <w:t>发生重大事故</w:t>
      </w:r>
      <w:r>
        <w:rPr>
          <w:rFonts w:hint="eastAsia" w:ascii="宋体" w:hAnsi="宋体" w:eastAsia="宋体" w:cs="宋体"/>
          <w:color w:val="auto"/>
          <w:sz w:val="24"/>
          <w:lang w:eastAsia="zh-CN"/>
        </w:rPr>
        <w:t>的</w:t>
      </w:r>
      <w:r>
        <w:rPr>
          <w:rFonts w:ascii="宋体" w:hAnsi="宋体" w:eastAsia="宋体" w:cs="宋体"/>
          <w:color w:val="auto"/>
          <w:sz w:val="24"/>
        </w:rPr>
        <w:t>，采购人有权终止合同并不予退还履约保证金</w:t>
      </w:r>
      <w:r>
        <w:rPr>
          <w:rFonts w:hint="eastAsia" w:ascii="宋体" w:hAnsi="宋体" w:eastAsia="宋体" w:cs="宋体"/>
          <w:color w:val="auto"/>
          <w:sz w:val="24"/>
          <w:lang w:eastAsia="zh-CN"/>
        </w:rPr>
        <w:t>，</w:t>
      </w:r>
      <w:r>
        <w:rPr>
          <w:rFonts w:ascii="宋体" w:hAnsi="宋体" w:eastAsia="宋体" w:cs="宋体"/>
          <w:color w:val="auto"/>
          <w:sz w:val="24"/>
        </w:rPr>
        <w:t>同时采购人有权报相关行政主管部门对其进行处罚。</w:t>
      </w:r>
    </w:p>
    <w:p w14:paraId="5931E79B">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lang w:val="en-US" w:eastAsia="zh-CN"/>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color w:val="auto"/>
          <w:sz w:val="24"/>
          <w:lang w:val="en-US" w:eastAsia="zh-CN"/>
        </w:rPr>
        <w:t xml:space="preserve">6 </w:t>
      </w:r>
      <w:r>
        <w:rPr>
          <w:rFonts w:hint="eastAsia" w:ascii="宋体" w:hAnsi="宋体" w:eastAsia="宋体" w:cs="宋体"/>
          <w:color w:val="auto"/>
          <w:sz w:val="24"/>
          <w:szCs w:val="24"/>
          <w:highlight w:val="none"/>
          <w:lang w:val="en-US" w:eastAsia="zh-CN"/>
        </w:rPr>
        <w:t>进入监管区有关违约责任：成交人进入采购人监管区的工作人员</w:t>
      </w:r>
      <w:r>
        <w:rPr>
          <w:rFonts w:hint="eastAsia" w:ascii="宋体" w:hAnsi="宋体" w:eastAsia="宋体" w:cs="宋体"/>
          <w:b w:val="0"/>
          <w:color w:val="auto"/>
          <w:kern w:val="28"/>
          <w:sz w:val="24"/>
          <w:szCs w:val="24"/>
          <w:highlight w:val="none"/>
          <w:lang w:val="en-US" w:eastAsia="zh-CN" w:bidi="ar-SA"/>
        </w:rPr>
        <w:t>必须遵守采购人的工作制度和监管安全规定，服从采购人员的指挥，不得为罪犯传递信息、现金、手机、毒品、枪支、刀具等违禁品、违规品，若有发现经核查属实的，成交人须马上更换工作人员，并向采购人支付20000元的违约金，违约金采购人有权直接从服务费用中扣除。成交人还应承担相关的法律责任。发生二次（含）以上或造成严重后果的，采购人有权解除合同并不退还履约保证金。</w:t>
      </w:r>
    </w:p>
    <w:p w14:paraId="1B099B50">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szCs w:val="24"/>
          <w:lang w:val="en-US" w:eastAsia="zh-CN"/>
        </w:rPr>
        <w:t xml:space="preserve">10.7 </w:t>
      </w:r>
      <w:r>
        <w:rPr>
          <w:rFonts w:hint="eastAsia" w:ascii="宋体" w:hAnsi="宋体" w:eastAsia="宋体" w:cs="宋体"/>
          <w:color w:val="auto"/>
          <w:sz w:val="24"/>
          <w:szCs w:val="24"/>
        </w:rPr>
        <w:t>如因产品质量问题使</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设备出现故障，</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在质保期内接到</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维修电话通知</w:t>
      </w:r>
      <w:r>
        <w:rPr>
          <w:rFonts w:hint="eastAsia" w:ascii="宋体" w:hAnsi="宋体" w:eastAsia="宋体" w:cs="宋体"/>
          <w:color w:val="auto"/>
          <w:sz w:val="24"/>
          <w:szCs w:val="24"/>
        </w:rPr>
        <w:t>后</w:t>
      </w:r>
      <w:r>
        <w:rPr>
          <w:rFonts w:hint="eastAsia" w:ascii="宋体" w:hAnsi="宋体" w:eastAsia="宋体" w:cs="宋体"/>
          <w:color w:val="auto"/>
          <w:spacing w:val="-4"/>
          <w:sz w:val="24"/>
          <w:szCs w:val="24"/>
          <w:lang w:val="en-US" w:eastAsia="zh-CN"/>
        </w:rPr>
        <w:t>2</w:t>
      </w:r>
      <w:r>
        <w:rPr>
          <w:rFonts w:hint="eastAsia" w:ascii="宋体" w:hAnsi="宋体" w:eastAsia="宋体" w:cs="宋体"/>
          <w:color w:val="auto"/>
          <w:spacing w:val="-4"/>
          <w:sz w:val="24"/>
          <w:szCs w:val="24"/>
        </w:rPr>
        <w:t>小</w:t>
      </w:r>
      <w:r>
        <w:rPr>
          <w:rFonts w:hint="eastAsia" w:ascii="宋体" w:hAnsi="宋体" w:eastAsia="宋体" w:cs="宋体"/>
          <w:color w:val="auto"/>
          <w:spacing w:val="-4"/>
          <w:sz w:val="24"/>
          <w:szCs w:val="24"/>
        </w:rPr>
        <w:t>时内响应，并在</w:t>
      </w:r>
      <w:r>
        <w:rPr>
          <w:rFonts w:hint="eastAsia" w:ascii="宋体" w:hAnsi="宋体" w:eastAsia="宋体" w:cs="宋体"/>
          <w:color w:val="auto"/>
          <w:spacing w:val="-4"/>
          <w:sz w:val="24"/>
          <w:szCs w:val="24"/>
          <w:lang w:val="en-US" w:eastAsia="zh-CN"/>
        </w:rPr>
        <w:t>4</w:t>
      </w:r>
      <w:r>
        <w:rPr>
          <w:rFonts w:hint="eastAsia" w:ascii="宋体" w:hAnsi="宋体" w:eastAsia="宋体" w:cs="宋体"/>
          <w:color w:val="auto"/>
          <w:spacing w:val="-4"/>
          <w:sz w:val="24"/>
          <w:szCs w:val="24"/>
        </w:rPr>
        <w:t>小</w:t>
      </w:r>
      <w:r>
        <w:rPr>
          <w:rFonts w:hint="eastAsia" w:ascii="宋体" w:hAnsi="宋体" w:eastAsia="宋体" w:cs="宋体"/>
          <w:color w:val="auto"/>
          <w:spacing w:val="-4"/>
          <w:sz w:val="24"/>
          <w:szCs w:val="24"/>
        </w:rPr>
        <w:t>时内到达现场，免费负责修理或更换有缺陷的零部件或整机</w:t>
      </w:r>
      <w:r>
        <w:rPr>
          <w:rFonts w:hint="eastAsia" w:ascii="宋体" w:hAnsi="宋体" w:eastAsia="宋体" w:cs="宋体"/>
          <w:color w:val="auto"/>
          <w:sz w:val="24"/>
          <w:szCs w:val="24"/>
        </w:rPr>
        <w:t>，如果</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无法按时提供上门维修或更换服务的，</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有权请第三方进行维修，产生的费用从</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的应付货款/质保金中扣除；同时</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应向</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支付逾期违约金，违约金为逾期每日500元。因</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产品质量问题导致</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人身或财产损失的，</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应予以赔偿。违约金直接从</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应支付</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的费用中扣除，不足部分，</w:t>
      </w:r>
      <w:r>
        <w:rPr>
          <w:rFonts w:hint="eastAsia" w:ascii="宋体" w:hAnsi="宋体" w:eastAsia="宋体" w:cs="宋体"/>
          <w:color w:val="auto"/>
          <w:sz w:val="24"/>
          <w:szCs w:val="24"/>
          <w:lang w:eastAsia="zh-CN"/>
        </w:rPr>
        <w:t>成交人</w:t>
      </w:r>
      <w:r>
        <w:rPr>
          <w:rFonts w:hint="eastAsia" w:ascii="宋体" w:hAnsi="宋体" w:eastAsia="宋体" w:cs="宋体"/>
          <w:color w:val="auto"/>
          <w:sz w:val="24"/>
          <w:szCs w:val="24"/>
        </w:rPr>
        <w:t>应自收到</w:t>
      </w:r>
      <w:r>
        <w:rPr>
          <w:rFonts w:hint="eastAsia" w:ascii="宋体" w:hAnsi="宋体" w:eastAsia="宋体" w:cs="宋体"/>
          <w:color w:val="auto"/>
          <w:sz w:val="24"/>
          <w:szCs w:val="24"/>
          <w:lang w:eastAsia="zh-CN"/>
        </w:rPr>
        <w:t>采购人</w:t>
      </w:r>
      <w:r>
        <w:rPr>
          <w:rFonts w:hint="eastAsia" w:ascii="宋体" w:hAnsi="宋体" w:eastAsia="宋体" w:cs="宋体"/>
          <w:color w:val="auto"/>
          <w:sz w:val="24"/>
          <w:szCs w:val="24"/>
        </w:rPr>
        <w:t>通知之日起30日内缴纳。</w:t>
      </w:r>
    </w:p>
    <w:p w14:paraId="3E9D79AF">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auto"/>
          <w:sz w:val="24"/>
          <w:lang w:val="en-US" w:eastAsia="zh-CN"/>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color w:val="auto"/>
          <w:sz w:val="24"/>
          <w:lang w:val="en-US" w:eastAsia="zh-CN"/>
        </w:rPr>
        <w:t>8、除上述具体违约情形外，成交人出现违反磋商文件、响应文件要求的其他行为，每发现一次需向采购人支付违约金3000元。</w:t>
      </w:r>
    </w:p>
    <w:p w14:paraId="488C4B18">
      <w:pPr>
        <w:pStyle w:val="37"/>
        <w:keepNext w:val="0"/>
        <w:keepLines w:val="0"/>
        <w:pageBreakBefore w:val="0"/>
        <w:kinsoku/>
        <w:wordWrap/>
        <w:overflowPunct/>
        <w:topLinePunct w:val="0"/>
        <w:autoSpaceDE/>
        <w:autoSpaceDN/>
        <w:bidi w:val="0"/>
        <w:adjustRightInd/>
        <w:snapToGrid/>
        <w:spacing w:before="105" w:after="105" w:line="400" w:lineRule="exact"/>
        <w:jc w:val="both"/>
        <w:textAlignment w:val="auto"/>
        <w:rPr>
          <w:color w:val="auto"/>
        </w:rPr>
      </w:pPr>
      <w:r>
        <w:rPr>
          <w:rFonts w:hint="eastAsia" w:ascii="宋体" w:hAnsi="宋体" w:cs="宋体"/>
          <w:color w:val="auto"/>
          <w:sz w:val="24"/>
          <w:lang w:val="en-US" w:eastAsia="zh-CN"/>
        </w:rPr>
        <w:t>11</w:t>
      </w:r>
      <w:r>
        <w:rPr>
          <w:rFonts w:ascii="宋体" w:hAnsi="宋体" w:eastAsia="宋体" w:cs="宋体"/>
          <w:color w:val="auto"/>
          <w:sz w:val="24"/>
        </w:rPr>
        <w:t>、保密条款</w:t>
      </w:r>
    </w:p>
    <w:p w14:paraId="05127515">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11.1、成交人要认真遵守国家保密法律、法规和规章制度，履行保密义务；成交人进入采购人工作区域的工作人员需签订《保密承诺书》，要严格履行保密义务，不得违规记录、存储、复制国家秘密、工作秘密和内部管理信息，不以任何方式泄露所接触和知悉的国家秘密、工作秘密和内部管理信息，不得对采购人工作信息资料、工作场所、内部场景等进行拍照、录像，不得将采购人有关秘密、内部管理信息、工作场所场景通过微信、抖音等上传自媒体，严禁将采购人工作文件等内部资料泄露出去，如发生泄露、泄密行为，成交人及其工作人员将承担相应责任和法律后果。</w:t>
      </w:r>
    </w:p>
    <w:p w14:paraId="5776AD94">
      <w:pPr>
        <w:pStyle w:val="37"/>
        <w:keepNext w:val="0"/>
        <w:keepLines w:val="0"/>
        <w:pageBreakBefore w:val="0"/>
        <w:kinsoku/>
        <w:wordWrap/>
        <w:overflowPunct/>
        <w:topLinePunct w:val="0"/>
        <w:autoSpaceDE/>
        <w:autoSpaceDN/>
        <w:bidi w:val="0"/>
        <w:adjustRightInd/>
        <w:snapToGrid/>
        <w:spacing w:before="105" w:after="105" w:line="400" w:lineRule="exact"/>
        <w:jc w:val="both"/>
        <w:textAlignment w:val="auto"/>
        <w:rPr>
          <w:color w:val="auto"/>
        </w:rPr>
      </w:pPr>
      <w:r>
        <w:rPr>
          <w:rFonts w:hint="eastAsia" w:ascii="宋体" w:hAnsi="宋体" w:cs="宋体"/>
          <w:color w:val="auto"/>
          <w:sz w:val="24"/>
          <w:lang w:val="en-US" w:eastAsia="zh-CN"/>
        </w:rPr>
        <w:t>11.2、</w:t>
      </w:r>
      <w:r>
        <w:rPr>
          <w:rFonts w:ascii="宋体" w:hAnsi="宋体" w:eastAsia="宋体" w:cs="宋体"/>
          <w:color w:val="auto"/>
          <w:sz w:val="24"/>
        </w:rPr>
        <w:t>成交人违反本条约定泄露采购人的涉密信息的，应承担相应的法律责任，造成采购人损失的，成交人应当依法承担赔偿责任。</w:t>
      </w:r>
    </w:p>
    <w:p w14:paraId="06FAFB16">
      <w:pPr>
        <w:pStyle w:val="37"/>
        <w:keepNext w:val="0"/>
        <w:keepLines w:val="0"/>
        <w:pageBreakBefore w:val="0"/>
        <w:kinsoku/>
        <w:wordWrap/>
        <w:overflowPunct/>
        <w:topLinePunct w:val="0"/>
        <w:autoSpaceDE/>
        <w:autoSpaceDN/>
        <w:bidi w:val="0"/>
        <w:adjustRightInd/>
        <w:snapToGrid/>
        <w:spacing w:before="105" w:after="105" w:line="400" w:lineRule="exact"/>
        <w:ind w:firstLine="405"/>
        <w:jc w:val="both"/>
        <w:textAlignment w:val="auto"/>
        <w:rPr>
          <w:rFonts w:hint="default" w:ascii="宋体" w:hAnsi="宋体" w:eastAsia="宋体" w:cs="宋体"/>
          <w:b w:val="0"/>
          <w:bCs w:val="0"/>
          <w:color w:val="auto"/>
          <w:sz w:val="24"/>
          <w:szCs w:val="24"/>
          <w:lang w:val="en-US" w:eastAsia="zh-CN"/>
        </w:rPr>
      </w:pPr>
      <w:r>
        <w:rPr>
          <w:rFonts w:hint="eastAsia" w:ascii="宋体" w:hAnsi="宋体" w:cs="宋体"/>
          <w:color w:val="auto"/>
          <w:sz w:val="24"/>
          <w:lang w:val="en-US" w:eastAsia="zh-CN"/>
        </w:rPr>
        <w:t>11.3、</w:t>
      </w:r>
      <w:r>
        <w:rPr>
          <w:rFonts w:ascii="宋体" w:hAnsi="宋体" w:eastAsia="宋体" w:cs="宋体"/>
          <w:color w:val="auto"/>
          <w:sz w:val="24"/>
        </w:rPr>
        <w:t>本条款不因合同届满或解除而失效。</w:t>
      </w:r>
    </w:p>
    <w:p w14:paraId="1523AA07">
      <w:pPr>
        <w:pStyle w:val="37"/>
        <w:keepNext w:val="0"/>
        <w:keepLines w:val="0"/>
        <w:pageBreakBefore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12、廉政条款：</w:t>
      </w:r>
    </w:p>
    <w:p w14:paraId="1B030F84">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成交人及其工作人员不得有以任何形式行贿采购人工作人员的行为，若发现并被核查属实的，采购人有权解除合同且不退还履约保证金，情节严重的，成交人及其工作人员还要承担相应的法律责任；采购人及其工作人员不得索要或接受供应商的礼金及吃请等，如有违反廉政纪律等行为的，依据有关规定给予党纪、政纪或组织处理，情节严重的，还应承担相应的法律责任。</w:t>
      </w:r>
    </w:p>
    <w:p w14:paraId="05CEE78F">
      <w:pPr>
        <w:pStyle w:val="37"/>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ascii="宋体" w:hAnsi="宋体" w:eastAsia="宋体" w:cs="宋体"/>
          <w:color w:val="auto"/>
          <w:sz w:val="24"/>
        </w:rPr>
      </w:pPr>
      <w:r>
        <w:rPr>
          <w:rFonts w:hint="eastAsia" w:ascii="宋体" w:hAnsi="宋体" w:eastAsia="宋体" w:cs="宋体"/>
          <w:color w:val="auto"/>
          <w:sz w:val="24"/>
          <w:lang w:val="en-US" w:eastAsia="zh-CN" w:bidi="ar-SA"/>
        </w:rPr>
        <w:t>13、</w:t>
      </w:r>
      <w:r>
        <w:rPr>
          <w:rFonts w:ascii="宋体" w:hAnsi="宋体" w:eastAsia="宋体" w:cs="宋体"/>
          <w:color w:val="auto"/>
          <w:sz w:val="24"/>
        </w:rPr>
        <w:t>不可抗力</w:t>
      </w:r>
    </w:p>
    <w:p w14:paraId="47DC9E25">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z w:val="24"/>
        </w:rPr>
      </w:pPr>
      <w:r>
        <w:rPr>
          <w:rFonts w:hint="eastAsia" w:ascii="宋体" w:hAnsi="宋体" w:eastAsia="宋体" w:cs="宋体"/>
          <w:color w:val="auto"/>
          <w:sz w:val="24"/>
          <w:lang w:val="en-US" w:eastAsia="zh-CN"/>
        </w:rPr>
        <w:t>13.1、</w:t>
      </w:r>
      <w:r>
        <w:rPr>
          <w:rFonts w:ascii="宋体" w:hAnsi="宋体" w:eastAsia="宋体" w:cs="宋体"/>
          <w:color w:val="auto"/>
          <w:sz w:val="24"/>
        </w:rPr>
        <w:t>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4A813764">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z w:val="24"/>
        </w:rPr>
      </w:pPr>
      <w:r>
        <w:rPr>
          <w:rFonts w:hint="eastAsia" w:ascii="宋体" w:hAnsi="宋体" w:eastAsia="宋体" w:cs="宋体"/>
          <w:color w:val="auto"/>
          <w:sz w:val="24"/>
          <w:lang w:val="en-US" w:eastAsia="zh-CN"/>
        </w:rPr>
        <w:t>13.</w:t>
      </w:r>
      <w:r>
        <w:rPr>
          <w:rFonts w:ascii="宋体" w:hAnsi="宋体" w:eastAsia="宋体" w:cs="宋体"/>
          <w:color w:val="auto"/>
          <w:sz w:val="24"/>
        </w:rPr>
        <w:t>2、合同中的不可抗力指不能预见、不能避免并不能克服的客观情况。包括但不限于：自然灾害如地震、台风、洪水、火灾；政府行为、法律规定或其适用的变化或者其他任何无法预见、避免或者控制的事件。</w:t>
      </w:r>
    </w:p>
    <w:p w14:paraId="19271495">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z w:val="24"/>
        </w:rPr>
      </w:pPr>
      <w:r>
        <w:rPr>
          <w:rFonts w:hint="eastAsia" w:ascii="宋体" w:hAnsi="宋体" w:eastAsia="宋体" w:cs="宋体"/>
          <w:color w:val="auto"/>
          <w:sz w:val="24"/>
          <w:lang w:val="en-US" w:eastAsia="zh-CN"/>
        </w:rPr>
        <w:t>14</w:t>
      </w:r>
      <w:r>
        <w:rPr>
          <w:rFonts w:hint="eastAsia" w:ascii="宋体" w:hAnsi="宋体" w:eastAsia="宋体" w:cs="宋体"/>
          <w:color w:val="auto"/>
          <w:sz w:val="24"/>
          <w:lang w:eastAsia="zh-CN"/>
        </w:rPr>
        <w:t>、</w:t>
      </w:r>
      <w:r>
        <w:rPr>
          <w:rFonts w:ascii="宋体" w:hAnsi="宋体" w:eastAsia="宋体" w:cs="宋体"/>
          <w:color w:val="auto"/>
          <w:sz w:val="24"/>
        </w:rPr>
        <w:t>专利权及知识产权</w:t>
      </w:r>
    </w:p>
    <w:p w14:paraId="58F492DC">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lang w:val="en-US" w:eastAsia="zh-CN"/>
        </w:rPr>
      </w:pPr>
      <w:r>
        <w:rPr>
          <w:rFonts w:ascii="宋体" w:hAnsi="宋体" w:eastAsia="宋体" w:cs="宋体"/>
          <w:color w:val="auto"/>
          <w:sz w:val="24"/>
        </w:rPr>
        <w:t>成交人须保障采购人在服务过程中不受到第三方关于侵犯专利权、商标权或工业设计权等知识产权的指控。如果任何第三方提出侵权指控与采购人无关，成交人须与第三方交涉并承担可能发生的责任与一切费用。如采购人因此而遭致损失的，成交人应赔偿该损失。</w:t>
      </w:r>
    </w:p>
    <w:p w14:paraId="2BE7C8EF">
      <w:pPr>
        <w:keepNext w:val="0"/>
        <w:keepLines w:val="0"/>
        <w:pageBreakBefore w:val="0"/>
        <w:kinsoku/>
        <w:wordWrap/>
        <w:overflowPunct/>
        <w:topLinePunct w:val="0"/>
        <w:autoSpaceDE/>
        <w:autoSpaceDN/>
        <w:bidi w:val="0"/>
        <w:adjustRightInd/>
        <w:snapToGrid/>
        <w:spacing w:line="400" w:lineRule="exact"/>
        <w:ind w:left="0" w:leftChars="0"/>
        <w:rPr>
          <w:rFonts w:hint="eastAsia" w:ascii="宋体" w:hAnsi="宋体" w:eastAsia="宋体" w:cs="宋体"/>
          <w:b/>
          <w:color w:val="auto"/>
          <w:kern w:val="0"/>
          <w:sz w:val="24"/>
          <w:szCs w:val="24"/>
        </w:rPr>
      </w:pPr>
    </w:p>
    <w:p w14:paraId="61405535">
      <w:pPr>
        <w:keepNext w:val="0"/>
        <w:keepLines w:val="0"/>
        <w:pageBreakBefore w:val="0"/>
        <w:kinsoku/>
        <w:wordWrap/>
        <w:overflowPunct/>
        <w:topLinePunct w:val="0"/>
        <w:autoSpaceDE/>
        <w:autoSpaceDN/>
        <w:bidi w:val="0"/>
        <w:adjustRightInd/>
        <w:snapToGrid/>
        <w:spacing w:line="400" w:lineRule="exact"/>
        <w:ind w:left="0" w:leftChars="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zh-CN"/>
        </w:rPr>
        <w:t>四</w:t>
      </w:r>
      <w:r>
        <w:rPr>
          <w:rFonts w:hint="eastAsia" w:ascii="宋体" w:hAnsi="宋体" w:eastAsia="宋体" w:cs="宋体"/>
          <w:b/>
          <w:color w:val="auto"/>
          <w:kern w:val="0"/>
          <w:sz w:val="24"/>
          <w:szCs w:val="24"/>
        </w:rPr>
        <w:t>、其他要求</w:t>
      </w:r>
    </w:p>
    <w:p w14:paraId="15270BC4">
      <w:pPr>
        <w:keepNext w:val="0"/>
        <w:keepLines w:val="0"/>
        <w:pageBreakBefore w:val="0"/>
        <w:kinsoku/>
        <w:wordWrap/>
        <w:overflowPunct/>
        <w:topLinePunct w:val="0"/>
        <w:autoSpaceDE/>
        <w:autoSpaceDN/>
        <w:bidi w:val="0"/>
        <w:adjustRightInd/>
        <w:snapToGrid/>
        <w:spacing w:line="400" w:lineRule="exact"/>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本文件中所发生的一切费用均应包含在</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总价中。</w:t>
      </w:r>
    </w:p>
    <w:p w14:paraId="1FF3BF29">
      <w:pPr>
        <w:keepNext w:val="0"/>
        <w:keepLines w:val="0"/>
        <w:pageBreakBefore w:val="0"/>
        <w:kinsoku/>
        <w:wordWrap/>
        <w:overflowPunct/>
        <w:topLinePunct w:val="0"/>
        <w:autoSpaceDE/>
        <w:autoSpaceDN/>
        <w:bidi w:val="0"/>
        <w:adjustRightInd/>
        <w:snapToGrid/>
        <w:spacing w:line="400" w:lineRule="exact"/>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本项目不允许成交供应商以任何名义和理由在</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rPr>
        <w:t>后将</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rPr>
        <w:t>项目的主体、非主体、关键性工作、非关键性工作进行转包、分包。在履行合同过程中如有发现，采购人有权单方终止合同。视为成交供应商违约，成交供应商违约对采购人造成的损失的，需另行支付相应的赔偿，并追究相关法律责任。</w:t>
      </w:r>
    </w:p>
    <w:p w14:paraId="41E445BA">
      <w:pPr>
        <w:keepNext w:val="0"/>
        <w:keepLines w:val="0"/>
        <w:pageBreakBefore w:val="0"/>
        <w:kinsoku/>
        <w:wordWrap/>
        <w:overflowPunct/>
        <w:topLinePunct w:val="0"/>
        <w:autoSpaceDE/>
        <w:autoSpaceDN/>
        <w:bidi w:val="0"/>
        <w:adjustRightInd/>
        <w:snapToGrid/>
        <w:spacing w:line="400" w:lineRule="exact"/>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本文件未明确的其它约定事项或条款，待采购人与成交供应商协商一致后，双方可在合同中另行补充。</w:t>
      </w:r>
    </w:p>
    <w:p w14:paraId="7375AE32">
      <w:pPr>
        <w:spacing w:line="400" w:lineRule="exact"/>
        <w:ind w:firstLine="480" w:firstLineChars="200"/>
        <w:rPr>
          <w:rStyle w:val="26"/>
          <w:rFonts w:ascii="宋体" w:hAnsi="宋体" w:eastAsia="宋体" w:cs="宋体"/>
          <w:bCs/>
          <w:color w:val="auto"/>
          <w:sz w:val="36"/>
          <w:szCs w:val="36"/>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除文件另有规定外，若出现有关法律、法规和规章有强制性规定但文件未列明的情形，则供应商应按照有关法律、法规和规章强制性规定执行</w:t>
      </w:r>
      <w:bookmarkEnd w:id="23"/>
      <w:r>
        <w:rPr>
          <w:rFonts w:hint="eastAsia" w:ascii="宋体" w:hAnsi="宋体" w:eastAsia="宋体" w:cs="宋体"/>
          <w:color w:val="auto"/>
          <w:sz w:val="24"/>
          <w:szCs w:val="24"/>
        </w:rPr>
        <w:t>。</w:t>
      </w:r>
    </w:p>
    <w:p w14:paraId="3F7AD817">
      <w:pPr>
        <w:rPr>
          <w:rStyle w:val="26"/>
          <w:rFonts w:ascii="宋体" w:hAnsi="宋体" w:eastAsia="宋体" w:cs="宋体"/>
          <w:bCs/>
          <w:color w:val="auto"/>
          <w:sz w:val="36"/>
          <w:szCs w:val="36"/>
        </w:rPr>
      </w:pPr>
      <w:r>
        <w:rPr>
          <w:rStyle w:val="26"/>
          <w:rFonts w:hint="eastAsia" w:ascii="宋体" w:hAnsi="宋体" w:eastAsia="宋体" w:cs="宋体"/>
          <w:bCs/>
          <w:color w:val="auto"/>
          <w:sz w:val="36"/>
          <w:szCs w:val="36"/>
        </w:rPr>
        <w:br w:type="page"/>
      </w:r>
    </w:p>
    <w:p w14:paraId="3A1990B5">
      <w:pPr>
        <w:ind w:firstLine="723" w:firstLineChars="200"/>
        <w:rPr>
          <w:color w:val="auto"/>
        </w:rPr>
      </w:pPr>
      <w:r>
        <w:rPr>
          <w:rStyle w:val="26"/>
          <w:rFonts w:hint="eastAsia" w:ascii="宋体" w:hAnsi="宋体" w:eastAsia="宋体" w:cs="宋体"/>
          <w:bCs/>
          <w:color w:val="auto"/>
          <w:sz w:val="36"/>
          <w:szCs w:val="36"/>
        </w:rPr>
        <w:t>第四章  合同主要条款及格式</w:t>
      </w:r>
    </w:p>
    <w:p w14:paraId="631FDC55">
      <w:pPr>
        <w:pStyle w:val="17"/>
        <w:widowControl/>
        <w:spacing w:before="75" w:beforeAutospacing="0" w:after="75" w:afterAutospacing="0"/>
        <w:jc w:val="center"/>
        <w:rPr>
          <w:color w:val="auto"/>
        </w:rPr>
      </w:pPr>
      <w:r>
        <w:rPr>
          <w:rStyle w:val="26"/>
          <w:rFonts w:hint="eastAsia" w:ascii="宋体" w:hAnsi="宋体" w:eastAsia="宋体" w:cs="宋体"/>
          <w:bCs/>
          <w:color w:val="auto"/>
        </w:rPr>
        <w:t>编制说明</w:t>
      </w:r>
    </w:p>
    <w:p w14:paraId="7F36B911">
      <w:pPr>
        <w:pStyle w:val="17"/>
        <w:widowControl/>
        <w:spacing w:before="75" w:beforeAutospacing="0" w:after="75" w:afterAutospacing="0" w:line="320" w:lineRule="exact"/>
        <w:rPr>
          <w:color w:val="auto"/>
        </w:rPr>
      </w:pPr>
      <w:r>
        <w:rPr>
          <w:rStyle w:val="26"/>
          <w:rFonts w:hint="eastAsia" w:ascii="宋体" w:hAnsi="宋体" w:eastAsia="宋体" w:cs="宋体"/>
          <w:bCs/>
          <w:color w:val="auto"/>
        </w:rPr>
        <w:t>1、签订合同应遵守《中华人民共和国政府采购法》、《中华人民共和国民法典》。</w:t>
      </w:r>
    </w:p>
    <w:p w14:paraId="39767D44">
      <w:pPr>
        <w:pStyle w:val="17"/>
        <w:widowControl/>
        <w:spacing w:before="75" w:beforeAutospacing="0" w:after="75" w:afterAutospacing="0" w:line="320" w:lineRule="exact"/>
        <w:rPr>
          <w:color w:val="auto"/>
        </w:rPr>
      </w:pPr>
      <w:r>
        <w:rPr>
          <w:rStyle w:val="26"/>
          <w:rFonts w:hint="eastAsia" w:ascii="宋体" w:hAnsi="宋体" w:eastAsia="宋体" w:cs="宋体"/>
          <w:bCs/>
          <w:color w:val="auto"/>
        </w:rPr>
        <w:t>2、签订合同时，采购人与成交供应商应结合磋商文件第四章规定填列相应内容。如果双方使用磋商文件第四章已有规定的条款及格式，双方均不得对规定进行变更或调整；磋商文件第四章未作规定的条款及格式，双方可通过友好协商进行约定。</w:t>
      </w:r>
    </w:p>
    <w:p w14:paraId="27409662">
      <w:pPr>
        <w:pStyle w:val="17"/>
        <w:widowControl/>
        <w:spacing w:before="75" w:beforeAutospacing="0" w:after="240" w:afterAutospacing="0" w:line="320" w:lineRule="exact"/>
        <w:rPr>
          <w:color w:val="auto"/>
        </w:rPr>
      </w:pPr>
      <w:r>
        <w:rPr>
          <w:rStyle w:val="26"/>
          <w:rFonts w:hint="eastAsia" w:ascii="宋体" w:hAnsi="宋体" w:eastAsia="宋体" w:cs="宋体"/>
          <w:bCs/>
          <w:color w:val="auto"/>
        </w:rPr>
        <w:t>3.本章节所附的合同主要条款及格式为参考文本，如果因为项目实际特点不能适用，则可由甲乙双方在合同签订阶段可通过友好协商进行约定。</w:t>
      </w:r>
    </w:p>
    <w:p w14:paraId="5E593290">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甲方：__________________</w:t>
      </w:r>
    </w:p>
    <w:p w14:paraId="7377ACD4">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乙方：__________________</w:t>
      </w:r>
    </w:p>
    <w:p w14:paraId="42EFFE4B">
      <w:pPr>
        <w:pStyle w:val="17"/>
        <w:widowControl/>
        <w:wordWrap w:val="0"/>
        <w:spacing w:beforeAutospacing="0" w:afterAutospacing="0" w:line="360" w:lineRule="exact"/>
        <w:ind w:firstLine="420"/>
        <w:jc w:val="both"/>
        <w:rPr>
          <w:rFonts w:hint="eastAsia" w:ascii="宋体" w:hAnsi="宋体" w:eastAsia="宋体" w:cs="宋体"/>
          <w:color w:val="auto"/>
        </w:rPr>
      </w:pPr>
      <w:r>
        <w:rPr>
          <w:rFonts w:hint="eastAsia" w:ascii="宋体" w:hAnsi="宋体" w:eastAsia="宋体" w:cs="宋体"/>
          <w:color w:val="auto"/>
          <w:shd w:val="clear" w:color="auto" w:fill="FFFFFF"/>
        </w:rPr>
        <w:t>根据招标编号为_</w:t>
      </w:r>
      <w:r>
        <w:rPr>
          <w:rFonts w:hint="eastAsia" w:ascii="宋体" w:hAnsi="宋体" w:eastAsia="宋体" w:cs="宋体"/>
          <w:b/>
          <w:bCs/>
          <w:color w:val="auto"/>
          <w:sz w:val="24"/>
          <w:szCs w:val="24"/>
          <w:u w:val="single"/>
          <w:shd w:val="clear" w:color="auto" w:fill="FFFFFF"/>
          <w:lang w:eastAsia="zh-CN"/>
        </w:rPr>
        <w:t>XFZB-2024-FS122</w:t>
      </w:r>
      <w:r>
        <w:rPr>
          <w:rFonts w:hint="eastAsia" w:ascii="宋体" w:hAnsi="宋体" w:eastAsia="宋体" w:cs="宋体"/>
          <w:color w:val="auto"/>
          <w:shd w:val="clear" w:color="auto" w:fill="FFFFFF"/>
        </w:rPr>
        <w:t>的</w:t>
      </w:r>
      <w:r>
        <w:rPr>
          <w:rStyle w:val="26"/>
          <w:rFonts w:hint="eastAsia" w:ascii="宋体" w:hAnsi="宋体" w:eastAsia="宋体" w:cs="宋体"/>
          <w:bCs/>
          <w:color w:val="auto"/>
          <w:sz w:val="24"/>
          <w:szCs w:val="24"/>
          <w:u w:val="single"/>
          <w:shd w:val="clear" w:color="auto" w:fill="FFFFFF"/>
          <w:lang w:eastAsia="zh-CN"/>
        </w:rPr>
        <w:t>福建省翔安监狱二层高压电网工程项目</w:t>
      </w:r>
      <w:r>
        <w:rPr>
          <w:rFonts w:hint="eastAsia" w:ascii="宋体" w:hAnsi="宋体" w:eastAsia="宋体" w:cs="宋体"/>
          <w:color w:val="auto"/>
          <w:shd w:val="clear" w:color="auto" w:fill="FFFFFF"/>
        </w:rPr>
        <w:t>（以下简称：“本项目”）的招标结果，乙方为成交人。现经甲乙双方友好协商，就以下事项达成一致并签订本合同：</w:t>
      </w:r>
    </w:p>
    <w:p w14:paraId="0621AA1F">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1、下列合同文件是构成本合同不可分割的部分</w:t>
      </w:r>
    </w:p>
    <w:p w14:paraId="369C2496">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1.1合同条款；</w:t>
      </w:r>
    </w:p>
    <w:p w14:paraId="2D79E9ED">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1.2招标文件、乙方的投标文件；</w:t>
      </w:r>
    </w:p>
    <w:p w14:paraId="0E9683D9">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1.3其他文件或材料：</w:t>
      </w:r>
    </w:p>
    <w:p w14:paraId="58E496F3">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2、合同标的</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7"/>
        <w:gridCol w:w="1772"/>
        <w:gridCol w:w="981"/>
        <w:gridCol w:w="1425"/>
        <w:gridCol w:w="1889"/>
      </w:tblGrid>
      <w:tr w14:paraId="36848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exact"/>
          <w:jc w:val="center"/>
        </w:trPr>
        <w:tc>
          <w:tcPr>
            <w:tcW w:w="3417" w:type="dxa"/>
            <w:tcBorders>
              <w:bottom w:val="single" w:color="auto" w:sz="4" w:space="0"/>
            </w:tcBorders>
            <w:noWrap w:val="0"/>
            <w:vAlign w:val="center"/>
          </w:tcPr>
          <w:p w14:paraId="035A306F">
            <w:pPr>
              <w:widowControl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产品名称</w:t>
            </w:r>
          </w:p>
        </w:tc>
        <w:tc>
          <w:tcPr>
            <w:tcW w:w="1772" w:type="dxa"/>
            <w:tcBorders>
              <w:bottom w:val="single" w:color="auto" w:sz="4" w:space="0"/>
            </w:tcBorders>
            <w:noWrap w:val="0"/>
            <w:vAlign w:val="center"/>
          </w:tcPr>
          <w:p w14:paraId="39199F86">
            <w:pPr>
              <w:widowControl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规格型号</w:t>
            </w:r>
          </w:p>
        </w:tc>
        <w:tc>
          <w:tcPr>
            <w:tcW w:w="981" w:type="dxa"/>
            <w:tcBorders>
              <w:bottom w:val="single" w:color="auto" w:sz="4" w:space="0"/>
            </w:tcBorders>
            <w:noWrap w:val="0"/>
            <w:vAlign w:val="center"/>
          </w:tcPr>
          <w:p w14:paraId="1FBA01FD">
            <w:pPr>
              <w:widowControl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数 量</w:t>
            </w:r>
          </w:p>
        </w:tc>
        <w:tc>
          <w:tcPr>
            <w:tcW w:w="1425" w:type="dxa"/>
            <w:tcBorders>
              <w:bottom w:val="single" w:color="auto" w:sz="4" w:space="0"/>
            </w:tcBorders>
            <w:noWrap w:val="0"/>
            <w:vAlign w:val="center"/>
          </w:tcPr>
          <w:p w14:paraId="522F8EDF">
            <w:pPr>
              <w:widowControl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单 价</w:t>
            </w:r>
          </w:p>
        </w:tc>
        <w:tc>
          <w:tcPr>
            <w:tcW w:w="1889" w:type="dxa"/>
            <w:tcBorders>
              <w:bottom w:val="single" w:color="auto" w:sz="4" w:space="0"/>
            </w:tcBorders>
            <w:noWrap w:val="0"/>
            <w:vAlign w:val="center"/>
          </w:tcPr>
          <w:p w14:paraId="3542E7AD">
            <w:pPr>
              <w:widowControl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总 价</w:t>
            </w:r>
          </w:p>
        </w:tc>
      </w:tr>
      <w:tr w14:paraId="3DF1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3417" w:type="dxa"/>
            <w:noWrap w:val="0"/>
            <w:vAlign w:val="top"/>
          </w:tcPr>
          <w:p w14:paraId="7A45CB55">
            <w:pPr>
              <w:widowControl w:val="0"/>
              <w:spacing w:line="360" w:lineRule="auto"/>
              <w:rPr>
                <w:rFonts w:hint="eastAsia" w:ascii="宋体" w:hAnsi="宋体" w:cs="宋体"/>
                <w:color w:val="auto"/>
                <w:sz w:val="24"/>
                <w:szCs w:val="24"/>
              </w:rPr>
            </w:pPr>
          </w:p>
          <w:p w14:paraId="34856590">
            <w:pPr>
              <w:widowControl w:val="0"/>
              <w:spacing w:line="360" w:lineRule="auto"/>
              <w:rPr>
                <w:rFonts w:hint="eastAsia" w:ascii="宋体" w:hAnsi="宋体" w:cs="宋体"/>
                <w:color w:val="auto"/>
                <w:sz w:val="24"/>
                <w:szCs w:val="24"/>
              </w:rPr>
            </w:pPr>
          </w:p>
        </w:tc>
        <w:tc>
          <w:tcPr>
            <w:tcW w:w="1772" w:type="dxa"/>
            <w:noWrap w:val="0"/>
            <w:vAlign w:val="top"/>
          </w:tcPr>
          <w:p w14:paraId="630EB085">
            <w:pPr>
              <w:widowControl w:val="0"/>
              <w:spacing w:line="360" w:lineRule="auto"/>
              <w:rPr>
                <w:rFonts w:hint="eastAsia" w:ascii="宋体" w:hAnsi="宋体" w:cs="宋体"/>
                <w:color w:val="auto"/>
                <w:sz w:val="24"/>
                <w:szCs w:val="24"/>
              </w:rPr>
            </w:pPr>
          </w:p>
        </w:tc>
        <w:tc>
          <w:tcPr>
            <w:tcW w:w="981" w:type="dxa"/>
            <w:noWrap w:val="0"/>
            <w:vAlign w:val="top"/>
          </w:tcPr>
          <w:p w14:paraId="729B814A">
            <w:pPr>
              <w:widowControl w:val="0"/>
              <w:spacing w:line="360" w:lineRule="auto"/>
              <w:rPr>
                <w:rFonts w:hint="eastAsia" w:ascii="宋体" w:hAnsi="宋体" w:cs="宋体"/>
                <w:color w:val="auto"/>
                <w:sz w:val="24"/>
                <w:szCs w:val="24"/>
              </w:rPr>
            </w:pPr>
          </w:p>
        </w:tc>
        <w:tc>
          <w:tcPr>
            <w:tcW w:w="1425" w:type="dxa"/>
            <w:noWrap w:val="0"/>
            <w:vAlign w:val="top"/>
          </w:tcPr>
          <w:p w14:paraId="39B6643D">
            <w:pPr>
              <w:widowControl w:val="0"/>
              <w:spacing w:line="360" w:lineRule="auto"/>
              <w:rPr>
                <w:rFonts w:hint="eastAsia" w:ascii="宋体" w:hAnsi="宋体" w:cs="宋体"/>
                <w:color w:val="auto"/>
                <w:sz w:val="24"/>
                <w:szCs w:val="24"/>
              </w:rPr>
            </w:pPr>
          </w:p>
        </w:tc>
        <w:tc>
          <w:tcPr>
            <w:tcW w:w="1889" w:type="dxa"/>
            <w:noWrap w:val="0"/>
            <w:vAlign w:val="top"/>
          </w:tcPr>
          <w:p w14:paraId="4AD90108">
            <w:pPr>
              <w:widowControl w:val="0"/>
              <w:spacing w:line="360" w:lineRule="auto"/>
              <w:rPr>
                <w:rFonts w:hint="eastAsia" w:ascii="宋体" w:hAnsi="宋体" w:cs="宋体"/>
                <w:color w:val="auto"/>
                <w:sz w:val="24"/>
                <w:szCs w:val="24"/>
              </w:rPr>
            </w:pPr>
          </w:p>
        </w:tc>
      </w:tr>
      <w:tr w14:paraId="502CC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exact"/>
          <w:jc w:val="center"/>
        </w:trPr>
        <w:tc>
          <w:tcPr>
            <w:tcW w:w="3417" w:type="dxa"/>
            <w:noWrap w:val="0"/>
            <w:vAlign w:val="top"/>
          </w:tcPr>
          <w:p w14:paraId="13A338C6">
            <w:pPr>
              <w:widowControl w:val="0"/>
              <w:spacing w:line="360" w:lineRule="auto"/>
              <w:rPr>
                <w:rFonts w:hint="eastAsia" w:ascii="宋体" w:hAnsi="宋体" w:cs="宋体"/>
                <w:color w:val="auto"/>
                <w:sz w:val="24"/>
                <w:szCs w:val="24"/>
              </w:rPr>
            </w:pPr>
          </w:p>
        </w:tc>
        <w:tc>
          <w:tcPr>
            <w:tcW w:w="1772" w:type="dxa"/>
            <w:noWrap w:val="0"/>
            <w:vAlign w:val="top"/>
          </w:tcPr>
          <w:p w14:paraId="1AAE7616">
            <w:pPr>
              <w:widowControl w:val="0"/>
              <w:spacing w:line="360" w:lineRule="auto"/>
              <w:rPr>
                <w:rFonts w:hint="eastAsia" w:ascii="宋体" w:hAnsi="宋体" w:cs="宋体"/>
                <w:color w:val="auto"/>
                <w:sz w:val="24"/>
                <w:szCs w:val="24"/>
              </w:rPr>
            </w:pPr>
          </w:p>
        </w:tc>
        <w:tc>
          <w:tcPr>
            <w:tcW w:w="981" w:type="dxa"/>
            <w:noWrap w:val="0"/>
            <w:vAlign w:val="top"/>
          </w:tcPr>
          <w:p w14:paraId="63BE5201">
            <w:pPr>
              <w:widowControl w:val="0"/>
              <w:spacing w:line="360" w:lineRule="auto"/>
              <w:rPr>
                <w:rFonts w:hint="eastAsia" w:ascii="宋体" w:hAnsi="宋体" w:cs="宋体"/>
                <w:color w:val="auto"/>
                <w:sz w:val="24"/>
                <w:szCs w:val="24"/>
              </w:rPr>
            </w:pPr>
          </w:p>
        </w:tc>
        <w:tc>
          <w:tcPr>
            <w:tcW w:w="1425" w:type="dxa"/>
            <w:noWrap w:val="0"/>
            <w:vAlign w:val="top"/>
          </w:tcPr>
          <w:p w14:paraId="0B550BBA">
            <w:pPr>
              <w:widowControl w:val="0"/>
              <w:spacing w:line="360" w:lineRule="auto"/>
              <w:rPr>
                <w:rFonts w:hint="eastAsia" w:ascii="宋体" w:hAnsi="宋体" w:cs="宋体"/>
                <w:color w:val="auto"/>
                <w:sz w:val="24"/>
                <w:szCs w:val="24"/>
              </w:rPr>
            </w:pPr>
          </w:p>
        </w:tc>
        <w:tc>
          <w:tcPr>
            <w:tcW w:w="1889" w:type="dxa"/>
            <w:noWrap w:val="0"/>
            <w:vAlign w:val="top"/>
          </w:tcPr>
          <w:p w14:paraId="04AB0FBB">
            <w:pPr>
              <w:widowControl w:val="0"/>
              <w:spacing w:line="360" w:lineRule="auto"/>
              <w:rPr>
                <w:rFonts w:hint="eastAsia" w:ascii="宋体" w:hAnsi="宋体" w:cs="宋体"/>
                <w:color w:val="auto"/>
                <w:sz w:val="24"/>
                <w:szCs w:val="24"/>
              </w:rPr>
            </w:pPr>
          </w:p>
        </w:tc>
      </w:tr>
      <w:tr w14:paraId="6589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exact"/>
          <w:jc w:val="center"/>
        </w:trPr>
        <w:tc>
          <w:tcPr>
            <w:tcW w:w="3417" w:type="dxa"/>
            <w:noWrap w:val="0"/>
            <w:vAlign w:val="top"/>
          </w:tcPr>
          <w:p w14:paraId="02F92E3F">
            <w:pPr>
              <w:widowControl w:val="0"/>
              <w:spacing w:line="360" w:lineRule="auto"/>
              <w:rPr>
                <w:rFonts w:hint="eastAsia" w:ascii="宋体" w:hAnsi="宋体" w:cs="宋体"/>
                <w:color w:val="auto"/>
                <w:sz w:val="24"/>
                <w:szCs w:val="24"/>
              </w:rPr>
            </w:pPr>
          </w:p>
        </w:tc>
        <w:tc>
          <w:tcPr>
            <w:tcW w:w="1772" w:type="dxa"/>
            <w:noWrap w:val="0"/>
            <w:vAlign w:val="top"/>
          </w:tcPr>
          <w:p w14:paraId="00A4AAF6">
            <w:pPr>
              <w:widowControl w:val="0"/>
              <w:spacing w:line="360" w:lineRule="auto"/>
              <w:rPr>
                <w:rFonts w:hint="eastAsia" w:ascii="宋体" w:hAnsi="宋体" w:cs="宋体"/>
                <w:color w:val="auto"/>
                <w:sz w:val="24"/>
                <w:szCs w:val="24"/>
              </w:rPr>
            </w:pPr>
          </w:p>
        </w:tc>
        <w:tc>
          <w:tcPr>
            <w:tcW w:w="981" w:type="dxa"/>
            <w:noWrap w:val="0"/>
            <w:vAlign w:val="top"/>
          </w:tcPr>
          <w:p w14:paraId="175D998E">
            <w:pPr>
              <w:widowControl w:val="0"/>
              <w:spacing w:line="360" w:lineRule="auto"/>
              <w:rPr>
                <w:rFonts w:hint="eastAsia" w:ascii="宋体" w:hAnsi="宋体" w:cs="宋体"/>
                <w:color w:val="auto"/>
                <w:sz w:val="24"/>
                <w:szCs w:val="24"/>
              </w:rPr>
            </w:pPr>
          </w:p>
        </w:tc>
        <w:tc>
          <w:tcPr>
            <w:tcW w:w="1425" w:type="dxa"/>
            <w:noWrap w:val="0"/>
            <w:vAlign w:val="top"/>
          </w:tcPr>
          <w:p w14:paraId="5A1868B6">
            <w:pPr>
              <w:widowControl w:val="0"/>
              <w:spacing w:line="360" w:lineRule="auto"/>
              <w:rPr>
                <w:rFonts w:hint="eastAsia" w:ascii="宋体" w:hAnsi="宋体" w:cs="宋体"/>
                <w:color w:val="auto"/>
                <w:sz w:val="24"/>
                <w:szCs w:val="24"/>
              </w:rPr>
            </w:pPr>
          </w:p>
        </w:tc>
        <w:tc>
          <w:tcPr>
            <w:tcW w:w="1889" w:type="dxa"/>
            <w:noWrap w:val="0"/>
            <w:vAlign w:val="top"/>
          </w:tcPr>
          <w:p w14:paraId="17B4BB6F">
            <w:pPr>
              <w:widowControl w:val="0"/>
              <w:spacing w:line="360" w:lineRule="auto"/>
              <w:rPr>
                <w:rFonts w:hint="eastAsia" w:ascii="宋体" w:hAnsi="宋体" w:cs="宋体"/>
                <w:color w:val="auto"/>
                <w:sz w:val="24"/>
                <w:szCs w:val="24"/>
              </w:rPr>
            </w:pPr>
          </w:p>
        </w:tc>
      </w:tr>
      <w:tr w14:paraId="4B7FA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exact"/>
          <w:jc w:val="center"/>
        </w:trPr>
        <w:tc>
          <w:tcPr>
            <w:tcW w:w="7595" w:type="dxa"/>
            <w:gridSpan w:val="4"/>
            <w:tcBorders>
              <w:bottom w:val="single" w:color="auto" w:sz="4" w:space="0"/>
            </w:tcBorders>
            <w:noWrap w:val="0"/>
            <w:vAlign w:val="center"/>
          </w:tcPr>
          <w:p w14:paraId="28D197DE">
            <w:pPr>
              <w:widowControl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合  计</w:t>
            </w:r>
          </w:p>
        </w:tc>
        <w:tc>
          <w:tcPr>
            <w:tcW w:w="1889" w:type="dxa"/>
            <w:tcBorders>
              <w:bottom w:val="single" w:color="auto" w:sz="4" w:space="0"/>
            </w:tcBorders>
            <w:noWrap w:val="0"/>
            <w:vAlign w:val="top"/>
          </w:tcPr>
          <w:p w14:paraId="6387C64A">
            <w:pPr>
              <w:widowControl w:val="0"/>
              <w:spacing w:line="360" w:lineRule="auto"/>
              <w:rPr>
                <w:rFonts w:hint="eastAsia" w:ascii="宋体" w:hAnsi="宋体" w:cs="宋体"/>
                <w:color w:val="auto"/>
                <w:sz w:val="24"/>
                <w:szCs w:val="24"/>
              </w:rPr>
            </w:pPr>
          </w:p>
        </w:tc>
      </w:tr>
    </w:tbl>
    <w:p w14:paraId="0A9925BB">
      <w:pPr>
        <w:widowControl/>
        <w:spacing w:line="360" w:lineRule="exact"/>
        <w:jc w:val="left"/>
        <w:rPr>
          <w:rFonts w:ascii="宋体" w:hAnsi="宋体" w:eastAsia="宋体" w:cs="宋体"/>
          <w:color w:val="auto"/>
          <w:sz w:val="24"/>
        </w:rPr>
      </w:pPr>
    </w:p>
    <w:p w14:paraId="154157FB">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3、合同总金额</w:t>
      </w:r>
    </w:p>
    <w:p w14:paraId="55CF4874">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3.1合同总金额为人民币大写：</w:t>
      </w:r>
    </w:p>
    <w:p w14:paraId="7D457355">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4、合同标的交付时间、地点和条件</w:t>
      </w:r>
    </w:p>
    <w:p w14:paraId="371A264B">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4.1交付时间：</w:t>
      </w:r>
      <w:r>
        <w:rPr>
          <w:rFonts w:hint="eastAsia" w:ascii="宋体" w:hAnsi="宋体" w:eastAsia="宋体" w:cs="宋体"/>
          <w:bCs/>
          <w:color w:val="auto"/>
          <w:sz w:val="24"/>
          <w:szCs w:val="24"/>
          <w:lang w:val="en-US" w:eastAsia="zh-CN"/>
        </w:rPr>
        <w:t>自合同签订之日起80日内完工</w:t>
      </w:r>
    </w:p>
    <w:p w14:paraId="79BDBB1E">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4.2交付地点：</w:t>
      </w:r>
      <w:r>
        <w:rPr>
          <w:rFonts w:hint="eastAsia" w:ascii="宋体" w:hAnsi="宋体" w:eastAsia="宋体" w:cs="宋体"/>
          <w:b w:val="0"/>
          <w:bCs w:val="0"/>
          <w:color w:val="auto"/>
          <w:sz w:val="24"/>
          <w:szCs w:val="24"/>
          <w:lang w:val="en-US" w:eastAsia="zh-CN"/>
        </w:rPr>
        <w:t>甲方指定地点</w:t>
      </w:r>
    </w:p>
    <w:p w14:paraId="70B64DD9">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4.3交付条件：</w:t>
      </w:r>
      <w:r>
        <w:rPr>
          <w:rFonts w:hint="eastAsia" w:ascii="宋体" w:hAnsi="宋体" w:eastAsia="宋体" w:cs="宋体"/>
          <w:bCs/>
          <w:color w:val="auto"/>
          <w:sz w:val="24"/>
          <w:szCs w:val="24"/>
        </w:rPr>
        <w:t>经</w:t>
      </w:r>
      <w:r>
        <w:rPr>
          <w:rFonts w:hint="eastAsia" w:ascii="宋体" w:hAnsi="宋体" w:eastAsia="宋体" w:cs="宋体"/>
          <w:bCs/>
          <w:color w:val="auto"/>
          <w:sz w:val="24"/>
          <w:szCs w:val="24"/>
          <w:lang w:eastAsia="zh-CN"/>
        </w:rPr>
        <w:t>甲方</w:t>
      </w:r>
      <w:r>
        <w:rPr>
          <w:rFonts w:hint="eastAsia" w:ascii="宋体" w:hAnsi="宋体" w:eastAsia="宋体" w:cs="宋体"/>
          <w:bCs/>
          <w:color w:val="auto"/>
          <w:sz w:val="24"/>
          <w:szCs w:val="24"/>
        </w:rPr>
        <w:t>验收合格。</w:t>
      </w:r>
    </w:p>
    <w:p w14:paraId="10673C0B">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5、合同标的应符合招标文件、乙方投标文件的规定或约定，具体如下：</w:t>
      </w:r>
    </w:p>
    <w:p w14:paraId="70B56B11">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5.1、设计要求</w:t>
      </w:r>
    </w:p>
    <w:p w14:paraId="40E4276D">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1)高压电网系统应做到双主机备份,电网应有可靠后备供电设施,主电源故障时可自动立刻切换后备电源供电,保证备用时间不低于4小时。</w:t>
      </w:r>
    </w:p>
    <w:p w14:paraId="7009170F">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系统要采用性能可靠的设备,成熟的技术手段,保证系统具有很强的安全性和可靠性。主控设备应具有连续不间断工作特性。主控系统要求过载能力强,当电网网上发生线间或对地直接短路时,主控设备能不断电工作大于120分钟以上,不停机和不损毁,而导致整个电网无电。当警情或短路消失后,电网系统自动恢复正常工作状态。</w:t>
      </w:r>
    </w:p>
    <w:p w14:paraId="299E56C2">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配备“警情信息管理监控系统”,该系统设置在远离电网控制设备处的监控中心，用信号线将电网设备与该系统计算机连接。平时值班状态。计算机显示器显示监狱围墙分段电子图形及电网设备的工作状况等。当围墙电网发生警情时,通过计算机显示器上的电子图形立即提示出警情发生区段、警情种类,警情发生时间等信息 同时进行声光报警、存储、记忆(一年的警情信息及电网设备的工作状态)等，此系统为独立运行系统,不影响电网设备的独立运行。</w:t>
      </w:r>
    </w:p>
    <w:p w14:paraId="0BEE8A3A">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集中控制:主控设备(含升压器)必须采用集中控制、集中管理方式、围墙上不允许安装任何升压及检测控制设备。即:整套主控设备(含升压器)必须集中安放在指定的同一房间内，防止造成监管隐患。(安装在AB门处电网值班室)</w:t>
      </w:r>
    </w:p>
    <w:p w14:paraId="0DEC3958">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lang w:val="en-US" w:eastAsia="zh-CN"/>
        </w:rPr>
        <w:t>5)电网主控设备(含升压及控制系统)与电网分段入口的连接采用抗低温高压屏蔽绝缘线,耐压不低于2OKV。</w:t>
      </w:r>
      <w:r>
        <w:rPr>
          <w:rFonts w:hint="eastAsia" w:ascii="宋体" w:hAnsi="宋体" w:eastAsia="宋体" w:cs="宋体"/>
          <w:color w:val="auto"/>
          <w:spacing w:val="0"/>
          <w:sz w:val="24"/>
          <w:u w:val="none"/>
        </w:rPr>
        <w:t>系统报警响应时间应不大于2秒。电网系统应具有灵敏度可调档或设有雨天档，减少系统误报。系统在触网、短路状态可保持60分钟持续高压输出，便于民警、武警处理警情。电网控制设备应专门配备用于断开电网监控系统主机的应急开关，当电网监控系统发生故障时，启动应急开关，能保持高压电网正常工作。电网打击输出电流大于500mA</w:t>
      </w:r>
      <w:r>
        <w:rPr>
          <w:rFonts w:hint="eastAsia" w:ascii="宋体" w:hAnsi="宋体" w:eastAsia="宋体" w:cs="宋体"/>
          <w:color w:val="auto"/>
          <w:spacing w:val="0"/>
          <w:sz w:val="24"/>
          <w:u w:val="none"/>
          <w:lang w:eastAsia="zh-CN"/>
        </w:rPr>
        <w:t>。</w:t>
      </w:r>
    </w:p>
    <w:p w14:paraId="104B86B0">
      <w:pPr>
        <w:pStyle w:val="37"/>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5.2、工程技术要求</w:t>
      </w:r>
    </w:p>
    <w:p w14:paraId="60E42CFC">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1）乙方在合同期内应根据甲方的实际需求承担项目的施工，不得以任何技术性问题和其他原因拒绝施工或拖延施工。</w:t>
      </w:r>
    </w:p>
    <w:p w14:paraId="176FBFEC">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2）在各单项工程竣工未移交甲方之前，乙方负责对现场的一切设施和工程成品进行保护。</w:t>
      </w:r>
    </w:p>
    <w:p w14:paraId="7846EC6D">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3）乙方在施工期间必须服从甲方管理，文明施工，保持施工现场整洁卫生，损坏物品须照价赔偿或负责修复；乙方须承担施工中的安全责任，出现任何安全事故，乙方须负全责。</w:t>
      </w:r>
    </w:p>
    <w:p w14:paraId="01517576">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4）乙方必须严格按照工程量清单、工程预算、技术标准、国家颁布的施工规范和福建省有关现行管理办法及地方标准进行施工。</w:t>
      </w:r>
    </w:p>
    <w:p w14:paraId="74BD40F2">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color w:val="auto"/>
          <w:sz w:val="24"/>
          <w:lang w:val="en-US" w:eastAsia="zh-CN"/>
        </w:rPr>
        <w:t>供应商</w:t>
      </w:r>
      <w:r>
        <w:rPr>
          <w:rFonts w:ascii="宋体" w:hAnsi="宋体" w:eastAsia="宋体" w:cs="宋体"/>
          <w:b/>
          <w:color w:val="auto"/>
          <w:sz w:val="24"/>
        </w:rPr>
        <w:t>提供的“高压电网设备装置”应符合《周界防范高压电网装置》GB25287-</w:t>
      </w:r>
      <w:r>
        <w:rPr>
          <w:rFonts w:hint="default" w:ascii="宋体" w:hAnsi="宋体" w:eastAsia="宋体" w:cs="宋体"/>
          <w:b/>
          <w:color w:val="auto"/>
          <w:sz w:val="24"/>
          <w:lang w:val="en-US"/>
        </w:rPr>
        <w:t>2010b</w:t>
      </w:r>
      <w:r>
        <w:rPr>
          <w:rFonts w:ascii="宋体" w:hAnsi="宋体" w:eastAsia="宋体" w:cs="宋体"/>
          <w:b/>
          <w:color w:val="auto"/>
          <w:sz w:val="24"/>
        </w:rPr>
        <w:t>标准要求，并能达到《福建省监狱周界防范高压电网建设和管理指导意见》要求,</w:t>
      </w:r>
      <w:r>
        <w:rPr>
          <w:rFonts w:hint="eastAsia" w:ascii="宋体" w:hAnsi="宋体" w:eastAsia="宋体" w:cs="宋体"/>
          <w:b w:val="0"/>
          <w:bCs w:val="0"/>
          <w:color w:val="auto"/>
          <w:sz w:val="24"/>
          <w:szCs w:val="24"/>
          <w:lang w:val="en-US" w:eastAsia="zh-CN"/>
        </w:rPr>
        <w:t>。</w:t>
      </w:r>
    </w:p>
    <w:p w14:paraId="08AD9EAE">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6）乙方如要更换项目管理人员、技术负责人以及其他施工现场主要施工管理人员的，须经甲方批准后方可更换，且接替人员的水平和能力不得低于被替换人员。</w:t>
      </w:r>
    </w:p>
    <w:p w14:paraId="2CBCF480">
      <w:pPr>
        <w:widowControl/>
        <w:spacing w:line="360" w:lineRule="exact"/>
        <w:jc w:val="left"/>
        <w:rPr>
          <w:rFonts w:ascii="宋体" w:hAnsi="宋体" w:eastAsia="宋体" w:cs="宋体"/>
          <w:color w:val="auto"/>
          <w:sz w:val="24"/>
        </w:rPr>
      </w:pPr>
    </w:p>
    <w:p w14:paraId="7FF99DDC">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6、验收</w:t>
      </w:r>
    </w:p>
    <w:p w14:paraId="72A38ACE">
      <w:pPr>
        <w:pStyle w:val="17"/>
        <w:widowControl/>
        <w:wordWrap w:val="0"/>
        <w:spacing w:beforeAutospacing="0" w:afterAutospacing="0" w:line="360" w:lineRule="exact"/>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6.1验收应按照招标文件、乙方投标文件的规定或约定进行，具体如下：</w:t>
      </w:r>
    </w:p>
    <w:p w14:paraId="423CCC93">
      <w:pPr>
        <w:pStyle w:val="3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val="0"/>
          <w:color w:val="auto"/>
          <w:sz w:val="24"/>
          <w:szCs w:val="24"/>
          <w:lang w:val="en-US" w:eastAsia="zh-CN"/>
        </w:rPr>
        <w:t>（1）验收方式：</w:t>
      </w:r>
      <w:r>
        <w:rPr>
          <w:rFonts w:hint="eastAsia" w:ascii="宋体" w:hAnsi="宋体" w:eastAsia="宋体" w:cs="宋体"/>
          <w:b w:val="0"/>
          <w:bCs w:val="0"/>
          <w:color w:val="auto"/>
          <w:sz w:val="24"/>
          <w:szCs w:val="24"/>
          <w:lang w:val="en-US" w:eastAsia="zh-CN"/>
        </w:rPr>
        <w:t>工程竣工后，成交人向甲方提交验收申请，甲方组织相关部门进行现场验收。</w:t>
      </w:r>
    </w:p>
    <w:p w14:paraId="5CB296F7">
      <w:pPr>
        <w:pStyle w:val="37"/>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z w:val="24"/>
          <w:szCs w:val="24"/>
          <w:lang w:val="en-US" w:eastAsia="zh-CN"/>
        </w:rPr>
        <w:t>（2）验收标准：</w:t>
      </w:r>
      <w:r>
        <w:rPr>
          <w:rFonts w:hint="eastAsia" w:ascii="宋体" w:hAnsi="宋体" w:eastAsia="宋体" w:cs="宋体"/>
          <w:b w:val="0"/>
          <w:bCs w:val="0"/>
          <w:color w:val="auto"/>
          <w:sz w:val="24"/>
          <w:szCs w:val="24"/>
          <w:lang w:val="en-US" w:eastAsia="zh-CN"/>
        </w:rPr>
        <w:t>按照工程的工程量清单、图纸、操作规程、施工合同及磋商文件等材料进行验收。成交人</w:t>
      </w:r>
      <w:r>
        <w:rPr>
          <w:rFonts w:hint="eastAsia" w:ascii="宋体" w:hAnsi="宋体" w:eastAsia="宋体" w:cs="宋体"/>
          <w:b w:val="0"/>
          <w:bCs w:val="0"/>
          <w:color w:val="auto"/>
          <w:sz w:val="24"/>
          <w:szCs w:val="24"/>
        </w:rPr>
        <w:t>必须将高压电网所有配套设备安装调试完毕，达到方案中所要求的技术要求，如不能通过测试，设备须无条件退回或更换。</w:t>
      </w:r>
      <w:r>
        <w:rPr>
          <w:rStyle w:val="26"/>
          <w:rFonts w:hint="eastAsia" w:ascii="宋体" w:hAnsi="宋体" w:eastAsia="宋体" w:cs="宋体"/>
          <w:color w:val="auto"/>
          <w:spacing w:val="0"/>
          <w:sz w:val="24"/>
          <w:szCs w:val="24"/>
        </w:rPr>
        <w:t>安装调试完毕后，</w:t>
      </w:r>
      <w:r>
        <w:rPr>
          <w:rStyle w:val="26"/>
          <w:rFonts w:hint="eastAsia" w:ascii="宋体" w:hAnsi="宋体" w:eastAsia="宋体" w:cs="宋体"/>
          <w:color w:val="auto"/>
          <w:spacing w:val="0"/>
          <w:sz w:val="24"/>
          <w:szCs w:val="24"/>
          <w:lang w:eastAsia="zh-CN"/>
        </w:rPr>
        <w:t>由甲方委托</w:t>
      </w:r>
      <w:r>
        <w:rPr>
          <w:rStyle w:val="26"/>
          <w:rFonts w:hint="eastAsia" w:ascii="宋体" w:hAnsi="宋体" w:eastAsia="宋体" w:cs="宋体"/>
          <w:color w:val="auto"/>
          <w:spacing w:val="0"/>
          <w:sz w:val="24"/>
          <w:szCs w:val="24"/>
        </w:rPr>
        <w:t>公安部下属有资质验收高压电网的专业权威检测机构进行</w:t>
      </w:r>
      <w:r>
        <w:rPr>
          <w:rStyle w:val="26"/>
          <w:rFonts w:hint="eastAsia" w:ascii="宋体" w:hAnsi="宋体" w:eastAsia="宋体" w:cs="宋体"/>
          <w:color w:val="auto"/>
          <w:spacing w:val="0"/>
          <w:sz w:val="24"/>
          <w:szCs w:val="24"/>
          <w:lang w:eastAsia="zh-CN"/>
        </w:rPr>
        <w:t>检测</w:t>
      </w:r>
      <w:r>
        <w:rPr>
          <w:rStyle w:val="26"/>
          <w:rFonts w:hint="eastAsia" w:ascii="宋体" w:hAnsi="宋体" w:eastAsia="宋体" w:cs="宋体"/>
          <w:color w:val="auto"/>
          <w:spacing w:val="0"/>
          <w:sz w:val="24"/>
          <w:szCs w:val="24"/>
        </w:rPr>
        <w:t>，并</w:t>
      </w:r>
      <w:r>
        <w:rPr>
          <w:rStyle w:val="26"/>
          <w:rFonts w:hint="eastAsia" w:ascii="宋体" w:hAnsi="宋体" w:eastAsia="宋体" w:cs="宋体"/>
          <w:color w:val="auto"/>
          <w:spacing w:val="0"/>
          <w:sz w:val="24"/>
          <w:szCs w:val="24"/>
          <w:lang w:eastAsia="zh-CN"/>
        </w:rPr>
        <w:t>由第三方检测机构</w:t>
      </w:r>
      <w:r>
        <w:rPr>
          <w:rStyle w:val="26"/>
          <w:rFonts w:hint="eastAsia" w:ascii="宋体" w:hAnsi="宋体" w:eastAsia="宋体" w:cs="宋体"/>
          <w:color w:val="auto"/>
          <w:spacing w:val="0"/>
          <w:sz w:val="24"/>
          <w:szCs w:val="24"/>
        </w:rPr>
        <w:t>出具</w:t>
      </w:r>
      <w:r>
        <w:rPr>
          <w:rStyle w:val="26"/>
          <w:rFonts w:hint="eastAsia" w:ascii="宋体" w:hAnsi="宋体" w:eastAsia="宋体" w:cs="宋体"/>
          <w:color w:val="auto"/>
          <w:spacing w:val="0"/>
          <w:sz w:val="24"/>
          <w:szCs w:val="24"/>
          <w:lang w:eastAsia="zh-CN"/>
        </w:rPr>
        <w:t>检测</w:t>
      </w:r>
      <w:r>
        <w:rPr>
          <w:rStyle w:val="26"/>
          <w:rFonts w:hint="eastAsia" w:ascii="宋体" w:hAnsi="宋体" w:eastAsia="宋体" w:cs="宋体"/>
          <w:color w:val="auto"/>
          <w:spacing w:val="0"/>
          <w:sz w:val="24"/>
          <w:szCs w:val="24"/>
        </w:rPr>
        <w:t>报告</w:t>
      </w:r>
      <w:r>
        <w:rPr>
          <w:rStyle w:val="26"/>
          <w:rFonts w:hint="eastAsia" w:ascii="宋体" w:hAnsi="宋体" w:eastAsia="宋体" w:cs="宋体"/>
          <w:color w:val="auto"/>
          <w:spacing w:val="0"/>
          <w:sz w:val="24"/>
          <w:szCs w:val="24"/>
          <w:lang w:eastAsia="zh-CN"/>
        </w:rPr>
        <w:t>，如出具的检测报告内容不符合</w:t>
      </w:r>
      <w:r>
        <w:rPr>
          <w:rStyle w:val="26"/>
          <w:rFonts w:hint="eastAsia" w:ascii="宋体" w:hAnsi="宋体" w:eastAsia="宋体" w:cs="宋体"/>
          <w:color w:val="auto"/>
          <w:spacing w:val="0"/>
          <w:sz w:val="24"/>
          <w:szCs w:val="24"/>
          <w:lang w:val="en-US" w:eastAsia="zh-CN"/>
        </w:rPr>
        <w:t>竞争性磋商</w:t>
      </w:r>
      <w:r>
        <w:rPr>
          <w:rStyle w:val="26"/>
          <w:rFonts w:hint="eastAsia" w:ascii="宋体" w:hAnsi="宋体" w:eastAsia="宋体" w:cs="宋体"/>
          <w:color w:val="auto"/>
          <w:spacing w:val="0"/>
          <w:sz w:val="24"/>
          <w:szCs w:val="24"/>
          <w:lang w:eastAsia="zh-CN"/>
        </w:rPr>
        <w:t>文件及合同要求，则</w:t>
      </w:r>
      <w:r>
        <w:rPr>
          <w:rStyle w:val="26"/>
          <w:rFonts w:hint="eastAsia" w:ascii="宋体" w:hAnsi="宋体" w:eastAsia="宋体" w:cs="宋体"/>
          <w:color w:val="auto"/>
          <w:spacing w:val="0"/>
          <w:sz w:val="24"/>
          <w:szCs w:val="24"/>
          <w:lang w:val="en-US" w:eastAsia="zh-CN"/>
        </w:rPr>
        <w:t>成交人</w:t>
      </w:r>
      <w:r>
        <w:rPr>
          <w:rStyle w:val="26"/>
          <w:rFonts w:hint="eastAsia" w:ascii="宋体" w:hAnsi="宋体" w:eastAsia="宋体" w:cs="宋体"/>
          <w:color w:val="auto"/>
          <w:spacing w:val="0"/>
          <w:sz w:val="24"/>
          <w:szCs w:val="24"/>
          <w:lang w:eastAsia="zh-CN"/>
        </w:rPr>
        <w:t>须重新更换合格的设备，直至第三方检测机构检测合格为止，验收过程中第三方检测机构的检测</w:t>
      </w:r>
      <w:r>
        <w:rPr>
          <w:rStyle w:val="26"/>
          <w:rFonts w:hint="eastAsia" w:ascii="宋体" w:hAnsi="宋体" w:eastAsia="宋体" w:cs="宋体"/>
          <w:color w:val="auto"/>
          <w:spacing w:val="0"/>
          <w:sz w:val="24"/>
          <w:szCs w:val="24"/>
          <w:lang w:val="en-US" w:eastAsia="zh-CN"/>
        </w:rPr>
        <w:t>费用含在成交金额中；</w:t>
      </w:r>
    </w:p>
    <w:p w14:paraId="1C9F1CA1">
      <w:pPr>
        <w:pStyle w:val="37"/>
        <w:wordWrap/>
        <w:spacing w:line="400" w:lineRule="exact"/>
        <w:ind w:firstLine="482"/>
        <w:jc w:val="left"/>
        <w:rPr>
          <w:rFonts w:hint="eastAsia" w:ascii="宋体" w:hAnsi="宋体" w:eastAsia="宋体" w:cs="宋体"/>
          <w:color w:val="auto"/>
          <w:shd w:val="clear" w:color="auto" w:fill="FFFFFF"/>
        </w:rPr>
      </w:pPr>
      <w:r>
        <w:rPr>
          <w:rFonts w:hint="eastAsia" w:ascii="宋体" w:hAnsi="宋体" w:eastAsia="宋体" w:cs="宋体"/>
          <w:b w:val="0"/>
          <w:bCs w:val="0"/>
          <w:color w:val="auto"/>
          <w:sz w:val="24"/>
          <w:szCs w:val="24"/>
        </w:rPr>
        <w:t>现场检查</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包括检查电网线的架设，报警器、供电系统、高压设备的安装、工艺、质量是否符合设计要求；操作规程、规章制度是否制定。符合设计要求且已制定操作规程、制度的为合格。</w:t>
      </w:r>
      <w:r>
        <w:rPr>
          <w:rFonts w:hint="eastAsia" w:ascii="宋体" w:hAnsi="宋体" w:eastAsia="宋体" w:cs="宋体"/>
          <w:color w:val="auto"/>
          <w:spacing w:val="-4"/>
          <w:sz w:val="24"/>
          <w:szCs w:val="24"/>
        </w:rPr>
        <w:t>常规性试验。用一头约100公斤的动物和约3公斤的动物2只分别进行单线及线间触网试验；观察动物对地触网时的反应及电压是否足够，触网时瞬间被击倒或击死且产生警报和自动打印触网警情的为试验合格。</w:t>
      </w:r>
    </w:p>
    <w:p w14:paraId="7EDBB649">
      <w:pPr>
        <w:pStyle w:val="17"/>
        <w:widowControl/>
        <w:wordWrap w:val="0"/>
        <w:spacing w:beforeAutospacing="0" w:afterAutospacing="0" w:line="360" w:lineRule="exact"/>
        <w:ind w:firstLine="420"/>
        <w:jc w:val="both"/>
        <w:rPr>
          <w:rFonts w:hint="eastAsia" w:ascii="宋体" w:hAnsi="宋体" w:eastAsia="宋体" w:cs="宋体"/>
          <w:color w:val="auto"/>
          <w:lang w:val="en-US" w:eastAsia="zh-CN"/>
        </w:rPr>
      </w:pPr>
      <w:r>
        <w:rPr>
          <w:rFonts w:hint="eastAsia" w:ascii="宋体" w:hAnsi="宋体" w:eastAsia="宋体" w:cs="宋体"/>
          <w:color w:val="auto"/>
          <w:shd w:val="clear" w:color="auto" w:fill="FFFFFF"/>
        </w:rPr>
        <w:t>6.2本项目是否邀请其他</w:t>
      </w:r>
      <w:r>
        <w:rPr>
          <w:rFonts w:hint="eastAsia" w:ascii="宋体" w:hAnsi="宋体" w:eastAsia="宋体" w:cs="宋体"/>
          <w:color w:val="auto"/>
          <w:shd w:val="clear" w:color="auto" w:fill="FFFFFF"/>
          <w:lang w:eastAsia="zh-CN"/>
        </w:rPr>
        <w:t>供应商</w:t>
      </w:r>
      <w:r>
        <w:rPr>
          <w:rFonts w:hint="eastAsia" w:ascii="宋体" w:hAnsi="宋体" w:eastAsia="宋体" w:cs="宋体"/>
          <w:color w:val="auto"/>
          <w:shd w:val="clear" w:color="auto" w:fill="FFFFFF"/>
        </w:rPr>
        <w:t>参与验收：</w:t>
      </w:r>
      <w:r>
        <w:rPr>
          <w:rFonts w:hint="eastAsia" w:ascii="宋体" w:hAnsi="宋体" w:eastAsia="宋体" w:cs="宋体"/>
          <w:color w:val="auto"/>
          <w:shd w:val="clear" w:color="auto" w:fill="FFFFFF"/>
          <w:lang w:val="en-US" w:eastAsia="zh-CN"/>
        </w:rPr>
        <w:t>否</w:t>
      </w:r>
    </w:p>
    <w:p w14:paraId="4C790B9E">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7、合同款项的支付应按照招标文件的规定进行，具体如下：</w:t>
      </w:r>
    </w:p>
    <w:p w14:paraId="1A2FE67E">
      <w:pPr>
        <w:pStyle w:val="37"/>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sz w:val="24"/>
          <w:szCs w:val="24"/>
          <w:lang w:val="en-US" w:eastAsia="zh-CN"/>
        </w:rPr>
      </w:pPr>
      <w:r>
        <w:rPr>
          <w:rFonts w:hint="eastAsia" w:ascii="宋体" w:hAnsi="宋体"/>
          <w:color w:val="auto"/>
          <w:sz w:val="24"/>
          <w:lang w:val="en-US" w:eastAsia="zh-CN"/>
        </w:rPr>
        <w:t>乙方</w:t>
      </w:r>
      <w:r>
        <w:rPr>
          <w:rFonts w:hint="eastAsia" w:ascii="宋体" w:hAnsi="宋体"/>
          <w:color w:val="auto"/>
          <w:sz w:val="24"/>
        </w:rPr>
        <w:t>按合同规定时间</w:t>
      </w:r>
      <w:r>
        <w:rPr>
          <w:rFonts w:hint="eastAsia" w:ascii="宋体" w:hAnsi="宋体"/>
          <w:color w:val="auto"/>
          <w:sz w:val="24"/>
          <w:lang w:val="en-US" w:eastAsia="zh-CN"/>
        </w:rPr>
        <w:t>80日</w:t>
      </w:r>
      <w:r>
        <w:rPr>
          <w:rFonts w:hint="eastAsia" w:ascii="宋体" w:hAnsi="宋体" w:eastAsia="宋体" w:cs="宋体"/>
          <w:bCs/>
          <w:color w:val="auto"/>
          <w:sz w:val="24"/>
          <w:szCs w:val="24"/>
          <w:lang w:val="en-US" w:eastAsia="zh-CN"/>
        </w:rPr>
        <w:t>内完工</w:t>
      </w:r>
      <w:r>
        <w:rPr>
          <w:rFonts w:hint="eastAsia" w:ascii="宋体" w:hAnsi="宋体"/>
          <w:color w:val="auto"/>
          <w:sz w:val="24"/>
          <w:lang w:eastAsia="zh-CN"/>
        </w:rPr>
        <w:t>，</w:t>
      </w:r>
      <w:r>
        <w:rPr>
          <w:rFonts w:hint="eastAsia" w:ascii="宋体" w:hAnsi="宋体" w:eastAsia="宋体" w:cs="宋体"/>
          <w:b w:val="0"/>
          <w:bCs w:val="0"/>
          <w:color w:val="auto"/>
          <w:sz w:val="24"/>
          <w:szCs w:val="24"/>
        </w:rPr>
        <w:t>将高压电网所有配套设备安装调试完毕</w:t>
      </w:r>
      <w:r>
        <w:rPr>
          <w:rFonts w:hint="eastAsia" w:ascii="宋体" w:hAnsi="宋体" w:eastAsia="宋体" w:cs="宋体"/>
          <w:b w:val="0"/>
          <w:bCs w:val="0"/>
          <w:color w:val="auto"/>
          <w:sz w:val="24"/>
          <w:szCs w:val="24"/>
          <w:lang w:eastAsia="zh-CN"/>
        </w:rPr>
        <w:t>。</w:t>
      </w:r>
      <w:r>
        <w:rPr>
          <w:rFonts w:hint="eastAsia" w:ascii="宋体" w:hAnsi="宋体" w:eastAsia="宋体"/>
          <w:color w:val="auto"/>
          <w:sz w:val="24"/>
          <w:lang w:eastAsia="zh-CN"/>
        </w:rPr>
        <w:t>甲方</w:t>
      </w:r>
      <w:r>
        <w:rPr>
          <w:rFonts w:hint="eastAsia" w:ascii="宋体" w:hAnsi="宋体"/>
          <w:color w:val="auto"/>
          <w:sz w:val="24"/>
        </w:rPr>
        <w:t>在收到</w:t>
      </w:r>
      <w:r>
        <w:rPr>
          <w:rFonts w:hint="eastAsia" w:ascii="宋体" w:hAnsi="宋体"/>
          <w:color w:val="auto"/>
          <w:sz w:val="24"/>
          <w:lang w:val="en-US" w:eastAsia="zh-CN"/>
        </w:rPr>
        <w:t>乙方</w:t>
      </w:r>
      <w:r>
        <w:rPr>
          <w:rFonts w:hint="eastAsia" w:ascii="宋体" w:hAnsi="宋体"/>
          <w:color w:val="auto"/>
          <w:sz w:val="24"/>
        </w:rPr>
        <w:t>提交</w:t>
      </w:r>
      <w:r>
        <w:rPr>
          <w:rFonts w:hint="eastAsia" w:ascii="宋体" w:hAnsi="宋体"/>
          <w:color w:val="auto"/>
          <w:sz w:val="24"/>
          <w:lang w:eastAsia="zh-CN"/>
        </w:rPr>
        <w:t>合同金额的</w:t>
      </w:r>
      <w:r>
        <w:rPr>
          <w:rFonts w:hint="eastAsia" w:ascii="宋体" w:hAnsi="宋体"/>
          <w:color w:val="auto"/>
          <w:sz w:val="24"/>
          <w:lang w:val="en-US" w:eastAsia="zh-CN"/>
        </w:rPr>
        <w:t>70%</w:t>
      </w:r>
      <w:r>
        <w:rPr>
          <w:rFonts w:hint="eastAsia" w:ascii="宋体" w:hAnsi="宋体"/>
          <w:color w:val="auto"/>
          <w:sz w:val="24"/>
        </w:rPr>
        <w:t>等额</w:t>
      </w:r>
      <w:r>
        <w:rPr>
          <w:rFonts w:hint="eastAsia" w:ascii="宋体" w:hAnsi="宋体"/>
          <w:color w:val="auto"/>
          <w:sz w:val="24"/>
          <w:lang w:eastAsia="zh-CN"/>
        </w:rPr>
        <w:t>税务</w:t>
      </w:r>
      <w:r>
        <w:rPr>
          <w:rFonts w:hint="eastAsia" w:ascii="宋体" w:hAnsi="宋体"/>
          <w:color w:val="auto"/>
          <w:sz w:val="24"/>
        </w:rPr>
        <w:t>发票等相关材料支付</w:t>
      </w:r>
      <w:r>
        <w:rPr>
          <w:rFonts w:hint="eastAsia" w:ascii="宋体" w:hAnsi="宋体"/>
          <w:color w:val="auto"/>
          <w:sz w:val="24"/>
          <w:lang w:eastAsia="zh-CN"/>
        </w:rPr>
        <w:t>至</w:t>
      </w:r>
      <w:r>
        <w:rPr>
          <w:rFonts w:hint="eastAsia" w:ascii="宋体" w:hAnsi="宋体" w:eastAsia="宋体" w:cs="宋体"/>
          <w:color w:val="auto"/>
          <w:kern w:val="0"/>
          <w:sz w:val="24"/>
          <w:szCs w:val="24"/>
          <w:lang w:val="en-US" w:eastAsia="zh-CN" w:bidi="ar"/>
        </w:rPr>
        <w:t>合同款70%。</w:t>
      </w:r>
      <w:r>
        <w:rPr>
          <w:rFonts w:hint="eastAsia" w:ascii="宋体" w:hAnsi="宋体"/>
          <w:color w:val="auto"/>
          <w:sz w:val="24"/>
        </w:rPr>
        <w:t>最终验收合格后，</w:t>
      </w:r>
      <w:r>
        <w:rPr>
          <w:rFonts w:hint="eastAsia" w:ascii="宋体" w:hAnsi="宋体"/>
          <w:color w:val="auto"/>
          <w:sz w:val="24"/>
          <w:lang w:val="en-US" w:eastAsia="zh-CN"/>
        </w:rPr>
        <w:t>乙方</w:t>
      </w:r>
      <w:r>
        <w:rPr>
          <w:rFonts w:hint="eastAsia" w:ascii="宋体" w:hAnsi="宋体"/>
          <w:color w:val="auto"/>
          <w:sz w:val="24"/>
        </w:rPr>
        <w:t>提交</w:t>
      </w:r>
      <w:r>
        <w:rPr>
          <w:rFonts w:hint="eastAsia" w:ascii="宋体" w:hAnsi="宋体"/>
          <w:color w:val="auto"/>
          <w:sz w:val="24"/>
          <w:lang w:eastAsia="zh-CN"/>
        </w:rPr>
        <w:t>结算审核尾款的</w:t>
      </w:r>
      <w:r>
        <w:rPr>
          <w:rFonts w:hint="eastAsia" w:ascii="宋体" w:hAnsi="宋体"/>
          <w:color w:val="auto"/>
          <w:sz w:val="24"/>
        </w:rPr>
        <w:t>等额发票</w:t>
      </w:r>
      <w:r>
        <w:rPr>
          <w:rFonts w:hint="eastAsia" w:ascii="宋体" w:hAnsi="宋体"/>
          <w:color w:val="auto"/>
          <w:sz w:val="24"/>
          <w:lang w:eastAsia="zh-CN"/>
        </w:rPr>
        <w:t>及</w:t>
      </w:r>
      <w:r>
        <w:rPr>
          <w:rFonts w:hint="eastAsia" w:ascii="宋体" w:hAnsi="宋体"/>
          <w:color w:val="auto"/>
          <w:sz w:val="24"/>
        </w:rPr>
        <w:t>相关材料</w:t>
      </w:r>
      <w:r>
        <w:rPr>
          <w:rFonts w:hint="eastAsia" w:ascii="宋体" w:hAnsi="宋体"/>
          <w:color w:val="auto"/>
          <w:sz w:val="24"/>
          <w:lang w:eastAsia="zh-CN"/>
        </w:rPr>
        <w:t>，甲方</w:t>
      </w:r>
      <w:r>
        <w:rPr>
          <w:rFonts w:hint="eastAsia" w:ascii="宋体" w:hAnsi="宋体"/>
          <w:color w:val="auto"/>
          <w:sz w:val="24"/>
          <w:lang w:val="en-US" w:eastAsia="zh-CN"/>
        </w:rPr>
        <w:t>30</w:t>
      </w:r>
      <w:r>
        <w:rPr>
          <w:rFonts w:hint="eastAsia" w:ascii="宋体" w:hAnsi="宋体"/>
          <w:color w:val="auto"/>
          <w:sz w:val="24"/>
        </w:rPr>
        <w:t>日内支付</w:t>
      </w:r>
      <w:r>
        <w:rPr>
          <w:rFonts w:hint="eastAsia" w:ascii="宋体" w:hAnsi="宋体"/>
          <w:color w:val="auto"/>
          <w:sz w:val="24"/>
          <w:lang w:eastAsia="zh-CN"/>
        </w:rPr>
        <w:t>至</w:t>
      </w:r>
      <w:r>
        <w:rPr>
          <w:rFonts w:hint="eastAsia" w:ascii="宋体" w:hAnsi="宋体" w:eastAsia="宋体" w:cs="宋体"/>
          <w:color w:val="auto"/>
          <w:kern w:val="0"/>
          <w:sz w:val="24"/>
          <w:szCs w:val="24"/>
          <w:lang w:val="en-US" w:eastAsia="zh-CN" w:bidi="ar"/>
        </w:rPr>
        <w:t>结算款100%</w:t>
      </w:r>
      <w:r>
        <w:rPr>
          <w:rFonts w:hint="eastAsia" w:ascii="宋体" w:hAnsi="宋体"/>
          <w:color w:val="auto"/>
          <w:sz w:val="24"/>
        </w:rPr>
        <w:t>到</w:t>
      </w:r>
      <w:r>
        <w:rPr>
          <w:rFonts w:hint="eastAsia" w:ascii="宋体" w:hAnsi="宋体"/>
          <w:color w:val="auto"/>
          <w:sz w:val="24"/>
          <w:lang w:eastAsia="zh-CN"/>
        </w:rPr>
        <w:t>乙方</w:t>
      </w:r>
      <w:r>
        <w:rPr>
          <w:rFonts w:hint="eastAsia" w:ascii="宋体" w:hAnsi="宋体"/>
          <w:color w:val="auto"/>
          <w:sz w:val="24"/>
        </w:rPr>
        <w:t>账户。</w:t>
      </w:r>
    </w:p>
    <w:p w14:paraId="781CAA62">
      <w:pPr>
        <w:widowControl/>
        <w:spacing w:line="360" w:lineRule="exact"/>
        <w:jc w:val="left"/>
        <w:rPr>
          <w:rFonts w:ascii="宋体" w:hAnsi="宋体" w:eastAsia="宋体" w:cs="宋体"/>
          <w:color w:val="auto"/>
          <w:sz w:val="24"/>
        </w:rPr>
      </w:pPr>
    </w:p>
    <w:p w14:paraId="530CF209">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8、履约保证金</w:t>
      </w:r>
    </w:p>
    <w:p w14:paraId="79E1A2A0">
      <w:pPr>
        <w:widowControl/>
        <w:spacing w:line="360" w:lineRule="exact"/>
        <w:jc w:val="left"/>
        <w:rPr>
          <w:rFonts w:ascii="宋体" w:hAnsi="宋体" w:eastAsia="宋体" w:cs="宋体"/>
          <w:color w:val="auto"/>
          <w:sz w:val="24"/>
        </w:rPr>
      </w:pPr>
      <w:r>
        <w:rPr>
          <w:rFonts w:hint="eastAsia" w:ascii="宋体" w:hAnsi="宋体" w:eastAsia="宋体" w:cs="宋体"/>
          <w:b w:val="0"/>
          <w:bCs w:val="0"/>
          <w:color w:val="auto"/>
          <w:sz w:val="24"/>
          <w:szCs w:val="24"/>
          <w:lang w:val="en-US" w:eastAsia="zh-CN"/>
        </w:rPr>
        <w:t>乙方应在合同签订前向甲方缴纳合同金额的5%作为履约保证金（若乙方为中小企业，则向甲方缴纳合同金额的4%作为履约保证金），履约保证金以银行转账形式提交。履约保证金在合同期满且经甲方确认双方无未了事项后，甲方在收到成交供应商书面申请后10日内无息退还。</w:t>
      </w:r>
    </w:p>
    <w:p w14:paraId="2ACE9CDC">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9、合同有效期</w:t>
      </w:r>
    </w:p>
    <w:p w14:paraId="002F0608">
      <w:pPr>
        <w:widowControl/>
        <w:spacing w:line="360" w:lineRule="exact"/>
        <w:jc w:val="left"/>
        <w:rPr>
          <w:rFonts w:ascii="宋体" w:hAnsi="宋体" w:eastAsia="宋体" w:cs="宋体"/>
          <w:color w:val="auto"/>
          <w:sz w:val="24"/>
        </w:rPr>
      </w:pPr>
      <w:r>
        <w:rPr>
          <w:rFonts w:ascii="微软雅黑" w:hAnsi="微软雅黑" w:eastAsia="微软雅黑" w:cs="微软雅黑"/>
          <w:i w:val="0"/>
          <w:iCs w:val="0"/>
          <w:caps w:val="0"/>
          <w:color w:val="auto"/>
          <w:spacing w:val="0"/>
          <w:sz w:val="24"/>
          <w:szCs w:val="24"/>
          <w:shd w:val="clear" w:fill="FFFFFF"/>
        </w:rPr>
        <w:t>自合同签订生效后开始至双方合同义务完全履行后。</w:t>
      </w:r>
    </w:p>
    <w:p w14:paraId="1AB8683E">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10、违约责任</w:t>
      </w:r>
    </w:p>
    <w:p w14:paraId="1BD66DD6">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bidi="ar-SA"/>
        </w:rPr>
        <w:t xml:space="preserve">10.1 </w:t>
      </w:r>
      <w:r>
        <w:rPr>
          <w:rFonts w:hint="eastAsia" w:ascii="宋体" w:hAnsi="宋体" w:eastAsia="宋体" w:cs="宋体"/>
          <w:b w:val="0"/>
          <w:bCs w:val="0"/>
          <w:color w:val="auto"/>
          <w:sz w:val="24"/>
          <w:szCs w:val="24"/>
          <w:lang w:val="en-US" w:eastAsia="zh-CN"/>
        </w:rPr>
        <w:t>签订合同后因乙方任何违约行为导致本合同无法正常继续履行或提前终止，甲方有权不予退还履约保证金。</w:t>
      </w:r>
    </w:p>
    <w:p w14:paraId="1CA4C7C6">
      <w:pPr>
        <w:pStyle w:val="37"/>
        <w:keepNext w:val="0"/>
        <w:keepLines w:val="0"/>
        <w:pageBreakBefore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bidi="ar-SA"/>
        </w:rPr>
        <w:t>10.</w:t>
      </w:r>
      <w:r>
        <w:rPr>
          <w:rFonts w:hint="default" w:ascii="宋体" w:hAnsi="宋体" w:eastAsia="宋体" w:cs="宋体"/>
          <w:b w:val="0"/>
          <w:bCs w:val="0"/>
          <w:color w:val="auto"/>
          <w:sz w:val="24"/>
          <w:szCs w:val="24"/>
          <w:lang w:val="en-US" w:eastAsia="zh-CN" w:bidi="ar-SA"/>
        </w:rPr>
        <w:t>2</w:t>
      </w:r>
      <w:r>
        <w:rPr>
          <w:rFonts w:hint="eastAsia" w:ascii="宋体" w:hAnsi="宋体" w:eastAsia="宋体" w:cs="宋体"/>
          <w:b w:val="0"/>
          <w:bCs w:val="0"/>
          <w:color w:val="auto"/>
          <w:sz w:val="24"/>
          <w:szCs w:val="24"/>
          <w:lang w:val="en-US" w:eastAsia="zh-CN" w:bidi="ar-SA"/>
        </w:rPr>
        <w:t xml:space="preserve"> </w:t>
      </w:r>
      <w:r>
        <w:rPr>
          <w:rFonts w:hint="eastAsia" w:ascii="宋体" w:hAnsi="宋体" w:eastAsia="宋体" w:cs="宋体"/>
          <w:b w:val="0"/>
          <w:bCs w:val="0"/>
          <w:color w:val="auto"/>
          <w:sz w:val="24"/>
          <w:szCs w:val="24"/>
          <w:lang w:val="en-US" w:eastAsia="zh-CN"/>
        </w:rPr>
        <w:t>乙方不得将本项目进行分包或转包，如发现经查实，甲方有权单方解除合同并不予退还履约保证金。</w:t>
      </w:r>
    </w:p>
    <w:p w14:paraId="79054607">
      <w:pPr>
        <w:pStyle w:val="37"/>
        <w:spacing w:before="75" w:after="75"/>
        <w:ind w:firstLine="480" w:firstLineChars="200"/>
        <w:jc w:val="both"/>
        <w:rPr>
          <w:color w:val="auto"/>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color w:val="auto"/>
          <w:sz w:val="24"/>
          <w:lang w:val="en-US" w:eastAsia="zh-CN"/>
        </w:rPr>
        <w:t xml:space="preserve">3 </w:t>
      </w:r>
      <w:r>
        <w:rPr>
          <w:rFonts w:hint="eastAsia" w:ascii="宋体" w:hAnsi="宋体" w:eastAsia="宋体" w:cs="宋体"/>
          <w:color w:val="auto"/>
          <w:sz w:val="24"/>
          <w:lang w:eastAsia="zh-CN"/>
        </w:rPr>
        <w:t>乙方</w:t>
      </w:r>
      <w:r>
        <w:rPr>
          <w:rFonts w:ascii="宋体" w:hAnsi="宋体" w:eastAsia="宋体" w:cs="宋体"/>
          <w:color w:val="auto"/>
          <w:sz w:val="24"/>
        </w:rPr>
        <w:t>对项目逾期交付的，每逾期一天，按</w:t>
      </w:r>
      <w:r>
        <w:rPr>
          <w:rFonts w:hint="eastAsia" w:ascii="宋体" w:hAnsi="宋体" w:eastAsia="宋体" w:cs="宋体"/>
          <w:color w:val="auto"/>
          <w:sz w:val="24"/>
          <w:lang w:val="en-US" w:eastAsia="zh-CN"/>
        </w:rPr>
        <w:t>10</w:t>
      </w:r>
      <w:r>
        <w:rPr>
          <w:rFonts w:ascii="宋体" w:hAnsi="宋体" w:eastAsia="宋体" w:cs="宋体"/>
          <w:color w:val="auto"/>
          <w:sz w:val="24"/>
        </w:rPr>
        <w:t>00元/天偿付违约金，</w:t>
      </w:r>
      <w:r>
        <w:rPr>
          <w:rFonts w:hint="eastAsia" w:ascii="宋体" w:hAnsi="宋体" w:eastAsia="宋体" w:cs="宋体"/>
          <w:color w:val="auto"/>
          <w:sz w:val="24"/>
          <w:lang w:eastAsia="zh-CN"/>
        </w:rPr>
        <w:t>上限为合同款项</w:t>
      </w:r>
      <w:r>
        <w:rPr>
          <w:rFonts w:hint="eastAsia" w:ascii="宋体" w:hAnsi="宋体" w:eastAsia="宋体" w:cs="宋体"/>
          <w:color w:val="auto"/>
          <w:sz w:val="24"/>
          <w:lang w:val="en-US" w:eastAsia="zh-CN"/>
        </w:rPr>
        <w:t>5%。</w:t>
      </w:r>
      <w:r>
        <w:rPr>
          <w:rFonts w:ascii="宋体" w:hAnsi="宋体" w:eastAsia="宋体" w:cs="宋体"/>
          <w:color w:val="auto"/>
          <w:sz w:val="24"/>
        </w:rPr>
        <w:t>逾期超过</w:t>
      </w:r>
      <w:r>
        <w:rPr>
          <w:rFonts w:hint="eastAsia" w:ascii="宋体" w:hAnsi="宋体" w:cs="宋体"/>
          <w:color w:val="auto"/>
          <w:sz w:val="24"/>
          <w:lang w:val="en-US" w:eastAsia="zh-CN"/>
        </w:rPr>
        <w:t>30</w:t>
      </w:r>
      <w:r>
        <w:rPr>
          <w:rFonts w:ascii="宋体" w:hAnsi="宋体" w:eastAsia="宋体" w:cs="宋体"/>
          <w:color w:val="auto"/>
          <w:sz w:val="24"/>
        </w:rPr>
        <w:t>个日历天（含</w:t>
      </w:r>
      <w:r>
        <w:rPr>
          <w:rFonts w:hint="eastAsia" w:ascii="宋体" w:hAnsi="宋体" w:cs="宋体"/>
          <w:color w:val="auto"/>
          <w:sz w:val="24"/>
          <w:lang w:val="en-US" w:eastAsia="zh-CN"/>
        </w:rPr>
        <w:t>30</w:t>
      </w:r>
      <w:r>
        <w:rPr>
          <w:rFonts w:ascii="宋体" w:hAnsi="宋体" w:eastAsia="宋体" w:cs="宋体"/>
          <w:color w:val="auto"/>
          <w:sz w:val="24"/>
        </w:rPr>
        <w:t>个日历天），</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有权单方解除本合同</w:t>
      </w:r>
      <w:r>
        <w:rPr>
          <w:rFonts w:ascii="宋体" w:hAnsi="宋体" w:eastAsia="宋体" w:cs="宋体"/>
          <w:color w:val="auto"/>
          <w:sz w:val="24"/>
        </w:rPr>
        <w:t>。</w:t>
      </w:r>
    </w:p>
    <w:p w14:paraId="14728069">
      <w:pPr>
        <w:spacing w:before="75" w:after="75" w:line="400" w:lineRule="exact"/>
        <w:ind w:firstLine="480" w:firstLineChars="200"/>
        <w:jc w:val="both"/>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b w:val="0"/>
          <w:bCs w:val="0"/>
          <w:color w:val="auto"/>
          <w:sz w:val="24"/>
          <w:szCs w:val="24"/>
          <w:lang w:val="en-US" w:eastAsia="zh-CN"/>
        </w:rPr>
        <w:t>4、</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提供的货物质量不符合合同（或</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文件）约定的，</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应无条件予以配合免费退货换货，因退换货不及时影响</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工作的，发现一次，</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应向</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支付10%履约保证金的违约金；因产品质量问题造成</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或任何第三方损害的，</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应承担一切损害赔偿、法律责任，</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有权单方解除合同，不予退还</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的履约保证金。违约金可直接从应付货款中扣除，不足部分</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还须向</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缴纳；违约金不足以弥补给</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造成的损失的，</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还应承担相应的赔偿责任</w:t>
      </w:r>
      <w:r>
        <w:rPr>
          <w:rFonts w:hint="eastAsia" w:ascii="宋体" w:hAnsi="宋体" w:eastAsia="宋体" w:cs="宋体"/>
          <w:b w:val="0"/>
          <w:bCs w:val="0"/>
          <w:color w:val="auto"/>
          <w:sz w:val="24"/>
          <w:szCs w:val="24"/>
          <w:lang w:val="en-US" w:eastAsia="zh-CN"/>
        </w:rPr>
        <w:t>。</w:t>
      </w:r>
    </w:p>
    <w:p w14:paraId="6E3B844B">
      <w:pPr>
        <w:pStyle w:val="37"/>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z w:val="24"/>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color w:val="auto"/>
          <w:sz w:val="24"/>
          <w:lang w:val="en-US" w:eastAsia="zh-CN"/>
        </w:rPr>
        <w:t xml:space="preserve">5 </w:t>
      </w:r>
      <w:r>
        <w:rPr>
          <w:rFonts w:hint="eastAsia" w:ascii="宋体" w:hAnsi="宋体" w:eastAsia="宋体" w:cs="宋体"/>
          <w:color w:val="auto"/>
          <w:sz w:val="24"/>
          <w:lang w:eastAsia="zh-CN"/>
        </w:rPr>
        <w:t>乙方</w:t>
      </w:r>
      <w:r>
        <w:rPr>
          <w:rFonts w:ascii="宋体" w:hAnsi="宋体" w:eastAsia="宋体" w:cs="宋体"/>
          <w:color w:val="auto"/>
          <w:sz w:val="24"/>
        </w:rPr>
        <w:t>在施工中的安全责任出现任何安全事故，</w:t>
      </w:r>
      <w:r>
        <w:rPr>
          <w:rFonts w:hint="eastAsia" w:ascii="宋体" w:hAnsi="宋体" w:eastAsia="宋体" w:cs="宋体"/>
          <w:color w:val="auto"/>
          <w:sz w:val="24"/>
          <w:lang w:eastAsia="zh-CN"/>
        </w:rPr>
        <w:t>乙方</w:t>
      </w:r>
      <w:r>
        <w:rPr>
          <w:rFonts w:ascii="宋体" w:hAnsi="宋体" w:eastAsia="宋体" w:cs="宋体"/>
          <w:color w:val="auto"/>
          <w:sz w:val="24"/>
        </w:rPr>
        <w:t>须负全责</w:t>
      </w:r>
      <w:r>
        <w:rPr>
          <w:rFonts w:hint="eastAsia" w:ascii="宋体" w:hAnsi="宋体" w:eastAsia="宋体" w:cs="宋体"/>
          <w:color w:val="auto"/>
          <w:sz w:val="24"/>
          <w:lang w:eastAsia="zh-CN"/>
        </w:rPr>
        <w:t>。</w:t>
      </w:r>
      <w:r>
        <w:rPr>
          <w:rFonts w:ascii="宋体" w:hAnsi="宋体" w:eastAsia="宋体" w:cs="宋体"/>
          <w:color w:val="auto"/>
          <w:sz w:val="24"/>
        </w:rPr>
        <w:t>发生重大事故</w:t>
      </w:r>
      <w:r>
        <w:rPr>
          <w:rFonts w:hint="eastAsia" w:ascii="宋体" w:hAnsi="宋体" w:eastAsia="宋体" w:cs="宋体"/>
          <w:color w:val="auto"/>
          <w:sz w:val="24"/>
          <w:lang w:eastAsia="zh-CN"/>
        </w:rPr>
        <w:t>的</w:t>
      </w:r>
      <w:r>
        <w:rPr>
          <w:rFonts w:ascii="宋体" w:hAnsi="宋体" w:eastAsia="宋体" w:cs="宋体"/>
          <w:color w:val="auto"/>
          <w:sz w:val="24"/>
        </w:rPr>
        <w:t>，</w:t>
      </w:r>
      <w:r>
        <w:rPr>
          <w:rFonts w:hint="eastAsia" w:ascii="宋体" w:hAnsi="宋体" w:eastAsia="宋体" w:cs="宋体"/>
          <w:color w:val="auto"/>
          <w:sz w:val="24"/>
          <w:lang w:eastAsia="zh-CN"/>
        </w:rPr>
        <w:t>甲方</w:t>
      </w:r>
      <w:r>
        <w:rPr>
          <w:rFonts w:ascii="宋体" w:hAnsi="宋体" w:eastAsia="宋体" w:cs="宋体"/>
          <w:color w:val="auto"/>
          <w:sz w:val="24"/>
        </w:rPr>
        <w:t>有权终止合同并不予退还履约保证金</w:t>
      </w:r>
      <w:r>
        <w:rPr>
          <w:rFonts w:hint="eastAsia" w:ascii="宋体" w:hAnsi="宋体" w:eastAsia="宋体" w:cs="宋体"/>
          <w:color w:val="auto"/>
          <w:sz w:val="24"/>
          <w:lang w:eastAsia="zh-CN"/>
        </w:rPr>
        <w:t>，</w:t>
      </w:r>
      <w:r>
        <w:rPr>
          <w:rFonts w:ascii="宋体" w:hAnsi="宋体" w:eastAsia="宋体" w:cs="宋体"/>
          <w:color w:val="auto"/>
          <w:sz w:val="24"/>
        </w:rPr>
        <w:t>同时</w:t>
      </w:r>
      <w:r>
        <w:rPr>
          <w:rFonts w:hint="eastAsia" w:ascii="宋体" w:hAnsi="宋体" w:eastAsia="宋体" w:cs="宋体"/>
          <w:color w:val="auto"/>
          <w:sz w:val="24"/>
          <w:lang w:eastAsia="zh-CN"/>
        </w:rPr>
        <w:t>甲方</w:t>
      </w:r>
      <w:r>
        <w:rPr>
          <w:rFonts w:ascii="宋体" w:hAnsi="宋体" w:eastAsia="宋体" w:cs="宋体"/>
          <w:color w:val="auto"/>
          <w:sz w:val="24"/>
        </w:rPr>
        <w:t>有权报相关行政主管部门对其进行处罚。</w:t>
      </w:r>
    </w:p>
    <w:p w14:paraId="61B8F0A0">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lang w:val="en-US" w:eastAsia="zh-CN"/>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color w:val="auto"/>
          <w:sz w:val="24"/>
          <w:lang w:val="en-US" w:eastAsia="zh-CN"/>
        </w:rPr>
        <w:t xml:space="preserve">6 </w:t>
      </w:r>
      <w:r>
        <w:rPr>
          <w:rFonts w:hint="eastAsia" w:ascii="宋体" w:hAnsi="宋体" w:eastAsia="宋体" w:cs="宋体"/>
          <w:color w:val="auto"/>
          <w:sz w:val="24"/>
          <w:szCs w:val="24"/>
          <w:highlight w:val="none"/>
          <w:lang w:val="en-US" w:eastAsia="zh-CN"/>
        </w:rPr>
        <w:t>进入监管区有关违约责任：乙方进入甲方监管区的工作人员必须遵守甲方的工作制度和监管安全规定、保密规定，服从甲方人员的指挥，不得泄密。同时不得以任何方式为服刑人员提供现金、手机、毒品、麻醉品等违禁品，如发现经查实，需向甲方支付20000元的违约金。违约金直接从履约保证金中扣除，不足部分，乙方应自收到甲方通知之日起30日内缴纳</w:t>
      </w:r>
      <w:r>
        <w:rPr>
          <w:rFonts w:hint="eastAsia" w:ascii="宋体" w:hAnsi="宋体" w:eastAsia="宋体" w:cs="宋体"/>
          <w:color w:val="auto"/>
          <w:sz w:val="24"/>
          <w:lang w:val="en-US" w:eastAsia="zh-CN"/>
        </w:rPr>
        <w:t>。</w:t>
      </w:r>
    </w:p>
    <w:p w14:paraId="7BFBB2CC">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szCs w:val="24"/>
          <w:lang w:val="en-US" w:eastAsia="zh-CN"/>
        </w:rPr>
        <w:t xml:space="preserve">10.7 </w:t>
      </w:r>
      <w:r>
        <w:rPr>
          <w:rFonts w:hint="eastAsia" w:ascii="宋体" w:hAnsi="宋体" w:eastAsia="宋体" w:cs="宋体"/>
          <w:color w:val="auto"/>
          <w:sz w:val="24"/>
          <w:szCs w:val="24"/>
        </w:rPr>
        <w:t>如因产品质量问题使</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设备出现故障，</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在质保期内接到</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维修电话通知后</w:t>
      </w:r>
      <w:r>
        <w:rPr>
          <w:rFonts w:hint="eastAsia" w:ascii="宋体" w:hAnsi="宋体" w:eastAsia="宋体" w:cs="宋体"/>
          <w:color w:val="auto"/>
          <w:spacing w:val="-4"/>
          <w:sz w:val="24"/>
          <w:szCs w:val="24"/>
        </w:rPr>
        <w:t>4小时内响应，并在12小时内到达现场，免费负责修理或更换有缺陷的零部件或整机</w:t>
      </w:r>
      <w:r>
        <w:rPr>
          <w:rFonts w:hint="eastAsia" w:ascii="宋体" w:hAnsi="宋体" w:eastAsia="宋体" w:cs="宋体"/>
          <w:color w:val="auto"/>
          <w:sz w:val="24"/>
          <w:szCs w:val="24"/>
        </w:rPr>
        <w:t>，如果</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无法按时提供上门维修或更换服务的，</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有权请第三方进行维修，产生的费用从</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的应付货款/质保金中扣除；同时</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应向</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支付逾期违约金，违约金为逾期每日500元。因</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产品质量问题导致</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人身或财产损失的，</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应予以赔偿。违约金直接从</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应支付</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的费用中扣除，不足部分，</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应自收到</w:t>
      </w:r>
      <w:r>
        <w:rPr>
          <w:rFonts w:hint="eastAsia" w:ascii="宋体" w:hAnsi="宋体" w:eastAsia="宋体" w:cs="宋体"/>
          <w:color w:val="auto"/>
          <w:sz w:val="24"/>
          <w:szCs w:val="24"/>
          <w:lang w:eastAsia="zh-CN"/>
        </w:rPr>
        <w:t>甲方</w:t>
      </w:r>
      <w:r>
        <w:rPr>
          <w:rFonts w:hint="eastAsia" w:ascii="宋体" w:hAnsi="宋体" w:eastAsia="宋体" w:cs="宋体"/>
          <w:color w:val="auto"/>
          <w:sz w:val="24"/>
          <w:szCs w:val="24"/>
        </w:rPr>
        <w:t>通知之日起30日内缴纳。</w:t>
      </w:r>
    </w:p>
    <w:p w14:paraId="56CF2CFD">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color w:val="auto"/>
          <w:sz w:val="24"/>
          <w:lang w:val="en-US" w:eastAsia="zh-CN"/>
        </w:rPr>
      </w:pPr>
      <w:r>
        <w:rPr>
          <w:rFonts w:hint="eastAsia" w:ascii="宋体" w:hAnsi="宋体" w:eastAsia="宋体" w:cs="宋体"/>
          <w:b w:val="0"/>
          <w:bCs w:val="0"/>
          <w:color w:val="auto"/>
          <w:sz w:val="24"/>
          <w:szCs w:val="24"/>
          <w:lang w:val="en-US" w:eastAsia="zh-CN" w:bidi="ar-SA"/>
        </w:rPr>
        <w:t>10.</w:t>
      </w:r>
      <w:r>
        <w:rPr>
          <w:rFonts w:hint="eastAsia" w:ascii="宋体" w:hAnsi="宋体" w:eastAsia="宋体" w:cs="宋体"/>
          <w:color w:val="auto"/>
          <w:sz w:val="24"/>
          <w:lang w:val="en-US" w:eastAsia="zh-CN"/>
        </w:rPr>
        <w:t>8、除上述具体违约情形外，乙方出现违反磋商文件、响应文件要求的其他行为，每发现一次需向甲方支付违约金3000元。</w:t>
      </w:r>
    </w:p>
    <w:p w14:paraId="33E79ACA">
      <w:pPr>
        <w:widowControl/>
        <w:spacing w:line="360" w:lineRule="exact"/>
        <w:jc w:val="left"/>
        <w:rPr>
          <w:rFonts w:ascii="宋体" w:hAnsi="宋体" w:eastAsia="宋体" w:cs="宋体"/>
          <w:color w:val="auto"/>
          <w:sz w:val="24"/>
        </w:rPr>
      </w:pPr>
    </w:p>
    <w:p w14:paraId="5C3AF96E">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00" w:firstLineChars="200"/>
        <w:jc w:val="left"/>
        <w:textAlignment w:val="auto"/>
        <w:rPr>
          <w:rFonts w:ascii="宋体" w:hAnsi="宋体" w:eastAsia="宋体" w:cs="宋体"/>
          <w:color w:val="auto"/>
          <w:sz w:val="24"/>
        </w:rPr>
      </w:pPr>
      <w:r>
        <w:rPr>
          <w:rFonts w:cs="宋体"/>
          <w:color w:val="auto"/>
          <w:shd w:val="clear" w:color="auto" w:fill="FFFFFF"/>
        </w:rPr>
        <w:t>11、</w:t>
      </w:r>
      <w:r>
        <w:rPr>
          <w:rFonts w:ascii="宋体" w:hAnsi="宋体" w:eastAsia="宋体" w:cs="宋体"/>
          <w:color w:val="auto"/>
          <w:sz w:val="24"/>
        </w:rPr>
        <w:t>专利权及知识产权</w:t>
      </w:r>
    </w:p>
    <w:p w14:paraId="3CB128FA">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eastAsia="zh-CN"/>
        </w:rPr>
        <w:t>乙方</w:t>
      </w:r>
      <w:r>
        <w:rPr>
          <w:rFonts w:ascii="宋体" w:hAnsi="宋体" w:eastAsia="宋体" w:cs="宋体"/>
          <w:color w:val="auto"/>
          <w:sz w:val="24"/>
        </w:rPr>
        <w:t>须保障</w:t>
      </w:r>
      <w:r>
        <w:rPr>
          <w:rFonts w:hint="eastAsia" w:ascii="宋体" w:hAnsi="宋体" w:eastAsia="宋体" w:cs="宋体"/>
          <w:color w:val="auto"/>
          <w:sz w:val="24"/>
          <w:lang w:eastAsia="zh-CN"/>
        </w:rPr>
        <w:t>甲方</w:t>
      </w:r>
      <w:r>
        <w:rPr>
          <w:rFonts w:ascii="宋体" w:hAnsi="宋体" w:eastAsia="宋体" w:cs="宋体"/>
          <w:color w:val="auto"/>
          <w:sz w:val="24"/>
        </w:rPr>
        <w:t>在服务过程中不受到第三方关于侵犯专利权、商标权或工业设计权等知识产权的指控。如果任何第三方提出侵权指控与</w:t>
      </w:r>
      <w:r>
        <w:rPr>
          <w:rFonts w:hint="eastAsia" w:ascii="宋体" w:hAnsi="宋体" w:eastAsia="宋体" w:cs="宋体"/>
          <w:color w:val="auto"/>
          <w:sz w:val="24"/>
          <w:lang w:eastAsia="zh-CN"/>
        </w:rPr>
        <w:t>甲方</w:t>
      </w:r>
      <w:r>
        <w:rPr>
          <w:rFonts w:ascii="宋体" w:hAnsi="宋体" w:eastAsia="宋体" w:cs="宋体"/>
          <w:color w:val="auto"/>
          <w:sz w:val="24"/>
        </w:rPr>
        <w:t>无关，</w:t>
      </w:r>
      <w:r>
        <w:rPr>
          <w:rFonts w:hint="eastAsia" w:ascii="宋体" w:hAnsi="宋体" w:eastAsia="宋体" w:cs="宋体"/>
          <w:color w:val="auto"/>
          <w:sz w:val="24"/>
          <w:lang w:eastAsia="zh-CN"/>
        </w:rPr>
        <w:t>乙方</w:t>
      </w:r>
      <w:r>
        <w:rPr>
          <w:rFonts w:ascii="宋体" w:hAnsi="宋体" w:eastAsia="宋体" w:cs="宋体"/>
          <w:color w:val="auto"/>
          <w:sz w:val="24"/>
        </w:rPr>
        <w:t>须与第三方交涉并承担可能发生的责任与一切费用。如</w:t>
      </w:r>
      <w:r>
        <w:rPr>
          <w:rFonts w:hint="eastAsia" w:ascii="宋体" w:hAnsi="宋体" w:eastAsia="宋体" w:cs="宋体"/>
          <w:color w:val="auto"/>
          <w:sz w:val="24"/>
          <w:lang w:eastAsia="zh-CN"/>
        </w:rPr>
        <w:t>甲方</w:t>
      </w:r>
      <w:r>
        <w:rPr>
          <w:rFonts w:ascii="宋体" w:hAnsi="宋体" w:eastAsia="宋体" w:cs="宋体"/>
          <w:color w:val="auto"/>
          <w:sz w:val="24"/>
        </w:rPr>
        <w:t>因此而遭致损失的，</w:t>
      </w:r>
      <w:r>
        <w:rPr>
          <w:rFonts w:hint="eastAsia" w:ascii="宋体" w:hAnsi="宋体" w:eastAsia="宋体" w:cs="宋体"/>
          <w:color w:val="auto"/>
          <w:sz w:val="24"/>
          <w:lang w:eastAsia="zh-CN"/>
        </w:rPr>
        <w:t>乙方</w:t>
      </w:r>
      <w:r>
        <w:rPr>
          <w:rFonts w:ascii="宋体" w:hAnsi="宋体" w:eastAsia="宋体" w:cs="宋体"/>
          <w:color w:val="auto"/>
          <w:sz w:val="24"/>
        </w:rPr>
        <w:t>应赔偿该损失。</w:t>
      </w:r>
    </w:p>
    <w:p w14:paraId="35E822DB">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12、解决争议的方法</w:t>
      </w:r>
    </w:p>
    <w:p w14:paraId="4A01000C">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12.1甲、乙双方协商解决。</w:t>
      </w:r>
    </w:p>
    <w:p w14:paraId="3F81A1A5">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12.2若协商解决不成，则通过下列途径之一解决：</w:t>
      </w:r>
    </w:p>
    <w:p w14:paraId="6A1DA575">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提交仲裁委员会仲裁，具体如下：</w:t>
      </w:r>
    </w:p>
    <w:p w14:paraId="721A0F4B">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向人民法院提起诉讼，具体如下：</w:t>
      </w:r>
    </w:p>
    <w:p w14:paraId="26CBB6BF">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13、不可抗力</w:t>
      </w:r>
    </w:p>
    <w:p w14:paraId="7F304C5F">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z w:val="24"/>
        </w:rPr>
      </w:pPr>
      <w:r>
        <w:rPr>
          <w:rFonts w:hint="eastAsia" w:ascii="宋体" w:hAnsi="宋体" w:eastAsia="宋体" w:cs="宋体"/>
          <w:color w:val="auto"/>
          <w:sz w:val="24"/>
          <w:lang w:val="en-US" w:eastAsia="zh-CN"/>
        </w:rPr>
        <w:t>13.1、</w:t>
      </w:r>
      <w:r>
        <w:rPr>
          <w:rFonts w:ascii="宋体" w:hAnsi="宋体" w:eastAsia="宋体" w:cs="宋体"/>
          <w:color w:val="auto"/>
          <w:sz w:val="24"/>
        </w:rPr>
        <w:t>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2F838A71">
      <w:pPr>
        <w:pStyle w:val="37"/>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z w:val="24"/>
        </w:rPr>
      </w:pPr>
      <w:r>
        <w:rPr>
          <w:rFonts w:hint="eastAsia" w:ascii="宋体" w:hAnsi="宋体" w:eastAsia="宋体" w:cs="宋体"/>
          <w:color w:val="auto"/>
          <w:sz w:val="24"/>
          <w:lang w:val="en-US" w:eastAsia="zh-CN"/>
        </w:rPr>
        <w:t>13.</w:t>
      </w:r>
      <w:r>
        <w:rPr>
          <w:rFonts w:ascii="宋体" w:hAnsi="宋体" w:eastAsia="宋体" w:cs="宋体"/>
          <w:color w:val="auto"/>
          <w:sz w:val="24"/>
        </w:rPr>
        <w:t>2、合同中的不可抗力指不能预见、不能避免并不能克服的客观情况。包括但不限于：自然灾害如地震、台风、洪水、火灾；政府行为、法律规定或其适用的变化或者其他任何无法预见、避免或者控制的事件。</w:t>
      </w:r>
    </w:p>
    <w:p w14:paraId="4C289E20">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14、合同条款</w:t>
      </w:r>
    </w:p>
    <w:p w14:paraId="25F22CE7">
      <w:pPr>
        <w:widowControl/>
        <w:spacing w:line="360" w:lineRule="exact"/>
        <w:jc w:val="left"/>
        <w:rPr>
          <w:rFonts w:ascii="宋体" w:hAnsi="宋体" w:eastAsia="宋体" w:cs="宋体"/>
          <w:color w:val="auto"/>
          <w:sz w:val="24"/>
        </w:rPr>
      </w:pPr>
    </w:p>
    <w:p w14:paraId="6D468DD9">
      <w:pPr>
        <w:pStyle w:val="5"/>
        <w:widowControl/>
        <w:wordWrap w:val="0"/>
        <w:spacing w:before="0" w:beforeAutospacing="0" w:after="0" w:afterAutospacing="0" w:line="360" w:lineRule="exact"/>
        <w:rPr>
          <w:rFonts w:hint="default" w:cs="宋体"/>
          <w:color w:val="auto"/>
        </w:rPr>
      </w:pPr>
      <w:r>
        <w:rPr>
          <w:rFonts w:cs="宋体"/>
          <w:color w:val="auto"/>
          <w:shd w:val="clear" w:color="auto" w:fill="FFFFFF"/>
        </w:rPr>
        <w:t>15、其他约定</w:t>
      </w:r>
    </w:p>
    <w:p w14:paraId="41B2DF44">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15.1合同文件与本合同具有同等法律效力。</w:t>
      </w:r>
    </w:p>
    <w:p w14:paraId="16ED450D">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15.2本合同未尽事宜，双方可另行补充。</w:t>
      </w:r>
    </w:p>
    <w:p w14:paraId="1CA46260">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15.3本合同自签订之日起生效。</w:t>
      </w:r>
    </w:p>
    <w:p w14:paraId="32CDBA54">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15.4本合同纸质文件一式__份。合同电子文本备案。合同纸质文本需与备案电子文本一致，以备案电子文本为准，具有同等效力</w:t>
      </w:r>
    </w:p>
    <w:p w14:paraId="01182358">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15.5其他：</w:t>
      </w:r>
    </w:p>
    <w:p w14:paraId="764097B7">
      <w:pPr>
        <w:widowControl/>
        <w:spacing w:line="360" w:lineRule="exact"/>
        <w:jc w:val="left"/>
        <w:rPr>
          <w:rFonts w:hint="eastAsia" w:ascii="宋体" w:hAnsi="宋体" w:eastAsia="宋体" w:cs="宋体"/>
          <w:color w:val="auto"/>
          <w:sz w:val="24"/>
          <w:lang w:eastAsia="zh-CN"/>
        </w:rPr>
      </w:pPr>
    </w:p>
    <w:p w14:paraId="56F686AE">
      <w:pPr>
        <w:widowControl/>
        <w:spacing w:line="360" w:lineRule="exact"/>
        <w:jc w:val="left"/>
        <w:rPr>
          <w:rFonts w:hint="eastAsia" w:ascii="宋体" w:hAnsi="宋体" w:eastAsia="宋体" w:cs="宋体"/>
          <w:color w:val="auto"/>
          <w:sz w:val="24"/>
          <w:lang w:eastAsia="zh-CN"/>
        </w:rPr>
      </w:pPr>
    </w:p>
    <w:p w14:paraId="36BA558E">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甲方（采购人）：</w:t>
      </w:r>
    </w:p>
    <w:p w14:paraId="683CAE94">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法定（授权）代表人</w:t>
      </w:r>
    </w:p>
    <w:p w14:paraId="53FF285B">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纳税人识别号：</w:t>
      </w:r>
    </w:p>
    <w:p w14:paraId="228FCBE6">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开户银行：</w:t>
      </w:r>
    </w:p>
    <w:p w14:paraId="43EC6AFF">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银行账号：</w:t>
      </w:r>
    </w:p>
    <w:p w14:paraId="4B1F06F2">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乙方（中标或成交人）：</w:t>
      </w:r>
    </w:p>
    <w:p w14:paraId="0E584354">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法定（授权）代表人：</w:t>
      </w:r>
    </w:p>
    <w:p w14:paraId="64E22407">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纳税人识别号：</w:t>
      </w:r>
    </w:p>
    <w:p w14:paraId="06C14587">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开户银行：</w:t>
      </w:r>
    </w:p>
    <w:p w14:paraId="65A0E3DC">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银行账号：</w:t>
      </w:r>
    </w:p>
    <w:p w14:paraId="5E997C68">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签订地点： __________________</w:t>
      </w:r>
    </w:p>
    <w:p w14:paraId="142497B7">
      <w:pPr>
        <w:pStyle w:val="17"/>
        <w:widowControl/>
        <w:wordWrap w:val="0"/>
        <w:spacing w:beforeAutospacing="0" w:afterAutospacing="0" w:line="360" w:lineRule="exact"/>
        <w:ind w:firstLine="420"/>
        <w:jc w:val="both"/>
        <w:rPr>
          <w:rFonts w:ascii="宋体" w:hAnsi="宋体" w:eastAsia="宋体" w:cs="宋体"/>
          <w:color w:val="auto"/>
        </w:rPr>
      </w:pPr>
      <w:r>
        <w:rPr>
          <w:rFonts w:hint="eastAsia" w:ascii="宋体" w:hAnsi="宋体" w:eastAsia="宋体" w:cs="宋体"/>
          <w:color w:val="auto"/>
          <w:shd w:val="clear" w:color="auto" w:fill="FFFFFF"/>
        </w:rPr>
        <w:t>签订日期：___年___月___日</w:t>
      </w:r>
    </w:p>
    <w:p w14:paraId="64747C2A">
      <w:pPr>
        <w:pStyle w:val="17"/>
        <w:widowControl/>
        <w:spacing w:before="75" w:beforeAutospacing="0" w:after="75" w:afterAutospacing="0" w:line="320" w:lineRule="exact"/>
        <w:rPr>
          <w:color w:val="auto"/>
        </w:rPr>
      </w:pPr>
      <w:r>
        <w:rPr>
          <w:rFonts w:hint="eastAsia" w:ascii="宋体" w:hAnsi="宋体" w:eastAsia="宋体" w:cs="宋体"/>
          <w:color w:val="auto"/>
        </w:rPr>
        <w:t> </w:t>
      </w:r>
    </w:p>
    <w:p w14:paraId="1BD12981">
      <w:pPr>
        <w:pStyle w:val="17"/>
        <w:widowControl/>
        <w:shd w:val="clear" w:color="auto" w:fill="FFFFFF"/>
        <w:spacing w:before="75" w:beforeAutospacing="0" w:after="75" w:afterAutospacing="0" w:line="320" w:lineRule="exact"/>
        <w:jc w:val="center"/>
        <w:rPr>
          <w:rFonts w:ascii="微软雅黑" w:hAnsi="微软雅黑" w:eastAsia="微软雅黑" w:cs="微软雅黑"/>
          <w:color w:val="auto"/>
          <w:sz w:val="19"/>
          <w:szCs w:val="19"/>
        </w:rPr>
      </w:pPr>
      <w:r>
        <w:rPr>
          <w:rFonts w:hint="eastAsia" w:ascii="宋体" w:hAnsi="宋体" w:eastAsia="宋体" w:cs="宋体"/>
          <w:color w:val="auto"/>
          <w:shd w:val="clear" w:color="auto" w:fill="FFFFFF"/>
        </w:rPr>
        <w:t> </w:t>
      </w:r>
    </w:p>
    <w:p w14:paraId="1DF0BD69">
      <w:pPr>
        <w:pStyle w:val="17"/>
        <w:widowControl/>
        <w:shd w:val="clear" w:color="auto" w:fill="FFFFFF"/>
        <w:spacing w:before="75" w:beforeAutospacing="0" w:after="75" w:afterAutospacing="0" w:line="435" w:lineRule="atLeast"/>
        <w:jc w:val="center"/>
        <w:rPr>
          <w:rFonts w:ascii="微软雅黑" w:hAnsi="微软雅黑" w:eastAsia="微软雅黑" w:cs="微软雅黑"/>
          <w:color w:val="auto"/>
          <w:sz w:val="19"/>
          <w:szCs w:val="19"/>
        </w:rPr>
      </w:pPr>
      <w:r>
        <w:rPr>
          <w:rFonts w:hint="eastAsia" w:ascii="宋体" w:hAnsi="宋体" w:eastAsia="宋体" w:cs="宋体"/>
          <w:color w:val="auto"/>
          <w:shd w:val="clear" w:color="auto" w:fill="FFFFFF"/>
        </w:rPr>
        <w:t> </w:t>
      </w:r>
    </w:p>
    <w:p w14:paraId="3B7C31BF">
      <w:pPr>
        <w:pStyle w:val="17"/>
        <w:widowControl/>
        <w:shd w:val="clear" w:color="auto" w:fill="FFFFFF"/>
        <w:spacing w:before="75" w:beforeAutospacing="0" w:after="75" w:afterAutospacing="0" w:line="435" w:lineRule="atLeast"/>
        <w:jc w:val="center"/>
        <w:rPr>
          <w:rFonts w:ascii="微软雅黑" w:hAnsi="微软雅黑" w:eastAsia="微软雅黑" w:cs="微软雅黑"/>
          <w:color w:val="auto"/>
          <w:sz w:val="19"/>
          <w:szCs w:val="19"/>
        </w:rPr>
      </w:pPr>
      <w:r>
        <w:rPr>
          <w:rFonts w:hint="eastAsia" w:ascii="宋体" w:hAnsi="宋体" w:eastAsia="宋体" w:cs="宋体"/>
          <w:color w:val="auto"/>
          <w:shd w:val="clear" w:color="auto" w:fill="FFFFFF"/>
        </w:rPr>
        <w:t> </w:t>
      </w:r>
    </w:p>
    <w:p w14:paraId="6B85A9CA">
      <w:pPr>
        <w:pStyle w:val="17"/>
        <w:widowControl/>
        <w:shd w:val="clear" w:color="auto" w:fill="FFFFFF"/>
        <w:spacing w:before="75" w:beforeAutospacing="0" w:after="75" w:afterAutospacing="0" w:line="435" w:lineRule="atLeast"/>
        <w:jc w:val="center"/>
        <w:rPr>
          <w:rFonts w:ascii="微软雅黑" w:hAnsi="微软雅黑" w:eastAsia="微软雅黑" w:cs="微软雅黑"/>
          <w:color w:val="auto"/>
          <w:sz w:val="19"/>
          <w:szCs w:val="19"/>
        </w:rPr>
      </w:pPr>
      <w:r>
        <w:rPr>
          <w:rFonts w:hint="eastAsia" w:ascii="微软雅黑" w:hAnsi="微软雅黑" w:eastAsia="微软雅黑" w:cs="微软雅黑"/>
          <w:color w:val="auto"/>
          <w:shd w:val="clear" w:color="auto" w:fill="FFFFFF"/>
        </w:rPr>
        <w:t> </w:t>
      </w:r>
    </w:p>
    <w:p w14:paraId="2F473521">
      <w:pPr>
        <w:widowControl/>
        <w:jc w:val="left"/>
        <w:rPr>
          <w:color w:val="auto"/>
        </w:rPr>
      </w:pPr>
      <w:r>
        <w:rPr>
          <w:rFonts w:ascii="宋体" w:hAnsi="宋体" w:eastAsia="宋体" w:cs="宋体"/>
          <w:color w:val="auto"/>
          <w:kern w:val="0"/>
          <w:sz w:val="24"/>
        </w:rPr>
        <w:t> </w:t>
      </w:r>
    </w:p>
    <w:p w14:paraId="10E36186">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sz w:val="36"/>
          <w:szCs w:val="36"/>
        </w:rPr>
        <w:t>  </w:t>
      </w:r>
    </w:p>
    <w:p w14:paraId="4017D73D">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sz w:val="36"/>
          <w:szCs w:val="36"/>
        </w:rPr>
        <w:t> </w:t>
      </w:r>
    </w:p>
    <w:p w14:paraId="76535602">
      <w:pPr>
        <w:pStyle w:val="17"/>
        <w:widowControl/>
        <w:spacing w:before="75" w:beforeAutospacing="0" w:after="75" w:afterAutospacing="0" w:line="435" w:lineRule="atLeast"/>
        <w:jc w:val="both"/>
        <w:rPr>
          <w:rStyle w:val="26"/>
          <w:rFonts w:ascii="宋体" w:hAnsi="宋体" w:eastAsia="宋体" w:cs="宋体"/>
          <w:bCs/>
          <w:color w:val="auto"/>
          <w:sz w:val="36"/>
          <w:szCs w:val="36"/>
        </w:rPr>
      </w:pPr>
    </w:p>
    <w:p w14:paraId="429B88CE">
      <w:pPr>
        <w:pStyle w:val="17"/>
        <w:widowControl/>
        <w:spacing w:before="75" w:beforeAutospacing="0" w:after="75" w:afterAutospacing="0" w:line="435" w:lineRule="atLeast"/>
        <w:ind w:firstLine="1446" w:firstLineChars="400"/>
        <w:jc w:val="both"/>
        <w:rPr>
          <w:rStyle w:val="26"/>
          <w:rFonts w:ascii="宋体" w:hAnsi="宋体" w:eastAsia="宋体" w:cs="宋体"/>
          <w:bCs/>
          <w:color w:val="auto"/>
          <w:sz w:val="36"/>
          <w:szCs w:val="36"/>
        </w:rPr>
      </w:pPr>
    </w:p>
    <w:p w14:paraId="34B764A3">
      <w:pPr>
        <w:pStyle w:val="17"/>
        <w:widowControl/>
        <w:spacing w:before="75" w:beforeAutospacing="0" w:after="75" w:afterAutospacing="0" w:line="435" w:lineRule="atLeast"/>
        <w:ind w:firstLine="1446" w:firstLineChars="400"/>
        <w:jc w:val="both"/>
        <w:rPr>
          <w:rStyle w:val="26"/>
          <w:rFonts w:ascii="宋体" w:hAnsi="宋体" w:eastAsia="宋体" w:cs="宋体"/>
          <w:bCs/>
          <w:color w:val="auto"/>
          <w:sz w:val="36"/>
          <w:szCs w:val="36"/>
        </w:rPr>
      </w:pPr>
    </w:p>
    <w:p w14:paraId="2BA40A24">
      <w:pPr>
        <w:pStyle w:val="17"/>
        <w:widowControl/>
        <w:spacing w:before="75" w:beforeAutospacing="0" w:after="75" w:afterAutospacing="0" w:line="435" w:lineRule="atLeast"/>
        <w:ind w:firstLine="1446" w:firstLineChars="400"/>
        <w:jc w:val="both"/>
        <w:rPr>
          <w:rStyle w:val="26"/>
          <w:rFonts w:ascii="宋体" w:hAnsi="宋体" w:eastAsia="宋体" w:cs="宋体"/>
          <w:bCs/>
          <w:color w:val="auto"/>
          <w:sz w:val="36"/>
          <w:szCs w:val="36"/>
        </w:rPr>
      </w:pPr>
    </w:p>
    <w:p w14:paraId="0BCC7D0B">
      <w:pPr>
        <w:rPr>
          <w:rStyle w:val="26"/>
          <w:rFonts w:ascii="宋体" w:hAnsi="宋体" w:eastAsia="宋体" w:cs="宋体"/>
          <w:bCs/>
          <w:color w:val="auto"/>
          <w:sz w:val="36"/>
          <w:szCs w:val="36"/>
        </w:rPr>
      </w:pPr>
      <w:r>
        <w:rPr>
          <w:rStyle w:val="26"/>
          <w:rFonts w:hint="eastAsia" w:ascii="宋体" w:hAnsi="宋体" w:eastAsia="宋体" w:cs="宋体"/>
          <w:bCs/>
          <w:color w:val="auto"/>
          <w:sz w:val="36"/>
          <w:szCs w:val="36"/>
        </w:rPr>
        <w:br w:type="page"/>
      </w:r>
    </w:p>
    <w:p w14:paraId="64D75BC6">
      <w:pPr>
        <w:pStyle w:val="17"/>
        <w:widowControl/>
        <w:spacing w:before="75" w:beforeAutospacing="0" w:after="75" w:afterAutospacing="0" w:line="435" w:lineRule="atLeast"/>
        <w:ind w:firstLine="1446" w:firstLineChars="400"/>
        <w:jc w:val="both"/>
        <w:rPr>
          <w:color w:val="auto"/>
        </w:rPr>
      </w:pPr>
      <w:r>
        <w:rPr>
          <w:rStyle w:val="26"/>
          <w:rFonts w:hint="eastAsia" w:ascii="宋体" w:hAnsi="宋体" w:eastAsia="宋体" w:cs="宋体"/>
          <w:bCs/>
          <w:color w:val="auto"/>
          <w:sz w:val="36"/>
          <w:szCs w:val="36"/>
        </w:rPr>
        <w:t>第五章  首次响应文件格式</w:t>
      </w:r>
    </w:p>
    <w:p w14:paraId="24D484CD">
      <w:pPr>
        <w:pStyle w:val="17"/>
        <w:widowControl/>
        <w:spacing w:before="75" w:beforeAutospacing="0" w:after="75" w:afterAutospacing="0"/>
        <w:jc w:val="center"/>
        <w:rPr>
          <w:color w:val="auto"/>
        </w:rPr>
      </w:pPr>
      <w:r>
        <w:rPr>
          <w:rStyle w:val="26"/>
          <w:rFonts w:hint="eastAsia" w:ascii="宋体" w:hAnsi="宋体" w:eastAsia="宋体" w:cs="宋体"/>
          <w:bCs/>
          <w:color w:val="auto"/>
          <w:sz w:val="36"/>
          <w:szCs w:val="36"/>
        </w:rPr>
        <w:t> </w:t>
      </w:r>
    </w:p>
    <w:p w14:paraId="6807FC70">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编制说明</w:t>
      </w:r>
    </w:p>
    <w:p w14:paraId="43C4955B">
      <w:pPr>
        <w:pStyle w:val="17"/>
        <w:widowControl/>
        <w:spacing w:before="75" w:beforeAutospacing="0" w:after="75" w:afterAutospacing="0" w:line="435" w:lineRule="atLeast"/>
        <w:rPr>
          <w:color w:val="auto"/>
        </w:rPr>
      </w:pPr>
      <w:r>
        <w:rPr>
          <w:rFonts w:hint="eastAsia" w:ascii="宋体" w:hAnsi="宋体" w:eastAsia="宋体" w:cs="宋体"/>
          <w:color w:val="auto"/>
        </w:rPr>
        <w:t> 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14:paraId="2D6DFF2D">
      <w:pPr>
        <w:pStyle w:val="17"/>
        <w:widowControl/>
        <w:spacing w:before="75" w:beforeAutospacing="0" w:after="75" w:afterAutospacing="0" w:line="435" w:lineRule="atLeast"/>
        <w:rPr>
          <w:color w:val="auto"/>
        </w:rPr>
      </w:pPr>
      <w:r>
        <w:rPr>
          <w:rFonts w:hint="eastAsia" w:ascii="宋体" w:hAnsi="宋体" w:eastAsia="宋体" w:cs="宋体"/>
          <w:color w:val="auto"/>
        </w:rPr>
        <w:t> 2、除磋商文件另有规定外，磋商文件要求原件的，供应商在纸质响应文件正本中应提供原件；磋商文件要求复印件的，供应商在纸质响应文件中可提供原件、复印件或扫描件；磋商文件对原件、复印件未作要求的，供应商可自行确定在纸质响应文件中提供原件、复印件或扫描件（若供应商提供注明“复印件无效”的材料或资料，供应商在纸质响应文件正本中应提供原件）。</w:t>
      </w:r>
    </w:p>
    <w:p w14:paraId="113C266D">
      <w:pPr>
        <w:pStyle w:val="17"/>
        <w:widowControl/>
        <w:spacing w:before="75" w:beforeAutospacing="0" w:after="75" w:afterAutospacing="0" w:line="435" w:lineRule="atLeast"/>
        <w:rPr>
          <w:color w:val="auto"/>
        </w:rPr>
      </w:pPr>
      <w:r>
        <w:rPr>
          <w:color w:val="auto"/>
        </w:rPr>
        <w:t> </w:t>
      </w:r>
    </w:p>
    <w:p w14:paraId="414C27BD">
      <w:pPr>
        <w:pStyle w:val="17"/>
        <w:widowControl/>
        <w:spacing w:before="75" w:beforeAutospacing="0" w:after="75" w:afterAutospacing="0"/>
        <w:rPr>
          <w:color w:val="auto"/>
        </w:rPr>
      </w:pPr>
      <w:r>
        <w:rPr>
          <w:rStyle w:val="26"/>
          <w:rFonts w:hint="eastAsia" w:ascii="宋体" w:hAnsi="宋体" w:eastAsia="宋体" w:cs="宋体"/>
          <w:bCs/>
          <w:color w:val="auto"/>
          <w:sz w:val="36"/>
          <w:szCs w:val="36"/>
        </w:rPr>
        <w:t> </w:t>
      </w:r>
    </w:p>
    <w:p w14:paraId="4143F792">
      <w:pPr>
        <w:pStyle w:val="17"/>
        <w:widowControl/>
        <w:spacing w:before="75" w:beforeAutospacing="0" w:after="75" w:afterAutospacing="0"/>
        <w:rPr>
          <w:color w:val="auto"/>
        </w:rPr>
      </w:pPr>
      <w:r>
        <w:rPr>
          <w:rStyle w:val="26"/>
          <w:rFonts w:hint="eastAsia" w:ascii="宋体" w:hAnsi="宋体" w:eastAsia="宋体" w:cs="宋体"/>
          <w:bCs/>
          <w:color w:val="auto"/>
          <w:sz w:val="36"/>
          <w:szCs w:val="36"/>
        </w:rPr>
        <w:t> </w:t>
      </w:r>
    </w:p>
    <w:p w14:paraId="65A51668">
      <w:pPr>
        <w:pStyle w:val="17"/>
        <w:widowControl/>
        <w:spacing w:before="75" w:beforeAutospacing="0" w:after="75" w:afterAutospacing="0"/>
        <w:rPr>
          <w:color w:val="auto"/>
        </w:rPr>
      </w:pPr>
      <w:r>
        <w:rPr>
          <w:rStyle w:val="26"/>
          <w:rFonts w:hint="eastAsia" w:ascii="宋体" w:hAnsi="宋体" w:eastAsia="宋体" w:cs="宋体"/>
          <w:bCs/>
          <w:color w:val="auto"/>
          <w:sz w:val="36"/>
          <w:szCs w:val="36"/>
        </w:rPr>
        <w:t> </w:t>
      </w:r>
    </w:p>
    <w:p w14:paraId="012AC5A9">
      <w:pPr>
        <w:pStyle w:val="17"/>
        <w:widowControl/>
        <w:spacing w:before="75" w:beforeAutospacing="0" w:after="75" w:afterAutospacing="0"/>
        <w:rPr>
          <w:rStyle w:val="26"/>
          <w:rFonts w:ascii="宋体" w:hAnsi="宋体" w:eastAsia="宋体" w:cs="宋体"/>
          <w:bCs/>
          <w:color w:val="auto"/>
          <w:sz w:val="36"/>
          <w:szCs w:val="36"/>
        </w:rPr>
      </w:pPr>
      <w:r>
        <w:rPr>
          <w:rStyle w:val="26"/>
          <w:rFonts w:hint="eastAsia" w:ascii="宋体" w:hAnsi="宋体" w:eastAsia="宋体" w:cs="宋体"/>
          <w:bCs/>
          <w:color w:val="auto"/>
          <w:sz w:val="36"/>
          <w:szCs w:val="36"/>
        </w:rPr>
        <w:t xml:space="preserve">            </w:t>
      </w:r>
    </w:p>
    <w:p w14:paraId="20770E81">
      <w:pPr>
        <w:pStyle w:val="17"/>
        <w:widowControl/>
        <w:spacing w:before="75" w:beforeAutospacing="0" w:after="75" w:afterAutospacing="0"/>
        <w:rPr>
          <w:rStyle w:val="26"/>
          <w:rFonts w:ascii="宋体" w:hAnsi="宋体" w:eastAsia="宋体" w:cs="宋体"/>
          <w:bCs/>
          <w:color w:val="auto"/>
          <w:sz w:val="36"/>
          <w:szCs w:val="36"/>
        </w:rPr>
      </w:pPr>
    </w:p>
    <w:p w14:paraId="202FB522">
      <w:pPr>
        <w:pStyle w:val="17"/>
        <w:widowControl/>
        <w:spacing w:before="75" w:beforeAutospacing="0" w:after="75" w:afterAutospacing="0"/>
        <w:rPr>
          <w:rStyle w:val="26"/>
          <w:rFonts w:ascii="宋体" w:hAnsi="宋体" w:eastAsia="宋体" w:cs="宋体"/>
          <w:bCs/>
          <w:color w:val="auto"/>
          <w:sz w:val="36"/>
          <w:szCs w:val="36"/>
        </w:rPr>
      </w:pPr>
    </w:p>
    <w:p w14:paraId="7855A180">
      <w:pPr>
        <w:pStyle w:val="17"/>
        <w:widowControl/>
        <w:spacing w:before="75" w:beforeAutospacing="0" w:after="75" w:afterAutospacing="0"/>
        <w:rPr>
          <w:rStyle w:val="26"/>
          <w:rFonts w:ascii="宋体" w:hAnsi="宋体" w:eastAsia="宋体" w:cs="宋体"/>
          <w:bCs/>
          <w:color w:val="auto"/>
          <w:sz w:val="36"/>
          <w:szCs w:val="36"/>
        </w:rPr>
      </w:pPr>
    </w:p>
    <w:p w14:paraId="64DB4318">
      <w:pPr>
        <w:pStyle w:val="17"/>
        <w:widowControl/>
        <w:spacing w:before="75" w:beforeAutospacing="0" w:after="75" w:afterAutospacing="0"/>
        <w:rPr>
          <w:rStyle w:val="26"/>
          <w:rFonts w:ascii="宋体" w:hAnsi="宋体" w:eastAsia="宋体" w:cs="宋体"/>
          <w:bCs/>
          <w:color w:val="auto"/>
          <w:sz w:val="36"/>
          <w:szCs w:val="36"/>
        </w:rPr>
      </w:pPr>
    </w:p>
    <w:p w14:paraId="21ED48F6">
      <w:pPr>
        <w:pStyle w:val="17"/>
        <w:widowControl/>
        <w:spacing w:before="75" w:beforeAutospacing="0" w:after="75" w:afterAutospacing="0"/>
        <w:rPr>
          <w:rStyle w:val="26"/>
          <w:rFonts w:ascii="宋体" w:hAnsi="宋体" w:eastAsia="宋体" w:cs="宋体"/>
          <w:bCs/>
          <w:color w:val="auto"/>
          <w:sz w:val="36"/>
          <w:szCs w:val="36"/>
        </w:rPr>
      </w:pPr>
    </w:p>
    <w:p w14:paraId="2D5A69F5">
      <w:pPr>
        <w:pStyle w:val="17"/>
        <w:widowControl/>
        <w:spacing w:before="75" w:beforeAutospacing="0" w:after="75" w:afterAutospacing="0"/>
        <w:rPr>
          <w:rStyle w:val="26"/>
          <w:rFonts w:ascii="宋体" w:hAnsi="宋体" w:eastAsia="宋体" w:cs="宋体"/>
          <w:bCs/>
          <w:color w:val="auto"/>
          <w:sz w:val="36"/>
          <w:szCs w:val="36"/>
        </w:rPr>
      </w:pPr>
    </w:p>
    <w:p w14:paraId="0B44E423">
      <w:pPr>
        <w:pStyle w:val="17"/>
        <w:widowControl/>
        <w:spacing w:before="75" w:beforeAutospacing="0" w:after="75" w:afterAutospacing="0"/>
        <w:rPr>
          <w:rStyle w:val="26"/>
          <w:rFonts w:ascii="宋体" w:hAnsi="宋体" w:eastAsia="宋体" w:cs="宋体"/>
          <w:bCs/>
          <w:color w:val="auto"/>
          <w:sz w:val="36"/>
          <w:szCs w:val="36"/>
        </w:rPr>
      </w:pPr>
    </w:p>
    <w:p w14:paraId="0F594346">
      <w:pPr>
        <w:pStyle w:val="17"/>
        <w:widowControl/>
        <w:spacing w:before="75" w:beforeAutospacing="0" w:after="75" w:afterAutospacing="0"/>
        <w:ind w:firstLine="2168" w:firstLineChars="600"/>
        <w:rPr>
          <w:rStyle w:val="26"/>
          <w:rFonts w:ascii="宋体" w:hAnsi="宋体" w:eastAsia="宋体" w:cs="宋体"/>
          <w:bCs/>
          <w:color w:val="auto"/>
          <w:sz w:val="36"/>
          <w:szCs w:val="36"/>
        </w:rPr>
      </w:pPr>
    </w:p>
    <w:p w14:paraId="062365EB">
      <w:pPr>
        <w:pStyle w:val="17"/>
        <w:widowControl/>
        <w:spacing w:before="75" w:beforeAutospacing="0" w:after="75" w:afterAutospacing="0"/>
        <w:jc w:val="center"/>
        <w:rPr>
          <w:rStyle w:val="26"/>
          <w:rFonts w:hint="eastAsia" w:ascii="宋体" w:hAnsi="宋体" w:eastAsia="宋体" w:cs="宋体"/>
          <w:bCs/>
          <w:color w:val="auto"/>
          <w:sz w:val="52"/>
          <w:szCs w:val="52"/>
          <w:lang w:eastAsia="zh-CN"/>
        </w:rPr>
      </w:pPr>
      <w:r>
        <w:rPr>
          <w:rStyle w:val="26"/>
          <w:rFonts w:hint="eastAsia" w:ascii="宋体" w:hAnsi="宋体" w:eastAsia="宋体" w:cs="宋体"/>
          <w:bCs/>
          <w:color w:val="auto"/>
          <w:sz w:val="52"/>
          <w:szCs w:val="52"/>
          <w:lang w:eastAsia="zh-CN"/>
        </w:rPr>
        <w:t>福建省翔安监狱</w:t>
      </w:r>
    </w:p>
    <w:p w14:paraId="7050AC7E">
      <w:pPr>
        <w:pStyle w:val="17"/>
        <w:widowControl/>
        <w:spacing w:before="75" w:beforeAutospacing="0" w:after="75" w:afterAutospacing="0"/>
        <w:jc w:val="center"/>
        <w:rPr>
          <w:color w:val="auto"/>
          <w:sz w:val="52"/>
          <w:szCs w:val="52"/>
        </w:rPr>
      </w:pPr>
      <w:r>
        <w:rPr>
          <w:rStyle w:val="26"/>
          <w:rFonts w:hint="eastAsia" w:ascii="宋体" w:hAnsi="宋体" w:eastAsia="宋体" w:cs="宋体"/>
          <w:bCs/>
          <w:color w:val="auto"/>
          <w:sz w:val="52"/>
          <w:szCs w:val="52"/>
        </w:rPr>
        <w:t>竞争性磋商</w:t>
      </w:r>
    </w:p>
    <w:p w14:paraId="6CA0CDB9">
      <w:pPr>
        <w:pStyle w:val="17"/>
        <w:widowControl/>
        <w:spacing w:before="75" w:beforeAutospacing="0" w:after="75" w:afterAutospacing="0"/>
        <w:jc w:val="center"/>
        <w:rPr>
          <w:rStyle w:val="26"/>
          <w:rFonts w:ascii="宋体" w:hAnsi="宋体" w:eastAsia="宋体" w:cs="宋体"/>
          <w:bCs/>
          <w:color w:val="auto"/>
        </w:rPr>
      </w:pPr>
      <w:r>
        <w:rPr>
          <w:rStyle w:val="26"/>
          <w:rFonts w:hint="eastAsia" w:ascii="宋体" w:hAnsi="宋体" w:eastAsia="宋体" w:cs="宋体"/>
          <w:bCs/>
          <w:color w:val="auto"/>
        </w:rPr>
        <w:t>响应文件</w:t>
      </w:r>
    </w:p>
    <w:p w14:paraId="039E02A7">
      <w:pPr>
        <w:pStyle w:val="17"/>
        <w:widowControl/>
        <w:spacing w:before="75" w:beforeAutospacing="0" w:after="75" w:afterAutospacing="0"/>
        <w:jc w:val="center"/>
        <w:rPr>
          <w:color w:val="auto"/>
        </w:rPr>
      </w:pPr>
      <w:r>
        <w:rPr>
          <w:rStyle w:val="26"/>
          <w:rFonts w:hint="eastAsia" w:ascii="宋体" w:hAnsi="宋体" w:eastAsia="宋体" w:cs="宋体"/>
          <w:bCs/>
          <w:color w:val="auto"/>
        </w:rPr>
        <w:t>（首次）</w:t>
      </w:r>
    </w:p>
    <w:p w14:paraId="03130B65">
      <w:pPr>
        <w:pStyle w:val="17"/>
        <w:widowControl/>
        <w:spacing w:before="75" w:beforeAutospacing="0" w:after="75" w:afterAutospacing="0"/>
        <w:jc w:val="center"/>
        <w:rPr>
          <w:color w:val="auto"/>
        </w:rPr>
      </w:pPr>
      <w:r>
        <w:rPr>
          <w:rFonts w:hint="eastAsia" w:ascii="宋体" w:hAnsi="宋体" w:eastAsia="宋体" w:cs="宋体"/>
          <w:color w:val="auto"/>
          <w:sz w:val="30"/>
          <w:szCs w:val="30"/>
        </w:rPr>
        <w:t> </w:t>
      </w:r>
    </w:p>
    <w:p w14:paraId="1E4A91B8">
      <w:pPr>
        <w:pStyle w:val="17"/>
        <w:widowControl/>
        <w:spacing w:before="75" w:beforeAutospacing="0" w:after="75" w:afterAutospacing="0"/>
        <w:jc w:val="center"/>
        <w:rPr>
          <w:color w:val="auto"/>
        </w:rPr>
      </w:pPr>
      <w:r>
        <w:rPr>
          <w:rFonts w:hint="eastAsia" w:ascii="宋体" w:hAnsi="宋体" w:eastAsia="宋体" w:cs="宋体"/>
          <w:color w:val="auto"/>
          <w:sz w:val="30"/>
          <w:szCs w:val="30"/>
        </w:rPr>
        <w:t> </w:t>
      </w:r>
    </w:p>
    <w:p w14:paraId="1C165E8B">
      <w:pPr>
        <w:pStyle w:val="17"/>
        <w:widowControl/>
        <w:spacing w:before="75" w:beforeAutospacing="0" w:after="75" w:afterAutospacing="0"/>
        <w:ind w:firstLine="1260"/>
        <w:rPr>
          <w:color w:val="auto"/>
        </w:rPr>
      </w:pPr>
      <w:r>
        <w:rPr>
          <w:rStyle w:val="26"/>
          <w:rFonts w:hint="eastAsia" w:ascii="宋体" w:hAnsi="宋体" w:eastAsia="宋体" w:cs="宋体"/>
          <w:bCs/>
          <w:color w:val="auto"/>
        </w:rPr>
        <w:t>项目名称：</w:t>
      </w:r>
      <w:r>
        <w:rPr>
          <w:rStyle w:val="26"/>
          <w:rFonts w:hint="eastAsia" w:ascii="宋体" w:hAnsi="宋体" w:eastAsia="宋体" w:cs="宋体"/>
          <w:bCs/>
          <w:color w:val="auto"/>
          <w:sz w:val="36"/>
          <w:szCs w:val="36"/>
          <w:u w:val="single"/>
        </w:rPr>
        <w:t>               </w:t>
      </w:r>
    </w:p>
    <w:p w14:paraId="665F0B74">
      <w:pPr>
        <w:pStyle w:val="17"/>
        <w:widowControl/>
        <w:spacing w:before="75" w:beforeAutospacing="0" w:after="75" w:afterAutospacing="0"/>
        <w:ind w:firstLine="1260"/>
        <w:rPr>
          <w:color w:val="auto"/>
        </w:rPr>
      </w:pPr>
      <w:r>
        <w:rPr>
          <w:rStyle w:val="26"/>
          <w:rFonts w:hint="eastAsia" w:ascii="宋体" w:hAnsi="宋体" w:eastAsia="宋体" w:cs="宋体"/>
          <w:bCs/>
          <w:color w:val="auto"/>
        </w:rPr>
        <w:t>项目编号：</w:t>
      </w:r>
      <w:r>
        <w:rPr>
          <w:rStyle w:val="26"/>
          <w:rFonts w:hint="eastAsia" w:ascii="宋体" w:hAnsi="宋体" w:eastAsia="宋体" w:cs="宋体"/>
          <w:bCs/>
          <w:color w:val="auto"/>
          <w:sz w:val="36"/>
          <w:szCs w:val="36"/>
          <w:u w:val="single"/>
        </w:rPr>
        <w:t>                    </w:t>
      </w:r>
    </w:p>
    <w:p w14:paraId="666E7A97">
      <w:pPr>
        <w:pStyle w:val="17"/>
        <w:widowControl/>
        <w:spacing w:before="75" w:beforeAutospacing="0" w:after="75" w:afterAutospacing="0"/>
        <w:ind w:firstLine="1260"/>
        <w:rPr>
          <w:color w:val="auto"/>
        </w:rPr>
      </w:pPr>
      <w:r>
        <w:rPr>
          <w:rStyle w:val="26"/>
          <w:rFonts w:hint="eastAsia" w:ascii="宋体" w:hAnsi="宋体" w:eastAsia="宋体" w:cs="宋体"/>
          <w:bCs/>
          <w:color w:val="auto"/>
        </w:rPr>
        <w:t>合同包</w:t>
      </w:r>
      <w:r>
        <w:rPr>
          <w:rStyle w:val="26"/>
          <w:rFonts w:hint="eastAsia" w:ascii="宋体" w:hAnsi="宋体" w:eastAsia="宋体" w:cs="宋体"/>
          <w:bCs/>
          <w:color w:val="auto"/>
          <w:sz w:val="36"/>
          <w:szCs w:val="36"/>
        </w:rPr>
        <w:t>: </w:t>
      </w:r>
      <w:r>
        <w:rPr>
          <w:rStyle w:val="26"/>
          <w:rFonts w:hint="eastAsia" w:ascii="宋体" w:hAnsi="宋体" w:eastAsia="宋体" w:cs="宋体"/>
          <w:bCs/>
          <w:color w:val="auto"/>
          <w:sz w:val="36"/>
          <w:szCs w:val="36"/>
          <w:u w:val="single"/>
        </w:rPr>
        <w:t>                    </w:t>
      </w:r>
    </w:p>
    <w:p w14:paraId="1423ED69">
      <w:pPr>
        <w:pStyle w:val="17"/>
        <w:widowControl/>
        <w:spacing w:before="75" w:beforeAutospacing="0" w:after="75" w:afterAutospacing="0"/>
        <w:jc w:val="center"/>
        <w:rPr>
          <w:color w:val="auto"/>
        </w:rPr>
      </w:pPr>
      <w:r>
        <w:rPr>
          <w:rStyle w:val="26"/>
          <w:rFonts w:hint="eastAsia" w:ascii="宋体" w:hAnsi="宋体" w:eastAsia="宋体" w:cs="宋体"/>
          <w:bCs/>
          <w:color w:val="auto"/>
          <w:sz w:val="36"/>
          <w:szCs w:val="36"/>
        </w:rPr>
        <w:t> </w:t>
      </w:r>
    </w:p>
    <w:p w14:paraId="2D55F47C">
      <w:pPr>
        <w:pStyle w:val="17"/>
        <w:widowControl/>
        <w:spacing w:before="75" w:beforeAutospacing="0" w:after="75" w:afterAutospacing="0"/>
        <w:jc w:val="center"/>
        <w:rPr>
          <w:color w:val="auto"/>
        </w:rPr>
      </w:pPr>
      <w:r>
        <w:rPr>
          <w:rStyle w:val="26"/>
          <w:rFonts w:hint="eastAsia" w:ascii="宋体" w:hAnsi="宋体" w:eastAsia="宋体" w:cs="宋体"/>
          <w:bCs/>
          <w:color w:val="auto"/>
          <w:sz w:val="36"/>
          <w:szCs w:val="36"/>
        </w:rPr>
        <w:t> </w:t>
      </w:r>
    </w:p>
    <w:p w14:paraId="5073509A">
      <w:pPr>
        <w:pStyle w:val="17"/>
        <w:widowControl/>
        <w:spacing w:before="75" w:beforeAutospacing="0" w:after="75" w:afterAutospacing="0"/>
        <w:rPr>
          <w:color w:val="auto"/>
        </w:rPr>
      </w:pPr>
      <w:r>
        <w:rPr>
          <w:rStyle w:val="26"/>
          <w:rFonts w:hint="eastAsia" w:ascii="宋体" w:hAnsi="宋体" w:eastAsia="宋体" w:cs="宋体"/>
          <w:bCs/>
          <w:color w:val="auto"/>
          <w:sz w:val="36"/>
          <w:szCs w:val="36"/>
        </w:rPr>
        <w:t> </w:t>
      </w:r>
    </w:p>
    <w:p w14:paraId="64ADEAA6">
      <w:pPr>
        <w:pStyle w:val="17"/>
        <w:widowControl/>
        <w:spacing w:before="75" w:beforeAutospacing="0" w:after="75" w:afterAutospacing="0"/>
        <w:rPr>
          <w:color w:val="auto"/>
        </w:rPr>
      </w:pPr>
      <w:r>
        <w:rPr>
          <w:rStyle w:val="26"/>
          <w:rFonts w:hint="eastAsia" w:ascii="宋体" w:hAnsi="宋体" w:eastAsia="宋体" w:cs="宋体"/>
          <w:bCs/>
          <w:color w:val="auto"/>
          <w:sz w:val="36"/>
          <w:szCs w:val="36"/>
        </w:rPr>
        <w:t> </w:t>
      </w:r>
    </w:p>
    <w:p w14:paraId="42C1EE6D">
      <w:pPr>
        <w:pStyle w:val="17"/>
        <w:widowControl/>
        <w:spacing w:before="75" w:beforeAutospacing="0" w:after="75" w:afterAutospacing="0"/>
        <w:rPr>
          <w:color w:val="auto"/>
        </w:rPr>
      </w:pPr>
      <w:r>
        <w:rPr>
          <w:rStyle w:val="26"/>
          <w:rFonts w:hint="eastAsia" w:ascii="宋体" w:hAnsi="宋体" w:eastAsia="宋体" w:cs="宋体"/>
          <w:bCs/>
          <w:color w:val="auto"/>
          <w:sz w:val="36"/>
          <w:szCs w:val="36"/>
        </w:rPr>
        <w:t> </w:t>
      </w:r>
    </w:p>
    <w:p w14:paraId="20B75C0C">
      <w:pPr>
        <w:pStyle w:val="17"/>
        <w:widowControl/>
        <w:spacing w:before="75" w:beforeAutospacing="0" w:after="75" w:afterAutospacing="0"/>
        <w:rPr>
          <w:color w:val="auto"/>
        </w:rPr>
      </w:pPr>
      <w:r>
        <w:rPr>
          <w:rStyle w:val="26"/>
          <w:rFonts w:hint="eastAsia" w:ascii="宋体" w:hAnsi="宋体" w:eastAsia="宋体" w:cs="宋体"/>
          <w:bCs/>
          <w:color w:val="auto"/>
          <w:sz w:val="36"/>
          <w:szCs w:val="36"/>
        </w:rPr>
        <w:t>    </w:t>
      </w:r>
      <w:r>
        <w:rPr>
          <w:rStyle w:val="26"/>
          <w:rFonts w:hint="eastAsia" w:ascii="宋体" w:hAnsi="宋体" w:eastAsia="宋体" w:cs="宋体"/>
          <w:bCs/>
          <w:color w:val="auto"/>
        </w:rPr>
        <w:t>供应商名称 ：</w:t>
      </w:r>
      <w:r>
        <w:rPr>
          <w:rStyle w:val="26"/>
          <w:rFonts w:hint="eastAsia" w:ascii="宋体" w:hAnsi="宋体" w:eastAsia="宋体" w:cs="宋体"/>
          <w:bCs/>
          <w:color w:val="auto"/>
          <w:u w:val="single"/>
        </w:rPr>
        <w:t>               </w:t>
      </w:r>
    </w:p>
    <w:p w14:paraId="10CB390C">
      <w:pPr>
        <w:pStyle w:val="17"/>
        <w:widowControl/>
        <w:spacing w:before="75" w:beforeAutospacing="0" w:after="75" w:afterAutospacing="0"/>
        <w:rPr>
          <w:color w:val="auto"/>
        </w:rPr>
      </w:pPr>
      <w:r>
        <w:rPr>
          <w:rStyle w:val="26"/>
          <w:rFonts w:hint="eastAsia" w:ascii="宋体" w:hAnsi="宋体" w:eastAsia="宋体" w:cs="宋体"/>
          <w:bCs/>
          <w:color w:val="auto"/>
          <w:sz w:val="36"/>
          <w:szCs w:val="36"/>
        </w:rPr>
        <w:t>    </w:t>
      </w:r>
      <w:r>
        <w:rPr>
          <w:rStyle w:val="26"/>
          <w:rFonts w:hint="eastAsia" w:ascii="宋体" w:hAnsi="宋体" w:eastAsia="宋体" w:cs="宋体"/>
          <w:bCs/>
          <w:color w:val="auto"/>
        </w:rPr>
        <w:t>日   期 ：</w:t>
      </w:r>
      <w:r>
        <w:rPr>
          <w:rStyle w:val="26"/>
          <w:rFonts w:hint="eastAsia" w:ascii="宋体" w:hAnsi="宋体" w:eastAsia="宋体" w:cs="宋体"/>
          <w:bCs/>
          <w:color w:val="auto"/>
          <w:u w:val="single"/>
        </w:rPr>
        <w:t>               </w:t>
      </w:r>
    </w:p>
    <w:p w14:paraId="4A91C95B">
      <w:pPr>
        <w:pStyle w:val="17"/>
        <w:widowControl/>
        <w:spacing w:before="75" w:beforeAutospacing="0" w:after="75" w:afterAutospacing="0"/>
        <w:jc w:val="center"/>
        <w:rPr>
          <w:rStyle w:val="26"/>
          <w:rFonts w:ascii="宋体" w:hAnsi="宋体" w:eastAsia="宋体" w:cs="宋体"/>
          <w:bCs/>
          <w:color w:val="auto"/>
          <w:u w:val="single"/>
        </w:rPr>
      </w:pPr>
    </w:p>
    <w:p w14:paraId="3CFA6502">
      <w:pPr>
        <w:pStyle w:val="17"/>
        <w:widowControl/>
        <w:spacing w:before="75" w:beforeAutospacing="0" w:after="75" w:afterAutospacing="0"/>
        <w:jc w:val="center"/>
        <w:rPr>
          <w:rStyle w:val="26"/>
          <w:rFonts w:ascii="宋体" w:hAnsi="宋体" w:eastAsia="宋体" w:cs="宋体"/>
          <w:bCs/>
          <w:color w:val="auto"/>
          <w:u w:val="single"/>
        </w:rPr>
      </w:pPr>
    </w:p>
    <w:p w14:paraId="2DD86371">
      <w:pPr>
        <w:pStyle w:val="17"/>
        <w:widowControl/>
        <w:spacing w:before="75" w:beforeAutospacing="0" w:after="75" w:afterAutospacing="0"/>
        <w:jc w:val="center"/>
        <w:rPr>
          <w:rStyle w:val="26"/>
          <w:rFonts w:ascii="宋体" w:hAnsi="宋体" w:eastAsia="宋体" w:cs="宋体"/>
          <w:bCs/>
          <w:color w:val="auto"/>
          <w:u w:val="single"/>
        </w:rPr>
      </w:pPr>
    </w:p>
    <w:p w14:paraId="044F4E29">
      <w:pPr>
        <w:pStyle w:val="17"/>
        <w:widowControl/>
        <w:spacing w:before="75" w:beforeAutospacing="0" w:after="75" w:afterAutospacing="0"/>
        <w:jc w:val="center"/>
        <w:rPr>
          <w:rStyle w:val="26"/>
          <w:rFonts w:ascii="宋体" w:hAnsi="宋体" w:eastAsia="宋体" w:cs="宋体"/>
          <w:bCs/>
          <w:color w:val="auto"/>
          <w:u w:val="single"/>
        </w:rPr>
      </w:pPr>
    </w:p>
    <w:p w14:paraId="5FF5C212">
      <w:pPr>
        <w:pStyle w:val="17"/>
        <w:widowControl/>
        <w:spacing w:before="75" w:beforeAutospacing="0" w:after="75" w:afterAutospacing="0"/>
        <w:jc w:val="center"/>
        <w:rPr>
          <w:rStyle w:val="26"/>
          <w:rFonts w:ascii="宋体" w:hAnsi="宋体" w:eastAsia="宋体" w:cs="宋体"/>
          <w:bCs/>
          <w:color w:val="auto"/>
          <w:u w:val="single"/>
        </w:rPr>
      </w:pPr>
    </w:p>
    <w:p w14:paraId="1319D072">
      <w:pPr>
        <w:pStyle w:val="17"/>
        <w:widowControl/>
        <w:spacing w:before="75" w:beforeAutospacing="0" w:after="75" w:afterAutospacing="0"/>
        <w:jc w:val="center"/>
        <w:rPr>
          <w:rStyle w:val="26"/>
          <w:rFonts w:ascii="宋体" w:hAnsi="宋体" w:eastAsia="宋体" w:cs="宋体"/>
          <w:bCs/>
          <w:color w:val="auto"/>
          <w:u w:val="single"/>
        </w:rPr>
      </w:pPr>
    </w:p>
    <w:p w14:paraId="09773FD4">
      <w:pPr>
        <w:pStyle w:val="17"/>
        <w:widowControl/>
        <w:spacing w:before="75" w:beforeAutospacing="0" w:after="75" w:afterAutospacing="0"/>
        <w:jc w:val="center"/>
        <w:rPr>
          <w:rStyle w:val="26"/>
          <w:rFonts w:ascii="宋体" w:hAnsi="宋体" w:eastAsia="宋体" w:cs="宋体"/>
          <w:bCs/>
          <w:color w:val="auto"/>
          <w:u w:val="single"/>
        </w:rPr>
      </w:pPr>
    </w:p>
    <w:p w14:paraId="269B2FF9">
      <w:pPr>
        <w:pStyle w:val="17"/>
        <w:widowControl/>
        <w:spacing w:before="75" w:beforeAutospacing="0" w:after="75" w:afterAutospacing="0"/>
        <w:jc w:val="center"/>
        <w:rPr>
          <w:rStyle w:val="26"/>
          <w:rFonts w:ascii="宋体" w:hAnsi="宋体" w:eastAsia="宋体" w:cs="宋体"/>
          <w:bCs/>
          <w:color w:val="auto"/>
          <w:u w:val="single"/>
        </w:rPr>
      </w:pPr>
    </w:p>
    <w:p w14:paraId="10C1C4A3">
      <w:pPr>
        <w:pStyle w:val="17"/>
        <w:widowControl/>
        <w:spacing w:before="75" w:beforeAutospacing="0" w:after="75" w:afterAutospacing="0"/>
        <w:jc w:val="center"/>
        <w:rPr>
          <w:rStyle w:val="26"/>
          <w:rFonts w:ascii="宋体" w:hAnsi="宋体" w:eastAsia="宋体" w:cs="宋体"/>
          <w:bCs/>
          <w:color w:val="auto"/>
          <w:u w:val="single"/>
        </w:rPr>
      </w:pPr>
    </w:p>
    <w:p w14:paraId="372564D5">
      <w:pPr>
        <w:pStyle w:val="17"/>
        <w:widowControl/>
        <w:spacing w:before="75" w:beforeAutospacing="0" w:after="75" w:afterAutospacing="0"/>
        <w:jc w:val="center"/>
        <w:rPr>
          <w:color w:val="auto"/>
        </w:rPr>
      </w:pPr>
      <w:r>
        <w:rPr>
          <w:rStyle w:val="26"/>
          <w:rFonts w:hint="eastAsia" w:ascii="宋体" w:hAnsi="宋体" w:eastAsia="宋体" w:cs="宋体"/>
          <w:bCs/>
          <w:color w:val="auto"/>
          <w:sz w:val="36"/>
          <w:szCs w:val="36"/>
        </w:rPr>
        <w:t>目  录</w:t>
      </w:r>
    </w:p>
    <w:p w14:paraId="38450CEA">
      <w:pPr>
        <w:pStyle w:val="17"/>
        <w:widowControl/>
        <w:spacing w:before="75" w:beforeAutospacing="0" w:after="75" w:afterAutospacing="0" w:line="465" w:lineRule="atLeast"/>
        <w:rPr>
          <w:color w:val="auto"/>
        </w:rPr>
      </w:pPr>
      <w:r>
        <w:rPr>
          <w:color w:val="auto"/>
        </w:rPr>
        <w:t> </w:t>
      </w:r>
    </w:p>
    <w:p w14:paraId="136752BB">
      <w:pPr>
        <w:pStyle w:val="17"/>
        <w:widowControl/>
        <w:spacing w:before="75" w:beforeAutospacing="0" w:after="75" w:afterAutospacing="0" w:line="465" w:lineRule="atLeast"/>
        <w:rPr>
          <w:color w:val="auto"/>
        </w:rPr>
      </w:pPr>
      <w:r>
        <w:rPr>
          <w:rFonts w:hint="eastAsia" w:ascii="宋体" w:hAnsi="宋体" w:eastAsia="宋体" w:cs="宋体"/>
          <w:color w:val="auto"/>
        </w:rPr>
        <w:t>附件1：响应函</w:t>
      </w:r>
    </w:p>
    <w:p w14:paraId="17CE5DFF">
      <w:pPr>
        <w:pStyle w:val="17"/>
        <w:widowControl/>
        <w:spacing w:before="75" w:beforeAutospacing="0" w:after="75" w:afterAutospacing="0" w:line="465" w:lineRule="atLeast"/>
        <w:rPr>
          <w:color w:val="auto"/>
        </w:rPr>
      </w:pPr>
      <w:r>
        <w:rPr>
          <w:rFonts w:hint="eastAsia" w:ascii="宋体" w:hAnsi="宋体" w:eastAsia="宋体" w:cs="宋体"/>
          <w:color w:val="auto"/>
        </w:rPr>
        <w:t>附件2：报价一览表（含详细报价书）</w:t>
      </w:r>
    </w:p>
    <w:p w14:paraId="12B1FC65">
      <w:pPr>
        <w:pStyle w:val="17"/>
        <w:widowControl/>
        <w:spacing w:before="75" w:beforeAutospacing="0" w:after="75" w:afterAutospacing="0" w:line="465" w:lineRule="atLeast"/>
        <w:rPr>
          <w:rFonts w:ascii="宋体" w:hAnsi="宋体" w:eastAsia="宋体" w:cs="宋体"/>
          <w:color w:val="auto"/>
        </w:rPr>
      </w:pPr>
      <w:r>
        <w:rPr>
          <w:rFonts w:hint="eastAsia" w:ascii="宋体" w:hAnsi="宋体" w:eastAsia="宋体" w:cs="宋体"/>
          <w:color w:val="auto"/>
        </w:rPr>
        <w:t>附件3：资格证明文件</w:t>
      </w:r>
    </w:p>
    <w:p w14:paraId="392C8111">
      <w:pPr>
        <w:pStyle w:val="17"/>
        <w:widowControl/>
        <w:spacing w:before="75" w:beforeAutospacing="0" w:after="75" w:afterAutospacing="0" w:line="465" w:lineRule="atLeast"/>
        <w:rPr>
          <w:rFonts w:ascii="宋体" w:hAnsi="宋体" w:eastAsia="宋体" w:cs="宋体"/>
          <w:color w:val="auto"/>
        </w:rPr>
      </w:pPr>
      <w:r>
        <w:rPr>
          <w:rFonts w:hint="eastAsia" w:ascii="宋体" w:hAnsi="宋体" w:eastAsia="宋体" w:cs="宋体"/>
          <w:color w:val="auto"/>
        </w:rPr>
        <w:t>附件4：磋商保证金凭证</w:t>
      </w:r>
    </w:p>
    <w:p w14:paraId="033B427B">
      <w:pPr>
        <w:pStyle w:val="17"/>
        <w:widowControl/>
        <w:spacing w:before="75" w:beforeAutospacing="0" w:after="75" w:afterAutospacing="0" w:line="465" w:lineRule="atLeast"/>
        <w:rPr>
          <w:rFonts w:ascii="宋体" w:hAnsi="宋体" w:eastAsia="宋体" w:cs="宋体"/>
          <w:color w:val="auto"/>
        </w:rPr>
      </w:pPr>
      <w:r>
        <w:rPr>
          <w:rFonts w:hint="eastAsia" w:ascii="宋体" w:hAnsi="宋体" w:eastAsia="宋体" w:cs="宋体"/>
          <w:color w:val="auto"/>
        </w:rPr>
        <w:t>附件5：技术商务部分评分内容对应表</w:t>
      </w:r>
    </w:p>
    <w:p w14:paraId="56D19276">
      <w:pPr>
        <w:pStyle w:val="17"/>
        <w:widowControl/>
        <w:spacing w:before="75" w:beforeAutospacing="0" w:after="75" w:afterAutospacing="0" w:line="465" w:lineRule="atLeast"/>
        <w:rPr>
          <w:rFonts w:ascii="宋体" w:hAnsi="宋体" w:eastAsia="宋体" w:cs="宋体"/>
          <w:color w:val="auto"/>
        </w:rPr>
      </w:pPr>
      <w:r>
        <w:rPr>
          <w:rFonts w:hint="eastAsia" w:ascii="宋体" w:hAnsi="宋体" w:eastAsia="宋体" w:cs="宋体"/>
          <w:color w:val="auto"/>
        </w:rPr>
        <w:t>附件6：技术和商务偏离表</w:t>
      </w:r>
    </w:p>
    <w:p w14:paraId="5C6A9DBB">
      <w:pPr>
        <w:pStyle w:val="17"/>
        <w:widowControl/>
        <w:spacing w:before="75" w:beforeAutospacing="0" w:after="75" w:afterAutospacing="0" w:line="465" w:lineRule="atLeast"/>
        <w:rPr>
          <w:color w:val="auto"/>
        </w:rPr>
      </w:pPr>
      <w:r>
        <w:rPr>
          <w:rFonts w:hint="eastAsia" w:ascii="宋体" w:hAnsi="宋体" w:eastAsia="宋体" w:cs="宋体"/>
          <w:color w:val="auto"/>
        </w:rPr>
        <w:t>附件7：相关技术、商务、服务响应承诺及资料</w:t>
      </w:r>
    </w:p>
    <w:p w14:paraId="55F426A0">
      <w:pPr>
        <w:pStyle w:val="17"/>
        <w:widowControl/>
        <w:spacing w:before="75" w:beforeAutospacing="0" w:after="75" w:afterAutospacing="0" w:line="465" w:lineRule="atLeast"/>
        <w:rPr>
          <w:color w:val="auto"/>
        </w:rPr>
      </w:pPr>
      <w:r>
        <w:rPr>
          <w:rFonts w:hint="eastAsia" w:ascii="宋体" w:hAnsi="宋体" w:eastAsia="宋体" w:cs="宋体"/>
          <w:color w:val="auto"/>
        </w:rPr>
        <w:t>附件8：供应商提交的其他资料</w:t>
      </w:r>
    </w:p>
    <w:p w14:paraId="76BD724C">
      <w:pPr>
        <w:pStyle w:val="17"/>
        <w:widowControl/>
        <w:spacing w:before="75" w:beforeAutospacing="0" w:after="75" w:afterAutospacing="0" w:line="465" w:lineRule="atLeast"/>
        <w:rPr>
          <w:color w:val="auto"/>
        </w:rPr>
      </w:pPr>
      <w:r>
        <w:rPr>
          <w:rFonts w:hint="eastAsia" w:ascii="宋体" w:hAnsi="宋体" w:eastAsia="宋体" w:cs="宋体"/>
          <w:color w:val="auto"/>
        </w:rPr>
        <w:t>附件9：要求作为响应文件组成部分的其他内容（若有）</w:t>
      </w:r>
    </w:p>
    <w:p w14:paraId="4A24A5D5">
      <w:pPr>
        <w:pStyle w:val="17"/>
        <w:widowControl/>
        <w:spacing w:before="75" w:beforeAutospacing="0" w:after="75" w:afterAutospacing="0" w:line="465" w:lineRule="atLeast"/>
        <w:rPr>
          <w:color w:val="auto"/>
        </w:rPr>
      </w:pPr>
      <w:r>
        <w:rPr>
          <w:color w:val="auto"/>
        </w:rPr>
        <w:t> </w:t>
      </w:r>
    </w:p>
    <w:p w14:paraId="0D77658D">
      <w:pPr>
        <w:pStyle w:val="17"/>
        <w:widowControl/>
        <w:spacing w:before="75" w:beforeAutospacing="0" w:after="240" w:afterAutospacing="0" w:line="495" w:lineRule="atLeast"/>
        <w:rPr>
          <w:color w:val="auto"/>
        </w:rPr>
      </w:pPr>
      <w:r>
        <w:rPr>
          <w:rFonts w:hint="eastAsia" w:ascii="宋体" w:hAnsi="宋体" w:eastAsia="宋体" w:cs="宋体"/>
          <w:color w:val="auto"/>
        </w:rPr>
        <w:t> </w:t>
      </w:r>
    </w:p>
    <w:p w14:paraId="27435DBA">
      <w:pPr>
        <w:rPr>
          <w:rFonts w:ascii="宋体" w:hAnsi="宋体" w:eastAsia="宋体" w:cs="宋体"/>
          <w:color w:val="auto"/>
          <w:sz w:val="24"/>
        </w:rPr>
      </w:pPr>
      <w:r>
        <w:rPr>
          <w:rFonts w:hint="eastAsia" w:ascii="宋体" w:hAnsi="宋体" w:eastAsia="宋体" w:cs="宋体"/>
          <w:color w:val="auto"/>
          <w:sz w:val="24"/>
        </w:rPr>
        <w:br w:type="page"/>
      </w:r>
    </w:p>
    <w:p w14:paraId="1DE7AE9D">
      <w:pPr>
        <w:pStyle w:val="17"/>
        <w:widowControl/>
        <w:spacing w:before="75" w:beforeAutospacing="0" w:after="75" w:afterAutospacing="0" w:line="495" w:lineRule="atLeast"/>
        <w:rPr>
          <w:color w:val="auto"/>
        </w:rPr>
      </w:pPr>
      <w:r>
        <w:rPr>
          <w:rFonts w:hint="eastAsia" w:ascii="宋体" w:hAnsi="宋体" w:eastAsia="宋体" w:cs="宋体"/>
          <w:color w:val="auto"/>
        </w:rPr>
        <w:t>附件1</w:t>
      </w:r>
      <w:r>
        <w:rPr>
          <w:rFonts w:hint="eastAsia" w:ascii="宋体" w:hAnsi="宋体" w:eastAsia="宋体" w:cs="宋体"/>
          <w:color w:val="auto"/>
          <w:sz w:val="21"/>
          <w:szCs w:val="21"/>
        </w:rPr>
        <w:t> </w:t>
      </w:r>
      <w:r>
        <w:rPr>
          <w:rFonts w:hint="eastAsia" w:ascii="宋体" w:hAnsi="宋体" w:eastAsia="宋体" w:cs="宋体"/>
          <w:color w:val="auto"/>
          <w:sz w:val="28"/>
          <w:szCs w:val="28"/>
        </w:rPr>
        <w:t>          </w:t>
      </w:r>
      <w:r>
        <w:rPr>
          <w:rStyle w:val="26"/>
          <w:rFonts w:hint="eastAsia" w:ascii="宋体" w:hAnsi="宋体" w:eastAsia="宋体" w:cs="宋体"/>
          <w:bCs/>
          <w:color w:val="auto"/>
          <w:sz w:val="36"/>
          <w:szCs w:val="36"/>
        </w:rPr>
        <w:t>磋商响应声明</w:t>
      </w:r>
    </w:p>
    <w:p w14:paraId="23A92FDD">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5EF3D425">
      <w:pPr>
        <w:pStyle w:val="17"/>
        <w:widowControl/>
        <w:spacing w:before="75" w:beforeAutospacing="0" w:after="75" w:afterAutospacing="0" w:line="435" w:lineRule="atLeast"/>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       </w:t>
      </w:r>
    </w:p>
    <w:p w14:paraId="63DC4097">
      <w:pPr>
        <w:pStyle w:val="17"/>
        <w:widowControl/>
        <w:spacing w:before="75" w:beforeAutospacing="0" w:after="75" w:afterAutospacing="0" w:line="435" w:lineRule="atLeast"/>
        <w:rPr>
          <w:color w:val="auto"/>
        </w:rPr>
      </w:pPr>
      <w:r>
        <w:rPr>
          <w:rFonts w:hint="eastAsia" w:ascii="宋体" w:hAnsi="宋体" w:eastAsia="宋体" w:cs="宋体"/>
          <w:color w:val="auto"/>
        </w:rPr>
        <w:t>   1.根据贵方为</w:t>
      </w:r>
      <w:r>
        <w:rPr>
          <w:rFonts w:hint="eastAsia" w:ascii="宋体" w:hAnsi="宋体" w:eastAsia="宋体" w:cs="宋体"/>
          <w:color w:val="auto"/>
          <w:u w:val="single"/>
        </w:rPr>
        <w:t>     </w:t>
      </w:r>
      <w:r>
        <w:rPr>
          <w:rFonts w:hint="eastAsia" w:ascii="宋体" w:hAnsi="宋体" w:eastAsia="宋体" w:cs="宋体"/>
          <w:color w:val="auto"/>
        </w:rPr>
        <w:t>项目（项目编号:</w:t>
      </w:r>
      <w:r>
        <w:rPr>
          <w:rFonts w:hint="eastAsia" w:ascii="宋体" w:hAnsi="宋体" w:eastAsia="宋体" w:cs="宋体"/>
          <w:color w:val="auto"/>
          <w:u w:val="single"/>
        </w:rPr>
        <w:t>   </w:t>
      </w:r>
      <w:r>
        <w:rPr>
          <w:rFonts w:hint="eastAsia" w:ascii="宋体" w:hAnsi="宋体" w:eastAsia="宋体" w:cs="宋体"/>
          <w:color w:val="auto"/>
        </w:rPr>
        <w:t>）的采购公告（或采购邀请书），我方签字代表</w:t>
      </w:r>
      <w:r>
        <w:rPr>
          <w:rFonts w:hint="eastAsia" w:ascii="宋体" w:hAnsi="宋体" w:eastAsia="宋体" w:cs="宋体"/>
          <w:color w:val="auto"/>
          <w:u w:val="single"/>
        </w:rPr>
        <w:t>    （全名、职务）   </w:t>
      </w:r>
      <w:r>
        <w:rPr>
          <w:rFonts w:hint="eastAsia" w:ascii="宋体" w:hAnsi="宋体" w:eastAsia="宋体" w:cs="宋体"/>
          <w:color w:val="auto"/>
        </w:rPr>
        <w:t>经正式授权并代表的供应商</w:t>
      </w:r>
      <w:r>
        <w:rPr>
          <w:rFonts w:hint="eastAsia" w:ascii="宋体" w:hAnsi="宋体" w:eastAsia="宋体" w:cs="宋体"/>
          <w:color w:val="auto"/>
          <w:u w:val="single"/>
        </w:rPr>
        <w:t>     （供应商名称、地址）   </w:t>
      </w:r>
      <w:r>
        <w:rPr>
          <w:rFonts w:hint="eastAsia" w:ascii="宋体" w:hAnsi="宋体" w:eastAsia="宋体" w:cs="宋体"/>
          <w:color w:val="auto"/>
        </w:rPr>
        <w:t>提交包含下述内容的首次响应文件纸质文本正本</w:t>
      </w:r>
      <w:r>
        <w:rPr>
          <w:rFonts w:hint="eastAsia" w:ascii="宋体" w:hAnsi="宋体" w:eastAsia="宋体" w:cs="宋体"/>
          <w:color w:val="auto"/>
          <w:u w:val="single"/>
        </w:rPr>
        <w:t>     </w:t>
      </w:r>
      <w:r>
        <w:rPr>
          <w:rFonts w:hint="eastAsia" w:ascii="宋体" w:hAnsi="宋体" w:eastAsia="宋体" w:cs="宋体"/>
          <w:color w:val="auto"/>
        </w:rPr>
        <w:t>套，副本</w:t>
      </w:r>
      <w:r>
        <w:rPr>
          <w:rFonts w:hint="eastAsia" w:ascii="宋体" w:hAnsi="宋体" w:eastAsia="宋体" w:cs="宋体"/>
          <w:color w:val="auto"/>
          <w:u w:val="single"/>
        </w:rPr>
        <w:t>  </w:t>
      </w:r>
      <w:r>
        <w:rPr>
          <w:rFonts w:hint="eastAsia" w:ascii="宋体" w:hAnsi="宋体" w:eastAsia="宋体" w:cs="宋体"/>
          <w:color w:val="auto"/>
        </w:rPr>
        <w:t>套及电子文档</w:t>
      </w:r>
      <w:r>
        <w:rPr>
          <w:rFonts w:hint="eastAsia" w:ascii="宋体" w:hAnsi="宋体" w:eastAsia="宋体" w:cs="宋体"/>
          <w:color w:val="auto"/>
          <w:u w:val="single"/>
        </w:rPr>
        <w:t>   </w:t>
      </w:r>
      <w:r>
        <w:rPr>
          <w:rFonts w:hint="eastAsia" w:ascii="宋体" w:hAnsi="宋体" w:eastAsia="宋体" w:cs="宋体"/>
          <w:color w:val="auto"/>
        </w:rPr>
        <w:t>套。</w:t>
      </w:r>
    </w:p>
    <w:p w14:paraId="1B9AE56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（1）响应函</w:t>
      </w:r>
    </w:p>
    <w:p w14:paraId="21CFF03E">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（2）报价一览表（含详细报价书）</w:t>
      </w:r>
    </w:p>
    <w:p w14:paraId="0F71A7C0">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（3）资格证明文件</w:t>
      </w:r>
    </w:p>
    <w:p w14:paraId="4233E252">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（4）磋商保证金凭证</w:t>
      </w:r>
    </w:p>
    <w:p w14:paraId="465FF41A">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（5）技术和商务偏离表</w:t>
      </w:r>
    </w:p>
    <w:p w14:paraId="0F37C506">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（6）相关技术、商务、服务响应承诺及资料</w:t>
      </w:r>
    </w:p>
    <w:p w14:paraId="6DECBC5E">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（7）供应商提交的其他资料</w:t>
      </w:r>
    </w:p>
    <w:p w14:paraId="7368ADEF">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（8）按照磋商文件规定，要求作为响应文件组成部分的其他内容（若有）</w:t>
      </w:r>
    </w:p>
    <w:p w14:paraId="4932A7CA">
      <w:pPr>
        <w:pStyle w:val="17"/>
        <w:widowControl/>
        <w:spacing w:before="75" w:beforeAutospacing="0" w:after="75" w:afterAutospacing="0" w:line="435" w:lineRule="atLeast"/>
        <w:rPr>
          <w:color w:val="auto"/>
        </w:rPr>
      </w:pPr>
      <w:r>
        <w:rPr>
          <w:rFonts w:hint="eastAsia" w:ascii="宋体" w:hAnsi="宋体" w:eastAsia="宋体" w:cs="宋体"/>
          <w:color w:val="auto"/>
        </w:rPr>
        <w:t>    2.据此函，我方宣布响应承诺如下：</w:t>
      </w:r>
    </w:p>
    <w:p w14:paraId="216503C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我方将严格遵守规定，不将应当保密的内容泄密给第三方或另作它用，如有违反，采购人可依法追究我方的法律责任。</w:t>
      </w:r>
    </w:p>
    <w:p w14:paraId="6E7F0419">
      <w:pPr>
        <w:pStyle w:val="17"/>
        <w:widowControl/>
        <w:spacing w:before="75" w:beforeAutospacing="0" w:after="75" w:afterAutospacing="0" w:line="435" w:lineRule="atLeast"/>
        <w:rPr>
          <w:color w:val="auto"/>
        </w:rPr>
      </w:pPr>
      <w:r>
        <w:rPr>
          <w:rFonts w:hint="eastAsia" w:ascii="宋体" w:hAnsi="宋体" w:eastAsia="宋体" w:cs="宋体"/>
          <w:color w:val="auto"/>
        </w:rPr>
        <w:t>    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并在规定的期限内与采购人签订合同。</w:t>
      </w:r>
    </w:p>
    <w:p w14:paraId="6BE9AB24">
      <w:pPr>
        <w:pStyle w:val="17"/>
        <w:widowControl/>
        <w:spacing w:before="75" w:beforeAutospacing="0" w:after="75" w:afterAutospacing="0" w:line="435" w:lineRule="atLeast"/>
        <w:rPr>
          <w:color w:val="auto"/>
        </w:rPr>
      </w:pPr>
      <w:r>
        <w:rPr>
          <w:rFonts w:hint="eastAsia" w:ascii="宋体" w:hAnsi="宋体" w:eastAsia="宋体" w:cs="宋体"/>
          <w:color w:val="auto"/>
        </w:rPr>
        <w:t>   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14:paraId="0A48F7E3">
      <w:pPr>
        <w:pStyle w:val="17"/>
        <w:widowControl/>
        <w:spacing w:before="75" w:beforeAutospacing="0" w:after="75" w:afterAutospacing="0" w:line="435" w:lineRule="atLeast"/>
        <w:rPr>
          <w:color w:val="auto"/>
        </w:rPr>
      </w:pPr>
      <w:r>
        <w:rPr>
          <w:rFonts w:hint="eastAsia" w:ascii="宋体" w:hAnsi="宋体" w:eastAsia="宋体" w:cs="宋体"/>
          <w:color w:val="auto"/>
        </w:rPr>
        <w:t>   2.4我方已经按照磋商文件要求提交磋商保证金。我方如果发生任何竞争性磋商文件中所述不予退还磋商保证金的情况，则我方的磋商保证金将被贵方不予退还，我方对此无异议。</w:t>
      </w:r>
    </w:p>
    <w:p w14:paraId="2581C131">
      <w:pPr>
        <w:pStyle w:val="17"/>
        <w:widowControl/>
        <w:spacing w:before="75" w:beforeAutospacing="0" w:after="75" w:afterAutospacing="0" w:line="435" w:lineRule="atLeast"/>
        <w:rPr>
          <w:color w:val="auto"/>
        </w:rPr>
      </w:pPr>
      <w:r>
        <w:rPr>
          <w:rFonts w:hint="eastAsia" w:ascii="宋体" w:hAnsi="宋体" w:eastAsia="宋体" w:cs="宋体"/>
          <w:color w:val="auto"/>
        </w:rPr>
        <w:t>   2.5我方愿意向贵方提供任何与本项目磋商采购有关的数据或资料。若贵方需要，我方愿意提供我方作出的一切承诺的证明材料。</w:t>
      </w:r>
    </w:p>
    <w:p w14:paraId="45EC8CD1">
      <w:pPr>
        <w:pStyle w:val="17"/>
        <w:widowControl/>
        <w:spacing w:before="75" w:beforeAutospacing="0" w:after="75" w:afterAutospacing="0" w:line="435" w:lineRule="atLeast"/>
        <w:rPr>
          <w:color w:val="auto"/>
        </w:rPr>
      </w:pPr>
      <w:r>
        <w:rPr>
          <w:rFonts w:hint="eastAsia" w:ascii="宋体" w:hAnsi="宋体" w:eastAsia="宋体" w:cs="宋体"/>
          <w:color w:val="auto"/>
        </w:rPr>
        <w:t>   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14:paraId="344FBCFD">
      <w:pPr>
        <w:pStyle w:val="17"/>
        <w:widowControl/>
        <w:spacing w:before="75" w:beforeAutospacing="0" w:after="75" w:afterAutospacing="0" w:line="435" w:lineRule="atLeast"/>
        <w:rPr>
          <w:color w:val="auto"/>
        </w:rPr>
      </w:pPr>
      <w:r>
        <w:rPr>
          <w:color w:val="auto"/>
        </w:rPr>
        <w:t> </w:t>
      </w:r>
    </w:p>
    <w:p w14:paraId="13BD09F1">
      <w:pPr>
        <w:pStyle w:val="17"/>
        <w:widowControl/>
        <w:spacing w:before="75" w:beforeAutospacing="0" w:after="75" w:afterAutospacing="0" w:line="435" w:lineRule="atLeast"/>
        <w:ind w:firstLine="720"/>
        <w:rPr>
          <w:color w:val="auto"/>
        </w:rPr>
      </w:pPr>
      <w:r>
        <w:rPr>
          <w:rFonts w:hint="eastAsia" w:ascii="宋体" w:hAnsi="宋体" w:eastAsia="宋体" w:cs="宋体"/>
          <w:color w:val="auto"/>
        </w:rPr>
        <w:t> </w:t>
      </w:r>
    </w:p>
    <w:p w14:paraId="4526AC86">
      <w:pPr>
        <w:pStyle w:val="17"/>
        <w:widowControl/>
        <w:spacing w:before="75" w:beforeAutospacing="0" w:after="75" w:afterAutospacing="0" w:line="435" w:lineRule="atLeast"/>
        <w:ind w:firstLine="720"/>
        <w:rPr>
          <w:color w:val="auto"/>
        </w:rPr>
      </w:pPr>
      <w:r>
        <w:rPr>
          <w:rFonts w:hint="eastAsia" w:ascii="宋体" w:hAnsi="宋体" w:eastAsia="宋体" w:cs="宋体"/>
          <w:color w:val="auto"/>
        </w:rPr>
        <w:t>通信地址:</w:t>
      </w:r>
      <w:r>
        <w:rPr>
          <w:rFonts w:hint="eastAsia" w:ascii="宋体" w:hAnsi="宋体" w:eastAsia="宋体" w:cs="宋体"/>
          <w:color w:val="auto"/>
          <w:u w:val="single"/>
        </w:rPr>
        <w:t>             .</w:t>
      </w:r>
    </w:p>
    <w:p w14:paraId="6E36FEC1">
      <w:pPr>
        <w:pStyle w:val="17"/>
        <w:widowControl/>
        <w:spacing w:before="75" w:beforeAutospacing="0" w:after="75" w:afterAutospacing="0" w:line="435" w:lineRule="atLeast"/>
        <w:ind w:firstLine="720"/>
        <w:rPr>
          <w:color w:val="auto"/>
        </w:rPr>
      </w:pPr>
      <w:r>
        <w:rPr>
          <w:rFonts w:hint="eastAsia" w:ascii="宋体" w:hAnsi="宋体" w:eastAsia="宋体" w:cs="宋体"/>
          <w:color w:val="auto"/>
        </w:rPr>
        <w:t>邮编：</w:t>
      </w:r>
      <w:r>
        <w:rPr>
          <w:rFonts w:hint="eastAsia" w:ascii="宋体" w:hAnsi="宋体" w:eastAsia="宋体" w:cs="宋体"/>
          <w:color w:val="auto"/>
          <w:u w:val="single"/>
        </w:rPr>
        <w:t>      </w:t>
      </w:r>
      <w:r>
        <w:rPr>
          <w:rFonts w:hint="eastAsia" w:ascii="宋体" w:hAnsi="宋体" w:eastAsia="宋体" w:cs="宋体"/>
          <w:color w:val="auto"/>
        </w:rPr>
        <w:t>   传真号：</w:t>
      </w:r>
      <w:r>
        <w:rPr>
          <w:rFonts w:hint="eastAsia" w:ascii="宋体" w:hAnsi="宋体" w:eastAsia="宋体" w:cs="宋体"/>
          <w:color w:val="auto"/>
          <w:u w:val="single"/>
        </w:rPr>
        <w:t>               .</w:t>
      </w:r>
    </w:p>
    <w:p w14:paraId="49B5823F">
      <w:pPr>
        <w:pStyle w:val="17"/>
        <w:widowControl/>
        <w:spacing w:before="75" w:beforeAutospacing="0" w:after="75" w:afterAutospacing="0" w:line="435" w:lineRule="atLeast"/>
        <w:rPr>
          <w:color w:val="auto"/>
        </w:rPr>
      </w:pPr>
      <w:r>
        <w:rPr>
          <w:rFonts w:hint="eastAsia" w:ascii="宋体" w:hAnsi="宋体" w:eastAsia="宋体" w:cs="宋体"/>
          <w:color w:val="auto"/>
        </w:rPr>
        <w:t>    联系电话（固定电话和移动电话）：</w:t>
      </w:r>
      <w:r>
        <w:rPr>
          <w:rFonts w:hint="eastAsia" w:ascii="宋体" w:hAnsi="宋体" w:eastAsia="宋体" w:cs="宋体"/>
          <w:color w:val="auto"/>
          <w:u w:val="single"/>
        </w:rPr>
        <w:t>       </w:t>
      </w:r>
      <w:r>
        <w:rPr>
          <w:rFonts w:hint="eastAsia" w:ascii="宋体" w:hAnsi="宋体" w:eastAsia="宋体" w:cs="宋体"/>
          <w:color w:val="auto"/>
        </w:rPr>
        <w:t>.</w:t>
      </w:r>
    </w:p>
    <w:p w14:paraId="183E51D5">
      <w:pPr>
        <w:pStyle w:val="17"/>
        <w:widowControl/>
        <w:spacing w:before="75" w:beforeAutospacing="0" w:after="75" w:afterAutospacing="0" w:line="435" w:lineRule="atLeast"/>
        <w:rPr>
          <w:color w:val="auto"/>
        </w:rPr>
      </w:pPr>
      <w:r>
        <w:rPr>
          <w:rFonts w:hint="eastAsia" w:ascii="宋体" w:hAnsi="宋体" w:eastAsia="宋体" w:cs="宋体"/>
          <w:color w:val="auto"/>
        </w:rPr>
        <w:t>    供应商代表：</w:t>
      </w:r>
      <w:r>
        <w:rPr>
          <w:rFonts w:hint="eastAsia" w:ascii="宋体" w:hAnsi="宋体" w:eastAsia="宋体" w:cs="宋体"/>
          <w:color w:val="auto"/>
          <w:u w:val="single"/>
        </w:rPr>
        <w:t>      （签字）                  </w:t>
      </w:r>
    </w:p>
    <w:p w14:paraId="45A02987">
      <w:pPr>
        <w:pStyle w:val="17"/>
        <w:widowControl/>
        <w:spacing w:before="75" w:beforeAutospacing="0" w:after="75" w:afterAutospacing="0" w:line="435" w:lineRule="atLeast"/>
        <w:ind w:firstLine="720"/>
        <w:rPr>
          <w:color w:val="auto"/>
        </w:rPr>
      </w:pPr>
      <w:r>
        <w:rPr>
          <w:rFonts w:hint="eastAsia" w:ascii="宋体" w:hAnsi="宋体" w:eastAsia="宋体" w:cs="宋体"/>
          <w:color w:val="auto"/>
        </w:rPr>
        <w:t>供应商代表电子信箱：</w:t>
      </w:r>
      <w:r>
        <w:rPr>
          <w:rFonts w:hint="eastAsia" w:ascii="宋体" w:hAnsi="宋体" w:eastAsia="宋体" w:cs="宋体"/>
          <w:color w:val="auto"/>
          <w:u w:val="single"/>
        </w:rPr>
        <w:t>                    .</w:t>
      </w:r>
    </w:p>
    <w:p w14:paraId="14358BF4">
      <w:pPr>
        <w:pStyle w:val="17"/>
        <w:widowControl/>
        <w:spacing w:before="75" w:beforeAutospacing="0" w:after="75" w:afterAutospacing="0" w:line="435" w:lineRule="atLeast"/>
        <w:rPr>
          <w:color w:val="auto"/>
        </w:rPr>
      </w:pPr>
      <w:r>
        <w:rPr>
          <w:rFonts w:hint="eastAsia" w:ascii="宋体" w:hAnsi="宋体" w:eastAsia="宋体" w:cs="宋体"/>
          <w:color w:val="auto"/>
        </w:rPr>
        <w:t>    供应商：</w:t>
      </w:r>
      <w:r>
        <w:rPr>
          <w:rFonts w:hint="eastAsia" w:ascii="宋体" w:hAnsi="宋体" w:eastAsia="宋体" w:cs="宋体"/>
          <w:color w:val="auto"/>
          <w:u w:val="single"/>
        </w:rPr>
        <w:t>         （全称并加盖公章）      .</w:t>
      </w:r>
    </w:p>
    <w:p w14:paraId="7E0EB3A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3EE75D3F">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0F1C7D14">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 </w:t>
      </w:r>
    </w:p>
    <w:p w14:paraId="6401ECD3">
      <w:pPr>
        <w:pStyle w:val="17"/>
        <w:widowControl/>
        <w:spacing w:before="75" w:beforeAutospacing="0" w:after="75" w:afterAutospacing="0" w:line="375" w:lineRule="atLeast"/>
        <w:rPr>
          <w:color w:val="auto"/>
        </w:rPr>
      </w:pPr>
      <w:r>
        <w:rPr>
          <w:rStyle w:val="26"/>
          <w:rFonts w:ascii="仿宋_GB2312" w:eastAsia="仿宋_GB2312" w:cs="仿宋_GB2312"/>
          <w:bCs/>
          <w:color w:val="auto"/>
        </w:rPr>
        <w:t> </w:t>
      </w:r>
    </w:p>
    <w:p w14:paraId="09A8F51B">
      <w:pPr>
        <w:pStyle w:val="17"/>
        <w:widowControl/>
        <w:spacing w:before="75" w:beforeAutospacing="0" w:after="75" w:afterAutospacing="0"/>
        <w:rPr>
          <w:color w:val="auto"/>
        </w:rPr>
      </w:pPr>
      <w:r>
        <w:rPr>
          <w:color w:val="auto"/>
        </w:rPr>
        <w:t> </w:t>
      </w:r>
    </w:p>
    <w:p w14:paraId="56D7D809">
      <w:pPr>
        <w:rPr>
          <w:rFonts w:ascii="宋体" w:hAnsi="宋体" w:eastAsia="宋体" w:cs="宋体"/>
          <w:color w:val="auto"/>
          <w:sz w:val="24"/>
        </w:rPr>
      </w:pPr>
      <w:r>
        <w:rPr>
          <w:rFonts w:hint="eastAsia" w:ascii="宋体" w:hAnsi="宋体" w:eastAsia="宋体" w:cs="宋体"/>
          <w:color w:val="auto"/>
          <w:sz w:val="24"/>
        </w:rPr>
        <w:br w:type="page"/>
      </w:r>
    </w:p>
    <w:p w14:paraId="603598EE">
      <w:pPr>
        <w:pStyle w:val="17"/>
        <w:widowControl/>
        <w:spacing w:before="75" w:beforeAutospacing="0" w:after="75" w:afterAutospacing="0"/>
        <w:rPr>
          <w:color w:val="auto"/>
        </w:rPr>
      </w:pPr>
      <w:r>
        <w:rPr>
          <w:rFonts w:hint="eastAsia" w:ascii="宋体" w:hAnsi="宋体" w:eastAsia="宋体" w:cs="宋体"/>
          <w:color w:val="auto"/>
        </w:rPr>
        <w:t>附件2</w:t>
      </w:r>
      <w:r>
        <w:rPr>
          <w:rFonts w:hint="eastAsia" w:ascii="宋体" w:hAnsi="宋体" w:eastAsia="宋体" w:cs="宋体"/>
          <w:color w:val="auto"/>
          <w:sz w:val="28"/>
          <w:szCs w:val="28"/>
        </w:rPr>
        <w:t>         </w:t>
      </w:r>
      <w:r>
        <w:rPr>
          <w:rStyle w:val="26"/>
          <w:rFonts w:hint="eastAsia" w:ascii="宋体" w:hAnsi="宋体" w:eastAsia="宋体" w:cs="宋体"/>
          <w:bCs/>
          <w:color w:val="auto"/>
          <w:sz w:val="36"/>
          <w:szCs w:val="36"/>
        </w:rPr>
        <w:t>报价一览表</w:t>
      </w:r>
    </w:p>
    <w:p w14:paraId="7B98FBE1">
      <w:pPr>
        <w:pStyle w:val="17"/>
        <w:widowControl/>
        <w:spacing w:before="75" w:beforeAutospacing="0" w:after="75" w:afterAutospacing="0" w:line="375" w:lineRule="atLeast"/>
        <w:rPr>
          <w:color w:val="auto"/>
        </w:rPr>
      </w:pPr>
      <w:r>
        <w:rPr>
          <w:rFonts w:hint="eastAsia" w:ascii="宋体" w:hAnsi="宋体" w:eastAsia="宋体" w:cs="宋体"/>
          <w:color w:val="auto"/>
        </w:rPr>
        <w:t> </w:t>
      </w:r>
    </w:p>
    <w:p w14:paraId="59E9F937">
      <w:pPr>
        <w:pStyle w:val="17"/>
        <w:widowControl/>
        <w:spacing w:before="75" w:beforeAutospacing="0" w:after="75" w:afterAutospacing="0" w:line="375" w:lineRule="atLeast"/>
        <w:rPr>
          <w:color w:val="auto"/>
        </w:rPr>
      </w:pPr>
      <w:r>
        <w:rPr>
          <w:rFonts w:hint="eastAsia" w:ascii="宋体" w:hAnsi="宋体" w:eastAsia="宋体" w:cs="宋体"/>
          <w:color w:val="auto"/>
        </w:rPr>
        <w:t>供应商名称：</w:t>
      </w:r>
      <w:r>
        <w:rPr>
          <w:rFonts w:hint="eastAsia" w:ascii="宋体" w:hAnsi="宋体" w:eastAsia="宋体" w:cs="宋体"/>
          <w:color w:val="auto"/>
          <w:u w:val="single"/>
        </w:rPr>
        <w:t>（全称加盖单位公章）</w:t>
      </w:r>
      <w:r>
        <w:rPr>
          <w:rFonts w:hint="eastAsia" w:ascii="宋体" w:hAnsi="宋体" w:eastAsia="宋体" w:cs="宋体"/>
          <w:color w:val="auto"/>
        </w:rPr>
        <w:t>项目编号∶</w:t>
      </w:r>
      <w:r>
        <w:rPr>
          <w:rFonts w:hint="eastAsia" w:ascii="宋体" w:hAnsi="宋体" w:eastAsia="宋体" w:cs="宋体"/>
          <w:color w:val="auto"/>
          <w:u w:val="single"/>
        </w:rPr>
        <w:t>         </w:t>
      </w:r>
      <w:r>
        <w:rPr>
          <w:rFonts w:hint="eastAsia" w:ascii="宋体" w:hAnsi="宋体" w:eastAsia="宋体" w:cs="宋体"/>
          <w:color w:val="auto"/>
        </w:rPr>
        <w:t> 货币单位：元人民币</w:t>
      </w:r>
    </w:p>
    <w:tbl>
      <w:tblPr>
        <w:tblStyle w:val="23"/>
        <w:tblW w:w="0" w:type="auto"/>
        <w:tblInd w:w="0" w:type="dxa"/>
        <w:tblLayout w:type="fixed"/>
        <w:tblCellMar>
          <w:top w:w="0" w:type="dxa"/>
          <w:left w:w="0" w:type="dxa"/>
          <w:bottom w:w="0" w:type="dxa"/>
          <w:right w:w="0" w:type="dxa"/>
        </w:tblCellMar>
      </w:tblPr>
      <w:tblGrid>
        <w:gridCol w:w="947"/>
        <w:gridCol w:w="1183"/>
        <w:gridCol w:w="2998"/>
        <w:gridCol w:w="1418"/>
        <w:gridCol w:w="1183"/>
      </w:tblGrid>
      <w:tr w14:paraId="0F9BF8E7">
        <w:tblPrEx>
          <w:tblCellMar>
            <w:top w:w="0" w:type="dxa"/>
            <w:left w:w="0" w:type="dxa"/>
            <w:bottom w:w="0" w:type="dxa"/>
            <w:right w:w="0" w:type="dxa"/>
          </w:tblCellMar>
        </w:tblPrEx>
        <w:tc>
          <w:tcPr>
            <w:tcW w:w="947"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4E20A44F">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采购包</w:t>
            </w:r>
          </w:p>
        </w:tc>
        <w:tc>
          <w:tcPr>
            <w:tcW w:w="118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6561A3A3">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首次</w:t>
            </w:r>
            <w:r>
              <w:rPr>
                <w:rFonts w:hint="eastAsia" w:ascii="宋体" w:hAnsi="宋体" w:cs="宋体"/>
                <w:color w:val="auto"/>
                <w:lang w:val="en-US" w:eastAsia="zh-CN"/>
              </w:rPr>
              <w:t>总</w:t>
            </w:r>
            <w:r>
              <w:rPr>
                <w:rFonts w:hint="eastAsia" w:ascii="宋体" w:hAnsi="宋体" w:cs="宋体"/>
                <w:color w:val="auto"/>
              </w:rPr>
              <w:t>报价</w:t>
            </w:r>
          </w:p>
        </w:tc>
        <w:tc>
          <w:tcPr>
            <w:tcW w:w="2998"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2F3266B8">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交货期/工期/项目完成时间/服务时间</w:t>
            </w:r>
          </w:p>
        </w:tc>
        <w:tc>
          <w:tcPr>
            <w:tcW w:w="1418"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00279AE8">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磋商保证金</w:t>
            </w:r>
          </w:p>
        </w:tc>
        <w:tc>
          <w:tcPr>
            <w:tcW w:w="118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14E3E61">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备注</w:t>
            </w:r>
          </w:p>
        </w:tc>
      </w:tr>
      <w:tr w14:paraId="072B2061">
        <w:tblPrEx>
          <w:tblCellMar>
            <w:top w:w="0" w:type="dxa"/>
            <w:left w:w="0" w:type="dxa"/>
            <w:bottom w:w="0" w:type="dxa"/>
            <w:right w:w="0" w:type="dxa"/>
          </w:tblCellMar>
        </w:tblPrEx>
        <w:tc>
          <w:tcPr>
            <w:tcW w:w="947"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01CE0D1A">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w:t>
            </w:r>
          </w:p>
        </w:tc>
        <w:tc>
          <w:tcPr>
            <w:tcW w:w="118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371CD481">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c>
          <w:tcPr>
            <w:tcW w:w="2998"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7BE5F156">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c>
          <w:tcPr>
            <w:tcW w:w="1418"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59885F0">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c>
          <w:tcPr>
            <w:tcW w:w="118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023532FA">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r>
      <w:tr w14:paraId="79D58352">
        <w:tblPrEx>
          <w:tblCellMar>
            <w:top w:w="0" w:type="dxa"/>
            <w:left w:w="0" w:type="dxa"/>
            <w:bottom w:w="0" w:type="dxa"/>
            <w:right w:w="0" w:type="dxa"/>
          </w:tblCellMar>
        </w:tblPrEx>
        <w:tc>
          <w:tcPr>
            <w:tcW w:w="947"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59C0A17">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w:t>
            </w:r>
          </w:p>
        </w:tc>
        <w:tc>
          <w:tcPr>
            <w:tcW w:w="118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506B1732">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c>
          <w:tcPr>
            <w:tcW w:w="2998"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7B94CDE8">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c>
          <w:tcPr>
            <w:tcW w:w="1418"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7663D5E">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c>
          <w:tcPr>
            <w:tcW w:w="118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71E88AE0">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r>
      <w:tr w14:paraId="2A6638FB">
        <w:tblPrEx>
          <w:tblCellMar>
            <w:top w:w="0" w:type="dxa"/>
            <w:left w:w="0" w:type="dxa"/>
            <w:bottom w:w="0" w:type="dxa"/>
            <w:right w:w="0" w:type="dxa"/>
          </w:tblCellMar>
        </w:tblPrEx>
        <w:tc>
          <w:tcPr>
            <w:tcW w:w="947"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73AA6B2F">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w:t>
            </w:r>
          </w:p>
        </w:tc>
        <w:tc>
          <w:tcPr>
            <w:tcW w:w="118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31989CBE">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c>
          <w:tcPr>
            <w:tcW w:w="2998"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21E2B07C">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c>
          <w:tcPr>
            <w:tcW w:w="1418"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49955BC8">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c>
          <w:tcPr>
            <w:tcW w:w="1183"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4F63385A">
            <w:pPr>
              <w:pStyle w:val="17"/>
              <w:widowControl/>
              <w:wordWrap w:val="0"/>
              <w:spacing w:beforeAutospacing="0" w:afterAutospacing="0" w:line="400" w:lineRule="exact"/>
              <w:rPr>
                <w:rFonts w:ascii="宋体" w:hAnsi="宋体" w:cs="宋体"/>
                <w:color w:val="auto"/>
              </w:rPr>
            </w:pPr>
            <w:r>
              <w:rPr>
                <w:rFonts w:hint="eastAsia" w:ascii="宋体" w:hAnsi="宋体" w:cs="宋体"/>
                <w:color w:val="auto"/>
              </w:rPr>
              <w:t>    </w:t>
            </w:r>
          </w:p>
        </w:tc>
      </w:tr>
    </w:tbl>
    <w:p w14:paraId="301A3B72">
      <w:pPr>
        <w:pStyle w:val="17"/>
        <w:widowControl/>
        <w:spacing w:before="75" w:beforeAutospacing="0" w:after="75" w:afterAutospacing="0" w:line="375" w:lineRule="atLeast"/>
        <w:rPr>
          <w:color w:val="auto"/>
        </w:rPr>
      </w:pPr>
      <w:r>
        <w:rPr>
          <w:rFonts w:hint="eastAsia" w:ascii="宋体" w:hAnsi="宋体" w:eastAsia="宋体" w:cs="宋体"/>
          <w:color w:val="auto"/>
        </w:rPr>
        <w:t> </w:t>
      </w:r>
    </w:p>
    <w:p w14:paraId="5024F4DD">
      <w:pPr>
        <w:pStyle w:val="17"/>
        <w:widowControl/>
        <w:spacing w:beforeAutospacing="0" w:afterAutospacing="0" w:line="400" w:lineRule="exact"/>
        <w:ind w:left="376" w:right="376" w:firstLine="420"/>
        <w:rPr>
          <w:rFonts w:hint="eastAsia" w:ascii="宋体" w:hAnsi="宋体" w:cs="宋体"/>
          <w:color w:val="auto"/>
        </w:rPr>
      </w:pPr>
      <w:r>
        <w:rPr>
          <w:rFonts w:hint="eastAsia" w:ascii="宋体" w:hAnsi="宋体" w:cs="宋体"/>
          <w:color w:val="auto"/>
        </w:rPr>
        <w:t>备注：</w:t>
      </w:r>
    </w:p>
    <w:p w14:paraId="278A7A83">
      <w:pPr>
        <w:pStyle w:val="37"/>
        <w:spacing w:line="400" w:lineRule="exact"/>
        <w:ind w:firstLine="480"/>
        <w:rPr>
          <w:rFonts w:hint="default" w:ascii="宋体" w:hAnsi="宋体" w:eastAsia="宋体" w:cs="宋体"/>
          <w:b w:val="0"/>
          <w:bCs w:val="0"/>
          <w:color w:val="auto"/>
          <w:sz w:val="24"/>
          <w:szCs w:val="24"/>
          <w:lang w:val="en-US" w:eastAsia="zh-CN"/>
        </w:rPr>
      </w:pPr>
    </w:p>
    <w:p w14:paraId="603E4BCA">
      <w:pPr>
        <w:pStyle w:val="17"/>
        <w:widowControl/>
        <w:spacing w:beforeAutospacing="0" w:afterAutospacing="0" w:line="400" w:lineRule="exact"/>
        <w:ind w:left="376" w:right="376" w:firstLine="420"/>
        <w:rPr>
          <w:rFonts w:ascii="宋体" w:hAnsi="宋体" w:cs="宋体"/>
          <w:color w:val="auto"/>
        </w:rPr>
      </w:pPr>
      <w:r>
        <w:rPr>
          <w:rFonts w:hint="eastAsia" w:ascii="宋体" w:hAnsi="宋体" w:cs="宋体"/>
          <w:color w:val="auto"/>
        </w:rPr>
        <w:t>供应商代表：</w:t>
      </w:r>
      <w:r>
        <w:rPr>
          <w:rFonts w:hint="eastAsia" w:ascii="宋体" w:hAnsi="宋体" w:cs="宋体"/>
          <w:color w:val="auto"/>
          <w:u w:val="single"/>
        </w:rPr>
        <w:t>　　　　 （签字）</w:t>
      </w:r>
    </w:p>
    <w:p w14:paraId="7B98E5D5">
      <w:pPr>
        <w:pStyle w:val="17"/>
        <w:widowControl/>
        <w:spacing w:before="75" w:beforeAutospacing="0" w:after="75" w:afterAutospacing="0" w:line="375" w:lineRule="atLeast"/>
        <w:rPr>
          <w:color w:val="auto"/>
        </w:rPr>
      </w:pPr>
      <w:r>
        <w:rPr>
          <w:rFonts w:hint="eastAsia" w:ascii="宋体" w:hAnsi="宋体" w:eastAsia="宋体" w:cs="宋体"/>
          <w:color w:val="auto"/>
          <w:sz w:val="21"/>
          <w:szCs w:val="21"/>
        </w:rPr>
        <w:t>                                                       </w:t>
      </w:r>
      <w:r>
        <w:rPr>
          <w:rFonts w:hint="eastAsia" w:ascii="宋体" w:hAnsi="宋体" w:eastAsia="宋体" w:cs="宋体"/>
          <w:color w:val="auto"/>
        </w:rPr>
        <w:t>   </w:t>
      </w:r>
    </w:p>
    <w:p w14:paraId="4D55D2C1">
      <w:pPr>
        <w:pStyle w:val="17"/>
        <w:widowControl/>
        <w:spacing w:before="75" w:beforeAutospacing="0" w:after="75" w:afterAutospacing="0" w:line="375" w:lineRule="atLeast"/>
        <w:rPr>
          <w:color w:val="auto"/>
        </w:rPr>
      </w:pPr>
      <w:r>
        <w:rPr>
          <w:rFonts w:hint="eastAsia" w:ascii="宋体" w:hAnsi="宋体" w:eastAsia="宋体" w:cs="宋体"/>
          <w:color w:val="auto"/>
        </w:rPr>
        <w:t> </w:t>
      </w:r>
    </w:p>
    <w:p w14:paraId="14ADE2A1">
      <w:pPr>
        <w:pStyle w:val="17"/>
        <w:widowControl/>
        <w:spacing w:before="75" w:beforeAutospacing="0" w:after="75" w:afterAutospacing="0"/>
        <w:rPr>
          <w:rFonts w:ascii="宋体" w:hAnsi="宋体" w:eastAsia="宋体" w:cs="宋体"/>
          <w:color w:val="auto"/>
        </w:rPr>
      </w:pPr>
    </w:p>
    <w:p w14:paraId="144790A8">
      <w:pPr>
        <w:pStyle w:val="17"/>
        <w:widowControl/>
        <w:spacing w:before="75" w:beforeAutospacing="0" w:after="75" w:afterAutospacing="0"/>
        <w:rPr>
          <w:rFonts w:ascii="宋体" w:hAnsi="宋体" w:eastAsia="宋体" w:cs="宋体"/>
          <w:color w:val="auto"/>
        </w:rPr>
      </w:pPr>
    </w:p>
    <w:p w14:paraId="04007740">
      <w:pPr>
        <w:rPr>
          <w:rFonts w:ascii="宋体" w:hAnsi="宋体" w:eastAsia="宋体" w:cs="宋体"/>
          <w:color w:val="auto"/>
          <w:sz w:val="24"/>
        </w:rPr>
      </w:pPr>
      <w:r>
        <w:rPr>
          <w:rFonts w:hint="eastAsia" w:ascii="宋体" w:hAnsi="宋体" w:eastAsia="宋体" w:cs="宋体"/>
          <w:color w:val="auto"/>
          <w:sz w:val="24"/>
        </w:rPr>
        <w:br w:type="page"/>
      </w:r>
    </w:p>
    <w:p w14:paraId="2815E676">
      <w:pPr>
        <w:pStyle w:val="17"/>
        <w:widowControl/>
        <w:spacing w:before="75" w:beforeAutospacing="0" w:after="75" w:afterAutospacing="0"/>
        <w:rPr>
          <w:color w:val="auto"/>
        </w:rPr>
      </w:pPr>
      <w:r>
        <w:rPr>
          <w:rFonts w:hint="eastAsia" w:ascii="宋体" w:hAnsi="宋体" w:eastAsia="宋体" w:cs="宋体"/>
          <w:color w:val="auto"/>
        </w:rPr>
        <w:t>附件2-1 </w:t>
      </w:r>
      <w:r>
        <w:rPr>
          <w:rFonts w:hint="eastAsia" w:ascii="宋体" w:hAnsi="宋体" w:eastAsia="宋体" w:cs="宋体"/>
          <w:color w:val="auto"/>
          <w:sz w:val="28"/>
          <w:szCs w:val="28"/>
        </w:rPr>
        <w:t>        </w:t>
      </w:r>
      <w:r>
        <w:rPr>
          <w:rStyle w:val="26"/>
          <w:rFonts w:hint="eastAsia" w:ascii="宋体" w:hAnsi="宋体" w:eastAsia="宋体" w:cs="宋体"/>
          <w:bCs/>
          <w:color w:val="auto"/>
          <w:sz w:val="36"/>
          <w:szCs w:val="36"/>
        </w:rPr>
        <w:t>详细报价书</w:t>
      </w:r>
    </w:p>
    <w:p w14:paraId="32BE9FCC">
      <w:pPr>
        <w:pStyle w:val="17"/>
        <w:widowControl/>
        <w:spacing w:before="75" w:beforeAutospacing="0" w:after="75" w:afterAutospacing="0" w:line="495" w:lineRule="atLeast"/>
        <w:rPr>
          <w:color w:val="auto"/>
        </w:rPr>
      </w:pPr>
      <w:r>
        <w:rPr>
          <w:rStyle w:val="26"/>
          <w:rFonts w:hint="eastAsia" w:ascii="宋体" w:hAnsi="宋体" w:eastAsia="宋体" w:cs="宋体"/>
          <w:bCs/>
          <w:color w:val="auto"/>
        </w:rPr>
        <w:t> </w:t>
      </w:r>
    </w:p>
    <w:p w14:paraId="09751406">
      <w:pPr>
        <w:pStyle w:val="17"/>
        <w:widowControl/>
        <w:spacing w:before="75" w:beforeAutospacing="0" w:after="75" w:afterAutospacing="0" w:line="495" w:lineRule="atLeast"/>
        <w:rPr>
          <w:color w:val="auto"/>
        </w:rPr>
      </w:pPr>
      <w:r>
        <w:rPr>
          <w:rStyle w:val="26"/>
          <w:rFonts w:hint="eastAsia" w:ascii="宋体" w:hAnsi="宋体" w:eastAsia="宋体" w:cs="宋体"/>
          <w:bCs/>
          <w:color w:val="auto"/>
        </w:rPr>
        <w:t>说明：</w:t>
      </w:r>
    </w:p>
    <w:p w14:paraId="5647C2A7">
      <w:pPr>
        <w:pStyle w:val="17"/>
        <w:widowControl/>
        <w:spacing w:before="75" w:beforeAutospacing="0" w:after="75" w:afterAutospacing="0" w:line="465" w:lineRule="atLeast"/>
        <w:ind w:firstLine="480"/>
        <w:rPr>
          <w:color w:val="auto"/>
        </w:rPr>
      </w:pPr>
      <w:r>
        <w:rPr>
          <w:rFonts w:hint="eastAsia" w:ascii="宋体" w:hAnsi="宋体" w:eastAsia="宋体" w:cs="宋体"/>
          <w:color w:val="auto"/>
        </w:rPr>
        <w:t>1.各供应商应根据竞争性磋商文件的要求，在响应文件中提出为完成本项目相应合同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14:paraId="248F4235">
      <w:pPr>
        <w:pStyle w:val="17"/>
        <w:widowControl/>
        <w:spacing w:before="75" w:beforeAutospacing="0" w:after="75" w:afterAutospacing="0" w:line="495" w:lineRule="atLeast"/>
        <w:ind w:firstLine="480"/>
        <w:rPr>
          <w:rFonts w:ascii="宋体" w:hAnsi="宋体" w:eastAsia="宋体" w:cs="宋体"/>
          <w:color w:val="auto"/>
        </w:rPr>
      </w:pPr>
      <w:r>
        <w:rPr>
          <w:rFonts w:hint="eastAsia" w:ascii="宋体" w:hAnsi="宋体" w:eastAsia="宋体" w:cs="宋体"/>
          <w:color w:val="auto"/>
        </w:rPr>
        <w:t>2.为完成相应合同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14:paraId="06CD04EC">
      <w:pPr>
        <w:pStyle w:val="17"/>
        <w:widowControl/>
        <w:spacing w:before="75" w:beforeAutospacing="0" w:after="75" w:afterAutospacing="0" w:line="495" w:lineRule="atLeast"/>
        <w:ind w:firstLine="480"/>
        <w:rPr>
          <w:color w:val="auto"/>
        </w:rPr>
      </w:pPr>
      <w:r>
        <w:rPr>
          <w:rFonts w:hint="eastAsia" w:ascii="宋体" w:hAnsi="宋体" w:eastAsia="宋体" w:cs="宋体"/>
          <w:color w:val="auto"/>
        </w:rPr>
        <w:t>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p>
    <w:p w14:paraId="125F7549">
      <w:pPr>
        <w:pStyle w:val="17"/>
        <w:widowControl/>
        <w:spacing w:before="75" w:beforeAutospacing="0" w:after="75" w:afterAutospacing="0" w:line="495" w:lineRule="atLeast"/>
        <w:ind w:firstLine="480"/>
        <w:rPr>
          <w:color w:val="auto"/>
        </w:rPr>
      </w:pPr>
      <w:r>
        <w:rPr>
          <w:color w:val="auto"/>
        </w:rPr>
        <w:t> </w:t>
      </w:r>
    </w:p>
    <w:p w14:paraId="1CAC131F">
      <w:pPr>
        <w:pStyle w:val="17"/>
        <w:widowControl/>
        <w:spacing w:before="75" w:beforeAutospacing="0" w:after="75" w:afterAutospacing="0" w:line="495" w:lineRule="atLeast"/>
        <w:rPr>
          <w:color w:val="auto"/>
        </w:rPr>
      </w:pPr>
      <w:r>
        <w:rPr>
          <w:rFonts w:hint="eastAsia" w:ascii="宋体" w:hAnsi="宋体" w:eastAsia="宋体" w:cs="宋体"/>
          <w:color w:val="auto"/>
        </w:rPr>
        <w:t> </w:t>
      </w:r>
    </w:p>
    <w:p w14:paraId="53638015">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16ED9E8E">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531D7766">
      <w:pPr>
        <w:pStyle w:val="17"/>
        <w:widowControl/>
        <w:spacing w:before="75" w:beforeAutospacing="0" w:after="75" w:afterAutospacing="0" w:line="435" w:lineRule="atLeast"/>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1FCFC679">
      <w:pPr>
        <w:pStyle w:val="17"/>
        <w:widowControl/>
        <w:spacing w:before="75" w:beforeAutospacing="0" w:after="75" w:afterAutospacing="0" w:line="435" w:lineRule="atLeast"/>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3AED8F37">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3CD6F932">
      <w:pPr>
        <w:pStyle w:val="17"/>
        <w:widowControl/>
        <w:spacing w:before="75" w:beforeAutospacing="0" w:after="75" w:afterAutospacing="0" w:line="375" w:lineRule="atLeast"/>
        <w:rPr>
          <w:color w:val="auto"/>
        </w:rPr>
      </w:pPr>
      <w:r>
        <w:rPr>
          <w:rFonts w:hint="eastAsia" w:ascii="宋体" w:hAnsi="宋体" w:eastAsia="宋体" w:cs="宋体"/>
          <w:color w:val="auto"/>
        </w:rPr>
        <w:t> </w:t>
      </w:r>
    </w:p>
    <w:p w14:paraId="23636C78">
      <w:pPr>
        <w:pStyle w:val="17"/>
        <w:widowControl/>
        <w:spacing w:before="75" w:beforeAutospacing="0" w:after="75" w:afterAutospacing="0"/>
        <w:rPr>
          <w:color w:val="auto"/>
        </w:rPr>
      </w:pPr>
      <w:r>
        <w:rPr>
          <w:rFonts w:hint="eastAsia" w:ascii="宋体" w:hAnsi="宋体" w:eastAsia="宋体" w:cs="宋体"/>
          <w:color w:val="auto"/>
        </w:rPr>
        <w:t> </w:t>
      </w:r>
    </w:p>
    <w:p w14:paraId="1A899DDA">
      <w:pPr>
        <w:pStyle w:val="17"/>
        <w:widowControl/>
        <w:spacing w:before="75" w:beforeAutospacing="0" w:after="75" w:afterAutospacing="0"/>
        <w:rPr>
          <w:color w:val="auto"/>
        </w:rPr>
      </w:pPr>
      <w:r>
        <w:rPr>
          <w:rFonts w:hint="eastAsia" w:ascii="宋体" w:hAnsi="宋体" w:eastAsia="宋体" w:cs="宋体"/>
          <w:color w:val="auto"/>
        </w:rPr>
        <w:t>附件3         </w:t>
      </w:r>
      <w:r>
        <w:rPr>
          <w:rStyle w:val="26"/>
          <w:rFonts w:hint="eastAsia" w:ascii="宋体" w:hAnsi="宋体" w:eastAsia="宋体" w:cs="宋体"/>
          <w:bCs/>
          <w:color w:val="auto"/>
        </w:rPr>
        <w:t>资格证明文件</w:t>
      </w:r>
      <w:r>
        <w:rPr>
          <w:rFonts w:hint="eastAsia" w:ascii="宋体" w:hAnsi="宋体" w:eastAsia="宋体" w:cs="宋体"/>
          <w:color w:val="auto"/>
        </w:rPr>
        <w:t> </w:t>
      </w:r>
    </w:p>
    <w:p w14:paraId="1329E259">
      <w:pPr>
        <w:pStyle w:val="17"/>
        <w:widowControl/>
        <w:spacing w:before="75" w:beforeAutospacing="0" w:after="75" w:afterAutospacing="0"/>
        <w:rPr>
          <w:color w:val="auto"/>
        </w:rPr>
      </w:pPr>
      <w:r>
        <w:rPr>
          <w:rFonts w:hint="eastAsia" w:ascii="宋体" w:hAnsi="宋体" w:eastAsia="宋体" w:cs="宋体"/>
          <w:color w:val="auto"/>
        </w:rPr>
        <w:t> </w:t>
      </w:r>
    </w:p>
    <w:p w14:paraId="7A3AC5DA">
      <w:pPr>
        <w:pStyle w:val="17"/>
        <w:widowControl/>
        <w:spacing w:before="75" w:beforeAutospacing="0" w:after="75" w:afterAutospacing="0" w:line="465" w:lineRule="atLeast"/>
        <w:rPr>
          <w:color w:val="auto"/>
        </w:rPr>
      </w:pPr>
      <w:r>
        <w:rPr>
          <w:rFonts w:hint="eastAsia" w:ascii="宋体" w:hAnsi="宋体" w:eastAsia="宋体" w:cs="宋体"/>
          <w:color w:val="auto"/>
        </w:rPr>
        <w:t>附件3-1       </w:t>
      </w:r>
      <w:r>
        <w:rPr>
          <w:rStyle w:val="26"/>
          <w:rFonts w:hint="eastAsia" w:ascii="宋体" w:hAnsi="宋体" w:eastAsia="宋体" w:cs="宋体"/>
          <w:bCs/>
          <w:color w:val="auto"/>
        </w:rPr>
        <w:t>参加竞争性磋商的声明函</w:t>
      </w:r>
      <w:r>
        <w:rPr>
          <w:rFonts w:hint="eastAsia" w:ascii="宋体" w:hAnsi="宋体" w:eastAsia="宋体" w:cs="宋体"/>
          <w:color w:val="auto"/>
        </w:rPr>
        <w:t> </w:t>
      </w:r>
    </w:p>
    <w:p w14:paraId="735E8AC0">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393E7D15">
      <w:pPr>
        <w:pStyle w:val="17"/>
        <w:widowControl/>
        <w:spacing w:before="75" w:beforeAutospacing="0" w:after="75" w:afterAutospacing="0" w:line="435" w:lineRule="atLeast"/>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w:t>
      </w:r>
      <w:r>
        <w:rPr>
          <w:rFonts w:ascii="Calibri" w:hAnsi="Calibri" w:cs="Calibri"/>
          <w:color w:val="auto"/>
          <w:u w:val="single"/>
        </w:rPr>
        <w:t>)       </w:t>
      </w:r>
      <w:r>
        <w:rPr>
          <w:rFonts w:hint="eastAsia" w:ascii="宋体" w:hAnsi="宋体" w:eastAsia="宋体" w:cs="宋体"/>
          <w:color w:val="auto"/>
        </w:rPr>
        <w:t> </w:t>
      </w:r>
    </w:p>
    <w:p w14:paraId="7A98D7F5">
      <w:pPr>
        <w:pStyle w:val="17"/>
        <w:widowControl/>
        <w:spacing w:before="75" w:beforeAutospacing="0" w:after="75" w:afterAutospacing="0" w:line="435" w:lineRule="atLeast"/>
        <w:jc w:val="both"/>
        <w:rPr>
          <w:color w:val="auto"/>
        </w:rPr>
      </w:pPr>
      <w:r>
        <w:rPr>
          <w:rFonts w:hint="eastAsia" w:ascii="宋体" w:hAnsi="宋体" w:eastAsia="宋体" w:cs="宋体"/>
          <w:color w:val="auto"/>
        </w:rPr>
        <w:t>    1、关于贵方______年______月______日</w:t>
      </w:r>
      <w:r>
        <w:rPr>
          <w:rFonts w:hint="eastAsia" w:ascii="宋体" w:hAnsi="宋体" w:eastAsia="宋体" w:cs="宋体"/>
          <w:color w:val="auto"/>
          <w:u w:val="single"/>
        </w:rPr>
        <w:t>     </w:t>
      </w:r>
      <w:r>
        <w:rPr>
          <w:rFonts w:hint="eastAsia" w:ascii="宋体" w:hAnsi="宋体" w:eastAsia="宋体" w:cs="宋体"/>
          <w:color w:val="auto"/>
        </w:rPr>
        <w:t>项目（项目编号:</w:t>
      </w:r>
      <w:r>
        <w:rPr>
          <w:rFonts w:hint="eastAsia" w:ascii="宋体" w:hAnsi="宋体" w:eastAsia="宋体" w:cs="宋体"/>
          <w:color w:val="auto"/>
          <w:u w:val="single"/>
        </w:rPr>
        <w:t>     </w:t>
      </w:r>
      <w:r>
        <w:rPr>
          <w:rFonts w:hint="eastAsia" w:ascii="宋体" w:hAnsi="宋体" w:eastAsia="宋体" w:cs="宋体"/>
          <w:color w:val="auto"/>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14:paraId="759E49FE">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1C862136">
      <w:pPr>
        <w:pStyle w:val="17"/>
        <w:widowControl/>
        <w:spacing w:before="75" w:beforeAutospacing="0" w:after="75" w:afterAutospacing="0" w:line="360" w:lineRule="atLeast"/>
        <w:ind w:left="540"/>
        <w:rPr>
          <w:rFonts w:ascii="宋体" w:hAnsi="宋体" w:eastAsia="宋体" w:cs="宋体"/>
          <w:color w:val="auto"/>
        </w:rPr>
      </w:pPr>
      <w:r>
        <w:rPr>
          <w:rFonts w:hint="eastAsia" w:ascii="宋体" w:hAnsi="宋体" w:eastAsia="宋体" w:cs="宋体"/>
          <w:color w:val="auto"/>
        </w:rPr>
        <w:t>2、供应商的基本概况：</w:t>
      </w:r>
    </w:p>
    <w:p w14:paraId="1A9E29AD">
      <w:pPr>
        <w:pStyle w:val="17"/>
        <w:widowControl/>
        <w:spacing w:before="75" w:beforeAutospacing="0" w:after="75" w:afterAutospacing="0" w:line="360" w:lineRule="atLeast"/>
        <w:ind w:left="540"/>
        <w:rPr>
          <w:rFonts w:ascii="宋体" w:hAnsi="宋体" w:eastAsia="宋体" w:cs="宋体"/>
          <w:color w:val="auto"/>
          <w:u w:val="single"/>
        </w:rPr>
      </w:pPr>
      <w:r>
        <w:rPr>
          <w:rFonts w:hint="eastAsia" w:ascii="宋体" w:hAnsi="宋体" w:eastAsia="宋体" w:cs="宋体"/>
          <w:color w:val="auto"/>
        </w:rPr>
        <w:t>2.1供应商单位名称：</w:t>
      </w:r>
      <w:r>
        <w:rPr>
          <w:rFonts w:hint="eastAsia" w:ascii="宋体" w:hAnsi="宋体" w:eastAsia="宋体" w:cs="宋体"/>
          <w:color w:val="auto"/>
          <w:u w:val="single"/>
        </w:rPr>
        <w:t>                   </w:t>
      </w:r>
    </w:p>
    <w:p w14:paraId="69D7A797">
      <w:pPr>
        <w:pStyle w:val="17"/>
        <w:widowControl/>
        <w:spacing w:before="75" w:beforeAutospacing="0" w:after="75" w:afterAutospacing="0" w:line="360" w:lineRule="atLeast"/>
        <w:ind w:left="540"/>
        <w:rPr>
          <w:rFonts w:ascii="宋体" w:hAnsi="宋体" w:eastAsia="宋体" w:cs="宋体"/>
          <w:color w:val="auto"/>
          <w:u w:val="single"/>
        </w:rPr>
      </w:pPr>
      <w:r>
        <w:rPr>
          <w:rFonts w:hint="eastAsia" w:ascii="宋体" w:hAnsi="宋体" w:eastAsia="宋体" w:cs="宋体"/>
          <w:color w:val="auto"/>
        </w:rPr>
        <w:t>2.2注册地址：</w:t>
      </w:r>
      <w:r>
        <w:rPr>
          <w:rFonts w:hint="eastAsia" w:ascii="宋体" w:hAnsi="宋体" w:eastAsia="宋体" w:cs="宋体"/>
          <w:color w:val="auto"/>
          <w:u w:val="single"/>
        </w:rPr>
        <w:t>                               </w:t>
      </w:r>
    </w:p>
    <w:p w14:paraId="0991FB09">
      <w:pPr>
        <w:pStyle w:val="17"/>
        <w:widowControl/>
        <w:spacing w:before="75" w:beforeAutospacing="0" w:after="75" w:afterAutospacing="0" w:line="360" w:lineRule="atLeast"/>
        <w:ind w:left="540"/>
        <w:rPr>
          <w:color w:val="auto"/>
        </w:rPr>
      </w:pPr>
      <w:r>
        <w:rPr>
          <w:rFonts w:hint="eastAsia" w:ascii="宋体" w:hAnsi="宋体" w:eastAsia="宋体" w:cs="宋体"/>
          <w:color w:val="auto"/>
        </w:rPr>
        <w:t>2.3单位负责人姓名：</w:t>
      </w:r>
      <w:r>
        <w:rPr>
          <w:rFonts w:hint="eastAsia" w:ascii="宋体" w:hAnsi="宋体" w:eastAsia="宋体" w:cs="宋体"/>
          <w:color w:val="auto"/>
          <w:u w:val="single"/>
        </w:rPr>
        <w:t>        </w:t>
      </w:r>
      <w:r>
        <w:rPr>
          <w:rFonts w:hint="eastAsia" w:ascii="宋体" w:hAnsi="宋体" w:eastAsia="宋体" w:cs="宋体"/>
          <w:color w:val="auto"/>
        </w:rPr>
        <w:t>性别：</w:t>
      </w:r>
      <w:r>
        <w:rPr>
          <w:rFonts w:hint="eastAsia" w:ascii="宋体" w:hAnsi="宋体" w:eastAsia="宋体" w:cs="宋体"/>
          <w:color w:val="auto"/>
          <w:u w:val="single"/>
        </w:rPr>
        <w:t>     </w:t>
      </w:r>
      <w:r>
        <w:rPr>
          <w:rFonts w:hint="eastAsia" w:ascii="宋体" w:hAnsi="宋体" w:eastAsia="宋体" w:cs="宋体"/>
          <w:color w:val="auto"/>
        </w:rPr>
        <w:t>年龄：</w:t>
      </w:r>
      <w:r>
        <w:rPr>
          <w:rFonts w:hint="eastAsia" w:ascii="宋体" w:hAnsi="宋体" w:eastAsia="宋体" w:cs="宋体"/>
          <w:color w:val="auto"/>
          <w:u w:val="single"/>
        </w:rPr>
        <w:t>     </w:t>
      </w:r>
      <w:r>
        <w:rPr>
          <w:rFonts w:hint="eastAsia" w:ascii="宋体" w:hAnsi="宋体" w:eastAsia="宋体" w:cs="宋体"/>
          <w:color w:val="auto"/>
        </w:rPr>
        <w:t>职务：</w:t>
      </w:r>
      <w:r>
        <w:rPr>
          <w:rFonts w:hint="eastAsia" w:ascii="宋体" w:hAnsi="宋体" w:eastAsia="宋体" w:cs="宋体"/>
          <w:color w:val="auto"/>
          <w:u w:val="single"/>
        </w:rPr>
        <w:t>      </w:t>
      </w:r>
      <w:r>
        <w:rPr>
          <w:rFonts w:hint="eastAsia" w:ascii="宋体" w:hAnsi="宋体" w:eastAsia="宋体" w:cs="宋体"/>
          <w:color w:val="auto"/>
        </w:rPr>
        <w:t>。</w:t>
      </w:r>
    </w:p>
    <w:p w14:paraId="156EE2AB">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备注：“单位负责人”指单位法定代表人（供应商为法人的）或法律、法规规定代表单位行使职权的主要负责人（供应商为其他组织的）。</w:t>
      </w:r>
    </w:p>
    <w:p w14:paraId="069E00AA">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对于接受联合体形式的磋商且供应商是联合体的，则联合体各成员都应当提交本资格证明文件。</w:t>
      </w:r>
    </w:p>
    <w:p w14:paraId="57DD083A">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0AC0EAF3">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539E08A8">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1944C43F">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7DB44C77">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13CD8932">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544BAE24">
      <w:pPr>
        <w:pStyle w:val="17"/>
        <w:widowControl/>
        <w:spacing w:before="75" w:beforeAutospacing="0" w:after="75" w:afterAutospacing="0"/>
        <w:rPr>
          <w:color w:val="auto"/>
        </w:rPr>
      </w:pPr>
      <w:r>
        <w:rPr>
          <w:rFonts w:hint="eastAsia" w:ascii="宋体" w:hAnsi="宋体" w:eastAsia="宋体" w:cs="宋体"/>
          <w:color w:val="auto"/>
        </w:rPr>
        <w:t>                            </w:t>
      </w:r>
    </w:p>
    <w:p w14:paraId="01E92D67">
      <w:pPr>
        <w:pStyle w:val="17"/>
        <w:widowControl/>
        <w:spacing w:before="75" w:beforeAutospacing="0" w:after="75" w:afterAutospacing="0" w:line="375" w:lineRule="atLeast"/>
        <w:rPr>
          <w:color w:val="auto"/>
        </w:rPr>
      </w:pPr>
      <w:r>
        <w:rPr>
          <w:color w:val="auto"/>
        </w:rPr>
        <w:t> </w:t>
      </w:r>
    </w:p>
    <w:p w14:paraId="151F1285">
      <w:pPr>
        <w:pStyle w:val="17"/>
        <w:widowControl/>
        <w:spacing w:before="75" w:beforeAutospacing="0" w:after="75" w:afterAutospacing="0" w:line="375" w:lineRule="atLeast"/>
        <w:rPr>
          <w:rFonts w:ascii="宋体" w:hAnsi="宋体" w:eastAsia="宋体" w:cs="宋体"/>
          <w:color w:val="auto"/>
        </w:rPr>
      </w:pPr>
    </w:p>
    <w:p w14:paraId="60C8E04E">
      <w:pPr>
        <w:pStyle w:val="17"/>
        <w:widowControl/>
        <w:spacing w:before="75" w:beforeAutospacing="0" w:after="75" w:afterAutospacing="0" w:line="375" w:lineRule="atLeast"/>
        <w:rPr>
          <w:rFonts w:ascii="宋体" w:hAnsi="宋体" w:eastAsia="宋体" w:cs="宋体"/>
          <w:color w:val="auto"/>
        </w:rPr>
      </w:pPr>
    </w:p>
    <w:p w14:paraId="1C5B63BF">
      <w:pPr>
        <w:rPr>
          <w:color w:val="auto"/>
        </w:rPr>
      </w:pPr>
      <w:r>
        <w:rPr>
          <w:rFonts w:hint="eastAsia" w:ascii="宋体" w:hAnsi="宋体" w:eastAsia="宋体" w:cs="宋体"/>
          <w:color w:val="auto"/>
        </w:rPr>
        <w:t>附件3-2        </w:t>
      </w:r>
      <w:r>
        <w:rPr>
          <w:rStyle w:val="26"/>
          <w:rFonts w:hint="eastAsia" w:ascii="宋体" w:hAnsi="宋体" w:eastAsia="宋体" w:cs="宋体"/>
          <w:bCs/>
          <w:color w:val="auto"/>
        </w:rPr>
        <w:t>供应商的资格声明</w:t>
      </w:r>
      <w:r>
        <w:rPr>
          <w:rFonts w:hint="eastAsia" w:ascii="宋体" w:hAnsi="宋体" w:eastAsia="宋体" w:cs="宋体"/>
          <w:color w:val="auto"/>
        </w:rPr>
        <w:t> </w:t>
      </w:r>
    </w:p>
    <w:p w14:paraId="039CD8E4">
      <w:pPr>
        <w:pStyle w:val="17"/>
        <w:widowControl/>
        <w:spacing w:before="75" w:beforeAutospacing="0" w:after="75" w:afterAutospacing="0" w:line="375" w:lineRule="atLeast"/>
        <w:jc w:val="both"/>
        <w:rPr>
          <w:color w:val="auto"/>
        </w:rPr>
      </w:pPr>
      <w:r>
        <w:rPr>
          <w:rFonts w:hint="eastAsia" w:ascii="宋体" w:hAnsi="宋体" w:eastAsia="宋体" w:cs="宋体"/>
          <w:color w:val="auto"/>
        </w:rPr>
        <w:t> </w:t>
      </w:r>
    </w:p>
    <w:p w14:paraId="39C8D713">
      <w:pPr>
        <w:pStyle w:val="17"/>
        <w:widowControl/>
        <w:spacing w:before="75" w:beforeAutospacing="0" w:after="75" w:afterAutospacing="0" w:line="375" w:lineRule="atLeast"/>
        <w:jc w:val="both"/>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       </w:t>
      </w:r>
    </w:p>
    <w:p w14:paraId="7F876902">
      <w:pPr>
        <w:pStyle w:val="17"/>
        <w:widowControl/>
        <w:spacing w:before="75" w:beforeAutospacing="0" w:after="75" w:afterAutospacing="0" w:line="375" w:lineRule="atLeast"/>
        <w:jc w:val="both"/>
        <w:rPr>
          <w:color w:val="auto"/>
        </w:rPr>
      </w:pPr>
      <w:r>
        <w:rPr>
          <w:rStyle w:val="26"/>
          <w:rFonts w:hint="eastAsia" w:ascii="宋体" w:hAnsi="宋体" w:eastAsia="宋体" w:cs="宋体"/>
          <w:bCs/>
          <w:color w:val="auto"/>
        </w:rPr>
        <w:t>    1、</w:t>
      </w:r>
      <w:r>
        <w:rPr>
          <w:rFonts w:hint="eastAsia" w:ascii="宋体" w:hAnsi="宋体" w:eastAsia="宋体" w:cs="宋体"/>
          <w:color w:val="auto"/>
        </w:rPr>
        <w:t>我方已知晓竞争性磋商文件要求并认真审核自身情况，在此郑重声明，我方具备并满足下列各项条款的规定。本声明如有虚假或不实之处，我方将失去合格供应商资格且我方的磋商保证金将不予退还。</w:t>
      </w:r>
    </w:p>
    <w:tbl>
      <w:tblPr>
        <w:tblStyle w:val="23"/>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640"/>
        <w:gridCol w:w="2880"/>
      </w:tblGrid>
      <w:tr w14:paraId="1F4A4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6148DDEE">
            <w:pPr>
              <w:pStyle w:val="17"/>
              <w:widowControl/>
              <w:spacing w:beforeAutospacing="0" w:afterAutospacing="0" w:line="375" w:lineRule="atLeast"/>
              <w:jc w:val="both"/>
              <w:rPr>
                <w:color w:val="auto"/>
              </w:rPr>
            </w:pPr>
            <w:r>
              <w:rPr>
                <w:rStyle w:val="26"/>
                <w:rFonts w:hint="eastAsia" w:ascii="宋体" w:hAnsi="宋体" w:eastAsia="宋体" w:cs="宋体"/>
                <w:bCs/>
                <w:color w:val="auto"/>
              </w:rPr>
              <w:t>《中华人民共和国政府采购法》第二十二条对供应商的要求</w:t>
            </w:r>
          </w:p>
        </w:tc>
        <w:tc>
          <w:tcPr>
            <w:tcW w:w="2880" w:type="dxa"/>
            <w:shd w:val="clear" w:color="auto" w:fill="auto"/>
            <w:tcMar>
              <w:top w:w="0" w:type="dxa"/>
              <w:left w:w="105" w:type="dxa"/>
              <w:bottom w:w="0" w:type="dxa"/>
              <w:right w:w="105" w:type="dxa"/>
            </w:tcMar>
            <w:vAlign w:val="center"/>
          </w:tcPr>
          <w:p w14:paraId="42B4EC88">
            <w:pPr>
              <w:pStyle w:val="17"/>
              <w:widowControl/>
              <w:spacing w:beforeAutospacing="0" w:afterAutospacing="0" w:line="375" w:lineRule="atLeast"/>
              <w:jc w:val="both"/>
              <w:rPr>
                <w:color w:val="auto"/>
              </w:rPr>
            </w:pPr>
            <w:r>
              <w:rPr>
                <w:rStyle w:val="26"/>
                <w:rFonts w:hint="eastAsia" w:ascii="宋体" w:hAnsi="宋体" w:eastAsia="宋体" w:cs="宋体"/>
                <w:bCs/>
                <w:color w:val="auto"/>
              </w:rPr>
              <w:t>供应商对是否符合要求做如实声明</w:t>
            </w:r>
          </w:p>
        </w:tc>
      </w:tr>
      <w:tr w14:paraId="1499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1575B989">
            <w:pPr>
              <w:pStyle w:val="17"/>
              <w:widowControl/>
              <w:spacing w:beforeAutospacing="0" w:afterAutospacing="0" w:line="375" w:lineRule="atLeast"/>
              <w:jc w:val="both"/>
              <w:rPr>
                <w:color w:val="auto"/>
              </w:rPr>
            </w:pPr>
            <w:r>
              <w:rPr>
                <w:rFonts w:hint="eastAsia" w:ascii="宋体" w:hAnsi="宋体" w:eastAsia="宋体" w:cs="宋体"/>
                <w:color w:val="auto"/>
              </w:rPr>
              <w:t>（1）具有独立承担民事责任的能力</w:t>
            </w:r>
          </w:p>
        </w:tc>
        <w:tc>
          <w:tcPr>
            <w:tcW w:w="2880" w:type="dxa"/>
            <w:shd w:val="clear" w:color="auto" w:fill="auto"/>
            <w:tcMar>
              <w:top w:w="0" w:type="dxa"/>
              <w:left w:w="105" w:type="dxa"/>
              <w:bottom w:w="0" w:type="dxa"/>
              <w:right w:w="105" w:type="dxa"/>
            </w:tcMar>
            <w:vAlign w:val="center"/>
          </w:tcPr>
          <w:p w14:paraId="22FD17AB">
            <w:pPr>
              <w:widowControl/>
              <w:jc w:val="left"/>
              <w:rPr>
                <w:color w:val="auto"/>
              </w:rPr>
            </w:pPr>
          </w:p>
        </w:tc>
      </w:tr>
      <w:tr w14:paraId="0F1F7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1475C674">
            <w:pPr>
              <w:pStyle w:val="17"/>
              <w:widowControl/>
              <w:spacing w:beforeAutospacing="0" w:afterAutospacing="0" w:line="375" w:lineRule="atLeast"/>
              <w:jc w:val="both"/>
              <w:rPr>
                <w:color w:val="auto"/>
              </w:rPr>
            </w:pPr>
            <w:r>
              <w:rPr>
                <w:rFonts w:hint="eastAsia" w:ascii="宋体" w:hAnsi="宋体" w:eastAsia="宋体" w:cs="宋体"/>
                <w:color w:val="auto"/>
              </w:rPr>
              <w:t>（2）具有良好的商业信誉和健全的财务会计制度</w:t>
            </w:r>
          </w:p>
        </w:tc>
        <w:tc>
          <w:tcPr>
            <w:tcW w:w="2880" w:type="dxa"/>
            <w:shd w:val="clear" w:color="auto" w:fill="auto"/>
            <w:tcMar>
              <w:top w:w="0" w:type="dxa"/>
              <w:left w:w="105" w:type="dxa"/>
              <w:bottom w:w="0" w:type="dxa"/>
              <w:right w:w="105" w:type="dxa"/>
            </w:tcMar>
            <w:vAlign w:val="center"/>
          </w:tcPr>
          <w:p w14:paraId="70180DD2">
            <w:pPr>
              <w:widowControl/>
              <w:jc w:val="left"/>
              <w:rPr>
                <w:color w:val="auto"/>
              </w:rPr>
            </w:pPr>
          </w:p>
        </w:tc>
      </w:tr>
      <w:tr w14:paraId="61BA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40" w:type="dxa"/>
            <w:shd w:val="clear" w:color="auto" w:fill="auto"/>
            <w:tcMar>
              <w:top w:w="0" w:type="dxa"/>
              <w:left w:w="105" w:type="dxa"/>
              <w:bottom w:w="0" w:type="dxa"/>
              <w:right w:w="105" w:type="dxa"/>
            </w:tcMar>
            <w:vAlign w:val="center"/>
          </w:tcPr>
          <w:p w14:paraId="2D1644EC">
            <w:pPr>
              <w:pStyle w:val="17"/>
              <w:widowControl/>
              <w:spacing w:beforeAutospacing="0" w:afterAutospacing="0" w:line="375" w:lineRule="atLeast"/>
              <w:jc w:val="both"/>
              <w:rPr>
                <w:color w:val="auto"/>
              </w:rPr>
            </w:pPr>
            <w:r>
              <w:rPr>
                <w:rFonts w:hint="eastAsia" w:ascii="宋体" w:hAnsi="宋体" w:eastAsia="宋体" w:cs="宋体"/>
                <w:color w:val="auto"/>
              </w:rPr>
              <w:t>（3）具有履行合同所必需的设备和专业技术能力</w:t>
            </w:r>
          </w:p>
        </w:tc>
        <w:tc>
          <w:tcPr>
            <w:tcW w:w="2880" w:type="dxa"/>
            <w:shd w:val="clear" w:color="auto" w:fill="auto"/>
            <w:tcMar>
              <w:top w:w="0" w:type="dxa"/>
              <w:left w:w="105" w:type="dxa"/>
              <w:bottom w:w="0" w:type="dxa"/>
              <w:right w:w="105" w:type="dxa"/>
            </w:tcMar>
            <w:vAlign w:val="center"/>
          </w:tcPr>
          <w:p w14:paraId="332489B2">
            <w:pPr>
              <w:widowControl/>
              <w:jc w:val="left"/>
              <w:rPr>
                <w:color w:val="auto"/>
              </w:rPr>
            </w:pPr>
          </w:p>
        </w:tc>
      </w:tr>
      <w:tr w14:paraId="51EE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512146C4">
            <w:pPr>
              <w:pStyle w:val="17"/>
              <w:widowControl/>
              <w:spacing w:beforeAutospacing="0" w:afterAutospacing="0" w:line="375" w:lineRule="atLeast"/>
              <w:jc w:val="both"/>
              <w:rPr>
                <w:color w:val="auto"/>
              </w:rPr>
            </w:pPr>
            <w:r>
              <w:rPr>
                <w:rFonts w:hint="eastAsia" w:ascii="宋体" w:hAnsi="宋体" w:eastAsia="宋体" w:cs="宋体"/>
                <w:color w:val="auto"/>
              </w:rPr>
              <w:t>（4）有依法缴纳税收和社会保障资金的良好记录</w:t>
            </w:r>
          </w:p>
        </w:tc>
        <w:tc>
          <w:tcPr>
            <w:tcW w:w="2880" w:type="dxa"/>
            <w:shd w:val="clear" w:color="auto" w:fill="auto"/>
            <w:tcMar>
              <w:top w:w="0" w:type="dxa"/>
              <w:left w:w="105" w:type="dxa"/>
              <w:bottom w:w="0" w:type="dxa"/>
              <w:right w:w="105" w:type="dxa"/>
            </w:tcMar>
            <w:vAlign w:val="center"/>
          </w:tcPr>
          <w:p w14:paraId="7E6C8915">
            <w:pPr>
              <w:widowControl/>
              <w:jc w:val="left"/>
              <w:rPr>
                <w:color w:val="auto"/>
              </w:rPr>
            </w:pPr>
          </w:p>
        </w:tc>
      </w:tr>
      <w:tr w14:paraId="7ADAB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6D1BA43F">
            <w:pPr>
              <w:pStyle w:val="17"/>
              <w:widowControl/>
              <w:spacing w:beforeAutospacing="0" w:afterAutospacing="0" w:line="375" w:lineRule="atLeast"/>
              <w:jc w:val="both"/>
              <w:rPr>
                <w:color w:val="auto"/>
              </w:rPr>
            </w:pPr>
            <w:r>
              <w:rPr>
                <w:rFonts w:hint="eastAsia" w:ascii="宋体" w:hAnsi="宋体" w:eastAsia="宋体" w:cs="宋体"/>
                <w:color w:val="auto"/>
              </w:rPr>
              <w:t>（5）参加政府采购活动前三年内，在经营活动中没有重大违法记录</w:t>
            </w:r>
          </w:p>
        </w:tc>
        <w:tc>
          <w:tcPr>
            <w:tcW w:w="2880" w:type="dxa"/>
            <w:shd w:val="clear" w:color="auto" w:fill="auto"/>
            <w:tcMar>
              <w:top w:w="0" w:type="dxa"/>
              <w:left w:w="105" w:type="dxa"/>
              <w:bottom w:w="0" w:type="dxa"/>
              <w:right w:w="105" w:type="dxa"/>
            </w:tcMar>
            <w:vAlign w:val="center"/>
          </w:tcPr>
          <w:p w14:paraId="4CABF77A">
            <w:pPr>
              <w:widowControl/>
              <w:jc w:val="left"/>
              <w:rPr>
                <w:color w:val="auto"/>
              </w:rPr>
            </w:pPr>
          </w:p>
        </w:tc>
      </w:tr>
      <w:tr w14:paraId="06E9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1B6F1403">
            <w:pPr>
              <w:pStyle w:val="17"/>
              <w:widowControl/>
              <w:spacing w:beforeAutospacing="0" w:afterAutospacing="0" w:line="375" w:lineRule="atLeast"/>
              <w:jc w:val="both"/>
              <w:rPr>
                <w:color w:val="auto"/>
              </w:rPr>
            </w:pPr>
            <w:r>
              <w:rPr>
                <w:rFonts w:hint="eastAsia" w:ascii="宋体" w:hAnsi="宋体" w:eastAsia="宋体" w:cs="宋体"/>
                <w:color w:val="auto"/>
              </w:rPr>
              <w:t>（6）法律、行政法规规定的其他条件。</w:t>
            </w:r>
          </w:p>
        </w:tc>
        <w:tc>
          <w:tcPr>
            <w:tcW w:w="2880" w:type="dxa"/>
            <w:shd w:val="clear" w:color="auto" w:fill="auto"/>
            <w:tcMar>
              <w:top w:w="0" w:type="dxa"/>
              <w:left w:w="105" w:type="dxa"/>
              <w:bottom w:w="0" w:type="dxa"/>
              <w:right w:w="105" w:type="dxa"/>
            </w:tcMar>
            <w:vAlign w:val="center"/>
          </w:tcPr>
          <w:p w14:paraId="5A124E47">
            <w:pPr>
              <w:widowControl/>
              <w:jc w:val="left"/>
              <w:rPr>
                <w:color w:val="auto"/>
              </w:rPr>
            </w:pPr>
          </w:p>
        </w:tc>
      </w:tr>
      <w:tr w14:paraId="08A1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2AA56CE2">
            <w:pPr>
              <w:pStyle w:val="17"/>
              <w:widowControl/>
              <w:spacing w:beforeAutospacing="0" w:afterAutospacing="0" w:line="375" w:lineRule="atLeast"/>
              <w:jc w:val="both"/>
              <w:rPr>
                <w:color w:val="auto"/>
              </w:rPr>
            </w:pPr>
            <w:r>
              <w:rPr>
                <w:rStyle w:val="26"/>
                <w:rFonts w:hint="eastAsia" w:ascii="宋体" w:hAnsi="宋体" w:eastAsia="宋体" w:cs="宋体"/>
                <w:bCs/>
                <w:color w:val="auto"/>
              </w:rPr>
              <w:t>磋商文件对合格供应商的一般规定</w:t>
            </w:r>
          </w:p>
        </w:tc>
        <w:tc>
          <w:tcPr>
            <w:tcW w:w="2880" w:type="dxa"/>
            <w:shd w:val="clear" w:color="auto" w:fill="auto"/>
            <w:tcMar>
              <w:top w:w="0" w:type="dxa"/>
              <w:left w:w="105" w:type="dxa"/>
              <w:bottom w:w="0" w:type="dxa"/>
              <w:right w:w="105" w:type="dxa"/>
            </w:tcMar>
            <w:vAlign w:val="center"/>
          </w:tcPr>
          <w:p w14:paraId="1F51F4A6">
            <w:pPr>
              <w:pStyle w:val="17"/>
              <w:widowControl/>
              <w:spacing w:beforeAutospacing="0" w:afterAutospacing="0" w:line="375" w:lineRule="atLeast"/>
              <w:jc w:val="both"/>
              <w:rPr>
                <w:color w:val="auto"/>
              </w:rPr>
            </w:pPr>
            <w:r>
              <w:rPr>
                <w:rStyle w:val="26"/>
                <w:rFonts w:hint="eastAsia" w:ascii="宋体" w:hAnsi="宋体" w:eastAsia="宋体" w:cs="宋体"/>
                <w:bCs/>
                <w:color w:val="auto"/>
              </w:rPr>
              <w:t>供应商对是否违反一般规定做如实声明</w:t>
            </w:r>
          </w:p>
        </w:tc>
      </w:tr>
      <w:tr w14:paraId="3E2F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1E33B96F">
            <w:pPr>
              <w:pStyle w:val="17"/>
              <w:widowControl/>
              <w:spacing w:beforeAutospacing="0" w:afterAutospacing="0" w:line="375" w:lineRule="atLeast"/>
              <w:jc w:val="both"/>
              <w:rPr>
                <w:color w:val="auto"/>
              </w:rPr>
            </w:pPr>
            <w:r>
              <w:rPr>
                <w:rFonts w:hint="eastAsia" w:ascii="宋体" w:hAnsi="宋体" w:eastAsia="宋体" w:cs="宋体"/>
                <w:color w:val="auto"/>
              </w:rPr>
              <w:t>供应商应当遵守中国的有关法律、法规和规章的规定，参加政府采购活动时已经自觉检查并按照政府采购相关法律规定，主动回避相应利害关系。</w:t>
            </w:r>
          </w:p>
        </w:tc>
        <w:tc>
          <w:tcPr>
            <w:tcW w:w="2880" w:type="dxa"/>
            <w:shd w:val="clear" w:color="auto" w:fill="auto"/>
            <w:tcMar>
              <w:top w:w="0" w:type="dxa"/>
              <w:left w:w="105" w:type="dxa"/>
              <w:bottom w:w="0" w:type="dxa"/>
              <w:right w:w="105" w:type="dxa"/>
            </w:tcMar>
            <w:vAlign w:val="center"/>
          </w:tcPr>
          <w:p w14:paraId="1665E1C6">
            <w:pPr>
              <w:widowControl/>
              <w:jc w:val="left"/>
              <w:rPr>
                <w:color w:val="auto"/>
              </w:rPr>
            </w:pPr>
          </w:p>
        </w:tc>
      </w:tr>
      <w:tr w14:paraId="513B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709178A7">
            <w:pPr>
              <w:pStyle w:val="17"/>
              <w:widowControl/>
              <w:spacing w:beforeAutospacing="0" w:afterAutospacing="0" w:line="375" w:lineRule="atLeast"/>
              <w:jc w:val="both"/>
              <w:rPr>
                <w:color w:val="auto"/>
              </w:rPr>
            </w:pPr>
            <w:r>
              <w:rPr>
                <w:rFonts w:hint="eastAsia" w:ascii="宋体" w:hAnsi="宋体" w:eastAsia="宋体" w:cs="宋体"/>
                <w:color w:val="auto"/>
              </w:rPr>
              <w:t>为采购项目提供整体设计、规范编制或项目管理、监理、检测等服务的供应商，不得再参加该采购项目除整体设计、规范编制和项目管理、监理、检测等服务之外的其他采购活动。</w:t>
            </w:r>
          </w:p>
        </w:tc>
        <w:tc>
          <w:tcPr>
            <w:tcW w:w="2880" w:type="dxa"/>
            <w:shd w:val="clear" w:color="auto" w:fill="auto"/>
            <w:tcMar>
              <w:top w:w="0" w:type="dxa"/>
              <w:left w:w="105" w:type="dxa"/>
              <w:bottom w:w="0" w:type="dxa"/>
              <w:right w:w="105" w:type="dxa"/>
            </w:tcMar>
            <w:vAlign w:val="center"/>
          </w:tcPr>
          <w:p w14:paraId="73811D94">
            <w:pPr>
              <w:widowControl/>
              <w:jc w:val="left"/>
              <w:rPr>
                <w:color w:val="auto"/>
              </w:rPr>
            </w:pPr>
          </w:p>
        </w:tc>
      </w:tr>
      <w:tr w14:paraId="21B6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40" w:type="dxa"/>
            <w:shd w:val="clear" w:color="auto" w:fill="auto"/>
            <w:tcMar>
              <w:top w:w="0" w:type="dxa"/>
              <w:left w:w="105" w:type="dxa"/>
              <w:bottom w:w="0" w:type="dxa"/>
              <w:right w:w="105" w:type="dxa"/>
            </w:tcMar>
            <w:vAlign w:val="center"/>
          </w:tcPr>
          <w:p w14:paraId="0CF7053C">
            <w:pPr>
              <w:pStyle w:val="17"/>
              <w:widowControl/>
              <w:spacing w:beforeAutospacing="0" w:afterAutospacing="0" w:line="375" w:lineRule="atLeast"/>
              <w:jc w:val="both"/>
              <w:rPr>
                <w:color w:val="auto"/>
              </w:rPr>
            </w:pPr>
            <w:r>
              <w:rPr>
                <w:rFonts w:hint="eastAsia" w:ascii="宋体" w:hAnsi="宋体" w:eastAsia="宋体" w:cs="宋体"/>
                <w:color w:val="auto"/>
              </w:rPr>
              <w:t>列入失信被执行人、重大税收违法案件当事人名单、政府采购严重违法失信行为记录名单的供应商，不得参加政府采购活动。</w:t>
            </w:r>
          </w:p>
        </w:tc>
        <w:tc>
          <w:tcPr>
            <w:tcW w:w="2880" w:type="dxa"/>
            <w:shd w:val="clear" w:color="auto" w:fill="auto"/>
            <w:tcMar>
              <w:top w:w="0" w:type="dxa"/>
              <w:left w:w="105" w:type="dxa"/>
              <w:bottom w:w="0" w:type="dxa"/>
              <w:right w:w="105" w:type="dxa"/>
            </w:tcMar>
            <w:vAlign w:val="center"/>
          </w:tcPr>
          <w:p w14:paraId="4E7C20FF">
            <w:pPr>
              <w:widowControl/>
              <w:jc w:val="left"/>
              <w:rPr>
                <w:color w:val="auto"/>
              </w:rPr>
            </w:pPr>
          </w:p>
        </w:tc>
      </w:tr>
    </w:tbl>
    <w:p w14:paraId="2FD124A2">
      <w:pPr>
        <w:pStyle w:val="17"/>
        <w:widowControl/>
        <w:spacing w:before="75" w:beforeAutospacing="0" w:after="75" w:afterAutospacing="0" w:line="375" w:lineRule="atLeast"/>
        <w:ind w:firstLine="480"/>
        <w:jc w:val="both"/>
        <w:rPr>
          <w:color w:val="auto"/>
        </w:rPr>
      </w:pPr>
      <w:r>
        <w:rPr>
          <w:rFonts w:hint="eastAsia" w:ascii="宋体" w:hAnsi="宋体" w:eastAsia="宋体" w:cs="宋体"/>
          <w:color w:val="auto"/>
        </w:rPr>
        <w:t>2、我方对上述声明的真实性、合法性、准确性、有效性负责，并愿意根据磋商文件和磋商过程中贵方要求提供全部现有资料、数据、文件等予以证实。</w:t>
      </w:r>
    </w:p>
    <w:p w14:paraId="3AAFB19A">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备注：对于接受联合体形式的磋商且供应商是联合体的，则联合体各成员都应当提交本资格证明文件。</w:t>
      </w:r>
    </w:p>
    <w:p w14:paraId="05B33236">
      <w:pPr>
        <w:pStyle w:val="17"/>
        <w:widowControl/>
        <w:spacing w:before="75" w:beforeAutospacing="0" w:after="75" w:afterAutospacing="0" w:line="37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2500C655">
      <w:pPr>
        <w:pStyle w:val="17"/>
        <w:widowControl/>
        <w:spacing w:before="75" w:beforeAutospacing="0" w:after="75" w:afterAutospacing="0" w:line="37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0CF154F0">
      <w:pPr>
        <w:pStyle w:val="17"/>
        <w:widowControl/>
        <w:spacing w:before="75" w:beforeAutospacing="0" w:after="75" w:afterAutospacing="0" w:line="37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71BBD443">
      <w:pPr>
        <w:pStyle w:val="17"/>
        <w:widowControl/>
        <w:spacing w:before="75" w:beforeAutospacing="0" w:after="75" w:afterAutospacing="0" w:line="435" w:lineRule="atLeast"/>
        <w:rPr>
          <w:color w:val="auto"/>
        </w:rPr>
      </w:pPr>
      <w:r>
        <w:rPr>
          <w:rFonts w:hint="eastAsia" w:ascii="宋体" w:hAnsi="宋体" w:eastAsia="宋体" w:cs="宋体"/>
          <w:color w:val="auto"/>
        </w:rPr>
        <w:t>附件3-3             </w:t>
      </w:r>
      <w:r>
        <w:rPr>
          <w:rStyle w:val="26"/>
          <w:rFonts w:hint="eastAsia" w:ascii="宋体" w:hAnsi="宋体" w:eastAsia="宋体" w:cs="宋体"/>
          <w:bCs/>
          <w:color w:val="auto"/>
        </w:rPr>
        <w:t>单位负责人授权书</w:t>
      </w:r>
    </w:p>
    <w:p w14:paraId="5B4D5142">
      <w:pPr>
        <w:pStyle w:val="17"/>
        <w:widowControl/>
        <w:spacing w:before="75" w:beforeAutospacing="0" w:after="75" w:afterAutospacing="0" w:line="405" w:lineRule="atLeast"/>
        <w:rPr>
          <w:color w:val="auto"/>
        </w:rPr>
      </w:pPr>
      <w:r>
        <w:rPr>
          <w:rFonts w:hint="eastAsia" w:ascii="宋体" w:hAnsi="宋体" w:eastAsia="宋体" w:cs="宋体"/>
          <w:color w:val="auto"/>
        </w:rPr>
        <w:t> </w:t>
      </w:r>
    </w:p>
    <w:p w14:paraId="5F12CFB3">
      <w:pPr>
        <w:pStyle w:val="17"/>
        <w:widowControl/>
        <w:spacing w:before="75" w:beforeAutospacing="0" w:after="75" w:afterAutospacing="0" w:line="360" w:lineRule="atLeast"/>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w:t>
      </w:r>
      <w:r>
        <w:rPr>
          <w:rFonts w:ascii="Calibri" w:hAnsi="Calibri" w:cs="Calibri"/>
          <w:color w:val="auto"/>
          <w:u w:val="single"/>
        </w:rPr>
        <w:t>)      </w:t>
      </w:r>
      <w:r>
        <w:rPr>
          <w:rFonts w:hint="eastAsia" w:ascii="宋体" w:hAnsi="宋体" w:eastAsia="宋体" w:cs="宋体"/>
          <w:color w:val="auto"/>
          <w:u w:val="single"/>
        </w:rPr>
        <w:t> </w:t>
      </w:r>
    </w:p>
    <w:p w14:paraId="3E6A8999">
      <w:pPr>
        <w:pStyle w:val="17"/>
        <w:widowControl/>
        <w:spacing w:before="75" w:beforeAutospacing="0" w:after="75" w:afterAutospacing="0" w:line="360" w:lineRule="atLeast"/>
        <w:ind w:firstLine="480"/>
        <w:rPr>
          <w:color w:val="auto"/>
        </w:rPr>
      </w:pPr>
      <w:r>
        <w:rPr>
          <w:rFonts w:hint="eastAsia" w:ascii="宋体" w:hAnsi="宋体" w:eastAsia="宋体" w:cs="宋体"/>
          <w:color w:val="auto"/>
        </w:rPr>
        <w:t>我方的单位负责人</w:t>
      </w:r>
      <w:r>
        <w:rPr>
          <w:rFonts w:hint="eastAsia" w:ascii="宋体" w:hAnsi="宋体" w:eastAsia="宋体" w:cs="宋体"/>
          <w:color w:val="auto"/>
          <w:u w:val="single"/>
        </w:rPr>
        <w:t>（填写“单位负责人全名”）</w:t>
      </w:r>
      <w:r>
        <w:rPr>
          <w:rFonts w:hint="eastAsia" w:ascii="宋体" w:hAnsi="宋体" w:eastAsia="宋体" w:cs="宋体"/>
          <w:color w:val="auto"/>
        </w:rPr>
        <w:t>授权</w:t>
      </w:r>
      <w:r>
        <w:rPr>
          <w:rFonts w:hint="eastAsia" w:ascii="宋体" w:hAnsi="宋体" w:eastAsia="宋体" w:cs="宋体"/>
          <w:color w:val="auto"/>
          <w:u w:val="single"/>
        </w:rPr>
        <w:t>（填写“供应商代表全名”）</w:t>
      </w:r>
      <w:r>
        <w:rPr>
          <w:rFonts w:hint="eastAsia" w:ascii="宋体" w:hAnsi="宋体" w:eastAsia="宋体" w:cs="宋体"/>
          <w:color w:val="auto"/>
        </w:rPr>
        <w:t>为我方的供应商代表，代表我方参加</w:t>
      </w:r>
      <w:r>
        <w:rPr>
          <w:rFonts w:hint="eastAsia" w:ascii="宋体" w:hAnsi="宋体" w:eastAsia="宋体" w:cs="宋体"/>
          <w:color w:val="auto"/>
          <w:u w:val="single"/>
        </w:rPr>
        <w:t>  （填写“项目名称”）   </w:t>
      </w:r>
      <w:r>
        <w:rPr>
          <w:rFonts w:hint="eastAsia" w:ascii="宋体" w:hAnsi="宋体" w:eastAsia="宋体" w:cs="宋体"/>
          <w:color w:val="auto"/>
        </w:rPr>
        <w:t>项目（项目编号：</w:t>
      </w:r>
      <w:r>
        <w:rPr>
          <w:rFonts w:hint="eastAsia" w:ascii="宋体" w:hAnsi="宋体" w:eastAsia="宋体" w:cs="宋体"/>
          <w:color w:val="auto"/>
          <w:u w:val="single"/>
        </w:rPr>
        <w:t>         </w:t>
      </w:r>
      <w:r>
        <w:rPr>
          <w:rFonts w:hint="eastAsia" w:ascii="宋体" w:hAnsi="宋体" w:eastAsia="宋体" w:cs="宋体"/>
          <w:color w:val="auto"/>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14:paraId="1A7852B0">
      <w:pPr>
        <w:pStyle w:val="17"/>
        <w:widowControl/>
        <w:spacing w:before="75" w:beforeAutospacing="0" w:after="75" w:afterAutospacing="0" w:line="360" w:lineRule="atLeast"/>
        <w:rPr>
          <w:color w:val="auto"/>
        </w:rPr>
      </w:pPr>
      <w:r>
        <w:rPr>
          <w:rFonts w:hint="eastAsia" w:ascii="宋体" w:hAnsi="宋体" w:eastAsia="宋体" w:cs="宋体"/>
          <w:color w:val="auto"/>
        </w:rPr>
        <w:t>    供应商代表无转委权。特此授权。</w:t>
      </w:r>
    </w:p>
    <w:p w14:paraId="60898CF2">
      <w:pPr>
        <w:pStyle w:val="17"/>
        <w:widowControl/>
        <w:spacing w:before="75" w:beforeAutospacing="0" w:after="75" w:afterAutospacing="0" w:line="360" w:lineRule="atLeast"/>
        <w:jc w:val="center"/>
        <w:rPr>
          <w:color w:val="auto"/>
        </w:rPr>
      </w:pPr>
      <w:r>
        <w:rPr>
          <w:rFonts w:hint="eastAsia" w:ascii="宋体" w:hAnsi="宋体" w:eastAsia="宋体" w:cs="宋体"/>
          <w:color w:val="auto"/>
        </w:rPr>
        <w:t>（以下无正文）</w:t>
      </w:r>
    </w:p>
    <w:p w14:paraId="0FFB903B">
      <w:pPr>
        <w:pStyle w:val="17"/>
        <w:widowControl/>
        <w:spacing w:before="75" w:beforeAutospacing="0" w:after="75" w:afterAutospacing="0" w:line="360" w:lineRule="atLeast"/>
        <w:rPr>
          <w:color w:val="auto"/>
        </w:rPr>
      </w:pPr>
      <w:r>
        <w:rPr>
          <w:rFonts w:hint="eastAsia" w:ascii="宋体" w:hAnsi="宋体" w:eastAsia="宋体" w:cs="宋体"/>
          <w:color w:val="auto"/>
        </w:rPr>
        <w:t>单位负责人：</w:t>
      </w:r>
      <w:r>
        <w:rPr>
          <w:rFonts w:hint="eastAsia" w:ascii="宋体" w:hAnsi="宋体" w:eastAsia="宋体" w:cs="宋体"/>
          <w:color w:val="auto"/>
          <w:u w:val="single"/>
        </w:rPr>
        <w:t>      </w:t>
      </w:r>
      <w:r>
        <w:rPr>
          <w:rFonts w:hint="eastAsia" w:ascii="宋体" w:hAnsi="宋体" w:eastAsia="宋体" w:cs="宋体"/>
          <w:color w:val="auto"/>
        </w:rPr>
        <w:t>身份证号：</w:t>
      </w:r>
      <w:r>
        <w:rPr>
          <w:rFonts w:hint="eastAsia" w:ascii="宋体" w:hAnsi="宋体" w:eastAsia="宋体" w:cs="宋体"/>
          <w:color w:val="auto"/>
          <w:u w:val="single"/>
        </w:rPr>
        <w:t>         </w:t>
      </w:r>
      <w:r>
        <w:rPr>
          <w:rFonts w:hint="eastAsia" w:ascii="宋体" w:hAnsi="宋体" w:eastAsia="宋体" w:cs="宋体"/>
          <w:color w:val="auto"/>
        </w:rPr>
        <w:t>手机：</w:t>
      </w:r>
      <w:r>
        <w:rPr>
          <w:rFonts w:hint="eastAsia" w:ascii="宋体" w:hAnsi="宋体" w:eastAsia="宋体" w:cs="宋体"/>
          <w:color w:val="auto"/>
          <w:u w:val="single"/>
        </w:rPr>
        <w:t xml:space="preserve">        </w:t>
      </w:r>
    </w:p>
    <w:p w14:paraId="06A1FE2A">
      <w:pPr>
        <w:pStyle w:val="17"/>
        <w:widowControl/>
        <w:spacing w:before="75" w:beforeAutospacing="0" w:after="75" w:afterAutospacing="0" w:line="360" w:lineRule="atLeast"/>
        <w:rPr>
          <w:color w:val="auto"/>
        </w:rPr>
      </w:pPr>
      <w:r>
        <w:rPr>
          <w:rFonts w:hint="eastAsia" w:ascii="宋体" w:hAnsi="宋体" w:eastAsia="宋体" w:cs="宋体"/>
          <w:color w:val="auto"/>
        </w:rPr>
        <w:t>供应商代表：</w:t>
      </w:r>
      <w:r>
        <w:rPr>
          <w:rFonts w:hint="eastAsia" w:ascii="宋体" w:hAnsi="宋体" w:eastAsia="宋体" w:cs="宋体"/>
          <w:color w:val="auto"/>
          <w:u w:val="single"/>
        </w:rPr>
        <w:t>      </w:t>
      </w:r>
      <w:r>
        <w:rPr>
          <w:rFonts w:hint="eastAsia" w:ascii="宋体" w:hAnsi="宋体" w:eastAsia="宋体" w:cs="宋体"/>
          <w:color w:val="auto"/>
        </w:rPr>
        <w:t>身份证号：</w:t>
      </w:r>
      <w:r>
        <w:rPr>
          <w:rFonts w:hint="eastAsia" w:ascii="宋体" w:hAnsi="宋体" w:eastAsia="宋体" w:cs="宋体"/>
          <w:color w:val="auto"/>
          <w:u w:val="single"/>
        </w:rPr>
        <w:t>        </w:t>
      </w:r>
      <w:r>
        <w:rPr>
          <w:rFonts w:hint="eastAsia" w:ascii="宋体" w:hAnsi="宋体" w:eastAsia="宋体" w:cs="宋体"/>
          <w:color w:val="auto"/>
        </w:rPr>
        <w:t>手机：</w:t>
      </w:r>
      <w:r>
        <w:rPr>
          <w:rFonts w:hint="eastAsia" w:ascii="宋体" w:hAnsi="宋体" w:eastAsia="宋体" w:cs="宋体"/>
          <w:color w:val="auto"/>
          <w:u w:val="single"/>
        </w:rPr>
        <w:t>        </w:t>
      </w:r>
    </w:p>
    <w:p w14:paraId="4C1621C8">
      <w:pPr>
        <w:pStyle w:val="17"/>
        <w:widowControl/>
        <w:spacing w:before="75" w:beforeAutospacing="0" w:after="75" w:afterAutospacing="0" w:line="360" w:lineRule="atLeast"/>
        <w:rPr>
          <w:color w:val="auto"/>
        </w:rPr>
      </w:pPr>
      <w:r>
        <w:rPr>
          <w:rFonts w:hint="eastAsia" w:ascii="宋体" w:hAnsi="宋体" w:eastAsia="宋体" w:cs="宋体"/>
          <w:color w:val="auto"/>
        </w:rPr>
        <w:t> </w:t>
      </w:r>
    </w:p>
    <w:p w14:paraId="6D2A88D9">
      <w:pPr>
        <w:pStyle w:val="17"/>
        <w:widowControl/>
        <w:spacing w:before="75" w:beforeAutospacing="0" w:after="75" w:afterAutospacing="0" w:line="360" w:lineRule="atLeast"/>
        <w:rPr>
          <w:color w:val="auto"/>
        </w:rPr>
      </w:pPr>
      <w:r>
        <w:rPr>
          <w:rFonts w:hint="eastAsia" w:ascii="宋体" w:hAnsi="宋体" w:eastAsia="宋体" w:cs="宋体"/>
          <w:color w:val="auto"/>
        </w:rPr>
        <w:t>授权方</w:t>
      </w:r>
    </w:p>
    <w:p w14:paraId="69660F71">
      <w:pPr>
        <w:pStyle w:val="17"/>
        <w:widowControl/>
        <w:spacing w:before="75" w:beforeAutospacing="0" w:after="75" w:afterAutospacing="0" w:line="360" w:lineRule="atLeast"/>
        <w:rPr>
          <w:color w:val="auto"/>
        </w:rPr>
      </w:pPr>
      <w:r>
        <w:rPr>
          <w:rFonts w:hint="eastAsia" w:ascii="宋体" w:hAnsi="宋体" w:eastAsia="宋体" w:cs="宋体"/>
          <w:color w:val="auto"/>
        </w:rPr>
        <w:t>供应商：</w:t>
      </w:r>
      <w:r>
        <w:rPr>
          <w:rFonts w:hint="eastAsia" w:ascii="宋体" w:hAnsi="宋体" w:eastAsia="宋体" w:cs="宋体"/>
          <w:color w:val="auto"/>
          <w:u w:val="single"/>
        </w:rPr>
        <w:t>（全称并加盖单位公章）</w:t>
      </w:r>
    </w:p>
    <w:p w14:paraId="641EBB70">
      <w:pPr>
        <w:pStyle w:val="17"/>
        <w:widowControl/>
        <w:spacing w:before="75" w:beforeAutospacing="0" w:after="75" w:afterAutospacing="0" w:line="360" w:lineRule="atLeast"/>
        <w:rPr>
          <w:color w:val="auto"/>
        </w:rPr>
      </w:pPr>
      <w:r>
        <w:rPr>
          <w:rFonts w:hint="eastAsia" w:ascii="宋体" w:hAnsi="宋体" w:eastAsia="宋体" w:cs="宋体"/>
          <w:color w:val="auto"/>
        </w:rPr>
        <w:t>单位负责人签字或盖章：</w:t>
      </w:r>
      <w:r>
        <w:rPr>
          <w:rFonts w:hint="eastAsia" w:ascii="宋体" w:hAnsi="宋体" w:eastAsia="宋体" w:cs="宋体"/>
          <w:color w:val="auto"/>
          <w:u w:val="single"/>
        </w:rPr>
        <w:t>                   </w:t>
      </w:r>
    </w:p>
    <w:p w14:paraId="4E46807E">
      <w:pPr>
        <w:pStyle w:val="17"/>
        <w:widowControl/>
        <w:spacing w:before="75" w:beforeAutospacing="0" w:after="75" w:afterAutospacing="0" w:line="360" w:lineRule="atLeast"/>
        <w:rPr>
          <w:color w:val="auto"/>
        </w:rPr>
      </w:pPr>
      <w:r>
        <w:rPr>
          <w:rFonts w:hint="eastAsia" w:ascii="宋体" w:hAnsi="宋体" w:eastAsia="宋体" w:cs="宋体"/>
          <w:color w:val="auto"/>
        </w:rPr>
        <w:t> </w:t>
      </w:r>
    </w:p>
    <w:p w14:paraId="6745518C">
      <w:pPr>
        <w:pStyle w:val="17"/>
        <w:widowControl/>
        <w:spacing w:before="75" w:beforeAutospacing="0" w:after="75" w:afterAutospacing="0" w:line="360" w:lineRule="atLeast"/>
        <w:rPr>
          <w:color w:val="auto"/>
        </w:rPr>
      </w:pPr>
      <w:r>
        <w:rPr>
          <w:rFonts w:hint="eastAsia" w:ascii="宋体" w:hAnsi="宋体" w:eastAsia="宋体" w:cs="宋体"/>
          <w:color w:val="auto"/>
        </w:rPr>
        <w:t>接受授权方</w:t>
      </w:r>
    </w:p>
    <w:p w14:paraId="51282936">
      <w:pPr>
        <w:pStyle w:val="17"/>
        <w:widowControl/>
        <w:spacing w:before="75" w:beforeAutospacing="0" w:after="75" w:afterAutospacing="0" w:line="360" w:lineRule="atLeast"/>
        <w:rPr>
          <w:color w:val="auto"/>
        </w:rPr>
      </w:pPr>
      <w:r>
        <w:rPr>
          <w:rFonts w:hint="eastAsia" w:ascii="宋体" w:hAnsi="宋体" w:eastAsia="宋体" w:cs="宋体"/>
          <w:color w:val="auto"/>
        </w:rPr>
        <w:t>供应商代表签字：</w:t>
      </w:r>
      <w:r>
        <w:rPr>
          <w:rFonts w:hint="eastAsia" w:ascii="宋体" w:hAnsi="宋体" w:eastAsia="宋体" w:cs="宋体"/>
          <w:color w:val="auto"/>
          <w:u w:val="single"/>
        </w:rPr>
        <w:t>                   </w:t>
      </w:r>
    </w:p>
    <w:p w14:paraId="45D82168">
      <w:pPr>
        <w:pStyle w:val="17"/>
        <w:widowControl/>
        <w:spacing w:before="75" w:beforeAutospacing="0" w:after="75" w:afterAutospacing="0" w:line="360" w:lineRule="atLeast"/>
        <w:jc w:val="right"/>
        <w:rPr>
          <w:color w:val="auto"/>
        </w:rPr>
      </w:pPr>
      <w:r>
        <w:rPr>
          <w:rFonts w:hint="eastAsia" w:ascii="宋体" w:hAnsi="宋体" w:eastAsia="宋体" w:cs="宋体"/>
          <w:color w:val="auto"/>
        </w:rPr>
        <w:t>签署日期：</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w:t>
      </w:r>
    </w:p>
    <w:p w14:paraId="1CDE06DB">
      <w:pPr>
        <w:pStyle w:val="17"/>
        <w:widowControl/>
        <w:spacing w:before="75" w:beforeAutospacing="0" w:after="75" w:afterAutospacing="0" w:line="360" w:lineRule="atLeast"/>
        <w:rPr>
          <w:color w:val="auto"/>
        </w:rPr>
      </w:pPr>
      <w:r>
        <w:rPr>
          <w:rFonts w:hint="eastAsia" w:ascii="宋体" w:hAnsi="宋体" w:eastAsia="宋体" w:cs="宋体"/>
          <w:color w:val="auto"/>
        </w:rPr>
        <w:t> </w:t>
      </w:r>
    </w:p>
    <w:p w14:paraId="3A80D41F">
      <w:pPr>
        <w:pStyle w:val="17"/>
        <w:widowControl/>
        <w:spacing w:before="75" w:beforeAutospacing="0" w:after="75" w:afterAutospacing="0" w:line="405" w:lineRule="atLeast"/>
        <w:rPr>
          <w:color w:val="auto"/>
        </w:rPr>
      </w:pPr>
      <w:r>
        <w:rPr>
          <w:rFonts w:hint="eastAsia" w:ascii="宋体" w:hAnsi="宋体" w:eastAsia="宋体" w:cs="宋体"/>
          <w:color w:val="auto"/>
        </w:rPr>
        <w:t>附：单位负责人、供应商代表的身份证正反面复印件</w:t>
      </w:r>
    </w:p>
    <w:tbl>
      <w:tblPr>
        <w:tblStyle w:val="23"/>
        <w:tblW w:w="856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8565"/>
      </w:tblGrid>
      <w:tr w14:paraId="73E5E15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45" w:hRule="atLeast"/>
        </w:trPr>
        <w:tc>
          <w:tcPr>
            <w:tcW w:w="8565" w:type="dxa"/>
            <w:tcBorders>
              <w:top w:val="nil"/>
              <w:left w:val="nil"/>
              <w:bottom w:val="nil"/>
              <w:right w:val="nil"/>
            </w:tcBorders>
            <w:shd w:val="clear" w:color="auto" w:fill="auto"/>
            <w:tcMar>
              <w:top w:w="0" w:type="dxa"/>
              <w:left w:w="105" w:type="dxa"/>
              <w:bottom w:w="0" w:type="dxa"/>
              <w:right w:w="105" w:type="dxa"/>
            </w:tcMar>
            <w:vAlign w:val="center"/>
          </w:tcPr>
          <w:p w14:paraId="719887CC">
            <w:pPr>
              <w:pStyle w:val="17"/>
              <w:widowControl/>
              <w:spacing w:beforeAutospacing="0" w:afterAutospacing="0" w:line="405" w:lineRule="atLeast"/>
              <w:jc w:val="center"/>
              <w:rPr>
                <w:color w:val="auto"/>
              </w:rPr>
            </w:pPr>
            <w:r>
              <w:rPr>
                <w:rStyle w:val="26"/>
                <w:rFonts w:hint="eastAsia" w:ascii="宋体" w:hAnsi="宋体" w:eastAsia="宋体" w:cs="宋体"/>
                <w:bCs/>
                <w:color w:val="auto"/>
              </w:rPr>
              <w:t> </w:t>
            </w:r>
          </w:p>
          <w:p w14:paraId="09EF978C">
            <w:pPr>
              <w:pStyle w:val="17"/>
              <w:widowControl/>
              <w:spacing w:beforeAutospacing="0" w:afterAutospacing="0" w:line="405" w:lineRule="atLeast"/>
              <w:jc w:val="center"/>
              <w:rPr>
                <w:color w:val="auto"/>
              </w:rPr>
            </w:pPr>
            <w:r>
              <w:rPr>
                <w:rStyle w:val="26"/>
                <w:rFonts w:hint="eastAsia" w:ascii="宋体" w:hAnsi="宋体" w:eastAsia="宋体" w:cs="宋体"/>
                <w:bCs/>
                <w:color w:val="auto"/>
              </w:rPr>
              <w:t>要求：真实、有效、清晰</w:t>
            </w:r>
          </w:p>
          <w:p w14:paraId="0E15D468">
            <w:pPr>
              <w:pStyle w:val="17"/>
              <w:widowControl/>
              <w:spacing w:beforeAutospacing="0" w:afterAutospacing="0" w:line="405" w:lineRule="atLeast"/>
              <w:jc w:val="center"/>
              <w:rPr>
                <w:color w:val="auto"/>
              </w:rPr>
            </w:pPr>
            <w:r>
              <w:rPr>
                <w:rStyle w:val="26"/>
                <w:rFonts w:hint="eastAsia" w:ascii="宋体" w:hAnsi="宋体" w:eastAsia="宋体" w:cs="宋体"/>
                <w:bCs/>
                <w:color w:val="auto"/>
              </w:rPr>
              <w:t> </w:t>
            </w:r>
          </w:p>
        </w:tc>
      </w:tr>
    </w:tbl>
    <w:p w14:paraId="56B7724F">
      <w:pPr>
        <w:pStyle w:val="17"/>
        <w:widowControl/>
        <w:spacing w:before="75" w:beforeAutospacing="0" w:after="75" w:afterAutospacing="0" w:line="285" w:lineRule="atLeast"/>
        <w:jc w:val="both"/>
        <w:rPr>
          <w:color w:val="auto"/>
        </w:rPr>
      </w:pPr>
      <w:r>
        <w:rPr>
          <w:rFonts w:hint="eastAsia" w:ascii="宋体" w:hAnsi="宋体" w:eastAsia="宋体" w:cs="宋体"/>
          <w:color w:val="auto"/>
          <w:sz w:val="21"/>
          <w:szCs w:val="21"/>
        </w:rPr>
        <w:t>★注意：</w:t>
      </w:r>
    </w:p>
    <w:p w14:paraId="5001617A">
      <w:pPr>
        <w:pStyle w:val="17"/>
        <w:widowControl/>
        <w:spacing w:beforeAutospacing="0" w:afterAutospacing="0" w:line="285" w:lineRule="atLeast"/>
        <w:rPr>
          <w:color w:val="auto"/>
        </w:rPr>
      </w:pPr>
      <w:r>
        <w:rPr>
          <w:rFonts w:hint="eastAsia" w:ascii="宋体" w:hAnsi="宋体" w:eastAsia="宋体" w:cs="宋体"/>
          <w:color w:val="auto"/>
          <w:sz w:val="21"/>
          <w:szCs w:val="21"/>
        </w:rPr>
        <w:t>1、企业（银行、保险、石油石化、电力、电信等行业除外）、事业单位和社会团体法人的“单位负责人”指</w:t>
      </w:r>
      <w:r>
        <w:rPr>
          <w:rStyle w:val="26"/>
          <w:rFonts w:hint="eastAsia" w:ascii="宋体" w:hAnsi="宋体" w:eastAsia="宋体" w:cs="宋体"/>
          <w:bCs/>
          <w:color w:val="auto"/>
          <w:sz w:val="21"/>
          <w:szCs w:val="21"/>
        </w:rPr>
        <w:t>法定代表人</w:t>
      </w:r>
      <w:r>
        <w:rPr>
          <w:rFonts w:hint="eastAsia" w:ascii="宋体" w:hAnsi="宋体" w:eastAsia="宋体" w:cs="宋体"/>
          <w:color w:val="auto"/>
          <w:sz w:val="21"/>
          <w:szCs w:val="21"/>
        </w:rPr>
        <w:t>，即与实际提交的“营业执照等证明文件”载明的一致。</w:t>
      </w:r>
    </w:p>
    <w:p w14:paraId="6B43B7F0">
      <w:pPr>
        <w:pStyle w:val="17"/>
        <w:widowControl/>
        <w:spacing w:beforeAutospacing="0" w:afterAutospacing="0" w:line="285" w:lineRule="atLeast"/>
        <w:rPr>
          <w:color w:val="auto"/>
        </w:rPr>
      </w:pPr>
      <w:r>
        <w:rPr>
          <w:rFonts w:hint="eastAsia" w:ascii="宋体" w:hAnsi="宋体" w:eastAsia="宋体" w:cs="宋体"/>
          <w:color w:val="auto"/>
          <w:sz w:val="21"/>
          <w:szCs w:val="21"/>
        </w:rPr>
        <w:t>2、银行、保险、石油石化、电力、电信等行业：以法人身份参加磋商的，“单位负责人”指</w:t>
      </w:r>
      <w:r>
        <w:rPr>
          <w:rStyle w:val="26"/>
          <w:rFonts w:hint="eastAsia" w:ascii="宋体" w:hAnsi="宋体" w:eastAsia="宋体" w:cs="宋体"/>
          <w:bCs/>
          <w:color w:val="auto"/>
          <w:sz w:val="21"/>
          <w:szCs w:val="21"/>
        </w:rPr>
        <w:t>法定代表人</w:t>
      </w:r>
      <w:r>
        <w:rPr>
          <w:rFonts w:hint="eastAsia" w:ascii="宋体" w:hAnsi="宋体" w:eastAsia="宋体" w:cs="宋体"/>
          <w:color w:val="auto"/>
          <w:sz w:val="21"/>
          <w:szCs w:val="21"/>
        </w:rPr>
        <w:t>，即与实际提交的“营业执照等证明文件”载明的一致；以非法人身份参加磋商的，“单位负责人”指</w:t>
      </w:r>
      <w:r>
        <w:rPr>
          <w:rStyle w:val="26"/>
          <w:rFonts w:hint="eastAsia" w:ascii="宋体" w:hAnsi="宋体" w:eastAsia="宋体" w:cs="宋体"/>
          <w:bCs/>
          <w:color w:val="auto"/>
          <w:sz w:val="21"/>
          <w:szCs w:val="21"/>
        </w:rPr>
        <w:t>代表单位行使职权的主要负责人</w:t>
      </w:r>
      <w:r>
        <w:rPr>
          <w:rFonts w:hint="eastAsia" w:ascii="宋体" w:hAnsi="宋体" w:eastAsia="宋体" w:cs="宋体"/>
          <w:color w:val="auto"/>
          <w:sz w:val="21"/>
          <w:szCs w:val="21"/>
        </w:rPr>
        <w:t>，即与实际提交的“营业执照等证明文件”载明的一致。</w:t>
      </w:r>
    </w:p>
    <w:p w14:paraId="61242D07">
      <w:pPr>
        <w:pStyle w:val="17"/>
        <w:widowControl/>
        <w:spacing w:beforeAutospacing="0" w:afterAutospacing="0" w:line="285" w:lineRule="atLeast"/>
        <w:rPr>
          <w:color w:val="auto"/>
        </w:rPr>
      </w:pPr>
      <w:r>
        <w:rPr>
          <w:rFonts w:hint="eastAsia" w:ascii="宋体" w:hAnsi="宋体" w:eastAsia="宋体" w:cs="宋体"/>
          <w:color w:val="auto"/>
          <w:sz w:val="21"/>
          <w:szCs w:val="21"/>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14:paraId="3E91FD5D">
      <w:pPr>
        <w:pStyle w:val="17"/>
        <w:widowControl/>
        <w:spacing w:before="75" w:beforeAutospacing="0" w:after="240" w:afterAutospacing="0" w:line="285" w:lineRule="atLeast"/>
        <w:jc w:val="both"/>
        <w:rPr>
          <w:color w:val="auto"/>
        </w:rPr>
      </w:pPr>
      <w:r>
        <w:rPr>
          <w:rFonts w:hint="eastAsia" w:ascii="宋体" w:hAnsi="宋体" w:eastAsia="宋体" w:cs="宋体"/>
          <w:color w:val="auto"/>
          <w:sz w:val="21"/>
          <w:szCs w:val="21"/>
        </w:rPr>
        <w:t>4、对于接受联合体形式的磋商且供应商是联合体的，则只需要联合体的牵头方提交本授权书，在纸质响应文件正本中的本授权书应为原件。</w:t>
      </w:r>
    </w:p>
    <w:p w14:paraId="26A2339C">
      <w:pPr>
        <w:rPr>
          <w:rFonts w:ascii="宋体" w:hAnsi="宋体" w:eastAsia="宋体" w:cs="宋体"/>
          <w:color w:val="auto"/>
          <w:sz w:val="24"/>
        </w:rPr>
      </w:pPr>
      <w:r>
        <w:rPr>
          <w:rFonts w:hint="eastAsia" w:ascii="宋体" w:hAnsi="宋体" w:eastAsia="宋体" w:cs="宋体"/>
          <w:color w:val="auto"/>
          <w:sz w:val="24"/>
        </w:rPr>
        <w:br w:type="page"/>
      </w:r>
    </w:p>
    <w:p w14:paraId="1C029355">
      <w:pPr>
        <w:pStyle w:val="17"/>
        <w:widowControl/>
        <w:spacing w:before="75" w:beforeAutospacing="0" w:after="75" w:afterAutospacing="0" w:line="435" w:lineRule="atLeast"/>
        <w:rPr>
          <w:color w:val="auto"/>
        </w:rPr>
      </w:pPr>
      <w:r>
        <w:rPr>
          <w:rFonts w:hint="eastAsia" w:ascii="宋体" w:hAnsi="宋体" w:eastAsia="宋体" w:cs="宋体"/>
          <w:color w:val="auto"/>
        </w:rPr>
        <w:t>附件3-4 </w:t>
      </w:r>
      <w:r>
        <w:rPr>
          <w:rStyle w:val="26"/>
          <w:rFonts w:hint="eastAsia" w:ascii="宋体" w:hAnsi="宋体" w:eastAsia="宋体" w:cs="宋体"/>
          <w:bCs/>
          <w:color w:val="auto"/>
        </w:rPr>
        <w:t>            营业执照等证明文件</w:t>
      </w:r>
    </w:p>
    <w:p w14:paraId="5F5068F0">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079BEA57">
      <w:pPr>
        <w:pStyle w:val="17"/>
        <w:widowControl/>
        <w:spacing w:before="75" w:beforeAutospacing="0" w:after="75" w:afterAutospacing="0"/>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        </w:t>
      </w:r>
    </w:p>
    <w:p w14:paraId="7D8F20CD">
      <w:pPr>
        <w:pStyle w:val="17"/>
        <w:widowControl/>
        <w:spacing w:before="75" w:beforeAutospacing="0" w:after="75" w:afterAutospacing="0"/>
        <w:ind w:firstLine="420"/>
        <w:rPr>
          <w:color w:val="auto"/>
        </w:rPr>
      </w:pPr>
      <w:r>
        <w:rPr>
          <w:rFonts w:hint="eastAsia" w:ascii="宋体" w:hAnsi="宋体" w:eastAsia="宋体" w:cs="宋体"/>
          <w:color w:val="auto"/>
        </w:rPr>
        <w:t>（ ）供应商为法人（包括企业、事业单位和社会团体）的</w:t>
      </w:r>
    </w:p>
    <w:p w14:paraId="3A360768">
      <w:pPr>
        <w:pStyle w:val="17"/>
        <w:widowControl/>
        <w:spacing w:before="75" w:beforeAutospacing="0" w:after="75" w:afterAutospacing="0"/>
        <w:ind w:firstLine="420"/>
        <w:rPr>
          <w:color w:val="auto"/>
        </w:rPr>
      </w:pPr>
      <w:r>
        <w:rPr>
          <w:rFonts w:hint="eastAsia" w:ascii="宋体" w:hAnsi="宋体" w:eastAsia="宋体" w:cs="宋体"/>
          <w:color w:val="auto"/>
        </w:rPr>
        <w:t>现附上由</w:t>
      </w:r>
      <w:r>
        <w:rPr>
          <w:rFonts w:hint="eastAsia" w:ascii="宋体" w:hAnsi="宋体" w:eastAsia="宋体" w:cs="宋体"/>
          <w:color w:val="auto"/>
          <w:u w:val="single"/>
        </w:rPr>
        <w:t>（填写“签发机关全称”）</w:t>
      </w:r>
      <w:r>
        <w:rPr>
          <w:rFonts w:hint="eastAsia" w:ascii="宋体" w:hAnsi="宋体" w:eastAsia="宋体" w:cs="宋体"/>
          <w:color w:val="auto"/>
        </w:rPr>
        <w:t>签发的我方统一社会信用代码</w:t>
      </w:r>
      <w:r>
        <w:rPr>
          <w:rFonts w:hint="eastAsia" w:ascii="宋体" w:hAnsi="宋体" w:eastAsia="宋体" w:cs="宋体"/>
          <w:color w:val="auto"/>
          <w:u w:val="single"/>
        </w:rPr>
        <w:t>（请填写法人的具体证照名称）</w:t>
      </w:r>
      <w:r>
        <w:rPr>
          <w:rFonts w:hint="eastAsia" w:ascii="宋体" w:hAnsi="宋体" w:eastAsia="宋体" w:cs="宋体"/>
          <w:color w:val="auto"/>
        </w:rPr>
        <w:t>复印件，该证明材料真实有效，否则我方负全部责任。</w:t>
      </w:r>
    </w:p>
    <w:p w14:paraId="129BBA0D">
      <w:pPr>
        <w:pStyle w:val="17"/>
        <w:widowControl/>
        <w:spacing w:before="75" w:beforeAutospacing="0" w:after="75" w:afterAutospacing="0"/>
        <w:ind w:firstLine="420"/>
        <w:rPr>
          <w:color w:val="auto"/>
        </w:rPr>
      </w:pPr>
      <w:r>
        <w:rPr>
          <w:rFonts w:hint="eastAsia" w:ascii="宋体" w:hAnsi="宋体" w:eastAsia="宋体" w:cs="宋体"/>
          <w:color w:val="auto"/>
        </w:rPr>
        <w:t>（ ）供应商为非法人（包括其他组织、自然人）的</w:t>
      </w:r>
    </w:p>
    <w:p w14:paraId="238CE9AB">
      <w:pPr>
        <w:pStyle w:val="17"/>
        <w:widowControl/>
        <w:spacing w:before="75" w:beforeAutospacing="0" w:after="75" w:afterAutospacing="0"/>
        <w:ind w:firstLine="420"/>
        <w:rPr>
          <w:color w:val="auto"/>
        </w:rPr>
      </w:pPr>
      <w:r>
        <w:rPr>
          <w:rFonts w:hint="eastAsia" w:ascii="宋体" w:hAnsi="宋体" w:eastAsia="宋体" w:cs="宋体"/>
          <w:color w:val="auto"/>
        </w:rPr>
        <w:t>□现附上由</w:t>
      </w:r>
      <w:r>
        <w:rPr>
          <w:rFonts w:hint="eastAsia" w:ascii="宋体" w:hAnsi="宋体" w:eastAsia="宋体" w:cs="宋体"/>
          <w:color w:val="auto"/>
          <w:u w:val="single"/>
        </w:rPr>
        <w:t>（填写“签发机关全称”）</w:t>
      </w:r>
      <w:r>
        <w:rPr>
          <w:rFonts w:hint="eastAsia" w:ascii="宋体" w:hAnsi="宋体" w:eastAsia="宋体" w:cs="宋体"/>
          <w:color w:val="auto"/>
        </w:rPr>
        <w:t>签发的我方</w:t>
      </w:r>
      <w:r>
        <w:rPr>
          <w:rFonts w:hint="eastAsia" w:ascii="宋体" w:hAnsi="宋体" w:eastAsia="宋体" w:cs="宋体"/>
          <w:color w:val="auto"/>
          <w:u w:val="single"/>
        </w:rPr>
        <w:t>（请填写非自然人的非法人的具体证照名称）</w:t>
      </w:r>
      <w:r>
        <w:rPr>
          <w:rFonts w:hint="eastAsia" w:ascii="宋体" w:hAnsi="宋体" w:eastAsia="宋体" w:cs="宋体"/>
          <w:color w:val="auto"/>
        </w:rPr>
        <w:t>复印件，该证明材料真实有效，否则我方负全部责任。</w:t>
      </w:r>
    </w:p>
    <w:p w14:paraId="3FACBC20">
      <w:pPr>
        <w:pStyle w:val="17"/>
        <w:widowControl/>
        <w:spacing w:before="75" w:beforeAutospacing="0" w:after="75" w:afterAutospacing="0"/>
        <w:ind w:firstLine="420"/>
        <w:rPr>
          <w:color w:val="auto"/>
        </w:rPr>
      </w:pPr>
      <w:r>
        <w:rPr>
          <w:rFonts w:hint="eastAsia" w:ascii="宋体" w:hAnsi="宋体" w:eastAsia="宋体" w:cs="宋体"/>
          <w:color w:val="auto"/>
        </w:rPr>
        <w:t>□现附上由</w:t>
      </w:r>
      <w:r>
        <w:rPr>
          <w:rFonts w:hint="eastAsia" w:ascii="宋体" w:hAnsi="宋体" w:eastAsia="宋体" w:cs="宋体"/>
          <w:color w:val="auto"/>
          <w:u w:val="single"/>
        </w:rPr>
        <w:t>（填写“签发机关全称”）</w:t>
      </w:r>
      <w:r>
        <w:rPr>
          <w:rFonts w:hint="eastAsia" w:ascii="宋体" w:hAnsi="宋体" w:eastAsia="宋体" w:cs="宋体"/>
          <w:color w:val="auto"/>
        </w:rPr>
        <w:t>签发的我方</w:t>
      </w:r>
      <w:r>
        <w:rPr>
          <w:rFonts w:hint="eastAsia" w:ascii="宋体" w:hAnsi="宋体" w:eastAsia="宋体" w:cs="宋体"/>
          <w:color w:val="auto"/>
          <w:u w:val="single"/>
        </w:rPr>
        <w:t>（请填写自然人的身份证件名称）</w:t>
      </w:r>
      <w:r>
        <w:rPr>
          <w:rFonts w:hint="eastAsia" w:ascii="宋体" w:hAnsi="宋体" w:eastAsia="宋体" w:cs="宋体"/>
          <w:color w:val="auto"/>
        </w:rPr>
        <w:t>复印件，该证明材料真实有效，否则我方负全部责任。</w:t>
      </w:r>
    </w:p>
    <w:p w14:paraId="46E33B67">
      <w:pPr>
        <w:pStyle w:val="17"/>
        <w:widowControl/>
        <w:spacing w:before="75" w:beforeAutospacing="0" w:after="75" w:afterAutospacing="0"/>
        <w:rPr>
          <w:color w:val="auto"/>
        </w:rPr>
      </w:pPr>
      <w:r>
        <w:rPr>
          <w:rFonts w:hint="eastAsia" w:ascii="宋体" w:hAnsi="宋体" w:eastAsia="宋体" w:cs="宋体"/>
          <w:color w:val="auto"/>
        </w:rPr>
        <w:t> </w:t>
      </w:r>
    </w:p>
    <w:p w14:paraId="79BF1A41">
      <w:pPr>
        <w:pStyle w:val="17"/>
        <w:widowControl/>
        <w:spacing w:before="75" w:beforeAutospacing="0" w:after="75" w:afterAutospacing="0"/>
        <w:rPr>
          <w:color w:val="auto"/>
        </w:rPr>
      </w:pPr>
      <w:r>
        <w:rPr>
          <w:rFonts w:hint="eastAsia" w:ascii="宋体" w:hAnsi="宋体" w:eastAsia="宋体" w:cs="宋体"/>
          <w:color w:val="auto"/>
        </w:rPr>
        <w:t>★注意：</w:t>
      </w:r>
    </w:p>
    <w:p w14:paraId="251AD92C">
      <w:pPr>
        <w:pStyle w:val="17"/>
        <w:widowControl/>
        <w:spacing w:before="75" w:beforeAutospacing="0" w:after="75" w:afterAutospacing="0"/>
        <w:rPr>
          <w:color w:val="auto"/>
        </w:rPr>
      </w:pPr>
      <w:r>
        <w:rPr>
          <w:rFonts w:hint="eastAsia" w:ascii="宋体" w:hAnsi="宋体" w:eastAsia="宋体" w:cs="宋体"/>
          <w:color w:val="auto"/>
        </w:rPr>
        <w:t>1、请供应商根据实际情况填写，在相应的（）中打“√”并选择相应的“□”（若有）后，再按照本格式的要求提供相应证明材料的复印件。</w:t>
      </w:r>
    </w:p>
    <w:p w14:paraId="7EB1A1FA">
      <w:pPr>
        <w:pStyle w:val="17"/>
        <w:widowControl/>
        <w:spacing w:before="75" w:beforeAutospacing="0" w:after="75" w:afterAutospacing="0"/>
        <w:rPr>
          <w:color w:val="auto"/>
        </w:rPr>
      </w:pPr>
      <w:r>
        <w:rPr>
          <w:rFonts w:hint="eastAsia" w:ascii="宋体" w:hAnsi="宋体" w:eastAsia="宋体" w:cs="宋体"/>
          <w:color w:val="auto"/>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14:paraId="3CE9935B">
      <w:pPr>
        <w:pStyle w:val="17"/>
        <w:widowControl/>
        <w:spacing w:before="75" w:beforeAutospacing="0" w:after="75" w:afterAutospacing="0"/>
        <w:rPr>
          <w:color w:val="auto"/>
        </w:rPr>
      </w:pPr>
      <w:r>
        <w:rPr>
          <w:rFonts w:hint="eastAsia" w:ascii="宋体" w:hAnsi="宋体" w:eastAsia="宋体" w:cs="宋体"/>
          <w:color w:val="auto"/>
        </w:rPr>
        <w:t>3、供应商提供的相应证明材料复印件均应符合：内容完整、清晰、整洁，并由供应商加盖其单位公章。</w:t>
      </w:r>
    </w:p>
    <w:p w14:paraId="69963909">
      <w:pPr>
        <w:pStyle w:val="17"/>
        <w:widowControl/>
        <w:spacing w:before="75" w:beforeAutospacing="0" w:after="75" w:afterAutospacing="0"/>
        <w:rPr>
          <w:color w:val="auto"/>
        </w:rPr>
      </w:pPr>
      <w:r>
        <w:rPr>
          <w:rFonts w:hint="eastAsia" w:ascii="宋体" w:hAnsi="宋体" w:eastAsia="宋体" w:cs="宋体"/>
          <w:color w:val="auto"/>
        </w:rPr>
        <w:t>4、对于接受联合体形式的磋商且供应商是联合体的，则联合体各成员都应当提交本资格证明文件。</w:t>
      </w:r>
    </w:p>
    <w:p w14:paraId="321482FA">
      <w:pPr>
        <w:pStyle w:val="17"/>
        <w:widowControl/>
        <w:spacing w:before="75" w:beforeAutospacing="0" w:after="75" w:afterAutospacing="0"/>
        <w:rPr>
          <w:color w:val="auto"/>
        </w:rPr>
      </w:pPr>
      <w:r>
        <w:rPr>
          <w:rFonts w:hint="eastAsia" w:ascii="宋体" w:hAnsi="宋体" w:eastAsia="宋体" w:cs="宋体"/>
          <w:color w:val="auto"/>
        </w:rPr>
        <w:t> </w:t>
      </w:r>
    </w:p>
    <w:p w14:paraId="0067345D">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16EA4947">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3A5CFDE2">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22967E02">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6E19D836">
      <w:pPr>
        <w:pStyle w:val="17"/>
        <w:widowControl/>
        <w:spacing w:before="75" w:beforeAutospacing="0" w:after="75" w:afterAutospacing="0" w:line="435" w:lineRule="atLeast"/>
        <w:rPr>
          <w:color w:val="auto"/>
        </w:rPr>
      </w:pPr>
      <w:r>
        <w:rPr>
          <w:color w:val="auto"/>
        </w:rPr>
        <w:t> </w:t>
      </w:r>
    </w:p>
    <w:p w14:paraId="0FB1704C">
      <w:pPr>
        <w:pStyle w:val="17"/>
        <w:widowControl/>
        <w:spacing w:before="75" w:beforeAutospacing="0" w:after="75" w:afterAutospacing="0" w:line="435" w:lineRule="atLeast"/>
        <w:rPr>
          <w:rFonts w:ascii="宋体" w:hAnsi="宋体" w:eastAsia="宋体" w:cs="宋体"/>
          <w:color w:val="auto"/>
        </w:rPr>
      </w:pPr>
    </w:p>
    <w:p w14:paraId="32010B6D">
      <w:pPr>
        <w:pStyle w:val="17"/>
        <w:widowControl/>
        <w:spacing w:before="75" w:beforeAutospacing="0" w:after="75" w:afterAutospacing="0" w:line="435" w:lineRule="atLeast"/>
        <w:rPr>
          <w:rFonts w:ascii="宋体" w:hAnsi="宋体" w:eastAsia="宋体" w:cs="宋体"/>
          <w:color w:val="auto"/>
        </w:rPr>
      </w:pPr>
    </w:p>
    <w:p w14:paraId="5E4CA6FB">
      <w:pPr>
        <w:rPr>
          <w:rFonts w:ascii="宋体" w:hAnsi="宋体" w:eastAsia="宋体" w:cs="宋体"/>
          <w:color w:val="auto"/>
          <w:sz w:val="24"/>
        </w:rPr>
      </w:pPr>
      <w:r>
        <w:rPr>
          <w:rFonts w:hint="eastAsia" w:ascii="宋体" w:hAnsi="宋体" w:eastAsia="宋体" w:cs="宋体"/>
          <w:color w:val="auto"/>
          <w:sz w:val="24"/>
        </w:rPr>
        <w:br w:type="page"/>
      </w:r>
    </w:p>
    <w:p w14:paraId="339BB073">
      <w:pPr>
        <w:pStyle w:val="17"/>
        <w:widowControl/>
        <w:spacing w:before="75" w:beforeAutospacing="0" w:after="75" w:afterAutospacing="0" w:line="435" w:lineRule="atLeast"/>
        <w:rPr>
          <w:color w:val="auto"/>
        </w:rPr>
      </w:pPr>
      <w:r>
        <w:rPr>
          <w:rFonts w:hint="eastAsia" w:ascii="宋体" w:hAnsi="宋体" w:eastAsia="宋体" w:cs="宋体"/>
          <w:color w:val="auto"/>
        </w:rPr>
        <w:t>附件3-5             </w:t>
      </w:r>
      <w:r>
        <w:rPr>
          <w:rStyle w:val="26"/>
          <w:rFonts w:hint="eastAsia" w:ascii="宋体" w:hAnsi="宋体" w:eastAsia="宋体" w:cs="宋体"/>
          <w:bCs/>
          <w:color w:val="auto"/>
        </w:rPr>
        <w:t>财务状况报告</w:t>
      </w:r>
    </w:p>
    <w:p w14:paraId="366DDFC8">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61867D61">
      <w:pPr>
        <w:pStyle w:val="17"/>
        <w:widowControl/>
        <w:spacing w:before="75" w:beforeAutospacing="0" w:after="75" w:afterAutospacing="0" w:line="435" w:lineRule="atLeast"/>
        <w:jc w:val="both"/>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w:t>
      </w:r>
      <w:r>
        <w:rPr>
          <w:rFonts w:ascii="Calibri" w:hAnsi="Calibri" w:cs="Calibri"/>
          <w:color w:val="auto"/>
          <w:u w:val="single"/>
        </w:rPr>
        <w:t>)      </w:t>
      </w:r>
      <w:r>
        <w:rPr>
          <w:rFonts w:hint="eastAsia" w:ascii="宋体" w:hAnsi="宋体" w:eastAsia="宋体" w:cs="宋体"/>
          <w:color w:val="auto"/>
          <w:u w:val="single"/>
        </w:rPr>
        <w:t>   </w:t>
      </w:r>
    </w:p>
    <w:p w14:paraId="59AF22C1">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 ）供应商提供财务报告的</w:t>
      </w:r>
    </w:p>
    <w:p w14:paraId="038EF50E">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□企业适用：现附上我方</w:t>
      </w:r>
      <w:r>
        <w:rPr>
          <w:rFonts w:hint="eastAsia" w:ascii="宋体" w:hAnsi="宋体" w:eastAsia="宋体" w:cs="宋体"/>
          <w:color w:val="auto"/>
          <w:u w:val="single"/>
        </w:rPr>
        <w:t>（填写“具体的年度、或半年度、或季度”）</w:t>
      </w:r>
      <w:r>
        <w:rPr>
          <w:rFonts w:hint="eastAsia" w:ascii="宋体" w:hAnsi="宋体" w:eastAsia="宋体" w:cs="宋体"/>
          <w:color w:val="auto"/>
        </w:rPr>
        <w:t>财务报告复印件，包括资产负债表、利润表、现金流量表、所有者权益变动表及其附注（若有），上述证明材料真实有效，否则我方负全部责任。</w:t>
      </w:r>
    </w:p>
    <w:p w14:paraId="2A84E208">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□事业单位适用：现附上我方</w:t>
      </w:r>
      <w:r>
        <w:rPr>
          <w:rFonts w:hint="eastAsia" w:ascii="宋体" w:hAnsi="宋体" w:eastAsia="宋体" w:cs="宋体"/>
          <w:color w:val="auto"/>
          <w:u w:val="single"/>
        </w:rPr>
        <w:t>（填写“具体的年度、或半年度、或季度”）</w:t>
      </w:r>
      <w:r>
        <w:rPr>
          <w:rFonts w:hint="eastAsia" w:ascii="宋体" w:hAnsi="宋体" w:eastAsia="宋体" w:cs="宋体"/>
          <w:color w:val="auto"/>
        </w:rPr>
        <w:t>财务报告复印件，包括资产负债表、收入支出表或收入费用表、财政补助收入支出表（若有），上述证明材料真实有效，否则我方负全部责任。</w:t>
      </w:r>
    </w:p>
    <w:p w14:paraId="2C787DBE">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□社会团体适用：现附上我方</w:t>
      </w:r>
      <w:r>
        <w:rPr>
          <w:rFonts w:hint="eastAsia" w:ascii="宋体" w:hAnsi="宋体" w:eastAsia="宋体" w:cs="宋体"/>
          <w:color w:val="auto"/>
          <w:u w:val="single"/>
        </w:rPr>
        <w:t>（填写“具体的年度、或半年度、或季度”）</w:t>
      </w:r>
      <w:r>
        <w:rPr>
          <w:rFonts w:hint="eastAsia" w:ascii="宋体" w:hAnsi="宋体" w:eastAsia="宋体" w:cs="宋体"/>
          <w:color w:val="auto"/>
        </w:rPr>
        <w:t>财务报告复印件，包括资产负债表、业务活动表、现金流量表，上述证明材料真实有效，否则我方负全部责任。</w:t>
      </w:r>
    </w:p>
    <w:p w14:paraId="2366F47D">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 ）供应商提供资信证明的</w:t>
      </w:r>
    </w:p>
    <w:p w14:paraId="3FA07782">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□非自然人适用：现附上我方银行：</w:t>
      </w:r>
      <w:r>
        <w:rPr>
          <w:rFonts w:hint="eastAsia" w:ascii="宋体" w:hAnsi="宋体" w:eastAsia="宋体" w:cs="宋体"/>
          <w:color w:val="auto"/>
          <w:u w:val="single"/>
        </w:rPr>
        <w:t>（填写“开户银行全称”）</w:t>
      </w:r>
      <w:r>
        <w:rPr>
          <w:rFonts w:hint="eastAsia" w:ascii="宋体" w:hAnsi="宋体" w:eastAsia="宋体" w:cs="宋体"/>
          <w:color w:val="auto"/>
        </w:rPr>
        <w:t>出具的资信证明复印件，上述证明材料真实有效，否则我方负全部责任。</w:t>
      </w:r>
    </w:p>
    <w:p w14:paraId="348F2EA5">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□自然人适用：现附上我方银行：</w:t>
      </w:r>
      <w:r>
        <w:rPr>
          <w:rFonts w:hint="eastAsia" w:ascii="宋体" w:hAnsi="宋体" w:eastAsia="宋体" w:cs="宋体"/>
          <w:color w:val="auto"/>
          <w:u w:val="single"/>
        </w:rPr>
        <w:t>（填写自然人的“个人账户的开户银行全称”）</w:t>
      </w:r>
      <w:r>
        <w:rPr>
          <w:rFonts w:hint="eastAsia" w:ascii="宋体" w:hAnsi="宋体" w:eastAsia="宋体" w:cs="宋体"/>
          <w:color w:val="auto"/>
        </w:rPr>
        <w:t>出具的资信证明复印件，上述证明材料真实有效，否则我方负全部责任。</w:t>
      </w:r>
    </w:p>
    <w:p w14:paraId="4A2A01D7">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 ）供应商提供投标担保函的</w:t>
      </w:r>
    </w:p>
    <w:p w14:paraId="6368293D">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现附上由财政部门认可的政府采购专业担保机构：</w:t>
      </w:r>
      <w:r>
        <w:rPr>
          <w:rFonts w:hint="eastAsia" w:ascii="宋体" w:hAnsi="宋体" w:eastAsia="宋体" w:cs="宋体"/>
          <w:color w:val="auto"/>
          <w:u w:val="single"/>
        </w:rPr>
        <w:t>（填写“担保机构全称”）</w:t>
      </w:r>
      <w:r>
        <w:rPr>
          <w:rFonts w:hint="eastAsia" w:ascii="宋体" w:hAnsi="宋体" w:eastAsia="宋体" w:cs="宋体"/>
          <w:color w:val="auto"/>
        </w:rPr>
        <w:t>出具的投标担保函复印件，上述证明材料真实有效，否则我方负全部责任。</w:t>
      </w:r>
    </w:p>
    <w:p w14:paraId="4CF70147">
      <w:pPr>
        <w:pStyle w:val="17"/>
        <w:widowControl/>
        <w:spacing w:before="75" w:beforeAutospacing="0" w:after="75" w:afterAutospacing="0"/>
        <w:rPr>
          <w:color w:val="auto"/>
        </w:rPr>
      </w:pPr>
      <w:r>
        <w:rPr>
          <w:rStyle w:val="26"/>
          <w:rFonts w:hint="eastAsia" w:ascii="宋体" w:hAnsi="宋体" w:eastAsia="宋体" w:cs="宋体"/>
          <w:bCs/>
          <w:color w:val="auto"/>
        </w:rPr>
        <w:t> </w:t>
      </w:r>
    </w:p>
    <w:p w14:paraId="1619FE8F">
      <w:pPr>
        <w:pStyle w:val="17"/>
        <w:widowControl/>
        <w:spacing w:before="75" w:beforeAutospacing="0" w:after="75" w:afterAutospacing="0"/>
        <w:rPr>
          <w:color w:val="auto"/>
        </w:rPr>
      </w:pPr>
      <w:r>
        <w:rPr>
          <w:rFonts w:hint="eastAsia" w:ascii="宋体" w:hAnsi="宋体" w:eastAsia="宋体" w:cs="宋体"/>
          <w:color w:val="auto"/>
          <w:sz w:val="21"/>
          <w:szCs w:val="21"/>
        </w:rPr>
        <w:t>★注意事项：</w:t>
      </w:r>
    </w:p>
    <w:p w14:paraId="691A7D99">
      <w:pPr>
        <w:pStyle w:val="17"/>
        <w:widowControl/>
        <w:spacing w:before="75" w:beforeAutospacing="0" w:after="75" w:afterAutospacing="0"/>
        <w:ind w:firstLine="420"/>
        <w:rPr>
          <w:color w:val="auto"/>
        </w:rPr>
      </w:pPr>
      <w:r>
        <w:rPr>
          <w:rFonts w:hint="eastAsia" w:ascii="宋体" w:hAnsi="宋体" w:eastAsia="宋体" w:cs="宋体"/>
          <w:color w:val="auto"/>
        </w:rPr>
        <w:t>1、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14:paraId="1C6833F6">
      <w:pPr>
        <w:pStyle w:val="17"/>
        <w:widowControl/>
        <w:spacing w:before="75" w:beforeAutospacing="0" w:after="75" w:afterAutospacing="0"/>
        <w:ind w:firstLine="420"/>
        <w:rPr>
          <w:color w:val="auto"/>
        </w:rPr>
      </w:pPr>
      <w:r>
        <w:rPr>
          <w:rFonts w:hint="eastAsia" w:ascii="宋体" w:hAnsi="宋体" w:eastAsia="宋体" w:cs="宋体"/>
          <w:color w:val="auto"/>
        </w:rPr>
        <w:t>2、供应商提供的财务报告复印件（成立年限按照首次响应文件递交截止时间推算）应符合下列规定：</w:t>
      </w:r>
    </w:p>
    <w:p w14:paraId="01726C94">
      <w:pPr>
        <w:pStyle w:val="17"/>
        <w:widowControl/>
        <w:spacing w:before="75" w:beforeAutospacing="0" w:after="75" w:afterAutospacing="0"/>
        <w:ind w:firstLine="420"/>
        <w:rPr>
          <w:color w:val="auto"/>
        </w:rPr>
      </w:pPr>
      <w:r>
        <w:rPr>
          <w:rFonts w:hint="eastAsia" w:ascii="宋体" w:hAnsi="宋体" w:eastAsia="宋体" w:cs="宋体"/>
          <w:color w:val="auto"/>
        </w:rPr>
        <w:t>2.1成立年限满1年及以上的供应商，提供经审计的上一年度的年度财务报告。</w:t>
      </w:r>
    </w:p>
    <w:p w14:paraId="67414EFE">
      <w:pPr>
        <w:pStyle w:val="17"/>
        <w:widowControl/>
        <w:spacing w:before="75" w:beforeAutospacing="0" w:after="75" w:afterAutospacing="0"/>
        <w:ind w:firstLine="420"/>
        <w:rPr>
          <w:color w:val="auto"/>
        </w:rPr>
      </w:pPr>
      <w:r>
        <w:rPr>
          <w:rFonts w:hint="eastAsia" w:ascii="宋体" w:hAnsi="宋体" w:eastAsia="宋体" w:cs="宋体"/>
          <w:color w:val="auto"/>
        </w:rPr>
        <w:t>2.2成立年限满半年但不足1年的供应商，提供该半年度中任一季度的季度财务报告或该半年度的半年度财务报告。</w:t>
      </w:r>
    </w:p>
    <w:p w14:paraId="758E5B7D">
      <w:pPr>
        <w:pStyle w:val="17"/>
        <w:widowControl/>
        <w:spacing w:before="75" w:beforeAutospacing="0" w:after="75" w:afterAutospacing="0"/>
        <w:ind w:firstLine="420"/>
        <w:rPr>
          <w:color w:val="auto"/>
        </w:rPr>
      </w:pPr>
      <w:r>
        <w:rPr>
          <w:rStyle w:val="26"/>
          <w:rFonts w:hint="eastAsia" w:ascii="宋体" w:hAnsi="宋体" w:eastAsia="宋体" w:cs="宋体"/>
          <w:bCs/>
          <w:color w:val="auto"/>
        </w:rPr>
        <w:t>※无法按照本格式注意事项第2.1、2.2条规定提供财务报告复印件的供应商，应按照本格式注意事项的要求选择提供资信证明复印件或投标担保函复印件。</w:t>
      </w:r>
    </w:p>
    <w:p w14:paraId="014EE471">
      <w:pPr>
        <w:pStyle w:val="17"/>
        <w:widowControl/>
        <w:spacing w:before="75" w:beforeAutospacing="0" w:after="75" w:afterAutospacing="0"/>
        <w:ind w:firstLine="420"/>
        <w:rPr>
          <w:color w:val="auto"/>
        </w:rPr>
      </w:pPr>
      <w:r>
        <w:rPr>
          <w:rFonts w:hint="eastAsia" w:ascii="宋体" w:hAnsi="宋体" w:eastAsia="宋体" w:cs="宋体"/>
          <w:color w:val="auto"/>
        </w:rPr>
        <w:t>3、“财政部门认可的政府采购专业担保机构”应符合《财政部关于开展政府采购信用担保试点工作方案》（财库[2011]124号）的规定。</w:t>
      </w:r>
    </w:p>
    <w:p w14:paraId="1B98F305">
      <w:pPr>
        <w:pStyle w:val="17"/>
        <w:widowControl/>
        <w:spacing w:before="75" w:beforeAutospacing="0" w:after="75" w:afterAutospacing="0"/>
        <w:ind w:firstLine="420"/>
        <w:rPr>
          <w:color w:val="auto"/>
        </w:rPr>
      </w:pPr>
      <w:r>
        <w:rPr>
          <w:rFonts w:hint="eastAsia" w:ascii="宋体" w:hAnsi="宋体" w:eastAsia="宋体" w:cs="宋体"/>
          <w:color w:val="auto"/>
        </w:rPr>
        <w:t>4、供应商提供的相应证明材料复印件均应符合：内容完整、清晰、整洁，并由供应商加盖其单位公章。</w:t>
      </w:r>
    </w:p>
    <w:p w14:paraId="1FAE1D32">
      <w:pPr>
        <w:pStyle w:val="17"/>
        <w:widowControl/>
        <w:spacing w:before="75" w:beforeAutospacing="0" w:after="75" w:afterAutospacing="0" w:line="315" w:lineRule="atLeast"/>
        <w:ind w:firstLine="420"/>
        <w:rPr>
          <w:color w:val="auto"/>
        </w:rPr>
      </w:pPr>
      <w:r>
        <w:rPr>
          <w:rFonts w:hint="eastAsia" w:ascii="宋体" w:hAnsi="宋体" w:eastAsia="宋体" w:cs="宋体"/>
          <w:color w:val="auto"/>
        </w:rPr>
        <w:t>5、对于接受联合体形式的磋商且供应商是联合体的，则联合体各成员都应当提交本资格证明文件。</w:t>
      </w:r>
    </w:p>
    <w:p w14:paraId="0B94EB19">
      <w:pPr>
        <w:pStyle w:val="17"/>
        <w:widowControl/>
        <w:spacing w:before="75" w:beforeAutospacing="0" w:after="75" w:afterAutospacing="0" w:line="435" w:lineRule="atLeast"/>
        <w:jc w:val="both"/>
        <w:rPr>
          <w:color w:val="auto"/>
        </w:rPr>
      </w:pPr>
      <w:r>
        <w:rPr>
          <w:rStyle w:val="26"/>
          <w:rFonts w:hint="eastAsia" w:ascii="宋体" w:hAnsi="宋体" w:eastAsia="宋体" w:cs="宋体"/>
          <w:bCs/>
          <w:color w:val="auto"/>
          <w:sz w:val="21"/>
          <w:szCs w:val="21"/>
        </w:rPr>
        <w:t> </w:t>
      </w:r>
    </w:p>
    <w:p w14:paraId="3057D57F">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 </w:t>
      </w:r>
    </w:p>
    <w:p w14:paraId="0C168201">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2F60C51A">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72D04FD8">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48DBE294">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071FF46C">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63C32C91">
      <w:pPr>
        <w:pStyle w:val="17"/>
        <w:widowControl/>
        <w:spacing w:before="75" w:beforeAutospacing="0" w:after="75" w:afterAutospacing="0" w:line="435" w:lineRule="atLeast"/>
        <w:rPr>
          <w:color w:val="auto"/>
        </w:rPr>
      </w:pPr>
      <w:r>
        <w:rPr>
          <w:color w:val="auto"/>
        </w:rPr>
        <w:t> </w:t>
      </w:r>
    </w:p>
    <w:p w14:paraId="7E7B4E16">
      <w:pPr>
        <w:pStyle w:val="17"/>
        <w:widowControl/>
        <w:spacing w:before="75" w:beforeAutospacing="0" w:after="75" w:afterAutospacing="0" w:line="435" w:lineRule="atLeast"/>
        <w:rPr>
          <w:rFonts w:ascii="宋体" w:hAnsi="宋体" w:eastAsia="宋体" w:cs="宋体"/>
          <w:color w:val="auto"/>
        </w:rPr>
      </w:pPr>
    </w:p>
    <w:p w14:paraId="1714A30C">
      <w:pPr>
        <w:pStyle w:val="17"/>
        <w:widowControl/>
        <w:spacing w:before="75" w:beforeAutospacing="0" w:after="75" w:afterAutospacing="0" w:line="435" w:lineRule="atLeast"/>
        <w:rPr>
          <w:rFonts w:ascii="宋体" w:hAnsi="宋体" w:eastAsia="宋体" w:cs="宋体"/>
          <w:color w:val="auto"/>
        </w:rPr>
      </w:pPr>
    </w:p>
    <w:p w14:paraId="2AEE629A">
      <w:pPr>
        <w:rPr>
          <w:rFonts w:ascii="宋体" w:hAnsi="宋体" w:eastAsia="宋体" w:cs="宋体"/>
          <w:color w:val="auto"/>
          <w:sz w:val="24"/>
        </w:rPr>
      </w:pPr>
      <w:r>
        <w:rPr>
          <w:rFonts w:hint="eastAsia" w:ascii="宋体" w:hAnsi="宋体" w:eastAsia="宋体" w:cs="宋体"/>
          <w:color w:val="auto"/>
          <w:sz w:val="24"/>
        </w:rPr>
        <w:br w:type="page"/>
      </w:r>
    </w:p>
    <w:p w14:paraId="2E6EFB28">
      <w:pPr>
        <w:pStyle w:val="17"/>
        <w:widowControl/>
        <w:spacing w:before="75" w:beforeAutospacing="0" w:after="75" w:afterAutospacing="0" w:line="435" w:lineRule="atLeast"/>
        <w:rPr>
          <w:color w:val="auto"/>
        </w:rPr>
      </w:pPr>
      <w:r>
        <w:rPr>
          <w:rFonts w:hint="eastAsia" w:ascii="宋体" w:hAnsi="宋体" w:eastAsia="宋体" w:cs="宋体"/>
          <w:color w:val="auto"/>
        </w:rPr>
        <w:t>附件3-6          </w:t>
      </w:r>
      <w:r>
        <w:rPr>
          <w:rStyle w:val="26"/>
          <w:rFonts w:hint="eastAsia" w:ascii="宋体" w:hAnsi="宋体" w:eastAsia="宋体" w:cs="宋体"/>
          <w:bCs/>
          <w:color w:val="auto"/>
        </w:rPr>
        <w:t>依法缴纳税收证明材料</w:t>
      </w:r>
    </w:p>
    <w:p w14:paraId="1BA59F5C">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487A075A">
      <w:pPr>
        <w:pStyle w:val="17"/>
        <w:widowControl/>
        <w:spacing w:before="75" w:beforeAutospacing="0" w:after="75" w:afterAutospacing="0"/>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w:t>
      </w:r>
      <w:r>
        <w:rPr>
          <w:rFonts w:ascii="Calibri" w:hAnsi="Calibri" w:cs="Calibri"/>
          <w:color w:val="auto"/>
          <w:u w:val="single"/>
        </w:rPr>
        <w:t>)   </w:t>
      </w:r>
      <w:r>
        <w:rPr>
          <w:rFonts w:hint="eastAsia" w:ascii="宋体" w:hAnsi="宋体" w:eastAsia="宋体" w:cs="宋体"/>
          <w:color w:val="auto"/>
          <w:sz w:val="21"/>
          <w:szCs w:val="21"/>
          <w:u w:val="single"/>
        </w:rPr>
        <w:t>   </w:t>
      </w:r>
    </w:p>
    <w:p w14:paraId="4F3B5DA3">
      <w:pPr>
        <w:pStyle w:val="17"/>
        <w:widowControl/>
        <w:spacing w:before="75" w:beforeAutospacing="0" w:after="75" w:afterAutospacing="0"/>
        <w:ind w:firstLine="420"/>
        <w:rPr>
          <w:color w:val="auto"/>
        </w:rPr>
      </w:pPr>
      <w:r>
        <w:rPr>
          <w:rStyle w:val="26"/>
          <w:rFonts w:hint="eastAsia" w:ascii="宋体" w:hAnsi="宋体" w:eastAsia="宋体" w:cs="宋体"/>
          <w:bCs/>
          <w:color w:val="auto"/>
        </w:rPr>
        <w:t>1、依法缴纳税收的供应商</w:t>
      </w:r>
    </w:p>
    <w:p w14:paraId="59CE5BC1">
      <w:pPr>
        <w:pStyle w:val="17"/>
        <w:widowControl/>
        <w:spacing w:before="75" w:beforeAutospacing="0" w:after="75" w:afterAutospacing="0"/>
        <w:ind w:firstLine="420"/>
        <w:rPr>
          <w:color w:val="auto"/>
        </w:rPr>
      </w:pPr>
      <w:r>
        <w:rPr>
          <w:rFonts w:hint="eastAsia" w:ascii="宋体" w:hAnsi="宋体" w:eastAsia="宋体" w:cs="宋体"/>
          <w:color w:val="auto"/>
        </w:rPr>
        <w:t>（ ）法人（包括企业、事业单位和社会团体）的</w:t>
      </w:r>
    </w:p>
    <w:p w14:paraId="45A95F79">
      <w:pPr>
        <w:pStyle w:val="17"/>
        <w:widowControl/>
        <w:spacing w:before="75" w:beforeAutospacing="0" w:after="75" w:afterAutospacing="0"/>
        <w:ind w:firstLine="420"/>
        <w:rPr>
          <w:color w:val="auto"/>
        </w:rPr>
      </w:pPr>
      <w:r>
        <w:rPr>
          <w:rFonts w:hint="eastAsia" w:ascii="宋体" w:hAnsi="宋体" w:eastAsia="宋体" w:cs="宋体"/>
          <w:color w:val="auto"/>
        </w:rPr>
        <w:t>现附上自</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日至</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日期间我方缴纳的</w:t>
      </w:r>
      <w:r>
        <w:rPr>
          <w:rFonts w:hint="eastAsia" w:ascii="宋体" w:hAnsi="宋体" w:eastAsia="宋体" w:cs="宋体"/>
          <w:color w:val="auto"/>
          <w:u w:val="single"/>
        </w:rPr>
        <w:t>（按照供应商实际缴纳的税种名称填写，如：增值税、所得税等）</w:t>
      </w:r>
      <w:r>
        <w:rPr>
          <w:rFonts w:hint="eastAsia" w:ascii="宋体" w:hAnsi="宋体" w:eastAsia="宋体" w:cs="宋体"/>
          <w:color w:val="auto"/>
        </w:rPr>
        <w:t>税收凭据复印件，上述证明材料真实有效，否则我方负全部责任。</w:t>
      </w:r>
    </w:p>
    <w:p w14:paraId="10976D95">
      <w:pPr>
        <w:pStyle w:val="17"/>
        <w:widowControl/>
        <w:spacing w:before="75" w:beforeAutospacing="0" w:after="75" w:afterAutospacing="0"/>
        <w:ind w:firstLine="420"/>
        <w:rPr>
          <w:color w:val="auto"/>
        </w:rPr>
      </w:pPr>
      <w:r>
        <w:rPr>
          <w:rFonts w:hint="eastAsia" w:ascii="宋体" w:hAnsi="宋体" w:eastAsia="宋体" w:cs="宋体"/>
          <w:color w:val="auto"/>
        </w:rPr>
        <w:t>（ ）非法人（包括其他组织、自然人）的</w:t>
      </w:r>
    </w:p>
    <w:p w14:paraId="358240D0">
      <w:pPr>
        <w:pStyle w:val="17"/>
        <w:widowControl/>
        <w:spacing w:before="75" w:beforeAutospacing="0" w:after="75" w:afterAutospacing="0"/>
        <w:ind w:firstLine="420"/>
        <w:rPr>
          <w:color w:val="auto"/>
        </w:rPr>
      </w:pPr>
      <w:r>
        <w:rPr>
          <w:rFonts w:hint="eastAsia" w:ascii="宋体" w:hAnsi="宋体" w:eastAsia="宋体" w:cs="宋体"/>
          <w:color w:val="auto"/>
        </w:rPr>
        <w:t>现附上自</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日至</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日期间我方缴纳的</w:t>
      </w:r>
      <w:r>
        <w:rPr>
          <w:rFonts w:hint="eastAsia" w:ascii="宋体" w:hAnsi="宋体" w:eastAsia="宋体" w:cs="宋体"/>
          <w:color w:val="auto"/>
          <w:u w:val="single"/>
        </w:rPr>
        <w:t>（按照供应商实际缴纳的税种名称填写）</w:t>
      </w:r>
      <w:r>
        <w:rPr>
          <w:rFonts w:hint="eastAsia" w:ascii="宋体" w:hAnsi="宋体" w:eastAsia="宋体" w:cs="宋体"/>
          <w:color w:val="auto"/>
        </w:rPr>
        <w:t>税收凭据复印件，上述证明材料真实有效，否则我方负全部责任。</w:t>
      </w:r>
    </w:p>
    <w:p w14:paraId="3D359D00">
      <w:pPr>
        <w:pStyle w:val="17"/>
        <w:widowControl/>
        <w:spacing w:before="75" w:beforeAutospacing="0" w:after="75" w:afterAutospacing="0"/>
        <w:ind w:firstLine="420"/>
        <w:rPr>
          <w:color w:val="auto"/>
        </w:rPr>
      </w:pPr>
      <w:r>
        <w:rPr>
          <w:rStyle w:val="26"/>
          <w:rFonts w:hint="eastAsia" w:ascii="宋体" w:hAnsi="宋体" w:eastAsia="宋体" w:cs="宋体"/>
          <w:bCs/>
          <w:color w:val="auto"/>
        </w:rPr>
        <w:t>2、依法免税的供应商</w:t>
      </w:r>
    </w:p>
    <w:p w14:paraId="71A36B84">
      <w:pPr>
        <w:pStyle w:val="17"/>
        <w:widowControl/>
        <w:spacing w:before="75" w:beforeAutospacing="0" w:after="75" w:afterAutospacing="0"/>
        <w:ind w:firstLine="420"/>
        <w:rPr>
          <w:color w:val="auto"/>
        </w:rPr>
      </w:pPr>
      <w:r>
        <w:rPr>
          <w:rFonts w:hint="eastAsia" w:ascii="宋体" w:hAnsi="宋体" w:eastAsia="宋体" w:cs="宋体"/>
          <w:color w:val="auto"/>
        </w:rPr>
        <w:t>（ ）现附上我方依法免税证明材料复印件，上述证明材料真实有效，否则我方负全部责任。</w:t>
      </w:r>
    </w:p>
    <w:p w14:paraId="49A1C9CA">
      <w:pPr>
        <w:pStyle w:val="17"/>
        <w:widowControl/>
        <w:spacing w:before="75" w:beforeAutospacing="0" w:after="75" w:afterAutospacing="0"/>
        <w:rPr>
          <w:color w:val="auto"/>
        </w:rPr>
      </w:pPr>
      <w:r>
        <w:rPr>
          <w:rFonts w:hint="eastAsia" w:ascii="宋体" w:hAnsi="宋体" w:eastAsia="宋体" w:cs="宋体"/>
          <w:color w:val="auto"/>
        </w:rPr>
        <w:t> </w:t>
      </w:r>
    </w:p>
    <w:p w14:paraId="5AD1DB98">
      <w:pPr>
        <w:pStyle w:val="17"/>
        <w:widowControl/>
        <w:spacing w:before="75" w:beforeAutospacing="0" w:after="75" w:afterAutospacing="0"/>
        <w:rPr>
          <w:color w:val="auto"/>
        </w:rPr>
      </w:pPr>
      <w:r>
        <w:rPr>
          <w:rFonts w:hint="eastAsia" w:ascii="宋体" w:hAnsi="宋体" w:eastAsia="宋体" w:cs="宋体"/>
          <w:color w:val="auto"/>
        </w:rPr>
        <w:t>★注意：</w:t>
      </w:r>
    </w:p>
    <w:p w14:paraId="52C7F0F9">
      <w:pPr>
        <w:pStyle w:val="17"/>
        <w:widowControl/>
        <w:spacing w:before="75" w:beforeAutospacing="0" w:after="75" w:afterAutospacing="0"/>
        <w:rPr>
          <w:color w:val="auto"/>
        </w:rPr>
      </w:pPr>
      <w:r>
        <w:rPr>
          <w:rFonts w:hint="eastAsia" w:ascii="宋体" w:hAnsi="宋体" w:eastAsia="宋体" w:cs="宋体"/>
          <w:color w:val="auto"/>
        </w:rPr>
        <w:t>1、请供应商根据实际情况填写，在相应的（）中打“√”，并按照本格式的要求提供相应证明材料的复印件。</w:t>
      </w:r>
    </w:p>
    <w:p w14:paraId="7C9E2203">
      <w:pPr>
        <w:pStyle w:val="17"/>
        <w:widowControl/>
        <w:spacing w:before="75" w:beforeAutospacing="0" w:after="75" w:afterAutospacing="0"/>
        <w:rPr>
          <w:color w:val="auto"/>
        </w:rPr>
      </w:pPr>
      <w:r>
        <w:rPr>
          <w:rFonts w:hint="eastAsia" w:ascii="宋体" w:hAnsi="宋体" w:eastAsia="宋体" w:cs="宋体"/>
          <w:color w:val="auto"/>
        </w:rPr>
        <w:t>2、供应商提供的税收凭据复印件应符合下列规定：</w:t>
      </w:r>
    </w:p>
    <w:p w14:paraId="6232DD81">
      <w:pPr>
        <w:pStyle w:val="17"/>
        <w:widowControl/>
        <w:spacing w:before="75" w:beforeAutospacing="0" w:after="75" w:afterAutospacing="0"/>
        <w:rPr>
          <w:color w:val="auto"/>
        </w:rPr>
      </w:pPr>
      <w:r>
        <w:rPr>
          <w:rFonts w:hint="eastAsia" w:ascii="宋体" w:hAnsi="宋体" w:eastAsia="宋体" w:cs="宋体"/>
          <w:color w:val="auto"/>
        </w:rPr>
        <w:t>2.1首次响应文件递交截止时间前（不含截止时间的当月）已依法缴纳税收的供应商，提供首次响应文件递交截止时间前六个月（不含截止时间的当月）中任一月份的税收凭据复印件。</w:t>
      </w:r>
    </w:p>
    <w:p w14:paraId="53363EFC">
      <w:pPr>
        <w:pStyle w:val="17"/>
        <w:widowControl/>
        <w:spacing w:before="75" w:beforeAutospacing="0" w:after="75" w:afterAutospacing="0"/>
        <w:rPr>
          <w:rFonts w:hint="eastAsia" w:ascii="宋体" w:hAnsi="宋体" w:eastAsia="宋体" w:cs="宋体"/>
          <w:color w:val="auto"/>
        </w:rPr>
      </w:pPr>
      <w:r>
        <w:rPr>
          <w:rFonts w:hint="eastAsia" w:ascii="宋体" w:hAnsi="宋体" w:eastAsia="宋体" w:cs="宋体"/>
          <w:color w:val="auto"/>
        </w:rPr>
        <w:t>2.2首次响应文件递交截止时间的当月成立的供应商，视同满足本项资格条件要求。</w:t>
      </w:r>
    </w:p>
    <w:p w14:paraId="616F8958">
      <w:pPr>
        <w:pStyle w:val="17"/>
        <w:widowControl/>
        <w:spacing w:before="75" w:beforeAutospacing="0" w:after="75" w:afterAutospacing="0"/>
        <w:rPr>
          <w:color w:val="auto"/>
        </w:rPr>
      </w:pPr>
      <w:r>
        <w:rPr>
          <w:rFonts w:hint="eastAsia" w:ascii="宋体" w:hAnsi="宋体" w:eastAsia="宋体" w:cs="宋体"/>
          <w:color w:val="auto"/>
        </w:rPr>
        <w:t>2.3若为依法免税范围的供应商，提供依法免税证明材料的，视同满足本项资格条件要求。</w:t>
      </w:r>
    </w:p>
    <w:p w14:paraId="649A5DF8">
      <w:pPr>
        <w:pStyle w:val="17"/>
        <w:widowControl/>
        <w:spacing w:before="75" w:beforeAutospacing="0" w:after="75" w:afterAutospacing="0"/>
        <w:rPr>
          <w:color w:val="auto"/>
        </w:rPr>
      </w:pPr>
      <w:r>
        <w:rPr>
          <w:rFonts w:hint="eastAsia" w:ascii="宋体" w:hAnsi="宋体" w:eastAsia="宋体" w:cs="宋体"/>
          <w:color w:val="auto"/>
        </w:rPr>
        <w:t>3、供应商提供的相应证明材料复印件均应符合：内容完整、清晰、整洁，并由供应商加盖其单位公章。</w:t>
      </w:r>
    </w:p>
    <w:p w14:paraId="372DDAE4">
      <w:pPr>
        <w:pStyle w:val="17"/>
        <w:widowControl/>
        <w:spacing w:before="75" w:beforeAutospacing="0" w:after="75" w:afterAutospacing="0"/>
        <w:rPr>
          <w:color w:val="auto"/>
        </w:rPr>
      </w:pPr>
      <w:r>
        <w:rPr>
          <w:rFonts w:hint="eastAsia" w:ascii="宋体" w:hAnsi="宋体" w:eastAsia="宋体" w:cs="宋体"/>
          <w:color w:val="auto"/>
        </w:rPr>
        <w:t>4、</w:t>
      </w:r>
      <w:r>
        <w:rPr>
          <w:rStyle w:val="26"/>
          <w:rFonts w:hint="eastAsia" w:ascii="宋体" w:hAnsi="宋体" w:eastAsia="宋体" w:cs="宋体"/>
          <w:bCs/>
          <w:color w:val="auto"/>
        </w:rPr>
        <w:t>“依法缴纳税收证明材料”</w:t>
      </w:r>
      <w:r>
        <w:rPr>
          <w:rFonts w:hint="eastAsia" w:ascii="宋体" w:hAnsi="宋体" w:eastAsia="宋体" w:cs="宋体"/>
          <w:color w:val="auto"/>
        </w:rPr>
        <w:t>有欠缴记录的，视为</w:t>
      </w:r>
      <w:r>
        <w:rPr>
          <w:rStyle w:val="26"/>
          <w:rFonts w:hint="eastAsia" w:ascii="宋体" w:hAnsi="宋体" w:eastAsia="宋体" w:cs="宋体"/>
          <w:bCs/>
          <w:color w:val="auto"/>
        </w:rPr>
        <w:t>未依法缴纳税收</w:t>
      </w:r>
      <w:r>
        <w:rPr>
          <w:rFonts w:hint="eastAsia" w:ascii="宋体" w:hAnsi="宋体" w:eastAsia="宋体" w:cs="宋体"/>
          <w:color w:val="auto"/>
        </w:rPr>
        <w:t>。</w:t>
      </w:r>
    </w:p>
    <w:p w14:paraId="1973A920">
      <w:pPr>
        <w:pStyle w:val="17"/>
        <w:widowControl/>
        <w:spacing w:before="75" w:beforeAutospacing="0" w:after="75" w:afterAutospacing="0" w:line="315" w:lineRule="atLeast"/>
        <w:rPr>
          <w:color w:val="auto"/>
        </w:rPr>
      </w:pPr>
      <w:r>
        <w:rPr>
          <w:rFonts w:hint="eastAsia" w:ascii="宋体" w:hAnsi="宋体" w:eastAsia="宋体" w:cs="宋体"/>
          <w:color w:val="auto"/>
        </w:rPr>
        <w:t>5、对于接受联合体形式的磋商且供应商是联合体的，则联合体各成员都应当提交本资格证明文件。</w:t>
      </w:r>
    </w:p>
    <w:p w14:paraId="1A0533A6">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0B06A095">
      <w:pPr>
        <w:pStyle w:val="17"/>
        <w:widowControl/>
        <w:spacing w:before="75" w:beforeAutospacing="0" w:after="75" w:afterAutospacing="0" w:line="435" w:lineRule="atLeast"/>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0462B5CB">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2D1A01AE">
      <w:pPr>
        <w:pStyle w:val="17"/>
        <w:widowControl/>
        <w:spacing w:before="75" w:beforeAutospacing="0" w:after="75" w:afterAutospacing="0"/>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205B7AD4">
      <w:pPr>
        <w:pStyle w:val="17"/>
        <w:widowControl/>
        <w:spacing w:before="75" w:beforeAutospacing="0" w:after="75" w:afterAutospacing="0" w:line="435" w:lineRule="atLeast"/>
        <w:rPr>
          <w:color w:val="auto"/>
        </w:rPr>
      </w:pPr>
      <w:r>
        <w:rPr>
          <w:rFonts w:hint="eastAsia" w:ascii="宋体" w:hAnsi="宋体" w:eastAsia="宋体" w:cs="宋体"/>
          <w:color w:val="auto"/>
        </w:rPr>
        <w:t>附件3-7       </w:t>
      </w:r>
      <w:r>
        <w:rPr>
          <w:rStyle w:val="26"/>
          <w:rFonts w:hint="eastAsia" w:ascii="宋体" w:hAnsi="宋体" w:eastAsia="宋体" w:cs="宋体"/>
          <w:bCs/>
          <w:color w:val="auto"/>
        </w:rPr>
        <w:t>依法缴纳社会保障资金证明材料</w:t>
      </w:r>
    </w:p>
    <w:p w14:paraId="2D11535F">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08E492FD">
      <w:pPr>
        <w:pStyle w:val="17"/>
        <w:widowControl/>
        <w:spacing w:before="75" w:beforeAutospacing="0" w:after="75" w:afterAutospacing="0" w:line="435" w:lineRule="atLeast"/>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       </w:t>
      </w:r>
    </w:p>
    <w:p w14:paraId="0C69C12A">
      <w:pPr>
        <w:pStyle w:val="17"/>
        <w:widowControl/>
        <w:spacing w:before="75" w:beforeAutospacing="0" w:after="75" w:afterAutospacing="0"/>
        <w:ind w:firstLine="480"/>
        <w:rPr>
          <w:color w:val="auto"/>
        </w:rPr>
      </w:pPr>
      <w:r>
        <w:rPr>
          <w:rStyle w:val="26"/>
          <w:rFonts w:hint="eastAsia" w:ascii="宋体" w:hAnsi="宋体" w:eastAsia="宋体" w:cs="宋体"/>
          <w:bCs/>
          <w:color w:val="auto"/>
        </w:rPr>
        <w:t>1、依法缴纳社会保障资金的供应商</w:t>
      </w:r>
    </w:p>
    <w:p w14:paraId="648F808E">
      <w:pPr>
        <w:pStyle w:val="17"/>
        <w:widowControl/>
        <w:spacing w:before="75" w:beforeAutospacing="0" w:after="75" w:afterAutospacing="0"/>
        <w:ind w:firstLine="420"/>
        <w:rPr>
          <w:color w:val="auto"/>
        </w:rPr>
      </w:pPr>
      <w:r>
        <w:rPr>
          <w:rFonts w:hint="eastAsia" w:ascii="宋体" w:hAnsi="宋体" w:eastAsia="宋体" w:cs="宋体"/>
          <w:color w:val="auto"/>
        </w:rPr>
        <w:t>（ ）法人（包括企业、事业单位和社会团体）的</w:t>
      </w:r>
    </w:p>
    <w:p w14:paraId="2DDB0849">
      <w:pPr>
        <w:pStyle w:val="17"/>
        <w:widowControl/>
        <w:spacing w:before="75" w:beforeAutospacing="0" w:after="75" w:afterAutospacing="0"/>
        <w:ind w:firstLine="420"/>
        <w:rPr>
          <w:color w:val="auto"/>
        </w:rPr>
      </w:pPr>
      <w:r>
        <w:rPr>
          <w:rFonts w:hint="eastAsia" w:ascii="宋体" w:hAnsi="宋体" w:eastAsia="宋体" w:cs="宋体"/>
          <w:color w:val="auto"/>
        </w:rPr>
        <w:t>现附上自</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日至</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日我方缴纳的社会保险凭据（限：税务机关/社会保障资金管理机关的专用收据或社会保险缴纳清单，或社会保险的银行缴款收讫凭证）复印件，上述证明材料真实有效，否则我方负全部责任。</w:t>
      </w:r>
    </w:p>
    <w:p w14:paraId="17BF4027">
      <w:pPr>
        <w:pStyle w:val="17"/>
        <w:widowControl/>
        <w:spacing w:before="75" w:beforeAutospacing="0" w:after="75" w:afterAutospacing="0"/>
        <w:ind w:firstLine="420"/>
        <w:rPr>
          <w:color w:val="auto"/>
        </w:rPr>
      </w:pPr>
      <w:r>
        <w:rPr>
          <w:rFonts w:hint="eastAsia" w:ascii="宋体" w:hAnsi="宋体" w:eastAsia="宋体" w:cs="宋体"/>
          <w:color w:val="auto"/>
        </w:rPr>
        <w:t>（ ）非法人（包括其他组织、自然人）的</w:t>
      </w:r>
    </w:p>
    <w:p w14:paraId="13BAFE1C">
      <w:pPr>
        <w:pStyle w:val="17"/>
        <w:widowControl/>
        <w:spacing w:before="75" w:beforeAutospacing="0" w:after="75" w:afterAutospacing="0"/>
        <w:ind w:firstLine="420"/>
        <w:rPr>
          <w:color w:val="auto"/>
        </w:rPr>
      </w:pPr>
      <w:r>
        <w:rPr>
          <w:rFonts w:hint="eastAsia" w:ascii="宋体" w:hAnsi="宋体" w:eastAsia="宋体" w:cs="宋体"/>
          <w:color w:val="auto"/>
        </w:rPr>
        <w:t>自</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日至</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日我方缴纳的社会保险凭据（限：税务机关/社会保障资金管理机关的专用收据或社会保险缴纳清单，或社会保险的银行缴款收讫凭证）复印件，上述证明材料真实有效，否则我方负全部责任。</w:t>
      </w:r>
    </w:p>
    <w:p w14:paraId="068BE277">
      <w:pPr>
        <w:pStyle w:val="17"/>
        <w:widowControl/>
        <w:spacing w:before="75" w:beforeAutospacing="0" w:after="75" w:afterAutospacing="0"/>
        <w:ind w:firstLine="480"/>
        <w:rPr>
          <w:color w:val="auto"/>
        </w:rPr>
      </w:pPr>
      <w:r>
        <w:rPr>
          <w:rStyle w:val="26"/>
          <w:rFonts w:hint="eastAsia" w:ascii="宋体" w:hAnsi="宋体" w:eastAsia="宋体" w:cs="宋体"/>
          <w:bCs/>
          <w:color w:val="auto"/>
        </w:rPr>
        <w:t>2、依法不需要缴纳社会保障资金的供应商</w:t>
      </w:r>
    </w:p>
    <w:p w14:paraId="0F524914">
      <w:pPr>
        <w:pStyle w:val="17"/>
        <w:widowControl/>
        <w:spacing w:before="75" w:beforeAutospacing="0" w:after="75" w:afterAutospacing="0"/>
        <w:ind w:firstLine="420"/>
        <w:rPr>
          <w:color w:val="auto"/>
        </w:rPr>
      </w:pPr>
      <w:r>
        <w:rPr>
          <w:rFonts w:hint="eastAsia" w:ascii="宋体" w:hAnsi="宋体" w:eastAsia="宋体" w:cs="宋体"/>
          <w:color w:val="auto"/>
        </w:rPr>
        <w:t>（ ）现附上我方依法不需要缴纳社会保障资金证明材料复印件，上述证明材料真实有效，否则我方负全部责任。</w:t>
      </w:r>
    </w:p>
    <w:p w14:paraId="4A4D892C">
      <w:pPr>
        <w:pStyle w:val="17"/>
        <w:widowControl/>
        <w:spacing w:beforeAutospacing="0" w:afterAutospacing="0" w:line="285" w:lineRule="atLeast"/>
        <w:rPr>
          <w:color w:val="auto"/>
        </w:rPr>
      </w:pPr>
      <w:r>
        <w:rPr>
          <w:rFonts w:hint="eastAsia" w:ascii="宋体" w:hAnsi="宋体" w:eastAsia="宋体" w:cs="宋体"/>
          <w:color w:val="auto"/>
        </w:rPr>
        <w:t> </w:t>
      </w:r>
    </w:p>
    <w:p w14:paraId="1CF5E069">
      <w:pPr>
        <w:pStyle w:val="17"/>
        <w:widowControl/>
        <w:spacing w:beforeAutospacing="0" w:afterAutospacing="0" w:line="285" w:lineRule="atLeast"/>
        <w:rPr>
          <w:color w:val="auto"/>
        </w:rPr>
      </w:pPr>
      <w:r>
        <w:rPr>
          <w:rFonts w:hint="eastAsia" w:ascii="宋体" w:hAnsi="宋体" w:eastAsia="宋体" w:cs="宋体"/>
          <w:color w:val="auto"/>
          <w:sz w:val="21"/>
          <w:szCs w:val="21"/>
        </w:rPr>
        <w:t>★注意：</w:t>
      </w:r>
    </w:p>
    <w:p w14:paraId="2039EE43">
      <w:pPr>
        <w:pStyle w:val="17"/>
        <w:widowControl/>
        <w:spacing w:beforeAutospacing="0" w:afterAutospacing="0" w:line="285" w:lineRule="atLeast"/>
        <w:rPr>
          <w:color w:val="auto"/>
        </w:rPr>
      </w:pPr>
      <w:r>
        <w:rPr>
          <w:rFonts w:hint="eastAsia" w:ascii="宋体" w:hAnsi="宋体" w:eastAsia="宋体" w:cs="宋体"/>
          <w:color w:val="auto"/>
        </w:rPr>
        <w:t>1、请供应商根据实际情况填写，在相应的（）中打“√”，并按照本格式的要求提供相应证明材料的复印件。</w:t>
      </w:r>
    </w:p>
    <w:p w14:paraId="5551416F">
      <w:pPr>
        <w:pStyle w:val="17"/>
        <w:widowControl/>
        <w:spacing w:beforeAutospacing="0" w:afterAutospacing="0" w:line="285" w:lineRule="atLeast"/>
        <w:rPr>
          <w:color w:val="auto"/>
        </w:rPr>
      </w:pPr>
      <w:r>
        <w:rPr>
          <w:rFonts w:hint="eastAsia" w:ascii="宋体" w:hAnsi="宋体" w:eastAsia="宋体" w:cs="宋体"/>
          <w:color w:val="auto"/>
        </w:rPr>
        <w:t>2、供应商提供的社会保险凭据复印件应符合下列规定：</w:t>
      </w:r>
    </w:p>
    <w:p w14:paraId="65FD0F8B">
      <w:pPr>
        <w:pStyle w:val="17"/>
        <w:widowControl/>
        <w:spacing w:beforeAutospacing="0" w:afterAutospacing="0" w:line="285" w:lineRule="atLeast"/>
        <w:rPr>
          <w:color w:val="auto"/>
        </w:rPr>
      </w:pPr>
      <w:r>
        <w:rPr>
          <w:rFonts w:hint="eastAsia" w:ascii="宋体" w:hAnsi="宋体" w:eastAsia="宋体" w:cs="宋体"/>
          <w:color w:val="auto"/>
        </w:rPr>
        <w:t>2.1首次响应文件递交截止时间前（不含截止时间的当月）已依法缴纳社会保障资金的投供应商，提供首次响应文件递交截止时间前六个月（不含截止时间的当月）中任一月份的社会保险凭据复印件。</w:t>
      </w:r>
    </w:p>
    <w:p w14:paraId="17BA8B2A">
      <w:pPr>
        <w:pStyle w:val="17"/>
        <w:widowControl/>
        <w:spacing w:beforeAutospacing="0" w:afterAutospacing="0" w:line="285" w:lineRule="atLeast"/>
        <w:rPr>
          <w:rFonts w:hint="eastAsia" w:ascii="宋体" w:hAnsi="宋体" w:eastAsia="宋体" w:cs="宋体"/>
          <w:color w:val="auto"/>
        </w:rPr>
      </w:pPr>
      <w:r>
        <w:rPr>
          <w:rFonts w:hint="eastAsia" w:ascii="宋体" w:hAnsi="宋体" w:eastAsia="宋体" w:cs="宋体"/>
          <w:color w:val="auto"/>
        </w:rPr>
        <w:t>2.2首次响应文件递交截止时间的当月成立的供应商，视同满足本项资格条件要求。</w:t>
      </w:r>
    </w:p>
    <w:p w14:paraId="28FCBCA7">
      <w:pPr>
        <w:pStyle w:val="17"/>
        <w:widowControl/>
        <w:spacing w:beforeAutospacing="0" w:afterAutospacing="0" w:line="285" w:lineRule="atLeast"/>
        <w:rPr>
          <w:color w:val="auto"/>
        </w:rPr>
      </w:pPr>
      <w:r>
        <w:rPr>
          <w:rFonts w:hint="eastAsia" w:ascii="宋体" w:hAnsi="宋体" w:eastAsia="宋体" w:cs="宋体"/>
          <w:color w:val="auto"/>
        </w:rPr>
        <w:t>2.3若为依法不需要缴纳或暂缓缴纳社会保障资金的供应商，提供依法不需要缴纳或暂缓缴纳社会保障资金证明材料的，视同满足本项资格条件要求。。</w:t>
      </w:r>
    </w:p>
    <w:p w14:paraId="16D8E96E">
      <w:pPr>
        <w:pStyle w:val="17"/>
        <w:widowControl/>
        <w:spacing w:beforeAutospacing="0" w:afterAutospacing="0" w:line="285" w:lineRule="atLeast"/>
        <w:rPr>
          <w:color w:val="auto"/>
        </w:rPr>
      </w:pPr>
      <w:r>
        <w:rPr>
          <w:rFonts w:hint="eastAsia" w:ascii="宋体" w:hAnsi="宋体" w:eastAsia="宋体" w:cs="宋体"/>
          <w:color w:val="auto"/>
        </w:rPr>
        <w:t>3、供应商提供的相应证明材料复印件均应符合：内容完整、清晰、整洁，并由供应商加盖其单位公章。</w:t>
      </w:r>
    </w:p>
    <w:p w14:paraId="2C8BD424">
      <w:pPr>
        <w:pStyle w:val="17"/>
        <w:widowControl/>
        <w:spacing w:beforeAutospacing="0" w:afterAutospacing="0" w:line="285" w:lineRule="atLeast"/>
        <w:rPr>
          <w:color w:val="auto"/>
        </w:rPr>
      </w:pPr>
      <w:r>
        <w:rPr>
          <w:rFonts w:hint="eastAsia" w:ascii="宋体" w:hAnsi="宋体" w:eastAsia="宋体" w:cs="宋体"/>
          <w:color w:val="auto"/>
        </w:rPr>
        <w:t>4、“</w:t>
      </w:r>
      <w:r>
        <w:rPr>
          <w:rStyle w:val="26"/>
          <w:rFonts w:hint="eastAsia" w:ascii="宋体" w:hAnsi="宋体" w:eastAsia="宋体" w:cs="宋体"/>
          <w:bCs/>
          <w:color w:val="auto"/>
        </w:rPr>
        <w:t>依法缴纳社会保障资金证明材料</w:t>
      </w:r>
      <w:r>
        <w:rPr>
          <w:rFonts w:hint="eastAsia" w:ascii="宋体" w:hAnsi="宋体" w:eastAsia="宋体" w:cs="宋体"/>
          <w:color w:val="auto"/>
        </w:rPr>
        <w:t>”有欠缴记录的，视为</w:t>
      </w:r>
      <w:r>
        <w:rPr>
          <w:rStyle w:val="26"/>
          <w:rFonts w:hint="eastAsia" w:ascii="宋体" w:hAnsi="宋体" w:eastAsia="宋体" w:cs="宋体"/>
          <w:bCs/>
          <w:color w:val="auto"/>
        </w:rPr>
        <w:t>未依法缴纳社会保障资金</w:t>
      </w:r>
      <w:r>
        <w:rPr>
          <w:rFonts w:hint="eastAsia" w:ascii="宋体" w:hAnsi="宋体" w:eastAsia="宋体" w:cs="宋体"/>
          <w:color w:val="auto"/>
        </w:rPr>
        <w:t>。</w:t>
      </w:r>
    </w:p>
    <w:p w14:paraId="729DC1D5">
      <w:pPr>
        <w:pStyle w:val="17"/>
        <w:widowControl/>
        <w:spacing w:before="75" w:beforeAutospacing="0" w:after="75" w:afterAutospacing="0" w:line="285" w:lineRule="atLeast"/>
        <w:rPr>
          <w:color w:val="auto"/>
        </w:rPr>
      </w:pPr>
      <w:r>
        <w:rPr>
          <w:rFonts w:hint="eastAsia" w:ascii="宋体" w:hAnsi="宋体" w:eastAsia="宋体" w:cs="宋体"/>
          <w:color w:val="auto"/>
        </w:rPr>
        <w:t>5、对于接受联合体形式的磋商且供应商是联合体的，则联合体各成员都应当提交本资格证明文件。</w:t>
      </w:r>
    </w:p>
    <w:p w14:paraId="784059DA">
      <w:pPr>
        <w:pStyle w:val="17"/>
        <w:widowControl/>
        <w:spacing w:beforeAutospacing="0" w:afterAutospacing="0" w:line="285" w:lineRule="atLeast"/>
        <w:rPr>
          <w:color w:val="auto"/>
        </w:rPr>
      </w:pPr>
      <w:r>
        <w:rPr>
          <w:rFonts w:hint="eastAsia" w:ascii="宋体" w:hAnsi="宋体" w:eastAsia="宋体" w:cs="宋体"/>
          <w:color w:val="auto"/>
        </w:rPr>
        <w:t> </w:t>
      </w:r>
    </w:p>
    <w:p w14:paraId="25E0A720">
      <w:pPr>
        <w:pStyle w:val="17"/>
        <w:widowControl/>
        <w:spacing w:beforeAutospacing="0" w:afterAutospacing="0" w:line="285" w:lineRule="atLeast"/>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2C43ABD2">
      <w:pPr>
        <w:pStyle w:val="17"/>
        <w:widowControl/>
        <w:spacing w:before="75" w:beforeAutospacing="0" w:after="75" w:afterAutospacing="0" w:line="28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13115B84">
      <w:pPr>
        <w:pStyle w:val="17"/>
        <w:widowControl/>
        <w:spacing w:beforeAutospacing="0" w:afterAutospacing="0" w:line="28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578AEA68">
      <w:pPr>
        <w:pStyle w:val="17"/>
        <w:widowControl/>
        <w:spacing w:before="75" w:beforeAutospacing="0" w:after="75" w:afterAutospacing="0" w:line="435" w:lineRule="atLeast"/>
        <w:rPr>
          <w:rFonts w:hint="eastAsia" w:ascii="宋体" w:hAnsi="宋体" w:eastAsia="宋体" w:cs="宋体"/>
          <w:color w:val="auto"/>
        </w:rPr>
      </w:pPr>
    </w:p>
    <w:p w14:paraId="64FD0744">
      <w:pPr>
        <w:pStyle w:val="17"/>
        <w:widowControl/>
        <w:spacing w:before="75" w:beforeAutospacing="0" w:after="75" w:afterAutospacing="0" w:line="435" w:lineRule="atLeast"/>
        <w:rPr>
          <w:rFonts w:hint="eastAsia" w:ascii="宋体" w:hAnsi="宋体" w:eastAsia="宋体" w:cs="宋体"/>
          <w:color w:val="auto"/>
        </w:rPr>
      </w:pPr>
    </w:p>
    <w:p w14:paraId="468B069D">
      <w:pPr>
        <w:pStyle w:val="17"/>
        <w:widowControl/>
        <w:spacing w:before="75" w:beforeAutospacing="0" w:after="75" w:afterAutospacing="0" w:line="435" w:lineRule="atLeast"/>
        <w:rPr>
          <w:color w:val="auto"/>
        </w:rPr>
      </w:pPr>
      <w:r>
        <w:rPr>
          <w:rFonts w:hint="eastAsia" w:ascii="宋体" w:hAnsi="宋体" w:eastAsia="宋体" w:cs="宋体"/>
          <w:color w:val="auto"/>
        </w:rPr>
        <w:t>附件3-8   </w:t>
      </w:r>
      <w:r>
        <w:rPr>
          <w:rStyle w:val="26"/>
          <w:rFonts w:hint="eastAsia" w:ascii="宋体" w:hAnsi="宋体" w:eastAsia="宋体" w:cs="宋体"/>
          <w:bCs/>
          <w:color w:val="auto"/>
        </w:rPr>
        <w:t>具备履行合同所必需设备和专业技术能力证明材料</w:t>
      </w:r>
    </w:p>
    <w:p w14:paraId="02F02937">
      <w:pPr>
        <w:pStyle w:val="37"/>
        <w:keepNext w:val="0"/>
        <w:keepLines w:val="0"/>
        <w:pageBreakBefore w:val="0"/>
        <w:kinsoku/>
        <w:wordWrap/>
        <w:overflowPunct/>
        <w:topLinePunct w:val="0"/>
        <w:autoSpaceDE/>
        <w:autoSpaceDN/>
        <w:bidi w:val="0"/>
        <w:adjustRightInd/>
        <w:snapToGrid/>
        <w:spacing w:line="400" w:lineRule="exact"/>
        <w:jc w:val="center"/>
        <w:outlineLvl w:val="3"/>
        <w:rPr>
          <w:color w:val="auto"/>
        </w:rPr>
      </w:pPr>
      <w:r>
        <w:rPr>
          <w:b/>
          <w:color w:val="auto"/>
          <w:sz w:val="24"/>
        </w:rPr>
        <w:t>声明函</w:t>
      </w:r>
    </w:p>
    <w:p w14:paraId="61ACD7FC">
      <w:pPr>
        <w:pStyle w:val="17"/>
        <w:widowControl/>
        <w:spacing w:before="75" w:beforeAutospacing="0" w:after="75" w:afterAutospacing="0" w:line="435" w:lineRule="atLeast"/>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       </w:t>
      </w:r>
    </w:p>
    <w:p w14:paraId="2644914C">
      <w:pPr>
        <w:pStyle w:val="17"/>
        <w:widowControl/>
        <w:spacing w:before="75" w:beforeAutospacing="0" w:after="75" w:afterAutospacing="0"/>
        <w:ind w:firstLine="480"/>
        <w:rPr>
          <w:color w:val="auto"/>
        </w:rPr>
      </w:pPr>
      <w:r>
        <w:rPr>
          <w:rFonts w:hint="eastAsia" w:ascii="宋体" w:hAnsi="宋体" w:eastAsia="宋体" w:cs="宋体"/>
          <w:color w:val="auto"/>
        </w:rPr>
        <w:t>我方具备履行合同所必需的设备和专业技术能力，并对本声明承诺的真实性负责，否则产生不利后果由我方承担责任。</w:t>
      </w:r>
    </w:p>
    <w:p w14:paraId="52E2F0C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特此声明。</w:t>
      </w:r>
    </w:p>
    <w:p w14:paraId="32F60E5B">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1001CDDE">
      <w:pPr>
        <w:pStyle w:val="17"/>
        <w:widowControl/>
        <w:spacing w:before="75" w:beforeAutospacing="0" w:after="75" w:afterAutospacing="0" w:line="435" w:lineRule="atLeast"/>
        <w:rPr>
          <w:color w:val="auto"/>
        </w:rPr>
      </w:pPr>
      <w:r>
        <w:rPr>
          <w:rFonts w:hint="eastAsia" w:ascii="宋体" w:hAnsi="宋体" w:eastAsia="宋体" w:cs="宋体"/>
          <w:color w:val="auto"/>
        </w:rPr>
        <w:t>★注意：</w:t>
      </w:r>
    </w:p>
    <w:p w14:paraId="3164FA11">
      <w:pPr>
        <w:pStyle w:val="17"/>
        <w:widowControl/>
        <w:spacing w:before="75" w:beforeAutospacing="0" w:after="75" w:afterAutospacing="0" w:line="435" w:lineRule="atLeast"/>
        <w:ind w:firstLine="480"/>
        <w:rPr>
          <w:color w:val="auto"/>
        </w:rPr>
      </w:pPr>
      <w:r>
        <w:rPr>
          <w:rStyle w:val="26"/>
          <w:rFonts w:hint="eastAsia" w:ascii="宋体" w:hAnsi="宋体" w:eastAsia="宋体" w:cs="宋体"/>
          <w:bCs/>
          <w:color w:val="auto"/>
        </w:rPr>
        <w:t>1.磋商文件“供应商的资格”中特定资格条件如果没有特别规定，则由供应商在响应文件中按上述格式提供其具备履行合同所必需的设备和专业技术能力的声明即可，声明函应加盖供应商单位公章。</w:t>
      </w:r>
    </w:p>
    <w:p w14:paraId="17D15489">
      <w:pPr>
        <w:pStyle w:val="17"/>
        <w:widowControl/>
        <w:spacing w:before="75" w:beforeAutospacing="0" w:after="75" w:afterAutospacing="0" w:line="435" w:lineRule="atLeast"/>
        <w:ind w:firstLine="480"/>
        <w:rPr>
          <w:color w:val="auto"/>
        </w:rPr>
      </w:pPr>
      <w:r>
        <w:rPr>
          <w:rStyle w:val="26"/>
          <w:rFonts w:hint="eastAsia" w:ascii="宋体" w:hAnsi="宋体" w:eastAsia="宋体" w:cs="宋体"/>
          <w:bCs/>
          <w:color w:val="auto"/>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14:paraId="1331C130">
      <w:pPr>
        <w:pStyle w:val="17"/>
        <w:widowControl/>
        <w:spacing w:before="75" w:beforeAutospacing="0" w:after="75" w:afterAutospacing="0" w:line="435" w:lineRule="atLeast"/>
        <w:jc w:val="both"/>
        <w:rPr>
          <w:color w:val="auto"/>
        </w:rPr>
      </w:pPr>
      <w:r>
        <w:rPr>
          <w:rStyle w:val="26"/>
          <w:rFonts w:hint="eastAsia" w:ascii="宋体" w:hAnsi="宋体" w:eastAsia="宋体" w:cs="宋体"/>
          <w:bCs/>
          <w:color w:val="auto"/>
        </w:rPr>
        <w:t>  3.对于接受联合体形式的磋商且供应商是联合体的，则联合体各成员都应当提交本资格证明文件。</w:t>
      </w:r>
    </w:p>
    <w:p w14:paraId="48DD7731">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1A78722D">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w:t>
      </w:r>
    </w:p>
    <w:p w14:paraId="026D743F">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4CED9698">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60098E03">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79168850">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w:t>
      </w:r>
    </w:p>
    <w:p w14:paraId="42A918AE">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6CC9C981">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41583B6A">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6D23D1EE">
      <w:pPr>
        <w:pStyle w:val="17"/>
        <w:widowControl/>
        <w:spacing w:before="75" w:beforeAutospacing="0" w:after="75" w:afterAutospacing="0" w:line="435" w:lineRule="atLeast"/>
        <w:rPr>
          <w:rFonts w:ascii="宋体" w:hAnsi="宋体" w:eastAsia="宋体" w:cs="宋体"/>
          <w:color w:val="auto"/>
        </w:rPr>
      </w:pPr>
    </w:p>
    <w:p w14:paraId="01AEB6AA">
      <w:pPr>
        <w:pStyle w:val="17"/>
        <w:widowControl/>
        <w:spacing w:before="75" w:beforeAutospacing="0" w:after="75" w:afterAutospacing="0" w:line="435" w:lineRule="atLeast"/>
        <w:rPr>
          <w:rFonts w:hint="eastAsia" w:ascii="宋体" w:hAnsi="宋体" w:eastAsia="宋体" w:cs="宋体"/>
          <w:color w:val="auto"/>
        </w:rPr>
      </w:pPr>
    </w:p>
    <w:p w14:paraId="13F1D581">
      <w:pPr>
        <w:pStyle w:val="17"/>
        <w:widowControl/>
        <w:spacing w:before="75" w:beforeAutospacing="0" w:after="75" w:afterAutospacing="0" w:line="435" w:lineRule="atLeast"/>
        <w:rPr>
          <w:color w:val="auto"/>
        </w:rPr>
      </w:pPr>
      <w:r>
        <w:rPr>
          <w:rFonts w:hint="eastAsia" w:ascii="宋体" w:hAnsi="宋体" w:eastAsia="宋体" w:cs="宋体"/>
          <w:color w:val="auto"/>
        </w:rPr>
        <w:t>附件3-9    </w:t>
      </w:r>
      <w:r>
        <w:rPr>
          <w:rStyle w:val="26"/>
          <w:rFonts w:hint="eastAsia" w:ascii="宋体" w:hAnsi="宋体" w:eastAsia="宋体" w:cs="宋体"/>
          <w:bCs/>
          <w:color w:val="auto"/>
        </w:rPr>
        <w:t>参加采购活动前三年内在经营活动中 </w:t>
      </w:r>
    </w:p>
    <w:p w14:paraId="35E8EF0E">
      <w:pPr>
        <w:pStyle w:val="17"/>
        <w:widowControl/>
        <w:spacing w:before="75" w:beforeAutospacing="0" w:after="75" w:afterAutospacing="0" w:line="435" w:lineRule="atLeast"/>
        <w:ind w:firstLine="1935"/>
        <w:rPr>
          <w:color w:val="auto"/>
        </w:rPr>
      </w:pPr>
      <w:r>
        <w:rPr>
          <w:rStyle w:val="26"/>
          <w:rFonts w:hint="eastAsia" w:ascii="宋体" w:hAnsi="宋体" w:eastAsia="宋体" w:cs="宋体"/>
          <w:bCs/>
          <w:color w:val="auto"/>
        </w:rPr>
        <w:t>没有重大违法记录书面声明</w:t>
      </w:r>
    </w:p>
    <w:p w14:paraId="77083ACF">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501EA8E5">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致：（采购人或采购代理机构）</w:t>
      </w:r>
    </w:p>
    <w:p w14:paraId="50084B24">
      <w:pPr>
        <w:pStyle w:val="17"/>
        <w:widowControl/>
        <w:spacing w:before="75" w:beforeAutospacing="0" w:after="75" w:afterAutospacing="0" w:line="435" w:lineRule="atLeast"/>
        <w:ind w:firstLine="720" w:firstLineChars="300"/>
        <w:rPr>
          <w:rFonts w:hint="eastAsia" w:ascii="宋体" w:hAnsi="宋体" w:eastAsia="宋体" w:cs="宋体"/>
          <w:color w:val="auto"/>
          <w:lang w:eastAsia="zh-CN"/>
        </w:rPr>
      </w:pPr>
      <w:r>
        <w:rPr>
          <w:rFonts w:hint="eastAsia" w:ascii="宋体" w:hAnsi="宋体" w:eastAsia="宋体" w:cs="宋体"/>
          <w:color w:val="auto"/>
        </w:rPr>
        <w:t>参加采购活动前三年内，我方在经营活动中没有重大违法记录，即没有因违法经营受到刑事处罚或责令停产停业、吊销许可证或执照、较大数额罚款等行政处罚。否则产生不利后果由我方承担责任。</w:t>
      </w:r>
    </w:p>
    <w:p w14:paraId="138733AB">
      <w:pPr>
        <w:pStyle w:val="30"/>
        <w:rPr>
          <w:rFonts w:hint="eastAsia"/>
          <w:color w:val="auto"/>
          <w:lang w:eastAsia="zh-CN"/>
        </w:rPr>
      </w:pPr>
    </w:p>
    <w:p w14:paraId="65D1627E">
      <w:pPr>
        <w:pStyle w:val="17"/>
        <w:widowControl/>
        <w:spacing w:before="75" w:beforeAutospacing="0" w:after="75" w:afterAutospacing="0" w:line="435" w:lineRule="atLeast"/>
        <w:rPr>
          <w:rFonts w:hint="eastAsia" w:ascii="宋体" w:hAnsi="宋体" w:eastAsia="宋体" w:cs="宋体"/>
          <w:color w:val="auto"/>
          <w:lang w:eastAsia="zh-CN"/>
        </w:rPr>
      </w:pPr>
      <w:r>
        <w:rPr>
          <w:rFonts w:hint="eastAsia" w:ascii="宋体" w:hAnsi="宋体" w:eastAsia="宋体" w:cs="宋体"/>
          <w:color w:val="auto"/>
        </w:rPr>
        <w:t>特此申明。</w:t>
      </w:r>
    </w:p>
    <w:p w14:paraId="756581AF">
      <w:pPr>
        <w:pStyle w:val="30"/>
        <w:rPr>
          <w:rFonts w:hint="eastAsia"/>
          <w:color w:val="auto"/>
          <w:lang w:eastAsia="zh-CN"/>
        </w:rPr>
      </w:pPr>
    </w:p>
    <w:p w14:paraId="39CCA584">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供应商名称　　　　　（全称并加盖公章）</w:t>
      </w:r>
    </w:p>
    <w:p w14:paraId="23967B64">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日期：　　年　　月　　日</w:t>
      </w:r>
    </w:p>
    <w:p w14:paraId="4B01AAA2">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※注意：</w:t>
      </w:r>
    </w:p>
    <w:p w14:paraId="5DB145A5">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14E5D3DC">
      <w:pPr>
        <w:pStyle w:val="17"/>
        <w:widowControl/>
        <w:spacing w:before="75" w:beforeAutospacing="0" w:after="75" w:afterAutospacing="0" w:line="435" w:lineRule="atLeast"/>
        <w:rPr>
          <w:rFonts w:hint="eastAsia" w:ascii="宋体" w:hAnsi="宋体" w:eastAsia="宋体" w:cs="宋体"/>
          <w:color w:val="auto"/>
        </w:rPr>
      </w:pPr>
      <w:r>
        <w:rPr>
          <w:rFonts w:hint="eastAsia" w:ascii="宋体" w:hAnsi="宋体" w:eastAsia="宋体" w:cs="宋体"/>
          <w:color w:val="auto"/>
        </w:rPr>
        <w:t>2、请供应商根据实际情况如实声明，否则视为提供虚假材料。</w:t>
      </w:r>
    </w:p>
    <w:p w14:paraId="2680E8C4">
      <w:pPr>
        <w:pStyle w:val="17"/>
        <w:widowControl/>
        <w:spacing w:before="75" w:beforeAutospacing="0" w:after="75" w:afterAutospacing="0" w:line="435" w:lineRule="atLeast"/>
        <w:rPr>
          <w:rFonts w:hint="eastAsia" w:ascii="宋体" w:hAnsi="宋体" w:eastAsia="宋体" w:cs="宋体"/>
          <w:color w:val="auto"/>
          <w:lang w:eastAsia="zh-CN"/>
        </w:rPr>
      </w:pPr>
      <w:r>
        <w:rPr>
          <w:rFonts w:hint="eastAsia" w:ascii="宋体" w:hAnsi="宋体" w:eastAsia="宋体" w:cs="宋体"/>
          <w:color w:val="auto"/>
        </w:rPr>
        <w:t xml:space="preserve"> </w:t>
      </w:r>
    </w:p>
    <w:p w14:paraId="34DFCE14">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37DC238D">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31E32EEE">
      <w:pPr>
        <w:pStyle w:val="17"/>
        <w:widowControl/>
        <w:spacing w:before="75" w:beforeAutospacing="0" w:after="75" w:afterAutospacing="0" w:line="435" w:lineRule="atLeast"/>
        <w:rPr>
          <w:color w:val="auto"/>
        </w:rPr>
      </w:pPr>
      <w:r>
        <w:rPr>
          <w:color w:val="auto"/>
        </w:rPr>
        <w:t> </w:t>
      </w:r>
    </w:p>
    <w:p w14:paraId="19509B6B">
      <w:pPr>
        <w:pStyle w:val="17"/>
        <w:widowControl/>
        <w:spacing w:before="75" w:beforeAutospacing="0" w:after="75" w:afterAutospacing="0" w:line="435" w:lineRule="atLeast"/>
        <w:rPr>
          <w:rFonts w:ascii="宋体" w:hAnsi="宋体" w:eastAsia="宋体" w:cs="宋体"/>
          <w:color w:val="auto"/>
        </w:rPr>
      </w:pPr>
    </w:p>
    <w:p w14:paraId="1E88AE37">
      <w:pPr>
        <w:pStyle w:val="17"/>
        <w:widowControl/>
        <w:spacing w:before="75" w:beforeAutospacing="0" w:after="75" w:afterAutospacing="0" w:line="435" w:lineRule="atLeast"/>
        <w:rPr>
          <w:rFonts w:ascii="宋体" w:hAnsi="宋体" w:eastAsia="宋体" w:cs="宋体"/>
          <w:color w:val="auto"/>
        </w:rPr>
      </w:pPr>
    </w:p>
    <w:p w14:paraId="1508B0D5">
      <w:pPr>
        <w:rPr>
          <w:rFonts w:ascii="宋体" w:hAnsi="宋体" w:eastAsia="宋体" w:cs="宋体"/>
          <w:color w:val="auto"/>
          <w:sz w:val="24"/>
        </w:rPr>
      </w:pPr>
      <w:r>
        <w:rPr>
          <w:rFonts w:hint="eastAsia" w:ascii="宋体" w:hAnsi="宋体" w:eastAsia="宋体" w:cs="宋体"/>
          <w:color w:val="auto"/>
          <w:sz w:val="24"/>
        </w:rPr>
        <w:br w:type="page"/>
      </w:r>
    </w:p>
    <w:p w14:paraId="67BAC7E0">
      <w:pPr>
        <w:pStyle w:val="17"/>
        <w:widowControl/>
        <w:spacing w:before="75" w:beforeAutospacing="0" w:after="75" w:afterAutospacing="0" w:line="435" w:lineRule="atLeast"/>
        <w:rPr>
          <w:color w:val="auto"/>
        </w:rPr>
      </w:pPr>
      <w:r>
        <w:rPr>
          <w:rFonts w:hint="eastAsia" w:ascii="宋体" w:hAnsi="宋体" w:eastAsia="宋体" w:cs="宋体"/>
          <w:color w:val="auto"/>
        </w:rPr>
        <w:t>附件3-10       </w:t>
      </w:r>
      <w:r>
        <w:rPr>
          <w:rStyle w:val="26"/>
          <w:rFonts w:hint="eastAsia" w:ascii="宋体" w:hAnsi="宋体" w:eastAsia="宋体" w:cs="宋体"/>
          <w:bCs/>
          <w:color w:val="auto"/>
        </w:rPr>
        <w:t>信用记录查询结果</w:t>
      </w:r>
    </w:p>
    <w:p w14:paraId="03C27995">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27ECAEE4">
      <w:pPr>
        <w:pStyle w:val="17"/>
        <w:widowControl/>
        <w:spacing w:before="75" w:beforeAutospacing="0" w:after="75" w:afterAutospacing="0" w:line="435" w:lineRule="atLeast"/>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     </w:t>
      </w:r>
    </w:p>
    <w:p w14:paraId="75BCCE5B">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现附上截至</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w:t>
      </w:r>
      <w:r>
        <w:rPr>
          <w:rFonts w:hint="eastAsia" w:ascii="宋体" w:hAnsi="宋体" w:eastAsia="宋体" w:cs="宋体"/>
          <w:color w:val="auto"/>
          <w:u w:val="single"/>
        </w:rPr>
        <w:t>   </w:t>
      </w:r>
      <w:r>
        <w:rPr>
          <w:rFonts w:hint="eastAsia" w:ascii="宋体" w:hAnsi="宋体" w:eastAsia="宋体" w:cs="宋体"/>
          <w:color w:val="auto"/>
        </w:rPr>
        <w:t>时我方通过“信用中国”网站（www.creditchina.gov.cn）获取的我方信用信息查询结果</w:t>
      </w:r>
      <w:r>
        <w:rPr>
          <w:rFonts w:hint="eastAsia" w:ascii="宋体" w:hAnsi="宋体" w:eastAsia="宋体" w:cs="宋体"/>
          <w:color w:val="auto"/>
          <w:u w:val="single"/>
        </w:rPr>
        <w:t>（填写具体份数）</w:t>
      </w:r>
      <w:r>
        <w:rPr>
          <w:rFonts w:hint="eastAsia" w:ascii="宋体" w:hAnsi="宋体" w:eastAsia="宋体" w:cs="宋体"/>
          <w:color w:val="auto"/>
        </w:rPr>
        <w:t>份、通过中国政府采购网（www.ccgp.gov.cn）获取的我方信用信息查询结果</w:t>
      </w:r>
      <w:r>
        <w:rPr>
          <w:rFonts w:hint="eastAsia" w:ascii="宋体" w:hAnsi="宋体" w:eastAsia="宋体" w:cs="宋体"/>
          <w:color w:val="auto"/>
          <w:u w:val="single"/>
        </w:rPr>
        <w:t>（填写具体份数）</w:t>
      </w:r>
      <w:r>
        <w:rPr>
          <w:rFonts w:hint="eastAsia" w:ascii="宋体" w:hAnsi="宋体" w:eastAsia="宋体" w:cs="宋体"/>
          <w:color w:val="auto"/>
        </w:rPr>
        <w:t>份，上述信用信息查询结果真实有效，否则我方负全部责任。</w:t>
      </w:r>
    </w:p>
    <w:p w14:paraId="472B6D52">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632D2C7B">
      <w:pPr>
        <w:pStyle w:val="17"/>
        <w:widowControl/>
        <w:spacing w:before="75" w:beforeAutospacing="0" w:after="75" w:afterAutospacing="0" w:line="435" w:lineRule="atLeast"/>
        <w:rPr>
          <w:color w:val="auto"/>
        </w:rPr>
      </w:pPr>
      <w:r>
        <w:rPr>
          <w:rFonts w:hint="eastAsia" w:ascii="宋体" w:hAnsi="宋体" w:eastAsia="宋体" w:cs="宋体"/>
          <w:color w:val="auto"/>
        </w:rPr>
        <w:t>★注意：</w:t>
      </w:r>
    </w:p>
    <w:p w14:paraId="007909FA">
      <w:pPr>
        <w:pStyle w:val="17"/>
        <w:widowControl/>
        <w:numPr>
          <w:ilvl w:val="0"/>
          <w:numId w:val="5"/>
        </w:numPr>
        <w:spacing w:before="75" w:beforeAutospacing="0" w:after="75" w:afterAutospacing="0" w:line="435" w:lineRule="atLeast"/>
        <w:rPr>
          <w:rStyle w:val="26"/>
          <w:rFonts w:hint="eastAsia" w:ascii="宋体" w:hAnsi="宋体" w:eastAsia="宋体" w:cs="宋体"/>
          <w:bCs/>
          <w:color w:val="auto"/>
        </w:rPr>
      </w:pPr>
      <w:r>
        <w:rPr>
          <w:rFonts w:hint="eastAsia" w:ascii="宋体" w:hAnsi="宋体" w:eastAsia="宋体" w:cs="宋体"/>
          <w:color w:val="auto"/>
        </w:rPr>
        <w:t>供应商应</w:t>
      </w:r>
      <w:r>
        <w:rPr>
          <w:rStyle w:val="26"/>
          <w:rFonts w:hint="eastAsia" w:ascii="宋体" w:hAnsi="宋体" w:eastAsia="宋体" w:cs="宋体"/>
          <w:bCs/>
          <w:color w:val="auto"/>
        </w:rPr>
        <w:t>同时提供</w:t>
      </w:r>
      <w:r>
        <w:rPr>
          <w:rFonts w:hint="eastAsia" w:ascii="宋体" w:hAnsi="宋体" w:eastAsia="宋体" w:cs="宋体"/>
          <w:color w:val="auto"/>
        </w:rPr>
        <w:t>在磋商文件要求的首次响应文件递交截止时点前通过上述2个网站获取的信用信息查询结果，信用信息查询结果应为从上述网站获取的查询结果原始页面的打印件或完整截图，</w:t>
      </w:r>
      <w:r>
        <w:rPr>
          <w:rStyle w:val="26"/>
          <w:rFonts w:hint="eastAsia" w:ascii="宋体" w:hAnsi="宋体" w:eastAsia="宋体" w:cs="宋体"/>
          <w:bCs/>
          <w:color w:val="auto"/>
        </w:rPr>
        <w:t>否则其响应文件将被否决。</w:t>
      </w:r>
    </w:p>
    <w:p w14:paraId="1AEDE485">
      <w:pPr>
        <w:pStyle w:val="17"/>
        <w:widowControl/>
        <w:numPr>
          <w:ilvl w:val="0"/>
          <w:numId w:val="0"/>
        </w:numPr>
        <w:spacing w:before="75" w:beforeAutospacing="0" w:after="75" w:afterAutospacing="0" w:line="435" w:lineRule="atLeast"/>
        <w:rPr>
          <w:rStyle w:val="26"/>
          <w:rFonts w:hint="eastAsia" w:ascii="宋体" w:hAnsi="宋体" w:eastAsia="宋体" w:cs="宋体"/>
          <w:b w:val="0"/>
          <w:bCs w:val="0"/>
          <w:color w:val="auto"/>
        </w:rPr>
      </w:pPr>
      <w:r>
        <w:rPr>
          <w:rStyle w:val="26"/>
          <w:rFonts w:hint="eastAsia" w:ascii="宋体" w:hAnsi="宋体" w:eastAsia="宋体" w:cs="宋体"/>
          <w:bCs/>
          <w:color w:val="auto"/>
        </w:rPr>
        <w:t xml:space="preserve"> </w:t>
      </w:r>
      <w:r>
        <w:rPr>
          <w:rStyle w:val="26"/>
          <w:rFonts w:hint="eastAsia" w:ascii="宋体" w:hAnsi="宋体" w:eastAsia="宋体" w:cs="宋体"/>
          <w:b w:val="0"/>
          <w:bCs w:val="0"/>
          <w:color w:val="auto"/>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14:paraId="3F78FBD5">
      <w:pPr>
        <w:pStyle w:val="17"/>
        <w:widowControl/>
        <w:spacing w:before="75" w:beforeAutospacing="0" w:after="75" w:afterAutospacing="0" w:line="435" w:lineRule="atLeast"/>
        <w:rPr>
          <w:color w:val="auto"/>
        </w:rPr>
      </w:pPr>
      <w:r>
        <w:rPr>
          <w:rFonts w:hint="eastAsia" w:ascii="宋体" w:hAnsi="宋体" w:eastAsia="宋体" w:cs="宋体"/>
          <w:color w:val="auto"/>
          <w:lang w:val="en-US" w:eastAsia="zh-CN"/>
        </w:rPr>
        <w:t>3</w:t>
      </w:r>
      <w:r>
        <w:rPr>
          <w:rFonts w:hint="eastAsia" w:ascii="宋体" w:hAnsi="宋体" w:eastAsia="宋体" w:cs="宋体"/>
          <w:color w:val="auto"/>
        </w:rPr>
        <w:t>、若本项目接受联合体响应磋商且供应商为联合体，则联合体各成员均应</w:t>
      </w:r>
      <w:r>
        <w:rPr>
          <w:rStyle w:val="26"/>
          <w:rFonts w:hint="eastAsia" w:ascii="宋体" w:hAnsi="宋体" w:eastAsia="宋体" w:cs="宋体"/>
          <w:bCs/>
          <w:color w:val="auto"/>
        </w:rPr>
        <w:t>同时提供</w:t>
      </w:r>
      <w:r>
        <w:rPr>
          <w:rFonts w:hint="eastAsia" w:ascii="宋体" w:hAnsi="宋体" w:eastAsia="宋体" w:cs="宋体"/>
          <w:color w:val="auto"/>
        </w:rPr>
        <w:t>在磋商文件要求的首次响应文件截止时点前通过上述2个网站获取的联合体各方的信用信息查询结果，信用信息查询结果应为从上述网站获取的查询结果原始页面的完整截图或打印件，否则其响应文件将被否决。</w:t>
      </w:r>
    </w:p>
    <w:p w14:paraId="3C6796B8">
      <w:pPr>
        <w:pStyle w:val="17"/>
        <w:widowControl/>
        <w:spacing w:before="75" w:beforeAutospacing="0" w:after="75" w:afterAutospacing="0" w:line="435" w:lineRule="atLeast"/>
        <w:rPr>
          <w:color w:val="auto"/>
        </w:rPr>
      </w:pPr>
      <w:r>
        <w:rPr>
          <w:rFonts w:hint="eastAsia" w:ascii="宋体" w:hAnsi="宋体" w:eastAsia="宋体" w:cs="宋体"/>
          <w:color w:val="auto"/>
          <w:lang w:val="en-US" w:eastAsia="zh-CN"/>
        </w:rPr>
        <w:t>4</w:t>
      </w:r>
      <w:r>
        <w:rPr>
          <w:rFonts w:hint="eastAsia" w:ascii="宋体" w:hAnsi="宋体" w:eastAsia="宋体" w:cs="宋体"/>
          <w:color w:val="auto"/>
        </w:rPr>
        <w:t>、联合体成员存在不良信用记录的，视同联合体存在不良信用记录，</w:t>
      </w:r>
      <w:r>
        <w:rPr>
          <w:rStyle w:val="26"/>
          <w:rFonts w:hint="eastAsia" w:ascii="宋体" w:hAnsi="宋体" w:eastAsia="宋体" w:cs="宋体"/>
          <w:bCs/>
          <w:color w:val="auto"/>
        </w:rPr>
        <w:t>其响应文件将被否决。</w:t>
      </w:r>
    </w:p>
    <w:p w14:paraId="0BCEDBA1">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※除上述规定外，信用记录的其他有关规定（包括但不限于：信用信息的查询渠道及截止时点、查询记录和证据留存的具体方式、使用规则等内容）详见磋商文件第一章。 </w:t>
      </w:r>
    </w:p>
    <w:p w14:paraId="0D711508">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54DAE878">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48253BC0">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5052B376">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79942C7D">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 </w:t>
      </w:r>
    </w:p>
    <w:p w14:paraId="47B98ACA">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44E9D13F">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75B86E19">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31404BD1">
      <w:pPr>
        <w:pStyle w:val="17"/>
        <w:widowControl/>
        <w:spacing w:before="75" w:beforeAutospacing="0" w:after="75" w:afterAutospacing="0" w:line="435" w:lineRule="atLeast"/>
        <w:rPr>
          <w:rFonts w:ascii="宋体" w:hAnsi="宋体" w:eastAsia="宋体" w:cs="宋体"/>
          <w:color w:val="auto"/>
        </w:rPr>
      </w:pPr>
    </w:p>
    <w:p w14:paraId="139B1D6D">
      <w:pPr>
        <w:pStyle w:val="17"/>
        <w:widowControl/>
        <w:spacing w:before="75" w:beforeAutospacing="0" w:after="75" w:afterAutospacing="0" w:line="435" w:lineRule="atLeast"/>
        <w:rPr>
          <w:color w:val="auto"/>
        </w:rPr>
      </w:pPr>
      <w:r>
        <w:rPr>
          <w:rFonts w:hint="eastAsia" w:ascii="宋体" w:hAnsi="宋体" w:eastAsia="宋体" w:cs="宋体"/>
          <w:color w:val="auto"/>
        </w:rPr>
        <w:t>附件3-1</w:t>
      </w:r>
      <w:r>
        <w:rPr>
          <w:rFonts w:hint="eastAsia" w:ascii="宋体" w:hAnsi="宋体" w:eastAsia="宋体" w:cs="宋体"/>
          <w:color w:val="auto"/>
          <w:lang w:val="en-US" w:eastAsia="zh-CN"/>
        </w:rPr>
        <w:t>1</w:t>
      </w:r>
      <w:r>
        <w:rPr>
          <w:rFonts w:hint="eastAsia" w:ascii="宋体" w:hAnsi="宋体" w:eastAsia="宋体" w:cs="宋体"/>
          <w:color w:val="auto"/>
        </w:rPr>
        <w:t>      </w:t>
      </w:r>
      <w:r>
        <w:rPr>
          <w:rStyle w:val="26"/>
          <w:rFonts w:hint="eastAsia" w:ascii="宋体" w:hAnsi="宋体" w:eastAsia="宋体" w:cs="宋体"/>
          <w:bCs/>
          <w:color w:val="auto"/>
        </w:rPr>
        <w:t>  联合体协议</w:t>
      </w:r>
    </w:p>
    <w:p w14:paraId="68A7C06E">
      <w:pPr>
        <w:pStyle w:val="17"/>
        <w:widowControl/>
        <w:spacing w:before="75" w:beforeAutospacing="0" w:after="75" w:afterAutospacing="0" w:line="435" w:lineRule="atLeast"/>
        <w:jc w:val="center"/>
        <w:rPr>
          <w:color w:val="auto"/>
        </w:rPr>
      </w:pPr>
      <w:r>
        <w:rPr>
          <w:rStyle w:val="26"/>
          <w:rFonts w:hint="eastAsia" w:ascii="宋体" w:hAnsi="宋体" w:eastAsia="宋体" w:cs="宋体"/>
          <w:bCs/>
          <w:color w:val="auto"/>
        </w:rPr>
        <w:t>（接受联合体的项目使用）</w:t>
      </w:r>
    </w:p>
    <w:p w14:paraId="265F8C60">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11D153DF">
      <w:pPr>
        <w:pStyle w:val="17"/>
        <w:widowControl/>
        <w:spacing w:before="75" w:beforeAutospacing="0" w:after="75" w:afterAutospacing="0" w:line="435" w:lineRule="atLeast"/>
        <w:jc w:val="both"/>
        <w:rPr>
          <w:color w:val="auto"/>
        </w:rPr>
      </w:pPr>
      <w:r>
        <w:rPr>
          <w:rFonts w:hint="eastAsia" w:ascii="宋体" w:hAnsi="宋体" w:eastAsia="宋体" w:cs="宋体"/>
          <w:color w:val="auto"/>
        </w:rPr>
        <w:t>致：</w:t>
      </w:r>
      <w:r>
        <w:rPr>
          <w:rFonts w:hint="eastAsia" w:ascii="宋体" w:hAnsi="宋体" w:eastAsia="宋体" w:cs="宋体"/>
          <w:color w:val="auto"/>
          <w:u w:val="single"/>
        </w:rPr>
        <w:t>     (采购人或采购代理机构</w:t>
      </w:r>
      <w:r>
        <w:rPr>
          <w:rFonts w:ascii="Calibri" w:hAnsi="Calibri" w:cs="Calibri"/>
          <w:color w:val="auto"/>
          <w:u w:val="single"/>
        </w:rPr>
        <w:t>)    </w:t>
      </w:r>
      <w:r>
        <w:rPr>
          <w:rFonts w:hint="eastAsia" w:ascii="宋体" w:hAnsi="宋体" w:eastAsia="宋体" w:cs="宋体"/>
          <w:color w:val="auto"/>
        </w:rPr>
        <w:t> </w:t>
      </w:r>
    </w:p>
    <w:p w14:paraId="4C2E88C3">
      <w:pPr>
        <w:pStyle w:val="17"/>
        <w:widowControl/>
        <w:spacing w:before="75" w:beforeAutospacing="0" w:after="75" w:afterAutospacing="0" w:line="435" w:lineRule="atLeast"/>
        <w:jc w:val="both"/>
        <w:rPr>
          <w:color w:val="auto"/>
        </w:rPr>
      </w:pPr>
      <w:r>
        <w:rPr>
          <w:rFonts w:hint="eastAsia" w:ascii="宋体" w:hAnsi="宋体" w:eastAsia="宋体" w:cs="宋体"/>
          <w:color w:val="auto"/>
        </w:rPr>
        <w:t>    兹有（</w:t>
      </w:r>
      <w:r>
        <w:rPr>
          <w:rFonts w:hint="eastAsia" w:ascii="宋体" w:hAnsi="宋体" w:eastAsia="宋体" w:cs="宋体"/>
          <w:color w:val="auto"/>
          <w:u w:val="single"/>
        </w:rPr>
        <w:t>填写“联合体中各方的全称”，各方的全称之间请用“、”分割</w:t>
      </w:r>
      <w:r>
        <w:rPr>
          <w:rFonts w:hint="eastAsia" w:ascii="宋体" w:hAnsi="宋体" w:eastAsia="宋体" w:cs="宋体"/>
          <w:color w:val="auto"/>
        </w:rPr>
        <w:t>）自愿组成联合体，共同参加（填写</w:t>
      </w:r>
      <w:r>
        <w:rPr>
          <w:rFonts w:hint="eastAsia" w:ascii="宋体" w:hAnsi="宋体" w:eastAsia="宋体" w:cs="宋体"/>
          <w:color w:val="auto"/>
          <w:u w:val="single"/>
        </w:rPr>
        <w:t>         “项目名称”           </w:t>
      </w:r>
      <w:r>
        <w:rPr>
          <w:rFonts w:hint="eastAsia" w:ascii="宋体" w:hAnsi="宋体" w:eastAsia="宋体" w:cs="宋体"/>
          <w:color w:val="auto"/>
        </w:rPr>
        <w:t>） 项目（项目编号：</w:t>
      </w:r>
      <w:r>
        <w:rPr>
          <w:rFonts w:hint="eastAsia" w:ascii="宋体" w:hAnsi="宋体" w:eastAsia="宋体" w:cs="宋体"/>
          <w:color w:val="auto"/>
          <w:u w:val="single"/>
        </w:rPr>
        <w:t>         </w:t>
      </w:r>
      <w:r>
        <w:rPr>
          <w:rFonts w:hint="eastAsia" w:ascii="宋体" w:hAnsi="宋体" w:eastAsia="宋体" w:cs="宋体"/>
          <w:color w:val="auto"/>
        </w:rPr>
        <w:t>）的响应磋商。现就联合体参加本项目响应磋商的有关事宜达成下列协议：</w:t>
      </w:r>
    </w:p>
    <w:p w14:paraId="36D08FB5">
      <w:pPr>
        <w:pStyle w:val="17"/>
        <w:widowControl/>
        <w:spacing w:before="75" w:beforeAutospacing="0" w:after="75" w:afterAutospacing="0" w:line="435" w:lineRule="atLeast"/>
        <w:jc w:val="both"/>
        <w:rPr>
          <w:rFonts w:ascii="宋体" w:hAnsi="宋体" w:eastAsia="宋体" w:cs="宋体"/>
          <w:color w:val="auto"/>
        </w:rPr>
      </w:pPr>
      <w:r>
        <w:rPr>
          <w:rFonts w:hint="eastAsia" w:ascii="宋体" w:hAnsi="宋体" w:eastAsia="宋体" w:cs="宋体"/>
          <w:color w:val="auto"/>
        </w:rPr>
        <w:t>一、联合体各方应承担的工作和义务具体如下：</w:t>
      </w:r>
    </w:p>
    <w:p w14:paraId="402C2EF3">
      <w:pPr>
        <w:pStyle w:val="17"/>
        <w:widowControl/>
        <w:spacing w:before="75" w:beforeAutospacing="0" w:after="75" w:afterAutospacing="0" w:line="435" w:lineRule="atLeast"/>
        <w:jc w:val="both"/>
        <w:rPr>
          <w:color w:val="auto"/>
        </w:rPr>
      </w:pPr>
      <w:r>
        <w:rPr>
          <w:rFonts w:hint="eastAsia" w:ascii="宋体" w:hAnsi="宋体" w:eastAsia="宋体" w:cs="宋体"/>
          <w:color w:val="auto"/>
        </w:rPr>
        <w:t>1联合体牵头方单位名称：  </w:t>
      </w:r>
    </w:p>
    <w:p w14:paraId="64F534A0">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u w:val="single"/>
        </w:rPr>
        <w:t>      （填写“工作及义务的具体内容”）          </w:t>
      </w:r>
      <w:r>
        <w:rPr>
          <w:rFonts w:hint="eastAsia" w:ascii="宋体" w:hAnsi="宋体" w:eastAsia="宋体" w:cs="宋体"/>
          <w:color w:val="auto"/>
        </w:rPr>
        <w:t> ；</w:t>
      </w:r>
    </w:p>
    <w:p w14:paraId="064895E3">
      <w:pPr>
        <w:pStyle w:val="17"/>
        <w:widowControl/>
        <w:spacing w:before="75" w:beforeAutospacing="0" w:after="75" w:afterAutospacing="0" w:line="435" w:lineRule="atLeast"/>
        <w:jc w:val="both"/>
        <w:rPr>
          <w:color w:val="auto"/>
        </w:rPr>
      </w:pPr>
      <w:r>
        <w:rPr>
          <w:rFonts w:hint="eastAsia" w:ascii="宋体" w:hAnsi="宋体" w:eastAsia="宋体" w:cs="宋体"/>
          <w:color w:val="auto"/>
        </w:rPr>
        <w:t>2、联合体成员方单位名称：                       </w:t>
      </w:r>
    </w:p>
    <w:p w14:paraId="1ADF5A78">
      <w:pPr>
        <w:pStyle w:val="17"/>
        <w:widowControl/>
        <w:spacing w:before="75" w:beforeAutospacing="0" w:after="75" w:afterAutospacing="0" w:line="435" w:lineRule="atLeast"/>
        <w:ind w:firstLine="480"/>
        <w:jc w:val="both"/>
        <w:rPr>
          <w:rFonts w:ascii="宋体" w:hAnsi="宋体" w:eastAsia="宋体" w:cs="宋体"/>
          <w:color w:val="auto"/>
        </w:rPr>
      </w:pPr>
      <w:r>
        <w:rPr>
          <w:rFonts w:hint="eastAsia" w:ascii="宋体" w:hAnsi="宋体" w:eastAsia="宋体" w:cs="宋体"/>
          <w:color w:val="auto"/>
        </w:rPr>
        <w:t>2.1（成员一的全称）：</w:t>
      </w:r>
      <w:r>
        <w:rPr>
          <w:rFonts w:hint="eastAsia" w:ascii="宋体" w:hAnsi="宋体" w:eastAsia="宋体" w:cs="宋体"/>
          <w:color w:val="auto"/>
          <w:u w:val="single"/>
        </w:rPr>
        <w:t> （填写“工作及义务的具体内容”）      </w:t>
      </w:r>
      <w:r>
        <w:rPr>
          <w:rFonts w:hint="eastAsia" w:ascii="宋体" w:hAnsi="宋体" w:eastAsia="宋体" w:cs="宋体"/>
          <w:color w:val="auto"/>
        </w:rPr>
        <w:t>；  </w:t>
      </w:r>
    </w:p>
    <w:p w14:paraId="61A4DA1D">
      <w:pPr>
        <w:pStyle w:val="17"/>
        <w:widowControl/>
        <w:spacing w:before="75" w:beforeAutospacing="0" w:after="75" w:afterAutospacing="0" w:line="435" w:lineRule="atLeast"/>
        <w:ind w:firstLine="480"/>
        <w:jc w:val="both"/>
        <w:rPr>
          <w:color w:val="auto"/>
        </w:rPr>
      </w:pPr>
      <w:r>
        <w:rPr>
          <w:rFonts w:hint="eastAsia" w:ascii="宋体" w:hAnsi="宋体" w:eastAsia="宋体" w:cs="宋体"/>
          <w:color w:val="auto"/>
        </w:rPr>
        <w:t> ……</w:t>
      </w:r>
    </w:p>
    <w:p w14:paraId="3AE2CB4C">
      <w:pPr>
        <w:pStyle w:val="17"/>
        <w:widowControl/>
        <w:spacing w:before="75" w:beforeAutospacing="0" w:after="75" w:afterAutospacing="0" w:line="435" w:lineRule="atLeast"/>
        <w:jc w:val="both"/>
        <w:rPr>
          <w:color w:val="auto"/>
        </w:rPr>
      </w:pPr>
      <w:r>
        <w:rPr>
          <w:rFonts w:hint="eastAsia" w:ascii="宋体" w:hAnsi="宋体" w:eastAsia="宋体" w:cs="宋体"/>
          <w:color w:val="auto"/>
        </w:rPr>
        <w:t>  ……。</w:t>
      </w:r>
    </w:p>
    <w:p w14:paraId="36FF4449">
      <w:pPr>
        <w:pStyle w:val="17"/>
        <w:widowControl/>
        <w:spacing w:before="75" w:beforeAutospacing="0" w:after="75" w:afterAutospacing="0" w:line="435" w:lineRule="atLeast"/>
        <w:jc w:val="both"/>
        <w:rPr>
          <w:color w:val="auto"/>
        </w:rPr>
      </w:pPr>
      <w:r>
        <w:rPr>
          <w:rFonts w:hint="eastAsia" w:ascii="宋体" w:hAnsi="宋体" w:eastAsia="宋体" w:cs="宋体"/>
          <w:color w:val="auto"/>
        </w:rPr>
        <w:t>二、联合体各方约定由（</w:t>
      </w:r>
      <w:r>
        <w:rPr>
          <w:rFonts w:hint="eastAsia" w:ascii="宋体" w:hAnsi="宋体" w:eastAsia="宋体" w:cs="宋体"/>
          <w:color w:val="auto"/>
          <w:u w:val="single"/>
        </w:rPr>
        <w:t>填写“牵头方的全称”</w:t>
      </w:r>
      <w:r>
        <w:rPr>
          <w:rFonts w:hint="eastAsia" w:ascii="宋体" w:hAnsi="宋体" w:eastAsia="宋体" w:cs="宋体"/>
          <w:color w:val="auto"/>
        </w:rPr>
        <w:t>）代表联合体办理参加本项目响应磋商的有关事宜（包括但不限于：派出供应商代表、提交响应文件及参加磋商、澄清等工作），在此过程中，供应商代表签署的一切文件和处理结果，联合体各方均予以认可并对此承担责任。</w:t>
      </w:r>
    </w:p>
    <w:p w14:paraId="33103668">
      <w:pPr>
        <w:pStyle w:val="17"/>
        <w:widowControl/>
        <w:spacing w:before="75" w:beforeAutospacing="0" w:after="75" w:afterAutospacing="0" w:line="435" w:lineRule="atLeast"/>
        <w:jc w:val="both"/>
        <w:rPr>
          <w:color w:val="auto"/>
        </w:rPr>
      </w:pPr>
      <w:r>
        <w:rPr>
          <w:rFonts w:hint="eastAsia" w:ascii="宋体" w:hAnsi="宋体" w:eastAsia="宋体" w:cs="宋体"/>
          <w:color w:val="auto"/>
        </w:rPr>
        <w:t>三、联合体各方约定由（填写</w:t>
      </w:r>
      <w:r>
        <w:rPr>
          <w:rFonts w:hint="eastAsia" w:ascii="宋体" w:hAnsi="宋体" w:eastAsia="宋体" w:cs="宋体"/>
          <w:color w:val="auto"/>
          <w:u w:val="single"/>
        </w:rPr>
        <w:t>填写“牵头方的全称”</w:t>
      </w:r>
      <w:r>
        <w:rPr>
          <w:rFonts w:hint="eastAsia" w:ascii="宋体" w:hAnsi="宋体" w:eastAsia="宋体" w:cs="宋体"/>
          <w:color w:val="auto"/>
        </w:rPr>
        <w:t>）代表联合体办理磋商保证金事宜。</w:t>
      </w:r>
    </w:p>
    <w:p w14:paraId="6D04A680">
      <w:pPr>
        <w:pStyle w:val="17"/>
        <w:widowControl/>
        <w:spacing w:before="75" w:beforeAutospacing="0" w:after="75" w:afterAutospacing="0" w:line="435" w:lineRule="atLeast"/>
        <w:jc w:val="both"/>
        <w:rPr>
          <w:color w:val="auto"/>
        </w:rPr>
      </w:pPr>
      <w:r>
        <w:rPr>
          <w:rFonts w:hint="eastAsia" w:ascii="宋体" w:hAnsi="宋体" w:eastAsia="宋体" w:cs="宋体"/>
          <w:color w:val="auto"/>
        </w:rPr>
        <w:t>四、若成交，牵头方将代表联合体与采购人就合同签订事宜进行协商；若协商一致，则联合体各方将共同与采购人签订政府采购合同，并就政府采购合同约定的事项对采购人承担连带责任。</w:t>
      </w:r>
    </w:p>
    <w:p w14:paraId="669135E1">
      <w:pPr>
        <w:pStyle w:val="17"/>
        <w:widowControl/>
        <w:spacing w:before="75" w:beforeAutospacing="0" w:after="75" w:afterAutospacing="0" w:line="435" w:lineRule="atLeast"/>
        <w:jc w:val="both"/>
        <w:rPr>
          <w:color w:val="auto"/>
        </w:rPr>
      </w:pPr>
      <w:r>
        <w:rPr>
          <w:rFonts w:hint="eastAsia" w:ascii="宋体" w:hAnsi="宋体" w:eastAsia="宋体" w:cs="宋体"/>
          <w:color w:val="auto"/>
        </w:rPr>
        <w:t>五、本协议自签署之日起生效，政府采购合同履行完毕后自动失效。</w:t>
      </w:r>
    </w:p>
    <w:p w14:paraId="7229F73A">
      <w:pPr>
        <w:pStyle w:val="17"/>
        <w:widowControl/>
        <w:spacing w:before="75" w:beforeAutospacing="0" w:after="75" w:afterAutospacing="0" w:line="435" w:lineRule="atLeast"/>
        <w:jc w:val="both"/>
        <w:rPr>
          <w:color w:val="auto"/>
        </w:rPr>
      </w:pPr>
      <w:r>
        <w:rPr>
          <w:rFonts w:hint="eastAsia" w:ascii="宋体" w:hAnsi="宋体" w:eastAsia="宋体" w:cs="宋体"/>
          <w:color w:val="auto"/>
        </w:rPr>
        <w:t>六、本协议一式（填写具体份数）份，联合体各方各执一份，响应文件中提交一份。</w:t>
      </w:r>
    </w:p>
    <w:p w14:paraId="167261D1">
      <w:pPr>
        <w:pStyle w:val="17"/>
        <w:widowControl/>
        <w:spacing w:before="75" w:beforeAutospacing="0" w:after="75" w:afterAutospacing="0" w:line="435" w:lineRule="atLeast"/>
        <w:jc w:val="both"/>
        <w:rPr>
          <w:color w:val="auto"/>
        </w:rPr>
      </w:pPr>
      <w:r>
        <w:rPr>
          <w:rFonts w:hint="eastAsia" w:ascii="宋体" w:hAnsi="宋体" w:eastAsia="宋体" w:cs="宋体"/>
          <w:color w:val="auto"/>
        </w:rPr>
        <w:t>（以下无正文）</w:t>
      </w:r>
    </w:p>
    <w:p w14:paraId="448BC3D1">
      <w:pPr>
        <w:pStyle w:val="17"/>
        <w:widowControl/>
        <w:spacing w:before="75" w:beforeAutospacing="0" w:after="75" w:afterAutospacing="0" w:line="435" w:lineRule="atLeast"/>
        <w:jc w:val="both"/>
        <w:rPr>
          <w:color w:val="auto"/>
        </w:rPr>
      </w:pPr>
      <w:r>
        <w:rPr>
          <w:rFonts w:hint="eastAsia" w:ascii="宋体" w:hAnsi="宋体" w:eastAsia="宋体" w:cs="宋体"/>
          <w:color w:val="auto"/>
        </w:rPr>
        <w:t> </w:t>
      </w:r>
    </w:p>
    <w:p w14:paraId="14C9437E">
      <w:pPr>
        <w:pStyle w:val="17"/>
        <w:widowControl/>
        <w:spacing w:before="75" w:beforeAutospacing="0" w:after="75" w:afterAutospacing="0" w:line="435" w:lineRule="atLeast"/>
        <w:jc w:val="both"/>
        <w:rPr>
          <w:color w:val="auto"/>
        </w:rPr>
      </w:pPr>
      <w:r>
        <w:rPr>
          <w:rFonts w:hint="eastAsia" w:ascii="宋体" w:hAnsi="宋体" w:eastAsia="宋体" w:cs="宋体"/>
          <w:color w:val="auto"/>
        </w:rPr>
        <w:t>牵头方：</w:t>
      </w:r>
      <w:r>
        <w:rPr>
          <w:rFonts w:hint="eastAsia" w:ascii="宋体" w:hAnsi="宋体" w:eastAsia="宋体" w:cs="宋体"/>
          <w:color w:val="auto"/>
          <w:u w:val="single"/>
        </w:rPr>
        <w:t>（全称并加盖单位公章）</w:t>
      </w:r>
    </w:p>
    <w:p w14:paraId="0701DAC0">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（签字或盖章）  </w:t>
      </w:r>
    </w:p>
    <w:p w14:paraId="4BA27FDD">
      <w:pPr>
        <w:pStyle w:val="17"/>
        <w:widowControl/>
        <w:spacing w:before="75" w:beforeAutospacing="0" w:after="75" w:afterAutospacing="0" w:line="435" w:lineRule="atLeast"/>
        <w:jc w:val="both"/>
        <w:rPr>
          <w:color w:val="auto"/>
        </w:rPr>
      </w:pPr>
      <w:r>
        <w:rPr>
          <w:rFonts w:hint="eastAsia" w:ascii="宋体" w:hAnsi="宋体" w:eastAsia="宋体" w:cs="宋体"/>
          <w:color w:val="auto"/>
        </w:rPr>
        <w:t> </w:t>
      </w:r>
    </w:p>
    <w:p w14:paraId="4066278B">
      <w:pPr>
        <w:pStyle w:val="17"/>
        <w:widowControl/>
        <w:spacing w:before="75" w:beforeAutospacing="0" w:after="75" w:afterAutospacing="0" w:line="435" w:lineRule="atLeast"/>
        <w:jc w:val="both"/>
        <w:rPr>
          <w:color w:val="auto"/>
        </w:rPr>
      </w:pPr>
      <w:r>
        <w:rPr>
          <w:rFonts w:hint="eastAsia" w:ascii="宋体" w:hAnsi="宋体" w:eastAsia="宋体" w:cs="宋体"/>
          <w:color w:val="auto"/>
        </w:rPr>
        <w:t>成员一：</w:t>
      </w:r>
      <w:r>
        <w:rPr>
          <w:rFonts w:hint="eastAsia" w:ascii="宋体" w:hAnsi="宋体" w:eastAsia="宋体" w:cs="宋体"/>
          <w:color w:val="auto"/>
          <w:u w:val="single"/>
        </w:rPr>
        <w:t>（全称并加盖成员一的单位公章）</w:t>
      </w:r>
    </w:p>
    <w:p w14:paraId="38B21FF5">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（签字或盖章）  </w:t>
      </w:r>
    </w:p>
    <w:p w14:paraId="0F82777B">
      <w:pPr>
        <w:pStyle w:val="17"/>
        <w:widowControl/>
        <w:spacing w:before="75" w:beforeAutospacing="0" w:after="75" w:afterAutospacing="0" w:line="435" w:lineRule="atLeast"/>
        <w:jc w:val="both"/>
        <w:rPr>
          <w:color w:val="auto"/>
        </w:rPr>
      </w:pPr>
      <w:r>
        <w:rPr>
          <w:rFonts w:hint="eastAsia" w:ascii="宋体" w:hAnsi="宋体" w:eastAsia="宋体" w:cs="宋体"/>
          <w:color w:val="auto"/>
        </w:rPr>
        <w:t>……</w:t>
      </w:r>
    </w:p>
    <w:p w14:paraId="2C81DDAD">
      <w:pPr>
        <w:pStyle w:val="17"/>
        <w:widowControl/>
        <w:spacing w:before="75" w:beforeAutospacing="0" w:after="75" w:afterAutospacing="0" w:line="435" w:lineRule="atLeast"/>
        <w:jc w:val="both"/>
        <w:rPr>
          <w:color w:val="auto"/>
        </w:rPr>
      </w:pPr>
      <w:r>
        <w:rPr>
          <w:rFonts w:hint="eastAsia" w:ascii="宋体" w:hAnsi="宋体" w:eastAsia="宋体" w:cs="宋体"/>
          <w:color w:val="auto"/>
        </w:rPr>
        <w:t> </w:t>
      </w:r>
    </w:p>
    <w:p w14:paraId="54346682">
      <w:pPr>
        <w:pStyle w:val="17"/>
        <w:widowControl/>
        <w:spacing w:before="75" w:beforeAutospacing="0" w:after="75" w:afterAutospacing="0" w:line="435" w:lineRule="atLeast"/>
        <w:jc w:val="both"/>
        <w:rPr>
          <w:color w:val="auto"/>
        </w:rPr>
      </w:pPr>
      <w:r>
        <w:rPr>
          <w:rFonts w:hint="eastAsia" w:ascii="宋体" w:hAnsi="宋体" w:eastAsia="宋体" w:cs="宋体"/>
          <w:color w:val="auto"/>
        </w:rPr>
        <w:t>成员**：</w:t>
      </w:r>
      <w:r>
        <w:rPr>
          <w:rFonts w:hint="eastAsia" w:ascii="宋体" w:hAnsi="宋体" w:eastAsia="宋体" w:cs="宋体"/>
          <w:color w:val="auto"/>
          <w:u w:val="single"/>
        </w:rPr>
        <w:t>（全称并加盖成员**的单位公章）</w:t>
      </w:r>
    </w:p>
    <w:p w14:paraId="7F844D40">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（签字或盖章）  </w:t>
      </w:r>
    </w:p>
    <w:p w14:paraId="7D00A772">
      <w:pPr>
        <w:pStyle w:val="17"/>
        <w:widowControl/>
        <w:spacing w:before="75" w:beforeAutospacing="0" w:after="75" w:afterAutospacing="0" w:line="435" w:lineRule="atLeast"/>
        <w:jc w:val="both"/>
        <w:rPr>
          <w:color w:val="auto"/>
        </w:rPr>
      </w:pPr>
      <w:r>
        <w:rPr>
          <w:rFonts w:hint="eastAsia" w:ascii="宋体" w:hAnsi="宋体" w:eastAsia="宋体" w:cs="宋体"/>
          <w:color w:val="auto"/>
        </w:rPr>
        <w:t> </w:t>
      </w:r>
    </w:p>
    <w:p w14:paraId="58005135">
      <w:pPr>
        <w:pStyle w:val="17"/>
        <w:widowControl/>
        <w:spacing w:before="75" w:beforeAutospacing="0" w:after="75" w:afterAutospacing="0" w:line="435" w:lineRule="atLeast"/>
        <w:jc w:val="both"/>
        <w:rPr>
          <w:color w:val="auto"/>
        </w:rPr>
      </w:pPr>
      <w:r>
        <w:rPr>
          <w:rFonts w:hint="eastAsia" w:ascii="宋体" w:hAnsi="宋体" w:eastAsia="宋体" w:cs="宋体"/>
          <w:color w:val="auto"/>
        </w:rPr>
        <w:t> </w:t>
      </w:r>
    </w:p>
    <w:p w14:paraId="75BF7212">
      <w:pPr>
        <w:pStyle w:val="17"/>
        <w:widowControl/>
        <w:spacing w:before="75" w:beforeAutospacing="0" w:after="75" w:afterAutospacing="0" w:line="435" w:lineRule="atLeast"/>
        <w:jc w:val="both"/>
        <w:rPr>
          <w:color w:val="auto"/>
        </w:rPr>
      </w:pPr>
      <w:r>
        <w:rPr>
          <w:rFonts w:hint="eastAsia" w:ascii="宋体" w:hAnsi="宋体" w:eastAsia="宋体" w:cs="宋体"/>
          <w:color w:val="auto"/>
        </w:rPr>
        <w:t>签署日期：</w:t>
      </w:r>
      <w:r>
        <w:rPr>
          <w:rFonts w:hint="eastAsia" w:ascii="宋体" w:hAnsi="宋体" w:eastAsia="宋体" w:cs="宋体"/>
          <w:color w:val="auto"/>
          <w:u w:val="single"/>
        </w:rPr>
        <w:t>    </w:t>
      </w:r>
      <w:r>
        <w:rPr>
          <w:rFonts w:hint="eastAsia" w:ascii="宋体" w:hAnsi="宋体" w:eastAsia="宋体" w:cs="宋体"/>
          <w:color w:val="auto"/>
        </w:rPr>
        <w:t>年</w:t>
      </w:r>
      <w:r>
        <w:rPr>
          <w:rFonts w:hint="eastAsia" w:ascii="宋体" w:hAnsi="宋体" w:eastAsia="宋体" w:cs="宋体"/>
          <w:color w:val="auto"/>
          <w:u w:val="single"/>
        </w:rPr>
        <w:t>    </w:t>
      </w:r>
      <w:r>
        <w:rPr>
          <w:rFonts w:hint="eastAsia" w:ascii="宋体" w:hAnsi="宋体" w:eastAsia="宋体" w:cs="宋体"/>
          <w:color w:val="auto"/>
        </w:rPr>
        <w:t>月</w:t>
      </w:r>
      <w:r>
        <w:rPr>
          <w:rFonts w:hint="eastAsia" w:ascii="宋体" w:hAnsi="宋体" w:eastAsia="宋体" w:cs="宋体"/>
          <w:color w:val="auto"/>
          <w:u w:val="single"/>
        </w:rPr>
        <w:t>    </w:t>
      </w:r>
      <w:r>
        <w:rPr>
          <w:rFonts w:hint="eastAsia" w:ascii="宋体" w:hAnsi="宋体" w:eastAsia="宋体" w:cs="宋体"/>
          <w:color w:val="auto"/>
        </w:rPr>
        <w:t>日</w:t>
      </w:r>
    </w:p>
    <w:p w14:paraId="66D5E833">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3816A350">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2AA6DF82">
      <w:pPr>
        <w:pStyle w:val="17"/>
        <w:widowControl/>
        <w:spacing w:before="75" w:beforeAutospacing="0" w:after="75" w:afterAutospacing="0" w:line="435" w:lineRule="atLeast"/>
        <w:rPr>
          <w:color w:val="auto"/>
        </w:rPr>
      </w:pPr>
      <w:r>
        <w:rPr>
          <w:rFonts w:hint="eastAsia" w:ascii="宋体" w:hAnsi="宋体" w:eastAsia="宋体" w:cs="宋体"/>
          <w:color w:val="auto"/>
          <w:sz w:val="21"/>
          <w:szCs w:val="21"/>
        </w:rPr>
        <w:t>★注意：</w:t>
      </w:r>
    </w:p>
    <w:p w14:paraId="1A521E63">
      <w:pPr>
        <w:pStyle w:val="17"/>
        <w:widowControl/>
        <w:spacing w:before="75" w:beforeAutospacing="0" w:after="75" w:afterAutospacing="0"/>
        <w:rPr>
          <w:color w:val="auto"/>
        </w:rPr>
      </w:pPr>
      <w:r>
        <w:rPr>
          <w:rFonts w:hint="eastAsia" w:ascii="宋体" w:hAnsi="宋体" w:eastAsia="宋体" w:cs="宋体"/>
          <w:color w:val="auto"/>
        </w:rPr>
        <w:t>1、若磋商文件规定接受联合体形式且供应商为联合体的，则供应商应提供本协议；否则无须提供。</w:t>
      </w:r>
    </w:p>
    <w:p w14:paraId="7330C8E0">
      <w:pPr>
        <w:pStyle w:val="17"/>
        <w:widowControl/>
        <w:spacing w:before="75" w:beforeAutospacing="0" w:after="75" w:afterAutospacing="0"/>
        <w:rPr>
          <w:color w:val="auto"/>
        </w:rPr>
      </w:pPr>
      <w:r>
        <w:rPr>
          <w:rFonts w:hint="eastAsia" w:ascii="宋体" w:hAnsi="宋体" w:eastAsia="宋体" w:cs="宋体"/>
          <w:color w:val="auto"/>
        </w:rPr>
        <w:t>2、本协议中的供应商代表如果不是竞争性磋商须知中定义的“单位负责人”，则还必须提供“单位负责人授权书”。</w:t>
      </w:r>
    </w:p>
    <w:p w14:paraId="27ABD514">
      <w:pPr>
        <w:pStyle w:val="17"/>
        <w:widowControl/>
        <w:spacing w:before="75" w:beforeAutospacing="0" w:after="75" w:afterAutospacing="0"/>
        <w:rPr>
          <w:color w:val="auto"/>
        </w:rPr>
      </w:pPr>
      <w:r>
        <w:rPr>
          <w:rFonts w:hint="eastAsia" w:ascii="宋体" w:hAnsi="宋体" w:eastAsia="宋体" w:cs="宋体"/>
          <w:color w:val="auto"/>
        </w:rPr>
        <w:t>3、若磋商文件规定接受联合体形式且供应商为联合体的，纸质响应文件正本中的本协议应为原件。</w:t>
      </w:r>
    </w:p>
    <w:p w14:paraId="725A945D">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31420013">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47ABAC68">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6176D641">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47A261B9">
      <w:pPr>
        <w:pStyle w:val="17"/>
        <w:widowControl/>
        <w:spacing w:before="75" w:beforeAutospacing="0" w:after="75" w:afterAutospacing="0"/>
        <w:rPr>
          <w:color w:val="auto"/>
        </w:rPr>
      </w:pPr>
      <w:r>
        <w:rPr>
          <w:color w:val="auto"/>
        </w:rPr>
        <w:t> </w:t>
      </w:r>
    </w:p>
    <w:p w14:paraId="25152C11">
      <w:pPr>
        <w:pStyle w:val="5"/>
        <w:widowControl/>
        <w:spacing w:before="0" w:beforeAutospacing="0" w:after="0" w:afterAutospacing="0" w:line="360" w:lineRule="exact"/>
        <w:jc w:val="center"/>
        <w:rPr>
          <w:rFonts w:hint="default" w:cs="宋体"/>
          <w:color w:val="auto"/>
        </w:rPr>
      </w:pPr>
      <w:r>
        <w:rPr>
          <w:rFonts w:cs="宋体"/>
          <w:color w:val="auto"/>
        </w:rPr>
        <w:t>附件3-1</w:t>
      </w:r>
      <w:r>
        <w:rPr>
          <w:rFonts w:hint="eastAsia" w:cs="宋体"/>
          <w:color w:val="auto"/>
          <w:lang w:val="en-US" w:eastAsia="zh-CN"/>
        </w:rPr>
        <w:t>2</w:t>
      </w:r>
      <w:r>
        <w:rPr>
          <w:rFonts w:cs="宋体"/>
          <w:color w:val="auto"/>
        </w:rPr>
        <w:t>分包意向协议（若有）</w:t>
      </w:r>
    </w:p>
    <w:p w14:paraId="25B8EC5A">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甲方（总包方）：</w:t>
      </w:r>
      <w:r>
        <w:rPr>
          <w:rFonts w:hint="eastAsia" w:ascii="宋体" w:hAnsi="宋体" w:eastAsia="宋体" w:cs="宋体"/>
          <w:color w:val="auto"/>
          <w:u w:val="single"/>
        </w:rPr>
        <w:t>　　　　　　　</w:t>
      </w:r>
      <w:r>
        <w:rPr>
          <w:rFonts w:hint="eastAsia" w:ascii="宋体" w:hAnsi="宋体" w:eastAsia="宋体" w:cs="宋体"/>
          <w:color w:val="auto"/>
        </w:rPr>
        <w:t>（即本项目的</w:t>
      </w:r>
      <w:r>
        <w:rPr>
          <w:rFonts w:hint="eastAsia" w:ascii="宋体" w:hAnsi="宋体" w:eastAsia="宋体" w:cs="宋体"/>
          <w:color w:val="auto"/>
          <w:lang w:eastAsia="zh-CN"/>
        </w:rPr>
        <w:t>供应商</w:t>
      </w:r>
      <w:r>
        <w:rPr>
          <w:rFonts w:hint="eastAsia" w:ascii="宋体" w:hAnsi="宋体" w:eastAsia="宋体" w:cs="宋体"/>
          <w:color w:val="auto"/>
        </w:rPr>
        <w:t>）</w:t>
      </w:r>
    </w:p>
    <w:p w14:paraId="16AD8D26">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乙方（分包方）：</w:t>
      </w:r>
      <w:r>
        <w:rPr>
          <w:rFonts w:hint="eastAsia" w:ascii="宋体" w:hAnsi="宋体" w:eastAsia="宋体" w:cs="宋体"/>
          <w:color w:val="auto"/>
          <w:u w:val="single"/>
        </w:rPr>
        <w:t>　　　　　　　</w:t>
      </w:r>
    </w:p>
    <w:p w14:paraId="2F3EEB9A">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兹有甲方参加</w:t>
      </w:r>
      <w:r>
        <w:rPr>
          <w:rFonts w:hint="eastAsia" w:ascii="宋体" w:hAnsi="宋体" w:eastAsia="宋体" w:cs="宋体"/>
          <w:color w:val="auto"/>
          <w:u w:val="single"/>
        </w:rPr>
        <w:t>（填写“项目名称”）</w:t>
      </w:r>
      <w:r>
        <w:rPr>
          <w:rFonts w:hint="eastAsia" w:ascii="宋体" w:hAnsi="宋体" w:eastAsia="宋体" w:cs="宋体"/>
          <w:color w:val="auto"/>
        </w:rPr>
        <w:t> 项目（项目编号：</w:t>
      </w:r>
      <w:r>
        <w:rPr>
          <w:rFonts w:hint="eastAsia" w:ascii="宋体" w:hAnsi="宋体" w:eastAsia="宋体" w:cs="宋体"/>
          <w:color w:val="auto"/>
          <w:u w:val="single"/>
        </w:rPr>
        <w:t>　　　　　　　</w:t>
      </w:r>
      <w:r>
        <w:rPr>
          <w:rFonts w:hint="eastAsia" w:ascii="宋体" w:hAnsi="宋体" w:eastAsia="宋体" w:cs="宋体"/>
          <w:color w:val="auto"/>
        </w:rPr>
        <w:t>）的政府采购活动。甲方期望将采购项目的部分采购标的分包给乙方完成，而乙方保证能够向甲方提供本协议项下的采购标的，甲、乙双方就合同分包的有关事宜达成下列协议：</w:t>
      </w:r>
    </w:p>
    <w:p w14:paraId="79846A58">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一、分包标的</w:t>
      </w:r>
    </w:p>
    <w:p w14:paraId="52384DA5">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u w:val="single"/>
        </w:rPr>
        <w:t>（根据双方的意向填写，可以是表格或文字描述）。</w:t>
      </w:r>
    </w:p>
    <w:p w14:paraId="42CD8BE8">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二、分包合同金额占比</w:t>
      </w:r>
    </w:p>
    <w:p w14:paraId="5EE8DCC9">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分包合同价占投标总价的比例：</w:t>
      </w:r>
      <w:r>
        <w:rPr>
          <w:rFonts w:hint="eastAsia" w:ascii="宋体" w:hAnsi="宋体" w:eastAsia="宋体" w:cs="宋体"/>
          <w:color w:val="auto"/>
          <w:u w:val="single"/>
        </w:rPr>
        <w:t>　　　　　</w:t>
      </w:r>
      <w:r>
        <w:rPr>
          <w:rFonts w:hint="eastAsia" w:ascii="宋体" w:hAnsi="宋体" w:eastAsia="宋体" w:cs="宋体"/>
          <w:color w:val="auto"/>
        </w:rPr>
        <w:t>%</w:t>
      </w:r>
    </w:p>
    <w:p w14:paraId="0285A441">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三、其他条款</w:t>
      </w:r>
    </w:p>
    <w:p w14:paraId="0E791C8D">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23"/>
        <w:tblW w:w="5000" w:type="pct"/>
        <w:tblInd w:w="0" w:type="dxa"/>
        <w:tblLayout w:type="autofit"/>
        <w:tblCellMar>
          <w:top w:w="0" w:type="dxa"/>
          <w:left w:w="0" w:type="dxa"/>
          <w:bottom w:w="0" w:type="dxa"/>
          <w:right w:w="0" w:type="dxa"/>
        </w:tblCellMar>
      </w:tblPr>
      <w:tblGrid>
        <w:gridCol w:w="4483"/>
        <w:gridCol w:w="4483"/>
      </w:tblGrid>
      <w:tr w14:paraId="1DD7A8A5">
        <w:tblPrEx>
          <w:tblCellMar>
            <w:top w:w="0" w:type="dxa"/>
            <w:left w:w="0" w:type="dxa"/>
            <w:bottom w:w="0" w:type="dxa"/>
            <w:right w:w="0" w:type="dxa"/>
          </w:tblCellMar>
        </w:tblPrEx>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435EC761">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甲方：</w:t>
            </w:r>
          </w:p>
        </w:tc>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0CBC03AB">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乙方：</w:t>
            </w:r>
          </w:p>
        </w:tc>
      </w:tr>
      <w:tr w14:paraId="5A84FCB6">
        <w:tblPrEx>
          <w:tblCellMar>
            <w:top w:w="0" w:type="dxa"/>
            <w:left w:w="0" w:type="dxa"/>
            <w:bottom w:w="0" w:type="dxa"/>
            <w:right w:w="0" w:type="dxa"/>
          </w:tblCellMar>
        </w:tblPrEx>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724A985A">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住所：</w:t>
            </w:r>
          </w:p>
        </w:tc>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3F471AFF">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住所：</w:t>
            </w:r>
          </w:p>
        </w:tc>
      </w:tr>
      <w:tr w14:paraId="255782B4">
        <w:tblPrEx>
          <w:tblCellMar>
            <w:top w:w="0" w:type="dxa"/>
            <w:left w:w="0" w:type="dxa"/>
            <w:bottom w:w="0" w:type="dxa"/>
            <w:right w:w="0" w:type="dxa"/>
          </w:tblCellMar>
        </w:tblPrEx>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38FE3AAA">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单位负责人或委托代理人：</w:t>
            </w:r>
          </w:p>
        </w:tc>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40C33F1A">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单位负责人或委托代理人：</w:t>
            </w:r>
          </w:p>
        </w:tc>
      </w:tr>
      <w:tr w14:paraId="67439D93">
        <w:tblPrEx>
          <w:tblCellMar>
            <w:top w:w="0" w:type="dxa"/>
            <w:left w:w="0" w:type="dxa"/>
            <w:bottom w:w="0" w:type="dxa"/>
            <w:right w:w="0" w:type="dxa"/>
          </w:tblCellMar>
        </w:tblPrEx>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59C0D276">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联系方法：</w:t>
            </w:r>
          </w:p>
        </w:tc>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7F5C9246">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联系方法：</w:t>
            </w:r>
          </w:p>
        </w:tc>
      </w:tr>
      <w:tr w14:paraId="3956C0C4">
        <w:tblPrEx>
          <w:tblCellMar>
            <w:top w:w="0" w:type="dxa"/>
            <w:left w:w="0" w:type="dxa"/>
            <w:bottom w:w="0" w:type="dxa"/>
            <w:right w:w="0" w:type="dxa"/>
          </w:tblCellMar>
        </w:tblPrEx>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3A8D45F9">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开户银行：</w:t>
            </w:r>
          </w:p>
        </w:tc>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28E0BA66">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开户银行：</w:t>
            </w:r>
          </w:p>
        </w:tc>
      </w:tr>
      <w:tr w14:paraId="712A70BD">
        <w:tblPrEx>
          <w:tblCellMar>
            <w:top w:w="0" w:type="dxa"/>
            <w:left w:w="0" w:type="dxa"/>
            <w:bottom w:w="0" w:type="dxa"/>
            <w:right w:w="0" w:type="dxa"/>
          </w:tblCellMar>
        </w:tblPrEx>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5F6C8795">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账号：</w:t>
            </w:r>
          </w:p>
        </w:tc>
        <w:tc>
          <w:tcPr>
            <w:tcW w:w="2500" w:type="pct"/>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3A51C1E5">
            <w:pPr>
              <w:pStyle w:val="17"/>
              <w:widowControl/>
              <w:wordWrap w:val="0"/>
              <w:spacing w:beforeAutospacing="0" w:afterAutospacing="0" w:line="360" w:lineRule="exact"/>
              <w:rPr>
                <w:rFonts w:ascii="宋体" w:hAnsi="宋体" w:eastAsia="宋体" w:cs="宋体"/>
                <w:color w:val="auto"/>
              </w:rPr>
            </w:pPr>
            <w:r>
              <w:rPr>
                <w:rFonts w:hint="eastAsia" w:ascii="宋体" w:hAnsi="宋体" w:eastAsia="宋体" w:cs="宋体"/>
                <w:color w:val="auto"/>
              </w:rPr>
              <w:t>账号：</w:t>
            </w:r>
          </w:p>
        </w:tc>
      </w:tr>
      <w:tr w14:paraId="2F72C118">
        <w:tblPrEx>
          <w:tblCellMar>
            <w:top w:w="0" w:type="dxa"/>
            <w:left w:w="0" w:type="dxa"/>
            <w:bottom w:w="0" w:type="dxa"/>
            <w:right w:w="0" w:type="dxa"/>
          </w:tblCellMar>
        </w:tblPrEx>
        <w:tc>
          <w:tcPr>
            <w:tcW w:w="5000" w:type="pct"/>
            <w:gridSpan w:val="2"/>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476AB435">
            <w:pPr>
              <w:pStyle w:val="17"/>
              <w:widowControl/>
              <w:wordWrap w:val="0"/>
              <w:spacing w:beforeAutospacing="0" w:afterAutospacing="0" w:line="360" w:lineRule="exact"/>
              <w:jc w:val="right"/>
              <w:rPr>
                <w:rFonts w:ascii="宋体" w:hAnsi="宋体" w:eastAsia="宋体" w:cs="宋体"/>
                <w:color w:val="auto"/>
              </w:rPr>
            </w:pPr>
            <w:r>
              <w:rPr>
                <w:rFonts w:hint="eastAsia" w:ascii="宋体" w:hAnsi="宋体" w:eastAsia="宋体" w:cs="宋体"/>
                <w:color w:val="auto"/>
              </w:rPr>
              <w:t>签订地点：</w:t>
            </w:r>
            <w:r>
              <w:rPr>
                <w:rFonts w:hint="eastAsia" w:ascii="宋体" w:hAnsi="宋体" w:eastAsia="宋体" w:cs="宋体"/>
                <w:color w:val="auto"/>
                <w:u w:val="single"/>
              </w:rPr>
              <w:t>　　　　　　　　　　</w:t>
            </w:r>
          </w:p>
          <w:p w14:paraId="4FB7E172">
            <w:pPr>
              <w:pStyle w:val="17"/>
              <w:widowControl/>
              <w:wordWrap w:val="0"/>
              <w:spacing w:beforeAutospacing="0" w:afterAutospacing="0" w:line="360" w:lineRule="exact"/>
              <w:jc w:val="right"/>
              <w:rPr>
                <w:rFonts w:ascii="宋体" w:hAnsi="宋体" w:eastAsia="宋体" w:cs="宋体"/>
                <w:color w:val="auto"/>
              </w:rPr>
            </w:pPr>
            <w:r>
              <w:rPr>
                <w:rFonts w:hint="eastAsia" w:ascii="宋体" w:hAnsi="宋体" w:eastAsia="宋体" w:cs="宋体"/>
                <w:color w:val="auto"/>
              </w:rPr>
              <w:t>签约日期：</w:t>
            </w:r>
            <w:r>
              <w:rPr>
                <w:rFonts w:hint="eastAsia" w:ascii="宋体" w:hAnsi="宋体" w:eastAsia="宋体" w:cs="宋体"/>
                <w:color w:val="auto"/>
                <w:u w:val="single"/>
              </w:rPr>
              <w:t>　　年　　月　　日</w:t>
            </w:r>
          </w:p>
        </w:tc>
      </w:tr>
    </w:tbl>
    <w:p w14:paraId="0E145543">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※注意：</w:t>
      </w:r>
    </w:p>
    <w:p w14:paraId="6E1B4495">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1.招标文件接受合同分包且</w:t>
      </w:r>
      <w:r>
        <w:rPr>
          <w:rFonts w:hint="eastAsia" w:ascii="宋体" w:hAnsi="宋体" w:eastAsia="宋体" w:cs="宋体"/>
          <w:color w:val="auto"/>
          <w:lang w:eastAsia="zh-CN"/>
        </w:rPr>
        <w:t>供应商</w:t>
      </w:r>
      <w:r>
        <w:rPr>
          <w:rFonts w:hint="eastAsia" w:ascii="宋体" w:hAnsi="宋体" w:eastAsia="宋体" w:cs="宋体"/>
          <w:color w:val="auto"/>
        </w:rPr>
        <w:t>拟将合同分包的，应提供本协议；否则无须提供。</w:t>
      </w:r>
    </w:p>
    <w:p w14:paraId="36D10567">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2.本协议由委托代理人签字或盖章的，应按照本章载明的格式提供“单位授权书”。</w:t>
      </w:r>
    </w:p>
    <w:p w14:paraId="634E3CC7">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3.在以合同分包形式落实中小企业预留份额项目中，</w:t>
      </w:r>
      <w:r>
        <w:rPr>
          <w:rFonts w:hint="eastAsia" w:ascii="宋体" w:hAnsi="宋体" w:eastAsia="宋体" w:cs="宋体"/>
          <w:color w:val="auto"/>
          <w:lang w:eastAsia="zh-CN"/>
        </w:rPr>
        <w:t>供应商</w:t>
      </w:r>
      <w:r>
        <w:rPr>
          <w:rFonts w:hint="eastAsia" w:ascii="宋体" w:hAnsi="宋体" w:eastAsia="宋体" w:cs="宋体"/>
          <w:color w:val="auto"/>
        </w:rPr>
        <w:t>除了要提供《中小企业声明函》，还需提供本协议。</w:t>
      </w:r>
    </w:p>
    <w:p w14:paraId="68D1A370">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rPr>
        <w:t> </w:t>
      </w:r>
    </w:p>
    <w:p w14:paraId="4D435CA0">
      <w:pPr>
        <w:pStyle w:val="17"/>
        <w:widowControl/>
        <w:spacing w:before="75" w:beforeAutospacing="0" w:after="75" w:afterAutospacing="0"/>
        <w:rPr>
          <w:rFonts w:ascii="宋体" w:hAnsi="宋体" w:eastAsia="宋体" w:cs="宋体"/>
          <w:color w:val="auto"/>
        </w:rPr>
      </w:pPr>
      <w:r>
        <w:rPr>
          <w:rFonts w:hint="eastAsia" w:ascii="宋体" w:hAnsi="宋体" w:eastAsia="宋体" w:cs="宋体"/>
          <w:color w:val="auto"/>
        </w:rPr>
        <w:br w:type="page"/>
      </w:r>
    </w:p>
    <w:p w14:paraId="0A35C8FF">
      <w:pPr>
        <w:rPr>
          <w:rStyle w:val="26"/>
          <w:rFonts w:ascii="宋体" w:hAnsi="宋体" w:eastAsia="宋体" w:cs="宋体"/>
          <w:bCs/>
          <w:color w:val="auto"/>
        </w:rPr>
      </w:pPr>
      <w:r>
        <w:rPr>
          <w:rFonts w:hint="eastAsia" w:ascii="宋体" w:hAnsi="宋体" w:eastAsia="宋体" w:cs="宋体"/>
          <w:color w:val="auto"/>
        </w:rPr>
        <w:t>附件3-1</w:t>
      </w:r>
      <w:r>
        <w:rPr>
          <w:rFonts w:hint="eastAsia" w:ascii="宋体" w:hAnsi="宋体" w:eastAsia="宋体" w:cs="宋体"/>
          <w:color w:val="auto"/>
          <w:lang w:val="en-US" w:eastAsia="zh-CN"/>
        </w:rPr>
        <w:t>3</w:t>
      </w:r>
      <w:r>
        <w:rPr>
          <w:rFonts w:hint="eastAsia" w:ascii="宋体" w:hAnsi="宋体" w:eastAsia="宋体" w:cs="宋体"/>
          <w:color w:val="auto"/>
        </w:rPr>
        <w:t>          </w:t>
      </w:r>
      <w:r>
        <w:rPr>
          <w:rStyle w:val="26"/>
          <w:rFonts w:hint="eastAsia" w:ascii="宋体" w:hAnsi="宋体" w:eastAsia="宋体" w:cs="宋体"/>
          <w:bCs/>
          <w:color w:val="auto"/>
        </w:rPr>
        <w:t>其它资格证明文件</w:t>
      </w:r>
    </w:p>
    <w:p w14:paraId="37D64E78">
      <w:pPr>
        <w:pStyle w:val="17"/>
        <w:widowControl/>
        <w:spacing w:before="75" w:beforeAutospacing="0" w:after="75" w:afterAutospacing="0"/>
        <w:rPr>
          <w:rStyle w:val="26"/>
          <w:rFonts w:ascii="宋体" w:hAnsi="宋体" w:eastAsia="宋体" w:cs="宋体"/>
          <w:bCs/>
          <w:color w:val="auto"/>
        </w:rPr>
      </w:pPr>
    </w:p>
    <w:p w14:paraId="3C286061">
      <w:pPr>
        <w:pStyle w:val="17"/>
        <w:widowControl/>
        <w:spacing w:before="75" w:beforeAutospacing="0" w:after="75" w:afterAutospacing="0"/>
        <w:rPr>
          <w:color w:val="auto"/>
        </w:rPr>
      </w:pPr>
      <w:r>
        <w:rPr>
          <w:rStyle w:val="26"/>
          <w:rFonts w:hint="eastAsia" w:ascii="宋体" w:hAnsi="宋体" w:eastAsia="宋体" w:cs="宋体"/>
          <w:bCs/>
          <w:color w:val="auto"/>
        </w:rPr>
        <w:t>                   （如果有的话）</w:t>
      </w:r>
    </w:p>
    <w:p w14:paraId="4CC9EEC5">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0898BFFA">
      <w:pPr>
        <w:pStyle w:val="17"/>
        <w:widowControl/>
        <w:spacing w:before="75" w:beforeAutospacing="0" w:after="75" w:afterAutospacing="0" w:line="435" w:lineRule="atLeast"/>
        <w:ind w:firstLine="480"/>
        <w:rPr>
          <w:rFonts w:ascii="宋体" w:hAnsi="宋体" w:eastAsia="宋体" w:cs="宋体"/>
          <w:color w:val="auto"/>
        </w:rPr>
      </w:pPr>
      <w:r>
        <w:rPr>
          <w:rFonts w:hint="eastAsia" w:ascii="宋体" w:hAnsi="宋体" w:eastAsia="宋体" w:cs="宋体"/>
          <w:color w:val="auto"/>
        </w:rPr>
        <w:t>说明：</w:t>
      </w:r>
    </w:p>
    <w:p w14:paraId="510C79E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14:paraId="11FD126D">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2、若磋商文件规定接受联合体形式且供应商为联合体的，涉及联合体成员的其它资格证明文件在此处提供相关证明材料，并加盖供应商单位公章。</w:t>
      </w:r>
    </w:p>
    <w:p w14:paraId="2C0A03A1">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w:t>
      </w:r>
    </w:p>
    <w:p w14:paraId="639D7C19">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w:t>
      </w:r>
    </w:p>
    <w:p w14:paraId="16DB7A35">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 </w:t>
      </w:r>
    </w:p>
    <w:p w14:paraId="23DD1C51">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4A09BEF8">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41EECA0A">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319C8BA0">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07DC2C9C">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132137F4">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105C5E2A">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22401EA3">
      <w:pPr>
        <w:rPr>
          <w:rFonts w:ascii="宋体" w:hAnsi="宋体" w:eastAsia="宋体" w:cs="宋体"/>
          <w:color w:val="auto"/>
        </w:rPr>
      </w:pPr>
      <w:r>
        <w:rPr>
          <w:rFonts w:hint="eastAsia" w:ascii="宋体" w:hAnsi="宋体" w:eastAsia="宋体" w:cs="宋体"/>
          <w:color w:val="auto"/>
        </w:rPr>
        <w:br w:type="page"/>
      </w:r>
      <w:r>
        <w:rPr>
          <w:rFonts w:hint="eastAsia" w:ascii="宋体" w:hAnsi="宋体" w:eastAsia="宋体" w:cs="宋体"/>
          <w:b/>
          <w:bCs/>
          <w:color w:val="auto"/>
        </w:rPr>
        <w:t>特定资格条件</w:t>
      </w:r>
    </w:p>
    <w:p w14:paraId="1C4E3F80">
      <w:pPr>
        <w:pStyle w:val="17"/>
        <w:widowControl/>
        <w:spacing w:before="75" w:beforeAutospacing="0" w:after="75" w:afterAutospacing="0" w:line="435" w:lineRule="atLeast"/>
        <w:rPr>
          <w:color w:val="auto"/>
        </w:rPr>
      </w:pPr>
      <w:r>
        <w:rPr>
          <w:rStyle w:val="26"/>
          <w:rFonts w:hint="eastAsia" w:ascii="宋体" w:hAnsi="宋体" w:eastAsia="宋体" w:cs="宋体"/>
          <w:bCs/>
          <w:color w:val="auto"/>
        </w:rPr>
        <w:t>包：1</w:t>
      </w:r>
    </w:p>
    <w:tbl>
      <w:tblPr>
        <w:tblStyle w:val="23"/>
        <w:tblW w:w="5000" w:type="pct"/>
        <w:tblInd w:w="0" w:type="dxa"/>
        <w:tblLayout w:type="autofit"/>
        <w:tblCellMar>
          <w:top w:w="0" w:type="dxa"/>
          <w:left w:w="0" w:type="dxa"/>
          <w:bottom w:w="0" w:type="dxa"/>
          <w:right w:w="0" w:type="dxa"/>
        </w:tblCellMar>
      </w:tblPr>
      <w:tblGrid>
        <w:gridCol w:w="1600"/>
        <w:gridCol w:w="7366"/>
      </w:tblGrid>
      <w:tr w14:paraId="6CD8FBA5">
        <w:tblPrEx>
          <w:tblCellMar>
            <w:top w:w="0" w:type="dxa"/>
            <w:left w:w="0" w:type="dxa"/>
            <w:bottom w:w="0" w:type="dxa"/>
            <w:right w:w="0" w:type="dxa"/>
          </w:tblCellMar>
        </w:tblPrEx>
        <w:tc>
          <w:tcPr>
            <w:tcW w:w="1600"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268E01AD">
            <w:pPr>
              <w:widowControl/>
              <w:wordWrap w:val="0"/>
              <w:spacing w:line="360" w:lineRule="exact"/>
              <w:jc w:val="left"/>
              <w:rPr>
                <w:rFonts w:ascii="宋体" w:hAnsi="宋体" w:eastAsia="宋体" w:cs="宋体"/>
                <w:b/>
                <w:bCs/>
                <w:color w:val="auto"/>
                <w:sz w:val="24"/>
              </w:rPr>
            </w:pPr>
            <w:r>
              <w:rPr>
                <w:rFonts w:hint="eastAsia" w:ascii="宋体" w:hAnsi="宋体" w:eastAsia="宋体" w:cs="宋体"/>
                <w:b/>
                <w:bCs/>
                <w:color w:val="auto"/>
                <w:kern w:val="0"/>
                <w:sz w:val="24"/>
              </w:rPr>
              <w:t>资格审查要求概况</w:t>
            </w:r>
          </w:p>
        </w:tc>
        <w:tc>
          <w:tcPr>
            <w:tcW w:w="7366"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4AF8E4EA">
            <w:pPr>
              <w:widowControl/>
              <w:wordWrap w:val="0"/>
              <w:spacing w:line="360" w:lineRule="exact"/>
              <w:jc w:val="left"/>
              <w:rPr>
                <w:rFonts w:ascii="宋体" w:hAnsi="宋体" w:eastAsia="宋体" w:cs="宋体"/>
                <w:b/>
                <w:bCs/>
                <w:color w:val="auto"/>
                <w:sz w:val="24"/>
              </w:rPr>
            </w:pPr>
            <w:r>
              <w:rPr>
                <w:rFonts w:hint="eastAsia" w:ascii="宋体" w:hAnsi="宋体" w:eastAsia="宋体" w:cs="宋体"/>
                <w:b/>
                <w:bCs/>
                <w:color w:val="auto"/>
                <w:kern w:val="0"/>
                <w:sz w:val="24"/>
              </w:rPr>
              <w:t>评审点具体描述</w:t>
            </w:r>
          </w:p>
        </w:tc>
      </w:tr>
      <w:tr w14:paraId="47465731">
        <w:tblPrEx>
          <w:tblCellMar>
            <w:top w:w="0" w:type="dxa"/>
            <w:left w:w="0" w:type="dxa"/>
            <w:bottom w:w="0" w:type="dxa"/>
            <w:right w:w="0" w:type="dxa"/>
          </w:tblCellMar>
        </w:tblPrEx>
        <w:tc>
          <w:tcPr>
            <w:tcW w:w="1600"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38E669D4">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szCs w:val="24"/>
              </w:rPr>
              <w:t>其他资格证明文件</w:t>
            </w:r>
            <w:r>
              <w:rPr>
                <w:rFonts w:hint="eastAsia" w:ascii="宋体" w:hAnsi="宋体" w:eastAsia="宋体" w:cs="宋体"/>
                <w:color w:val="auto"/>
                <w:kern w:val="0"/>
                <w:sz w:val="24"/>
                <w:szCs w:val="24"/>
                <w:lang w:val="en-US" w:eastAsia="zh-CN"/>
              </w:rPr>
              <w:t>1</w:t>
            </w:r>
          </w:p>
        </w:tc>
        <w:tc>
          <w:tcPr>
            <w:tcW w:w="7366"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69D8560E">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default" w:ascii="宋体" w:hAnsi="宋体" w:eastAsia="宋体" w:cs="宋体"/>
                <w:color w:val="auto"/>
                <w:kern w:val="0"/>
                <w:sz w:val="24"/>
                <w:lang w:val="en-US" w:eastAsia="zh-CN"/>
              </w:rPr>
            </w:pPr>
            <w:r>
              <w:rPr>
                <w:rFonts w:hint="eastAsia" w:ascii="宋体" w:hAnsi="宋体" w:eastAsia="宋体" w:cs="宋体"/>
                <w:color w:val="auto"/>
                <w:sz w:val="24"/>
                <w:szCs w:val="24"/>
                <w:lang w:val="en-US" w:eastAsia="zh-CN"/>
              </w:rPr>
              <w:t>供应商同时具备不低于叁级电力工程施工总承包资质、不低于贰级电子与智能化工程专业承包资质和《施工企业安全生产许可证》，须提供有效的证书复印件。</w:t>
            </w:r>
          </w:p>
        </w:tc>
      </w:tr>
      <w:tr w14:paraId="57D6413A">
        <w:tblPrEx>
          <w:tblCellMar>
            <w:top w:w="0" w:type="dxa"/>
            <w:left w:w="0" w:type="dxa"/>
            <w:bottom w:w="0" w:type="dxa"/>
            <w:right w:w="0" w:type="dxa"/>
          </w:tblCellMar>
        </w:tblPrEx>
        <w:tc>
          <w:tcPr>
            <w:tcW w:w="1600"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1B6B3E4E">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szCs w:val="24"/>
              </w:rPr>
              <w:t>其他资格证明文件</w:t>
            </w:r>
            <w:r>
              <w:rPr>
                <w:rFonts w:hint="eastAsia" w:ascii="宋体" w:hAnsi="宋体" w:eastAsia="宋体" w:cs="宋体"/>
                <w:color w:val="auto"/>
                <w:kern w:val="0"/>
                <w:sz w:val="24"/>
                <w:szCs w:val="24"/>
                <w:lang w:val="en-US" w:eastAsia="zh-CN"/>
              </w:rPr>
              <w:t>2</w:t>
            </w:r>
          </w:p>
        </w:tc>
        <w:tc>
          <w:tcPr>
            <w:tcW w:w="7366" w:type="dxa"/>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7677CD34">
            <w:pPr>
              <w:keepNext w:val="0"/>
              <w:keepLines w:val="0"/>
              <w:pageBreakBefore w:val="0"/>
              <w:widowControl/>
              <w:kinsoku/>
              <w:wordWrap w:val="0"/>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拟担任本项目的项目负责人须具备有效的不低于：贰级机电工程专业注册建造师执业资格，并具备有效的安全生产考核合格证书。须提供以上有效证书的复印件。</w:t>
            </w:r>
          </w:p>
        </w:tc>
      </w:tr>
      <w:tr w14:paraId="1D154FD4">
        <w:tblPrEx>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3CCB6CD5">
            <w:pPr>
              <w:widowControl/>
              <w:wordWrap w:val="0"/>
              <w:spacing w:line="360" w:lineRule="exact"/>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rPr>
              <w:t>落实政府采购政策的证明材料（专门面向中小企业采购）</w:t>
            </w:r>
          </w:p>
        </w:tc>
        <w:tc>
          <w:tcPr>
            <w:tcW w:w="0" w:type="auto"/>
            <w:tcBorders>
              <w:top w:val="single" w:color="000000" w:sz="6" w:space="0"/>
              <w:left w:val="single" w:color="000000" w:sz="6" w:space="0"/>
              <w:bottom w:val="single" w:color="000000" w:sz="6" w:space="0"/>
              <w:right w:val="single" w:color="000000" w:sz="6" w:space="0"/>
            </w:tcBorders>
            <w:noWrap/>
            <w:tcMar>
              <w:left w:w="120" w:type="dxa"/>
              <w:right w:w="120" w:type="dxa"/>
            </w:tcMar>
            <w:vAlign w:val="center"/>
          </w:tcPr>
          <w:p w14:paraId="3870FB0B">
            <w:pPr>
              <w:widowControl/>
              <w:wordWrap w:val="0"/>
              <w:spacing w:line="360" w:lineRule="exact"/>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rPr>
              <w:t>①本项目专门面向符合财政部、工信部文件（财库〔2020〕46号）规定的中、小、微企业。</w:t>
            </w: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须提供《中小企业声明函》。供应商应认真对照《工业和信息化部、国家统计局、国家发展和改革委员会、财政部关于印发中小企业划型标准规定的通知》（工信部联企业[2011]300号）规定的划分标准，并按照国家统计局关于印发《统计上大中小微型企业划分办法（2017）》的通知（国统字〔2017〕213号）规定准确划分企业类型。②监狱企业视同小型、微型企业，</w:t>
            </w: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为监狱企业的，可不提供中小企业声明函，但须提供由省级以上监狱管理局、戒毒管理局（含新疆生产建设兵团）出具的属于监狱企业的证明文件。③残疾人福利性单位视同小型、微型企业，</w:t>
            </w: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为残疾人福利性单位的，可不提供中小企业声明函，但须提供的《残疾人福利性单位声明函》。注：本项目为</w:t>
            </w:r>
            <w:r>
              <w:rPr>
                <w:rFonts w:hint="eastAsia" w:ascii="宋体" w:hAnsi="宋体" w:eastAsia="宋体" w:cs="宋体"/>
                <w:color w:val="auto"/>
                <w:kern w:val="0"/>
                <w:sz w:val="24"/>
                <w:lang w:val="en-US" w:eastAsia="zh-CN"/>
              </w:rPr>
              <w:t>工程</w:t>
            </w:r>
            <w:r>
              <w:rPr>
                <w:rFonts w:hint="eastAsia" w:ascii="宋体" w:hAnsi="宋体" w:eastAsia="宋体" w:cs="宋体"/>
                <w:color w:val="auto"/>
                <w:kern w:val="0"/>
                <w:sz w:val="24"/>
              </w:rPr>
              <w:t>类采购项目，采购标的对应的中小企业划分标准所属行业为</w:t>
            </w:r>
            <w:r>
              <w:rPr>
                <w:rFonts w:hint="eastAsia" w:ascii="宋体" w:hAnsi="宋体" w:eastAsia="宋体" w:cs="宋体"/>
                <w:color w:val="auto"/>
                <w:sz w:val="24"/>
                <w:szCs w:val="24"/>
                <w:lang w:val="en-US" w:eastAsia="zh-CN"/>
              </w:rPr>
              <w:t>建筑</w:t>
            </w:r>
            <w:r>
              <w:rPr>
                <w:rFonts w:hint="eastAsia" w:ascii="宋体" w:hAnsi="宋体" w:eastAsia="宋体" w:cs="宋体"/>
                <w:color w:val="auto"/>
                <w:sz w:val="24"/>
                <w:szCs w:val="24"/>
              </w:rPr>
              <w:t>业</w:t>
            </w:r>
            <w:r>
              <w:rPr>
                <w:rFonts w:hint="eastAsia" w:ascii="宋体" w:hAnsi="宋体" w:eastAsia="宋体" w:cs="宋体"/>
                <w:color w:val="auto"/>
                <w:kern w:val="0"/>
                <w:sz w:val="24"/>
              </w:rPr>
              <w:t>。</w:t>
            </w:r>
          </w:p>
        </w:tc>
      </w:tr>
    </w:tbl>
    <w:p w14:paraId="3F81AFB9">
      <w:pPr>
        <w:pStyle w:val="17"/>
        <w:widowControl/>
        <w:spacing w:before="75" w:beforeAutospacing="0" w:after="75" w:afterAutospacing="0" w:line="435" w:lineRule="atLeast"/>
        <w:ind w:firstLine="480"/>
        <w:rPr>
          <w:rFonts w:ascii="宋体" w:hAnsi="宋体" w:eastAsia="宋体" w:cs="宋体"/>
          <w:color w:val="auto"/>
        </w:rPr>
      </w:pPr>
    </w:p>
    <w:p w14:paraId="36F9E2C1">
      <w:pPr>
        <w:rPr>
          <w:rFonts w:ascii="宋体" w:hAnsi="宋体" w:eastAsia="宋体" w:cs="宋体"/>
          <w:color w:val="auto"/>
        </w:rPr>
      </w:pPr>
    </w:p>
    <w:p w14:paraId="539FF4BF">
      <w:pPr>
        <w:pStyle w:val="17"/>
        <w:widowControl/>
        <w:spacing w:before="75" w:beforeAutospacing="0" w:after="75" w:afterAutospacing="0"/>
        <w:rPr>
          <w:rFonts w:ascii="宋体" w:hAnsi="宋体" w:eastAsia="宋体" w:cs="宋体"/>
          <w:color w:val="auto"/>
        </w:rPr>
      </w:pPr>
      <w:r>
        <w:rPr>
          <w:rFonts w:hint="eastAsia" w:ascii="宋体" w:hAnsi="宋体" w:eastAsia="宋体" w:cs="宋体"/>
          <w:color w:val="auto"/>
        </w:rPr>
        <w:t> </w:t>
      </w:r>
    </w:p>
    <w:p w14:paraId="1F0070F5">
      <w:pPr>
        <w:rPr>
          <w:rFonts w:ascii="宋体" w:hAnsi="宋体" w:eastAsia="宋体" w:cs="宋体"/>
          <w:color w:val="auto"/>
        </w:rPr>
      </w:pPr>
      <w:r>
        <w:rPr>
          <w:rFonts w:hint="eastAsia" w:ascii="宋体" w:hAnsi="宋体" w:eastAsia="宋体" w:cs="宋体"/>
          <w:color w:val="auto"/>
        </w:rPr>
        <w:br w:type="page"/>
      </w:r>
    </w:p>
    <w:p w14:paraId="7B16C9FF">
      <w:pPr>
        <w:pStyle w:val="17"/>
        <w:widowControl/>
        <w:spacing w:before="75" w:beforeAutospacing="0" w:after="75" w:afterAutospacing="0"/>
        <w:rPr>
          <w:color w:val="auto"/>
        </w:rPr>
      </w:pPr>
      <w:r>
        <w:rPr>
          <w:rFonts w:hint="eastAsia" w:ascii="宋体" w:hAnsi="宋体" w:eastAsia="宋体" w:cs="宋体"/>
          <w:color w:val="auto"/>
        </w:rPr>
        <w:t>附件4        </w:t>
      </w:r>
      <w:r>
        <w:rPr>
          <w:rStyle w:val="26"/>
          <w:rFonts w:hint="eastAsia" w:ascii="宋体" w:hAnsi="宋体" w:eastAsia="宋体" w:cs="宋体"/>
          <w:bCs/>
          <w:color w:val="auto"/>
        </w:rPr>
        <w:t>磋商保证金凭证</w:t>
      </w:r>
    </w:p>
    <w:p w14:paraId="278A47E9">
      <w:pPr>
        <w:pStyle w:val="17"/>
        <w:widowControl/>
        <w:spacing w:before="75" w:beforeAutospacing="0" w:after="75" w:afterAutospacing="0"/>
        <w:rPr>
          <w:color w:val="auto"/>
        </w:rPr>
      </w:pPr>
      <w:r>
        <w:rPr>
          <w:rFonts w:hint="eastAsia" w:ascii="宋体" w:hAnsi="宋体" w:eastAsia="宋体" w:cs="宋体"/>
          <w:color w:val="auto"/>
        </w:rPr>
        <w:t> </w:t>
      </w:r>
    </w:p>
    <w:p w14:paraId="63FB2441">
      <w:pPr>
        <w:pStyle w:val="17"/>
        <w:widowControl/>
        <w:spacing w:before="75" w:beforeAutospacing="0" w:after="75" w:afterAutospacing="0"/>
        <w:ind w:firstLine="3360"/>
        <w:jc w:val="both"/>
        <w:rPr>
          <w:color w:val="auto"/>
        </w:rPr>
      </w:pPr>
      <w:r>
        <w:rPr>
          <w:rFonts w:hint="eastAsia" w:ascii="宋体" w:hAnsi="宋体" w:eastAsia="宋体" w:cs="宋体"/>
          <w:color w:val="auto"/>
        </w:rPr>
        <w:t>编制说明</w:t>
      </w:r>
    </w:p>
    <w:p w14:paraId="51BF3679">
      <w:pPr>
        <w:pStyle w:val="17"/>
        <w:widowControl/>
        <w:spacing w:before="75" w:beforeAutospacing="0" w:after="75" w:afterAutospacing="0"/>
        <w:rPr>
          <w:color w:val="auto"/>
        </w:rPr>
      </w:pPr>
      <w:r>
        <w:rPr>
          <w:rFonts w:hint="eastAsia" w:ascii="宋体" w:hAnsi="宋体" w:eastAsia="宋体" w:cs="宋体"/>
          <w:color w:val="auto"/>
        </w:rPr>
        <w:t> </w:t>
      </w:r>
    </w:p>
    <w:p w14:paraId="35C3A4F6">
      <w:pPr>
        <w:pStyle w:val="17"/>
        <w:widowControl/>
        <w:spacing w:before="75" w:beforeAutospacing="0" w:after="75" w:afterAutospacing="0"/>
        <w:rPr>
          <w:color w:val="auto"/>
        </w:rPr>
      </w:pPr>
      <w:r>
        <w:rPr>
          <w:rFonts w:hint="eastAsia" w:ascii="宋体" w:hAnsi="宋体" w:eastAsia="宋体" w:cs="宋体"/>
          <w:color w:val="auto"/>
          <w:sz w:val="21"/>
          <w:szCs w:val="21"/>
        </w:rPr>
        <w:t>1、</w:t>
      </w:r>
      <w:r>
        <w:rPr>
          <w:rFonts w:hint="eastAsia" w:ascii="宋体" w:hAnsi="宋体" w:eastAsia="宋体" w:cs="宋体"/>
          <w:color w:val="auto"/>
        </w:rPr>
        <w:t>在此项下提交的“</w:t>
      </w:r>
      <w:r>
        <w:rPr>
          <w:rStyle w:val="26"/>
          <w:rFonts w:hint="eastAsia" w:ascii="宋体" w:hAnsi="宋体" w:eastAsia="宋体" w:cs="宋体"/>
          <w:bCs/>
          <w:color w:val="auto"/>
        </w:rPr>
        <w:t>磋商保证金</w:t>
      </w:r>
      <w:r>
        <w:rPr>
          <w:rFonts w:hint="eastAsia" w:ascii="宋体" w:hAnsi="宋体" w:eastAsia="宋体" w:cs="宋体"/>
          <w:color w:val="auto"/>
        </w:rPr>
        <w:t>”材料可使用转账凭证复印件。</w:t>
      </w:r>
    </w:p>
    <w:p w14:paraId="1048E2AF">
      <w:pPr>
        <w:pStyle w:val="17"/>
        <w:widowControl/>
        <w:spacing w:before="75" w:beforeAutospacing="0" w:after="240" w:afterAutospacing="0"/>
        <w:rPr>
          <w:rFonts w:ascii="宋体" w:hAnsi="宋体" w:eastAsia="宋体" w:cs="宋体"/>
          <w:color w:val="auto"/>
        </w:rPr>
      </w:pPr>
      <w:r>
        <w:rPr>
          <w:rFonts w:hint="eastAsia" w:ascii="宋体" w:hAnsi="宋体" w:eastAsia="宋体" w:cs="宋体"/>
          <w:color w:val="auto"/>
        </w:rPr>
        <w:t>2、磋商保证金是否已提交按照磋商文件规定执行。</w:t>
      </w:r>
    </w:p>
    <w:p w14:paraId="45B549E1">
      <w:pPr>
        <w:pStyle w:val="17"/>
        <w:widowControl/>
        <w:spacing w:before="75" w:beforeAutospacing="0" w:after="240" w:afterAutospacing="0"/>
        <w:rPr>
          <w:rFonts w:ascii="宋体" w:hAnsi="宋体" w:eastAsia="宋体" w:cs="宋体"/>
          <w:color w:val="auto"/>
        </w:rPr>
      </w:pPr>
    </w:p>
    <w:p w14:paraId="7607FB3F">
      <w:pPr>
        <w:pStyle w:val="17"/>
        <w:widowControl/>
        <w:spacing w:before="75" w:beforeAutospacing="0" w:after="240" w:afterAutospacing="0"/>
        <w:rPr>
          <w:rFonts w:ascii="宋体" w:hAnsi="宋体" w:eastAsia="宋体" w:cs="宋体"/>
          <w:color w:val="auto"/>
          <w:sz w:val="21"/>
          <w:szCs w:val="21"/>
        </w:rPr>
      </w:pPr>
    </w:p>
    <w:p w14:paraId="483AA1AE">
      <w:pPr>
        <w:pStyle w:val="17"/>
        <w:widowControl/>
        <w:spacing w:before="75" w:beforeAutospacing="0" w:after="240" w:afterAutospacing="0"/>
        <w:rPr>
          <w:rFonts w:ascii="宋体" w:hAnsi="宋体" w:eastAsia="宋体" w:cs="宋体"/>
          <w:color w:val="auto"/>
          <w:sz w:val="21"/>
          <w:szCs w:val="21"/>
        </w:rPr>
      </w:pPr>
    </w:p>
    <w:p w14:paraId="7D35255C">
      <w:pPr>
        <w:pStyle w:val="17"/>
        <w:widowControl/>
        <w:spacing w:before="75" w:beforeAutospacing="0" w:after="240" w:afterAutospacing="0"/>
        <w:rPr>
          <w:rFonts w:ascii="宋体" w:hAnsi="宋体" w:eastAsia="宋体" w:cs="宋体"/>
          <w:color w:val="auto"/>
          <w:sz w:val="21"/>
          <w:szCs w:val="21"/>
        </w:rPr>
      </w:pPr>
    </w:p>
    <w:p w14:paraId="1C92E556">
      <w:pPr>
        <w:pStyle w:val="17"/>
        <w:widowControl/>
        <w:spacing w:before="75" w:beforeAutospacing="0" w:after="240" w:afterAutospacing="0"/>
        <w:rPr>
          <w:rFonts w:ascii="宋体" w:hAnsi="宋体" w:eastAsia="宋体" w:cs="宋体"/>
          <w:color w:val="auto"/>
          <w:sz w:val="21"/>
          <w:szCs w:val="21"/>
        </w:rPr>
      </w:pPr>
    </w:p>
    <w:p w14:paraId="3075CE5D">
      <w:pPr>
        <w:pStyle w:val="17"/>
        <w:widowControl/>
        <w:spacing w:before="75" w:beforeAutospacing="0" w:after="240" w:afterAutospacing="0"/>
        <w:rPr>
          <w:rFonts w:ascii="宋体" w:hAnsi="宋体" w:eastAsia="宋体" w:cs="宋体"/>
          <w:color w:val="auto"/>
          <w:sz w:val="21"/>
          <w:szCs w:val="21"/>
        </w:rPr>
      </w:pPr>
    </w:p>
    <w:p w14:paraId="06CC08F2">
      <w:pPr>
        <w:pStyle w:val="17"/>
        <w:widowControl/>
        <w:spacing w:before="75" w:beforeAutospacing="0" w:after="240" w:afterAutospacing="0"/>
        <w:rPr>
          <w:rFonts w:ascii="宋体" w:hAnsi="宋体" w:eastAsia="宋体" w:cs="宋体"/>
          <w:color w:val="auto"/>
          <w:sz w:val="21"/>
          <w:szCs w:val="21"/>
        </w:rPr>
      </w:pPr>
    </w:p>
    <w:p w14:paraId="47C2BC02">
      <w:pPr>
        <w:pStyle w:val="17"/>
        <w:widowControl/>
        <w:spacing w:before="75" w:beforeAutospacing="0" w:after="240" w:afterAutospacing="0"/>
        <w:rPr>
          <w:rFonts w:ascii="宋体" w:hAnsi="宋体" w:eastAsia="宋体" w:cs="宋体"/>
          <w:color w:val="auto"/>
          <w:sz w:val="21"/>
          <w:szCs w:val="21"/>
        </w:rPr>
      </w:pPr>
    </w:p>
    <w:p w14:paraId="75641341">
      <w:pPr>
        <w:pStyle w:val="17"/>
        <w:widowControl/>
        <w:spacing w:before="75" w:beforeAutospacing="0" w:after="240" w:afterAutospacing="0"/>
        <w:rPr>
          <w:rFonts w:ascii="宋体" w:hAnsi="宋体" w:eastAsia="宋体" w:cs="宋体"/>
          <w:color w:val="auto"/>
          <w:sz w:val="21"/>
          <w:szCs w:val="21"/>
        </w:rPr>
      </w:pPr>
    </w:p>
    <w:p w14:paraId="4EA551B1">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4AC0D3D7">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3450761C">
      <w:pPr>
        <w:pStyle w:val="17"/>
        <w:widowControl/>
        <w:spacing w:before="75" w:beforeAutospacing="0" w:after="75" w:afterAutospacing="0" w:line="435" w:lineRule="atLeast"/>
        <w:rPr>
          <w:color w:val="auto"/>
        </w:rPr>
      </w:pPr>
      <w:r>
        <w:rPr>
          <w:rFonts w:hint="eastAsia" w:ascii="宋体" w:hAnsi="宋体" w:eastAsia="宋体" w:cs="宋体"/>
          <w:color w:val="auto"/>
        </w:rPr>
        <w:t> </w:t>
      </w:r>
    </w:p>
    <w:p w14:paraId="666BA61B">
      <w:pPr>
        <w:pStyle w:val="17"/>
        <w:widowControl/>
        <w:spacing w:before="75" w:beforeAutospacing="0" w:after="75" w:afterAutospacing="0"/>
        <w:rPr>
          <w:color w:val="auto"/>
        </w:rPr>
      </w:pPr>
      <w:r>
        <w:rPr>
          <w:color w:val="auto"/>
        </w:rPr>
        <w:t> </w:t>
      </w:r>
    </w:p>
    <w:p w14:paraId="7DC0397E">
      <w:pPr>
        <w:pStyle w:val="17"/>
        <w:widowControl/>
        <w:spacing w:before="75" w:beforeAutospacing="0" w:after="75" w:afterAutospacing="0"/>
        <w:rPr>
          <w:rFonts w:ascii="宋体" w:hAnsi="宋体" w:eastAsia="宋体" w:cs="宋体"/>
          <w:color w:val="auto"/>
        </w:rPr>
      </w:pPr>
    </w:p>
    <w:p w14:paraId="0D23D8DD">
      <w:pPr>
        <w:pStyle w:val="17"/>
        <w:widowControl/>
        <w:spacing w:before="75" w:beforeAutospacing="0" w:after="75" w:afterAutospacing="0"/>
        <w:rPr>
          <w:rFonts w:ascii="宋体" w:hAnsi="宋体" w:eastAsia="宋体" w:cs="宋体"/>
          <w:color w:val="auto"/>
        </w:rPr>
      </w:pPr>
    </w:p>
    <w:p w14:paraId="51AE7CB6">
      <w:pPr>
        <w:rPr>
          <w:rFonts w:ascii="宋体" w:hAnsi="宋体" w:eastAsia="宋体" w:cs="宋体"/>
          <w:color w:val="auto"/>
          <w:sz w:val="24"/>
        </w:rPr>
      </w:pPr>
      <w:r>
        <w:rPr>
          <w:rFonts w:hint="eastAsia" w:ascii="宋体" w:hAnsi="宋体" w:eastAsia="宋体" w:cs="宋体"/>
          <w:color w:val="auto"/>
          <w:sz w:val="24"/>
        </w:rPr>
        <w:br w:type="page"/>
      </w:r>
    </w:p>
    <w:p w14:paraId="3FFF27BB">
      <w:pPr>
        <w:pStyle w:val="17"/>
        <w:widowControl/>
        <w:spacing w:before="75" w:beforeAutospacing="0" w:after="75" w:afterAutospacing="0" w:line="465" w:lineRule="atLeast"/>
        <w:rPr>
          <w:rFonts w:ascii="宋体" w:hAnsi="宋体" w:eastAsia="宋体" w:cs="宋体"/>
          <w:color w:val="auto"/>
        </w:rPr>
      </w:pPr>
      <w:r>
        <w:rPr>
          <w:rFonts w:hint="eastAsia" w:ascii="宋体" w:hAnsi="宋体" w:eastAsia="宋体" w:cs="宋体"/>
          <w:color w:val="auto"/>
        </w:rPr>
        <w:t xml:space="preserve">附件5：          </w:t>
      </w:r>
      <w:r>
        <w:rPr>
          <w:rFonts w:hint="eastAsia"/>
          <w:b/>
          <w:bCs/>
          <w:color w:val="auto"/>
          <w:sz w:val="32"/>
          <w:szCs w:val="32"/>
        </w:rPr>
        <w:t>技术商务部分评分内容对应表</w:t>
      </w:r>
    </w:p>
    <w:p w14:paraId="0EEABA2E">
      <w:pPr>
        <w:rPr>
          <w:rFonts w:ascii="宋体" w:hAnsi="宋体" w:eastAsia="宋体" w:cs="宋体"/>
          <w:color w:val="auto"/>
        </w:rPr>
      </w:pPr>
    </w:p>
    <w:p w14:paraId="5F9E8FD1">
      <w:pPr>
        <w:rPr>
          <w:rFonts w:ascii="宋体" w:cs="宋体"/>
          <w:color w:val="auto"/>
          <w:sz w:val="24"/>
        </w:rPr>
      </w:pPr>
      <w:r>
        <w:rPr>
          <w:rFonts w:hint="eastAsia" w:ascii="宋体" w:hAnsi="宋体" w:cs="宋体"/>
          <w:color w:val="auto"/>
          <w:sz w:val="24"/>
        </w:rPr>
        <w:t>供应商名称</w:t>
      </w:r>
      <w:r>
        <w:rPr>
          <w:rFonts w:ascii="宋体" w:hAnsi="宋体" w:cs="宋体"/>
          <w:color w:val="auto"/>
          <w:sz w:val="24"/>
        </w:rPr>
        <w:t>(</w:t>
      </w:r>
      <w:r>
        <w:rPr>
          <w:rFonts w:hint="eastAsia" w:ascii="宋体" w:hAnsi="宋体" w:cs="宋体"/>
          <w:color w:val="auto"/>
          <w:sz w:val="24"/>
        </w:rPr>
        <w:t>全称并加盖公章</w:t>
      </w:r>
      <w:r>
        <w:rPr>
          <w:rFonts w:ascii="宋体" w:hAnsi="宋体" w:cs="宋体"/>
          <w:color w:val="auto"/>
          <w:sz w:val="24"/>
        </w:rPr>
        <w:t>)</w:t>
      </w:r>
      <w:r>
        <w:rPr>
          <w:rFonts w:hint="eastAsia" w:ascii="宋体" w:hAnsi="宋体" w:cs="宋体"/>
          <w:color w:val="auto"/>
          <w:sz w:val="24"/>
        </w:rPr>
        <w:t>：项目编号∶</w:t>
      </w:r>
    </w:p>
    <w:tbl>
      <w:tblPr>
        <w:tblStyle w:val="23"/>
        <w:tblW w:w="9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080"/>
        <w:gridCol w:w="2880"/>
        <w:gridCol w:w="2700"/>
        <w:gridCol w:w="1440"/>
        <w:gridCol w:w="1221"/>
      </w:tblGrid>
      <w:tr w14:paraId="3CDF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8" w:type="dxa"/>
            <w:gridSpan w:val="2"/>
            <w:vAlign w:val="center"/>
          </w:tcPr>
          <w:p w14:paraId="4A1121BD">
            <w:pPr>
              <w:spacing w:line="240" w:lineRule="exact"/>
              <w:jc w:val="center"/>
              <w:rPr>
                <w:rFonts w:ascii="宋体" w:cs="宋体"/>
                <w:color w:val="auto"/>
                <w:sz w:val="24"/>
              </w:rPr>
            </w:pPr>
            <w:r>
              <w:rPr>
                <w:rFonts w:hint="eastAsia" w:ascii="宋体" w:hAnsi="宋体" w:cs="宋体"/>
                <w:color w:val="auto"/>
                <w:sz w:val="24"/>
              </w:rPr>
              <w:t>项目</w:t>
            </w:r>
          </w:p>
        </w:tc>
        <w:tc>
          <w:tcPr>
            <w:tcW w:w="2880" w:type="dxa"/>
            <w:vAlign w:val="center"/>
          </w:tcPr>
          <w:p w14:paraId="1B1A84CE">
            <w:pPr>
              <w:spacing w:line="240" w:lineRule="exact"/>
              <w:jc w:val="center"/>
              <w:rPr>
                <w:rFonts w:ascii="宋体" w:cs="宋体"/>
                <w:color w:val="auto"/>
                <w:sz w:val="24"/>
              </w:rPr>
            </w:pPr>
            <w:r>
              <w:rPr>
                <w:rFonts w:hint="eastAsia" w:ascii="宋体" w:hAnsi="宋体" w:cs="宋体"/>
                <w:color w:val="auto"/>
                <w:sz w:val="24"/>
              </w:rPr>
              <w:t>评分内容</w:t>
            </w:r>
          </w:p>
        </w:tc>
        <w:tc>
          <w:tcPr>
            <w:tcW w:w="2700" w:type="dxa"/>
            <w:vAlign w:val="center"/>
          </w:tcPr>
          <w:p w14:paraId="4DE27CC1">
            <w:pPr>
              <w:spacing w:line="240" w:lineRule="exact"/>
              <w:jc w:val="center"/>
              <w:rPr>
                <w:rFonts w:ascii="宋体" w:cs="宋体"/>
                <w:color w:val="auto"/>
                <w:sz w:val="24"/>
              </w:rPr>
            </w:pPr>
            <w:r>
              <w:rPr>
                <w:rFonts w:hint="eastAsia" w:ascii="宋体" w:hAnsi="宋体" w:cs="宋体"/>
                <w:color w:val="auto"/>
                <w:sz w:val="24"/>
              </w:rPr>
              <w:t>响应文件响应情况</w:t>
            </w:r>
          </w:p>
        </w:tc>
        <w:tc>
          <w:tcPr>
            <w:tcW w:w="1440" w:type="dxa"/>
            <w:vAlign w:val="center"/>
          </w:tcPr>
          <w:p w14:paraId="1EF815FC">
            <w:pPr>
              <w:spacing w:line="240" w:lineRule="exact"/>
              <w:jc w:val="center"/>
              <w:rPr>
                <w:rFonts w:ascii="宋体" w:cs="宋体"/>
                <w:color w:val="auto"/>
                <w:sz w:val="24"/>
              </w:rPr>
            </w:pPr>
            <w:r>
              <w:rPr>
                <w:rFonts w:hint="eastAsia" w:ascii="宋体" w:hAnsi="宋体" w:cs="宋体"/>
                <w:color w:val="auto"/>
                <w:sz w:val="24"/>
              </w:rPr>
              <w:t>证明材料</w:t>
            </w:r>
          </w:p>
        </w:tc>
        <w:tc>
          <w:tcPr>
            <w:tcW w:w="1221" w:type="dxa"/>
            <w:vAlign w:val="center"/>
          </w:tcPr>
          <w:p w14:paraId="707176AC">
            <w:pPr>
              <w:spacing w:line="240" w:lineRule="exact"/>
              <w:jc w:val="center"/>
              <w:rPr>
                <w:rFonts w:ascii="宋体" w:cs="宋体"/>
                <w:color w:val="auto"/>
                <w:sz w:val="24"/>
              </w:rPr>
            </w:pPr>
            <w:r>
              <w:rPr>
                <w:rFonts w:hint="eastAsia" w:ascii="宋体" w:hAnsi="宋体" w:cs="宋体"/>
                <w:color w:val="auto"/>
                <w:sz w:val="24"/>
              </w:rPr>
              <w:t>响应文件对应页码</w:t>
            </w:r>
          </w:p>
        </w:tc>
      </w:tr>
      <w:tr w14:paraId="5C5C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restart"/>
            <w:vAlign w:val="center"/>
          </w:tcPr>
          <w:p w14:paraId="495CC4FB">
            <w:pPr>
              <w:spacing w:line="240" w:lineRule="exact"/>
              <w:jc w:val="center"/>
              <w:rPr>
                <w:rFonts w:ascii="宋体" w:cs="宋体"/>
                <w:color w:val="auto"/>
                <w:sz w:val="24"/>
              </w:rPr>
            </w:pPr>
            <w:r>
              <w:rPr>
                <w:rFonts w:hint="eastAsia" w:ascii="宋体" w:hAnsi="宋体" w:cs="宋体"/>
                <w:color w:val="auto"/>
                <w:sz w:val="24"/>
              </w:rPr>
              <w:t>技</w:t>
            </w:r>
          </w:p>
          <w:p w14:paraId="2ABEBA8D">
            <w:pPr>
              <w:spacing w:line="240" w:lineRule="exact"/>
              <w:jc w:val="center"/>
              <w:rPr>
                <w:rFonts w:ascii="宋体" w:cs="宋体"/>
                <w:color w:val="auto"/>
                <w:sz w:val="24"/>
              </w:rPr>
            </w:pPr>
            <w:r>
              <w:rPr>
                <w:rFonts w:hint="eastAsia" w:ascii="宋体" w:hAnsi="宋体" w:cs="宋体"/>
                <w:color w:val="auto"/>
                <w:sz w:val="24"/>
              </w:rPr>
              <w:t>术</w:t>
            </w:r>
          </w:p>
          <w:p w14:paraId="3FDDFBEC">
            <w:pPr>
              <w:spacing w:line="240" w:lineRule="exact"/>
              <w:jc w:val="center"/>
              <w:rPr>
                <w:rFonts w:ascii="宋体" w:cs="宋体"/>
                <w:color w:val="auto"/>
                <w:sz w:val="24"/>
              </w:rPr>
            </w:pPr>
            <w:r>
              <w:rPr>
                <w:rFonts w:hint="eastAsia" w:ascii="宋体" w:hAnsi="宋体" w:cs="宋体"/>
                <w:color w:val="auto"/>
                <w:sz w:val="24"/>
              </w:rPr>
              <w:t>部</w:t>
            </w:r>
          </w:p>
          <w:p w14:paraId="67F4D89C">
            <w:pPr>
              <w:spacing w:line="240" w:lineRule="exact"/>
              <w:jc w:val="center"/>
              <w:rPr>
                <w:rFonts w:ascii="宋体" w:cs="宋体"/>
                <w:color w:val="auto"/>
                <w:sz w:val="24"/>
              </w:rPr>
            </w:pPr>
            <w:r>
              <w:rPr>
                <w:rFonts w:hint="eastAsia" w:ascii="宋体" w:hAnsi="宋体" w:cs="宋体"/>
                <w:color w:val="auto"/>
                <w:sz w:val="24"/>
              </w:rPr>
              <w:t>分</w:t>
            </w:r>
          </w:p>
        </w:tc>
        <w:tc>
          <w:tcPr>
            <w:tcW w:w="1080" w:type="dxa"/>
            <w:vAlign w:val="center"/>
          </w:tcPr>
          <w:p w14:paraId="2D901CC3">
            <w:pPr>
              <w:spacing w:line="240" w:lineRule="exact"/>
              <w:jc w:val="center"/>
              <w:rPr>
                <w:rFonts w:ascii="宋体" w:eastAsia="宋体" w:cs="宋体"/>
                <w:color w:val="auto"/>
                <w:sz w:val="24"/>
              </w:rPr>
            </w:pPr>
            <w:r>
              <w:rPr>
                <w:rFonts w:hint="eastAsia" w:ascii="宋体" w:hAnsi="宋体" w:cs="宋体"/>
                <w:color w:val="auto"/>
                <w:sz w:val="24"/>
              </w:rPr>
              <w:t>1</w:t>
            </w:r>
          </w:p>
        </w:tc>
        <w:tc>
          <w:tcPr>
            <w:tcW w:w="2880" w:type="dxa"/>
          </w:tcPr>
          <w:p w14:paraId="04338415">
            <w:pPr>
              <w:spacing w:line="240" w:lineRule="exact"/>
              <w:rPr>
                <w:rFonts w:ascii="宋体" w:cs="宋体"/>
                <w:b/>
                <w:color w:val="auto"/>
                <w:sz w:val="24"/>
              </w:rPr>
            </w:pPr>
          </w:p>
        </w:tc>
        <w:tc>
          <w:tcPr>
            <w:tcW w:w="2700" w:type="dxa"/>
          </w:tcPr>
          <w:p w14:paraId="7A511472">
            <w:pPr>
              <w:spacing w:line="240" w:lineRule="exact"/>
              <w:rPr>
                <w:rFonts w:ascii="宋体" w:cs="宋体"/>
                <w:b/>
                <w:color w:val="auto"/>
                <w:sz w:val="24"/>
              </w:rPr>
            </w:pPr>
          </w:p>
        </w:tc>
        <w:tc>
          <w:tcPr>
            <w:tcW w:w="1440" w:type="dxa"/>
          </w:tcPr>
          <w:p w14:paraId="3EA96680">
            <w:pPr>
              <w:spacing w:line="240" w:lineRule="exact"/>
              <w:rPr>
                <w:rFonts w:ascii="宋体" w:cs="宋体"/>
                <w:b/>
                <w:color w:val="auto"/>
                <w:sz w:val="24"/>
              </w:rPr>
            </w:pPr>
          </w:p>
        </w:tc>
        <w:tc>
          <w:tcPr>
            <w:tcW w:w="1221" w:type="dxa"/>
          </w:tcPr>
          <w:p w14:paraId="65BF8CCE">
            <w:pPr>
              <w:spacing w:line="240" w:lineRule="exact"/>
              <w:rPr>
                <w:rFonts w:ascii="宋体" w:cs="宋体"/>
                <w:b/>
                <w:color w:val="auto"/>
                <w:sz w:val="24"/>
              </w:rPr>
            </w:pPr>
          </w:p>
        </w:tc>
      </w:tr>
      <w:tr w14:paraId="4842F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continue"/>
          </w:tcPr>
          <w:p w14:paraId="56C0BC11">
            <w:pPr>
              <w:spacing w:line="240" w:lineRule="exact"/>
              <w:rPr>
                <w:rFonts w:ascii="宋体" w:cs="宋体"/>
                <w:b/>
                <w:color w:val="auto"/>
                <w:sz w:val="24"/>
              </w:rPr>
            </w:pPr>
          </w:p>
        </w:tc>
        <w:tc>
          <w:tcPr>
            <w:tcW w:w="1080" w:type="dxa"/>
            <w:vAlign w:val="center"/>
          </w:tcPr>
          <w:p w14:paraId="56E2AAB1">
            <w:pPr>
              <w:spacing w:line="240" w:lineRule="exact"/>
              <w:jc w:val="center"/>
              <w:rPr>
                <w:rFonts w:ascii="宋体" w:cs="宋体"/>
                <w:color w:val="auto"/>
                <w:sz w:val="24"/>
              </w:rPr>
            </w:pPr>
          </w:p>
        </w:tc>
        <w:tc>
          <w:tcPr>
            <w:tcW w:w="2880" w:type="dxa"/>
          </w:tcPr>
          <w:p w14:paraId="2E64F40D">
            <w:pPr>
              <w:spacing w:line="240" w:lineRule="exact"/>
              <w:rPr>
                <w:rFonts w:ascii="宋体" w:cs="宋体"/>
                <w:b/>
                <w:color w:val="auto"/>
                <w:sz w:val="24"/>
              </w:rPr>
            </w:pPr>
          </w:p>
        </w:tc>
        <w:tc>
          <w:tcPr>
            <w:tcW w:w="2700" w:type="dxa"/>
          </w:tcPr>
          <w:p w14:paraId="34FFB59A">
            <w:pPr>
              <w:spacing w:line="240" w:lineRule="exact"/>
              <w:rPr>
                <w:rFonts w:ascii="宋体" w:cs="宋体"/>
                <w:b/>
                <w:color w:val="auto"/>
                <w:sz w:val="24"/>
              </w:rPr>
            </w:pPr>
          </w:p>
        </w:tc>
        <w:tc>
          <w:tcPr>
            <w:tcW w:w="1440" w:type="dxa"/>
          </w:tcPr>
          <w:p w14:paraId="5346A219">
            <w:pPr>
              <w:spacing w:line="240" w:lineRule="exact"/>
              <w:rPr>
                <w:rFonts w:ascii="宋体" w:cs="宋体"/>
                <w:b/>
                <w:color w:val="auto"/>
                <w:sz w:val="24"/>
              </w:rPr>
            </w:pPr>
          </w:p>
        </w:tc>
        <w:tc>
          <w:tcPr>
            <w:tcW w:w="1221" w:type="dxa"/>
          </w:tcPr>
          <w:p w14:paraId="288C5328">
            <w:pPr>
              <w:spacing w:line="240" w:lineRule="exact"/>
              <w:rPr>
                <w:rFonts w:ascii="宋体" w:cs="宋体"/>
                <w:b/>
                <w:color w:val="auto"/>
                <w:sz w:val="24"/>
              </w:rPr>
            </w:pPr>
          </w:p>
        </w:tc>
      </w:tr>
      <w:tr w14:paraId="6CBD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continue"/>
          </w:tcPr>
          <w:p w14:paraId="669CE495">
            <w:pPr>
              <w:spacing w:line="240" w:lineRule="exact"/>
              <w:rPr>
                <w:rFonts w:ascii="宋体" w:cs="宋体"/>
                <w:b/>
                <w:color w:val="auto"/>
                <w:sz w:val="24"/>
              </w:rPr>
            </w:pPr>
          </w:p>
        </w:tc>
        <w:tc>
          <w:tcPr>
            <w:tcW w:w="1080" w:type="dxa"/>
            <w:vAlign w:val="center"/>
          </w:tcPr>
          <w:p w14:paraId="0C0C37E7">
            <w:pPr>
              <w:spacing w:line="240" w:lineRule="exact"/>
              <w:jc w:val="center"/>
              <w:rPr>
                <w:rFonts w:ascii="宋体" w:cs="宋体"/>
                <w:color w:val="auto"/>
                <w:sz w:val="24"/>
              </w:rPr>
            </w:pPr>
          </w:p>
        </w:tc>
        <w:tc>
          <w:tcPr>
            <w:tcW w:w="2880" w:type="dxa"/>
          </w:tcPr>
          <w:p w14:paraId="77F4CB79">
            <w:pPr>
              <w:spacing w:line="240" w:lineRule="exact"/>
              <w:rPr>
                <w:rFonts w:ascii="宋体" w:cs="宋体"/>
                <w:b/>
                <w:color w:val="auto"/>
                <w:sz w:val="24"/>
              </w:rPr>
            </w:pPr>
          </w:p>
        </w:tc>
        <w:tc>
          <w:tcPr>
            <w:tcW w:w="2700" w:type="dxa"/>
          </w:tcPr>
          <w:p w14:paraId="380A9085">
            <w:pPr>
              <w:spacing w:line="240" w:lineRule="exact"/>
              <w:rPr>
                <w:rFonts w:ascii="宋体" w:cs="宋体"/>
                <w:b/>
                <w:color w:val="auto"/>
                <w:sz w:val="24"/>
              </w:rPr>
            </w:pPr>
          </w:p>
        </w:tc>
        <w:tc>
          <w:tcPr>
            <w:tcW w:w="1440" w:type="dxa"/>
          </w:tcPr>
          <w:p w14:paraId="00ABFBD1">
            <w:pPr>
              <w:spacing w:line="240" w:lineRule="exact"/>
              <w:rPr>
                <w:rFonts w:ascii="宋体" w:cs="宋体"/>
                <w:b/>
                <w:color w:val="auto"/>
                <w:sz w:val="24"/>
              </w:rPr>
            </w:pPr>
          </w:p>
        </w:tc>
        <w:tc>
          <w:tcPr>
            <w:tcW w:w="1221" w:type="dxa"/>
          </w:tcPr>
          <w:p w14:paraId="67D85E13">
            <w:pPr>
              <w:spacing w:line="240" w:lineRule="exact"/>
              <w:rPr>
                <w:rFonts w:ascii="宋体" w:cs="宋体"/>
                <w:b/>
                <w:color w:val="auto"/>
                <w:sz w:val="24"/>
              </w:rPr>
            </w:pPr>
          </w:p>
        </w:tc>
      </w:tr>
      <w:tr w14:paraId="7F1A5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continue"/>
          </w:tcPr>
          <w:p w14:paraId="0FF955E6">
            <w:pPr>
              <w:spacing w:line="240" w:lineRule="exact"/>
              <w:rPr>
                <w:rFonts w:ascii="宋体" w:cs="宋体"/>
                <w:b/>
                <w:color w:val="auto"/>
                <w:sz w:val="24"/>
              </w:rPr>
            </w:pPr>
          </w:p>
        </w:tc>
        <w:tc>
          <w:tcPr>
            <w:tcW w:w="1080" w:type="dxa"/>
            <w:vAlign w:val="center"/>
          </w:tcPr>
          <w:p w14:paraId="413F0044">
            <w:pPr>
              <w:spacing w:line="240" w:lineRule="exact"/>
              <w:jc w:val="center"/>
              <w:rPr>
                <w:rFonts w:ascii="宋体" w:cs="宋体"/>
                <w:color w:val="auto"/>
                <w:sz w:val="24"/>
              </w:rPr>
            </w:pPr>
          </w:p>
        </w:tc>
        <w:tc>
          <w:tcPr>
            <w:tcW w:w="2880" w:type="dxa"/>
          </w:tcPr>
          <w:p w14:paraId="07A9CEB5">
            <w:pPr>
              <w:spacing w:line="240" w:lineRule="exact"/>
              <w:rPr>
                <w:rFonts w:ascii="宋体" w:cs="宋体"/>
                <w:b/>
                <w:color w:val="auto"/>
                <w:sz w:val="24"/>
              </w:rPr>
            </w:pPr>
          </w:p>
        </w:tc>
        <w:tc>
          <w:tcPr>
            <w:tcW w:w="2700" w:type="dxa"/>
          </w:tcPr>
          <w:p w14:paraId="26C2B421">
            <w:pPr>
              <w:spacing w:line="240" w:lineRule="exact"/>
              <w:rPr>
                <w:rFonts w:ascii="宋体" w:cs="宋体"/>
                <w:b/>
                <w:color w:val="auto"/>
                <w:sz w:val="24"/>
              </w:rPr>
            </w:pPr>
          </w:p>
        </w:tc>
        <w:tc>
          <w:tcPr>
            <w:tcW w:w="1440" w:type="dxa"/>
          </w:tcPr>
          <w:p w14:paraId="2AECBDC5">
            <w:pPr>
              <w:spacing w:line="240" w:lineRule="exact"/>
              <w:rPr>
                <w:rFonts w:ascii="宋体" w:cs="宋体"/>
                <w:b/>
                <w:color w:val="auto"/>
                <w:sz w:val="24"/>
              </w:rPr>
            </w:pPr>
          </w:p>
        </w:tc>
        <w:tc>
          <w:tcPr>
            <w:tcW w:w="1221" w:type="dxa"/>
          </w:tcPr>
          <w:p w14:paraId="0FC145F5">
            <w:pPr>
              <w:spacing w:line="240" w:lineRule="exact"/>
              <w:rPr>
                <w:rFonts w:ascii="宋体" w:cs="宋体"/>
                <w:b/>
                <w:color w:val="auto"/>
                <w:sz w:val="24"/>
              </w:rPr>
            </w:pPr>
          </w:p>
        </w:tc>
      </w:tr>
      <w:tr w14:paraId="4334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continue"/>
          </w:tcPr>
          <w:p w14:paraId="50CE6D2E">
            <w:pPr>
              <w:spacing w:line="240" w:lineRule="exact"/>
              <w:rPr>
                <w:rFonts w:ascii="宋体" w:cs="宋体"/>
                <w:b/>
                <w:color w:val="auto"/>
                <w:sz w:val="24"/>
              </w:rPr>
            </w:pPr>
          </w:p>
        </w:tc>
        <w:tc>
          <w:tcPr>
            <w:tcW w:w="1080" w:type="dxa"/>
            <w:vAlign w:val="center"/>
          </w:tcPr>
          <w:p w14:paraId="0D6CE284">
            <w:pPr>
              <w:spacing w:line="240" w:lineRule="exact"/>
              <w:jc w:val="center"/>
              <w:rPr>
                <w:rFonts w:ascii="宋体" w:cs="宋体"/>
                <w:color w:val="auto"/>
                <w:sz w:val="24"/>
              </w:rPr>
            </w:pPr>
          </w:p>
        </w:tc>
        <w:tc>
          <w:tcPr>
            <w:tcW w:w="2880" w:type="dxa"/>
          </w:tcPr>
          <w:p w14:paraId="6C106FFC">
            <w:pPr>
              <w:spacing w:line="240" w:lineRule="exact"/>
              <w:rPr>
                <w:rFonts w:ascii="宋体" w:cs="宋体"/>
                <w:b/>
                <w:color w:val="auto"/>
                <w:sz w:val="24"/>
              </w:rPr>
            </w:pPr>
          </w:p>
        </w:tc>
        <w:tc>
          <w:tcPr>
            <w:tcW w:w="2700" w:type="dxa"/>
          </w:tcPr>
          <w:p w14:paraId="241EDC74">
            <w:pPr>
              <w:spacing w:line="240" w:lineRule="exact"/>
              <w:rPr>
                <w:rFonts w:ascii="宋体" w:cs="宋体"/>
                <w:b/>
                <w:color w:val="auto"/>
                <w:sz w:val="24"/>
              </w:rPr>
            </w:pPr>
          </w:p>
        </w:tc>
        <w:tc>
          <w:tcPr>
            <w:tcW w:w="1440" w:type="dxa"/>
          </w:tcPr>
          <w:p w14:paraId="3F71A0D0">
            <w:pPr>
              <w:spacing w:line="240" w:lineRule="exact"/>
              <w:rPr>
                <w:rFonts w:ascii="宋体" w:cs="宋体"/>
                <w:b/>
                <w:color w:val="auto"/>
                <w:sz w:val="24"/>
              </w:rPr>
            </w:pPr>
          </w:p>
        </w:tc>
        <w:tc>
          <w:tcPr>
            <w:tcW w:w="1221" w:type="dxa"/>
          </w:tcPr>
          <w:p w14:paraId="231EC6A4">
            <w:pPr>
              <w:spacing w:line="240" w:lineRule="exact"/>
              <w:rPr>
                <w:rFonts w:ascii="宋体" w:cs="宋体"/>
                <w:b/>
                <w:color w:val="auto"/>
                <w:sz w:val="24"/>
              </w:rPr>
            </w:pPr>
          </w:p>
        </w:tc>
      </w:tr>
      <w:tr w14:paraId="321CE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restart"/>
            <w:vAlign w:val="center"/>
          </w:tcPr>
          <w:p w14:paraId="04A4E13D">
            <w:pPr>
              <w:spacing w:line="240" w:lineRule="exact"/>
              <w:jc w:val="center"/>
              <w:rPr>
                <w:rFonts w:ascii="宋体" w:cs="宋体"/>
                <w:color w:val="auto"/>
                <w:sz w:val="24"/>
              </w:rPr>
            </w:pPr>
            <w:r>
              <w:rPr>
                <w:rFonts w:hint="eastAsia" w:ascii="宋体" w:hAnsi="宋体" w:cs="宋体"/>
                <w:color w:val="auto"/>
                <w:sz w:val="24"/>
              </w:rPr>
              <w:t>商</w:t>
            </w:r>
          </w:p>
          <w:p w14:paraId="66C1AD5A">
            <w:pPr>
              <w:spacing w:line="240" w:lineRule="exact"/>
              <w:jc w:val="center"/>
              <w:rPr>
                <w:rFonts w:ascii="宋体" w:cs="宋体"/>
                <w:color w:val="auto"/>
                <w:sz w:val="24"/>
              </w:rPr>
            </w:pPr>
            <w:r>
              <w:rPr>
                <w:rFonts w:hint="eastAsia" w:ascii="宋体" w:hAnsi="宋体" w:cs="宋体"/>
                <w:color w:val="auto"/>
                <w:sz w:val="24"/>
              </w:rPr>
              <w:t>务</w:t>
            </w:r>
          </w:p>
          <w:p w14:paraId="5563273E">
            <w:pPr>
              <w:spacing w:line="240" w:lineRule="exact"/>
              <w:jc w:val="center"/>
              <w:rPr>
                <w:rFonts w:ascii="宋体" w:cs="宋体"/>
                <w:color w:val="auto"/>
                <w:sz w:val="24"/>
              </w:rPr>
            </w:pPr>
            <w:r>
              <w:rPr>
                <w:rFonts w:hint="eastAsia" w:ascii="宋体" w:hAnsi="宋体" w:cs="宋体"/>
                <w:color w:val="auto"/>
                <w:sz w:val="24"/>
              </w:rPr>
              <w:t>部</w:t>
            </w:r>
          </w:p>
          <w:p w14:paraId="74A74E9F">
            <w:pPr>
              <w:spacing w:line="240" w:lineRule="exact"/>
              <w:jc w:val="center"/>
              <w:rPr>
                <w:rFonts w:ascii="宋体" w:cs="宋体"/>
                <w:color w:val="auto"/>
                <w:sz w:val="24"/>
              </w:rPr>
            </w:pPr>
            <w:r>
              <w:rPr>
                <w:rFonts w:hint="eastAsia" w:ascii="宋体" w:hAnsi="宋体" w:cs="宋体"/>
                <w:color w:val="auto"/>
                <w:sz w:val="24"/>
              </w:rPr>
              <w:t>分</w:t>
            </w:r>
          </w:p>
        </w:tc>
        <w:tc>
          <w:tcPr>
            <w:tcW w:w="1080" w:type="dxa"/>
            <w:vAlign w:val="center"/>
          </w:tcPr>
          <w:p w14:paraId="5C869D77">
            <w:pPr>
              <w:spacing w:line="240" w:lineRule="exact"/>
              <w:jc w:val="center"/>
              <w:rPr>
                <w:rFonts w:ascii="宋体" w:eastAsia="宋体" w:cs="宋体"/>
                <w:color w:val="auto"/>
                <w:sz w:val="24"/>
              </w:rPr>
            </w:pPr>
            <w:r>
              <w:rPr>
                <w:rFonts w:hint="eastAsia" w:ascii="宋体" w:hAnsi="宋体" w:cs="宋体"/>
                <w:color w:val="auto"/>
                <w:sz w:val="24"/>
              </w:rPr>
              <w:t>2</w:t>
            </w:r>
          </w:p>
        </w:tc>
        <w:tc>
          <w:tcPr>
            <w:tcW w:w="2880" w:type="dxa"/>
          </w:tcPr>
          <w:p w14:paraId="76028F5C">
            <w:pPr>
              <w:spacing w:line="240" w:lineRule="exact"/>
              <w:rPr>
                <w:rFonts w:ascii="宋体" w:cs="宋体"/>
                <w:b/>
                <w:color w:val="auto"/>
                <w:sz w:val="24"/>
              </w:rPr>
            </w:pPr>
          </w:p>
        </w:tc>
        <w:tc>
          <w:tcPr>
            <w:tcW w:w="2700" w:type="dxa"/>
          </w:tcPr>
          <w:p w14:paraId="30652D39">
            <w:pPr>
              <w:spacing w:line="240" w:lineRule="exact"/>
              <w:rPr>
                <w:rFonts w:ascii="宋体" w:cs="宋体"/>
                <w:b/>
                <w:color w:val="auto"/>
                <w:sz w:val="24"/>
              </w:rPr>
            </w:pPr>
          </w:p>
        </w:tc>
        <w:tc>
          <w:tcPr>
            <w:tcW w:w="1440" w:type="dxa"/>
          </w:tcPr>
          <w:p w14:paraId="78A28047">
            <w:pPr>
              <w:spacing w:line="240" w:lineRule="exact"/>
              <w:rPr>
                <w:rFonts w:ascii="宋体" w:cs="宋体"/>
                <w:b/>
                <w:color w:val="auto"/>
                <w:sz w:val="24"/>
              </w:rPr>
            </w:pPr>
          </w:p>
        </w:tc>
        <w:tc>
          <w:tcPr>
            <w:tcW w:w="1221" w:type="dxa"/>
          </w:tcPr>
          <w:p w14:paraId="6E6C4BDF">
            <w:pPr>
              <w:spacing w:line="240" w:lineRule="exact"/>
              <w:rPr>
                <w:rFonts w:ascii="宋体" w:cs="宋体"/>
                <w:b/>
                <w:color w:val="auto"/>
                <w:sz w:val="24"/>
              </w:rPr>
            </w:pPr>
          </w:p>
        </w:tc>
      </w:tr>
      <w:tr w14:paraId="5858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continue"/>
          </w:tcPr>
          <w:p w14:paraId="1E689AF5">
            <w:pPr>
              <w:spacing w:line="240" w:lineRule="exact"/>
              <w:rPr>
                <w:rFonts w:ascii="宋体" w:cs="宋体"/>
                <w:b/>
                <w:color w:val="auto"/>
                <w:sz w:val="24"/>
              </w:rPr>
            </w:pPr>
          </w:p>
        </w:tc>
        <w:tc>
          <w:tcPr>
            <w:tcW w:w="1080" w:type="dxa"/>
            <w:vAlign w:val="center"/>
          </w:tcPr>
          <w:p w14:paraId="4DF8AF88">
            <w:pPr>
              <w:spacing w:line="240" w:lineRule="exact"/>
              <w:jc w:val="center"/>
              <w:rPr>
                <w:rFonts w:ascii="宋体" w:cs="宋体"/>
                <w:color w:val="auto"/>
                <w:sz w:val="24"/>
              </w:rPr>
            </w:pPr>
          </w:p>
        </w:tc>
        <w:tc>
          <w:tcPr>
            <w:tcW w:w="2880" w:type="dxa"/>
          </w:tcPr>
          <w:p w14:paraId="61AA22F7">
            <w:pPr>
              <w:spacing w:line="240" w:lineRule="exact"/>
              <w:rPr>
                <w:rFonts w:ascii="宋体" w:cs="宋体"/>
                <w:b/>
                <w:color w:val="auto"/>
                <w:sz w:val="24"/>
              </w:rPr>
            </w:pPr>
          </w:p>
        </w:tc>
        <w:tc>
          <w:tcPr>
            <w:tcW w:w="2700" w:type="dxa"/>
          </w:tcPr>
          <w:p w14:paraId="673B035B">
            <w:pPr>
              <w:spacing w:line="240" w:lineRule="exact"/>
              <w:rPr>
                <w:rFonts w:ascii="宋体" w:cs="宋体"/>
                <w:b/>
                <w:color w:val="auto"/>
                <w:sz w:val="24"/>
              </w:rPr>
            </w:pPr>
          </w:p>
        </w:tc>
        <w:tc>
          <w:tcPr>
            <w:tcW w:w="1440" w:type="dxa"/>
          </w:tcPr>
          <w:p w14:paraId="558928C7">
            <w:pPr>
              <w:spacing w:line="240" w:lineRule="exact"/>
              <w:rPr>
                <w:rFonts w:ascii="宋体" w:cs="宋体"/>
                <w:b/>
                <w:color w:val="auto"/>
                <w:sz w:val="24"/>
              </w:rPr>
            </w:pPr>
          </w:p>
        </w:tc>
        <w:tc>
          <w:tcPr>
            <w:tcW w:w="1221" w:type="dxa"/>
          </w:tcPr>
          <w:p w14:paraId="707AF05F">
            <w:pPr>
              <w:spacing w:line="240" w:lineRule="exact"/>
              <w:rPr>
                <w:rFonts w:ascii="宋体" w:cs="宋体"/>
                <w:b/>
                <w:color w:val="auto"/>
                <w:sz w:val="24"/>
              </w:rPr>
            </w:pPr>
          </w:p>
        </w:tc>
      </w:tr>
      <w:tr w14:paraId="31A7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continue"/>
          </w:tcPr>
          <w:p w14:paraId="403CCF32">
            <w:pPr>
              <w:spacing w:line="240" w:lineRule="exact"/>
              <w:rPr>
                <w:rFonts w:ascii="宋体" w:cs="宋体"/>
                <w:b/>
                <w:color w:val="auto"/>
                <w:sz w:val="24"/>
              </w:rPr>
            </w:pPr>
          </w:p>
        </w:tc>
        <w:tc>
          <w:tcPr>
            <w:tcW w:w="1080" w:type="dxa"/>
            <w:vAlign w:val="center"/>
          </w:tcPr>
          <w:p w14:paraId="56931FCC">
            <w:pPr>
              <w:spacing w:line="240" w:lineRule="exact"/>
              <w:jc w:val="center"/>
              <w:rPr>
                <w:rFonts w:ascii="宋体" w:cs="宋体"/>
                <w:color w:val="auto"/>
                <w:sz w:val="24"/>
              </w:rPr>
            </w:pPr>
          </w:p>
        </w:tc>
        <w:tc>
          <w:tcPr>
            <w:tcW w:w="2880" w:type="dxa"/>
          </w:tcPr>
          <w:p w14:paraId="3A341802">
            <w:pPr>
              <w:spacing w:line="240" w:lineRule="exact"/>
              <w:rPr>
                <w:rFonts w:ascii="宋体" w:cs="宋体"/>
                <w:b/>
                <w:color w:val="auto"/>
                <w:sz w:val="24"/>
              </w:rPr>
            </w:pPr>
          </w:p>
        </w:tc>
        <w:tc>
          <w:tcPr>
            <w:tcW w:w="2700" w:type="dxa"/>
          </w:tcPr>
          <w:p w14:paraId="71219914">
            <w:pPr>
              <w:spacing w:line="240" w:lineRule="exact"/>
              <w:rPr>
                <w:rFonts w:ascii="宋体" w:cs="宋体"/>
                <w:b/>
                <w:color w:val="auto"/>
                <w:sz w:val="24"/>
              </w:rPr>
            </w:pPr>
          </w:p>
        </w:tc>
        <w:tc>
          <w:tcPr>
            <w:tcW w:w="1440" w:type="dxa"/>
          </w:tcPr>
          <w:p w14:paraId="0E6F2001">
            <w:pPr>
              <w:spacing w:line="240" w:lineRule="exact"/>
              <w:rPr>
                <w:rFonts w:ascii="宋体" w:cs="宋体"/>
                <w:b/>
                <w:color w:val="auto"/>
                <w:sz w:val="24"/>
              </w:rPr>
            </w:pPr>
          </w:p>
        </w:tc>
        <w:tc>
          <w:tcPr>
            <w:tcW w:w="1221" w:type="dxa"/>
          </w:tcPr>
          <w:p w14:paraId="15D8066A">
            <w:pPr>
              <w:spacing w:line="240" w:lineRule="exact"/>
              <w:rPr>
                <w:rFonts w:ascii="宋体" w:cs="宋体"/>
                <w:b/>
                <w:color w:val="auto"/>
                <w:sz w:val="24"/>
              </w:rPr>
            </w:pPr>
          </w:p>
        </w:tc>
      </w:tr>
      <w:tr w14:paraId="099D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continue"/>
          </w:tcPr>
          <w:p w14:paraId="6171682A">
            <w:pPr>
              <w:spacing w:line="240" w:lineRule="exact"/>
              <w:rPr>
                <w:rFonts w:ascii="宋体" w:cs="宋体"/>
                <w:b/>
                <w:color w:val="auto"/>
                <w:sz w:val="24"/>
              </w:rPr>
            </w:pPr>
          </w:p>
        </w:tc>
        <w:tc>
          <w:tcPr>
            <w:tcW w:w="1080" w:type="dxa"/>
            <w:vAlign w:val="center"/>
          </w:tcPr>
          <w:p w14:paraId="4FFC2943">
            <w:pPr>
              <w:spacing w:line="240" w:lineRule="exact"/>
              <w:jc w:val="center"/>
              <w:rPr>
                <w:rFonts w:ascii="宋体" w:cs="宋体"/>
                <w:color w:val="auto"/>
                <w:sz w:val="24"/>
              </w:rPr>
            </w:pPr>
          </w:p>
        </w:tc>
        <w:tc>
          <w:tcPr>
            <w:tcW w:w="2880" w:type="dxa"/>
          </w:tcPr>
          <w:p w14:paraId="073D1968">
            <w:pPr>
              <w:spacing w:line="240" w:lineRule="exact"/>
              <w:rPr>
                <w:rFonts w:ascii="宋体" w:cs="宋体"/>
                <w:b/>
                <w:color w:val="auto"/>
                <w:sz w:val="24"/>
              </w:rPr>
            </w:pPr>
          </w:p>
        </w:tc>
        <w:tc>
          <w:tcPr>
            <w:tcW w:w="2700" w:type="dxa"/>
          </w:tcPr>
          <w:p w14:paraId="11AA2CBA">
            <w:pPr>
              <w:spacing w:line="240" w:lineRule="exact"/>
              <w:rPr>
                <w:rFonts w:ascii="宋体" w:cs="宋体"/>
                <w:b/>
                <w:color w:val="auto"/>
                <w:sz w:val="24"/>
              </w:rPr>
            </w:pPr>
          </w:p>
        </w:tc>
        <w:tc>
          <w:tcPr>
            <w:tcW w:w="1440" w:type="dxa"/>
          </w:tcPr>
          <w:p w14:paraId="0AC2A145">
            <w:pPr>
              <w:spacing w:line="240" w:lineRule="exact"/>
              <w:rPr>
                <w:rFonts w:ascii="宋体" w:cs="宋体"/>
                <w:b/>
                <w:color w:val="auto"/>
                <w:sz w:val="24"/>
              </w:rPr>
            </w:pPr>
          </w:p>
        </w:tc>
        <w:tc>
          <w:tcPr>
            <w:tcW w:w="1221" w:type="dxa"/>
          </w:tcPr>
          <w:p w14:paraId="0272FFE1">
            <w:pPr>
              <w:spacing w:line="240" w:lineRule="exact"/>
              <w:rPr>
                <w:rFonts w:ascii="宋体" w:cs="宋体"/>
                <w:b/>
                <w:color w:val="auto"/>
                <w:sz w:val="24"/>
              </w:rPr>
            </w:pPr>
          </w:p>
        </w:tc>
      </w:tr>
      <w:tr w14:paraId="5CE3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continue"/>
          </w:tcPr>
          <w:p w14:paraId="5168A54C">
            <w:pPr>
              <w:spacing w:line="240" w:lineRule="exact"/>
              <w:rPr>
                <w:rFonts w:ascii="宋体" w:cs="宋体"/>
                <w:b/>
                <w:color w:val="auto"/>
                <w:sz w:val="24"/>
              </w:rPr>
            </w:pPr>
          </w:p>
        </w:tc>
        <w:tc>
          <w:tcPr>
            <w:tcW w:w="1080" w:type="dxa"/>
            <w:vAlign w:val="center"/>
          </w:tcPr>
          <w:p w14:paraId="79951985">
            <w:pPr>
              <w:spacing w:line="240" w:lineRule="exact"/>
              <w:jc w:val="center"/>
              <w:rPr>
                <w:rFonts w:ascii="宋体" w:cs="宋体"/>
                <w:color w:val="auto"/>
                <w:sz w:val="24"/>
              </w:rPr>
            </w:pPr>
          </w:p>
        </w:tc>
        <w:tc>
          <w:tcPr>
            <w:tcW w:w="2880" w:type="dxa"/>
          </w:tcPr>
          <w:p w14:paraId="41064A1D">
            <w:pPr>
              <w:spacing w:line="240" w:lineRule="exact"/>
              <w:rPr>
                <w:rFonts w:ascii="宋体" w:cs="宋体"/>
                <w:b/>
                <w:color w:val="auto"/>
                <w:sz w:val="24"/>
              </w:rPr>
            </w:pPr>
          </w:p>
        </w:tc>
        <w:tc>
          <w:tcPr>
            <w:tcW w:w="2700" w:type="dxa"/>
          </w:tcPr>
          <w:p w14:paraId="2C0F3965">
            <w:pPr>
              <w:spacing w:line="240" w:lineRule="exact"/>
              <w:rPr>
                <w:rFonts w:ascii="宋体" w:cs="宋体"/>
                <w:b/>
                <w:color w:val="auto"/>
                <w:sz w:val="24"/>
              </w:rPr>
            </w:pPr>
          </w:p>
        </w:tc>
        <w:tc>
          <w:tcPr>
            <w:tcW w:w="1440" w:type="dxa"/>
          </w:tcPr>
          <w:p w14:paraId="77C5ED95">
            <w:pPr>
              <w:spacing w:line="240" w:lineRule="exact"/>
              <w:rPr>
                <w:rFonts w:ascii="宋体" w:cs="宋体"/>
                <w:b/>
                <w:color w:val="auto"/>
                <w:sz w:val="24"/>
              </w:rPr>
            </w:pPr>
          </w:p>
        </w:tc>
        <w:tc>
          <w:tcPr>
            <w:tcW w:w="1221" w:type="dxa"/>
          </w:tcPr>
          <w:p w14:paraId="16DC6F34">
            <w:pPr>
              <w:spacing w:line="240" w:lineRule="exact"/>
              <w:rPr>
                <w:rFonts w:ascii="宋体" w:cs="宋体"/>
                <w:b/>
                <w:color w:val="auto"/>
                <w:sz w:val="24"/>
              </w:rPr>
            </w:pPr>
          </w:p>
        </w:tc>
      </w:tr>
      <w:tr w14:paraId="4D37C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48" w:type="dxa"/>
            <w:vMerge w:val="continue"/>
          </w:tcPr>
          <w:p w14:paraId="2DD81630">
            <w:pPr>
              <w:spacing w:line="240" w:lineRule="exact"/>
              <w:rPr>
                <w:rFonts w:ascii="宋体" w:cs="宋体"/>
                <w:b/>
                <w:color w:val="auto"/>
                <w:sz w:val="24"/>
              </w:rPr>
            </w:pPr>
          </w:p>
        </w:tc>
        <w:tc>
          <w:tcPr>
            <w:tcW w:w="1080" w:type="dxa"/>
            <w:vAlign w:val="center"/>
          </w:tcPr>
          <w:p w14:paraId="7D3AFB20">
            <w:pPr>
              <w:spacing w:line="240" w:lineRule="exact"/>
              <w:jc w:val="center"/>
              <w:rPr>
                <w:rFonts w:ascii="宋体" w:cs="宋体"/>
                <w:color w:val="auto"/>
                <w:sz w:val="24"/>
              </w:rPr>
            </w:pPr>
          </w:p>
        </w:tc>
        <w:tc>
          <w:tcPr>
            <w:tcW w:w="2880" w:type="dxa"/>
          </w:tcPr>
          <w:p w14:paraId="637C23E5">
            <w:pPr>
              <w:spacing w:line="240" w:lineRule="exact"/>
              <w:rPr>
                <w:rFonts w:ascii="宋体" w:cs="宋体"/>
                <w:b/>
                <w:color w:val="auto"/>
                <w:sz w:val="24"/>
              </w:rPr>
            </w:pPr>
          </w:p>
        </w:tc>
        <w:tc>
          <w:tcPr>
            <w:tcW w:w="2700" w:type="dxa"/>
          </w:tcPr>
          <w:p w14:paraId="1E4BCC79">
            <w:pPr>
              <w:spacing w:line="240" w:lineRule="exact"/>
              <w:rPr>
                <w:rFonts w:ascii="宋体" w:cs="宋体"/>
                <w:b/>
                <w:color w:val="auto"/>
                <w:sz w:val="24"/>
              </w:rPr>
            </w:pPr>
          </w:p>
        </w:tc>
        <w:tc>
          <w:tcPr>
            <w:tcW w:w="1440" w:type="dxa"/>
          </w:tcPr>
          <w:p w14:paraId="35D7BCD8">
            <w:pPr>
              <w:spacing w:line="240" w:lineRule="exact"/>
              <w:rPr>
                <w:rFonts w:ascii="宋体" w:cs="宋体"/>
                <w:b/>
                <w:color w:val="auto"/>
                <w:sz w:val="24"/>
              </w:rPr>
            </w:pPr>
          </w:p>
        </w:tc>
        <w:tc>
          <w:tcPr>
            <w:tcW w:w="1221" w:type="dxa"/>
          </w:tcPr>
          <w:p w14:paraId="13B48AB6">
            <w:pPr>
              <w:spacing w:line="240" w:lineRule="exact"/>
              <w:rPr>
                <w:rFonts w:ascii="宋体" w:cs="宋体"/>
                <w:b/>
                <w:color w:val="auto"/>
                <w:sz w:val="24"/>
              </w:rPr>
            </w:pPr>
          </w:p>
        </w:tc>
      </w:tr>
    </w:tbl>
    <w:p w14:paraId="6A1C1BAD">
      <w:pPr>
        <w:rPr>
          <w:rFonts w:ascii="宋体" w:cs="宋体"/>
          <w:color w:val="auto"/>
          <w:sz w:val="24"/>
        </w:rPr>
      </w:pPr>
    </w:p>
    <w:p w14:paraId="35171C2D">
      <w:pPr>
        <w:rPr>
          <w:rFonts w:ascii="宋体" w:cs="宋体"/>
          <w:color w:val="auto"/>
          <w:kern w:val="0"/>
          <w:sz w:val="24"/>
        </w:rPr>
      </w:pPr>
      <w:r>
        <w:rPr>
          <w:rFonts w:hint="eastAsia" w:ascii="宋体" w:hAnsi="宋体" w:cs="宋体"/>
          <w:color w:val="auto"/>
          <w:sz w:val="24"/>
        </w:rPr>
        <w:t>注：供应商必须将响应文件中的相关内容按上述要求及以上格式，逐条对应填写</w:t>
      </w:r>
      <w:r>
        <w:rPr>
          <w:rFonts w:hint="eastAsia" w:ascii="宋体" w:hAnsi="宋体" w:cs="宋体"/>
          <w:color w:val="auto"/>
          <w:kern w:val="0"/>
          <w:sz w:val="24"/>
        </w:rPr>
        <w:t>，以便磋商小组进行评审，未按以上格式逐条填写导致条理不清，解释不明的，</w:t>
      </w:r>
      <w:r>
        <w:rPr>
          <w:rFonts w:hint="eastAsia" w:ascii="宋体" w:hAnsi="宋体" w:cs="宋体"/>
          <w:color w:val="auto"/>
          <w:sz w:val="24"/>
        </w:rPr>
        <w:t>磋商小组</w:t>
      </w:r>
      <w:r>
        <w:rPr>
          <w:rFonts w:hint="eastAsia" w:ascii="宋体" w:hAnsi="宋体" w:cs="宋体"/>
          <w:color w:val="auto"/>
          <w:kern w:val="0"/>
          <w:sz w:val="24"/>
        </w:rPr>
        <w:t>将做出不利于供应商的</w:t>
      </w:r>
      <w:r>
        <w:rPr>
          <w:rFonts w:hint="eastAsia" w:ascii="宋体" w:hAnsi="宋体" w:cs="宋体"/>
          <w:color w:val="auto"/>
          <w:sz w:val="24"/>
        </w:rPr>
        <w:t>判断</w:t>
      </w:r>
      <w:r>
        <w:rPr>
          <w:rFonts w:hint="eastAsia" w:ascii="宋体" w:hAnsi="宋体" w:cs="宋体"/>
          <w:color w:val="auto"/>
          <w:kern w:val="0"/>
          <w:sz w:val="24"/>
        </w:rPr>
        <w:t>。</w:t>
      </w:r>
    </w:p>
    <w:p w14:paraId="42466E0E">
      <w:pPr>
        <w:spacing w:line="240" w:lineRule="exact"/>
        <w:rPr>
          <w:rFonts w:ascii="宋体" w:cs="宋体"/>
          <w:b/>
          <w:color w:val="auto"/>
          <w:sz w:val="24"/>
        </w:rPr>
      </w:pPr>
    </w:p>
    <w:p w14:paraId="4C36EE63">
      <w:pPr>
        <w:spacing w:line="380" w:lineRule="exact"/>
        <w:rPr>
          <w:rFonts w:ascii="宋体" w:cs="宋体"/>
          <w:color w:val="auto"/>
          <w:sz w:val="24"/>
          <w:u w:val="single"/>
        </w:rPr>
      </w:pPr>
      <w:r>
        <w:rPr>
          <w:rFonts w:hint="eastAsia" w:ascii="宋体" w:hAnsi="宋体" w:cs="宋体"/>
          <w:color w:val="auto"/>
          <w:sz w:val="24"/>
        </w:rPr>
        <w:t>供应商代表签名：</w:t>
      </w:r>
    </w:p>
    <w:p w14:paraId="5472EC44">
      <w:pPr>
        <w:rPr>
          <w:rFonts w:ascii="宋体" w:hAnsi="宋体" w:eastAsia="宋体" w:cs="宋体"/>
          <w:color w:val="auto"/>
        </w:rPr>
      </w:pPr>
    </w:p>
    <w:p w14:paraId="667D3ABC">
      <w:pPr>
        <w:rPr>
          <w:rFonts w:ascii="宋体" w:hAnsi="宋体" w:eastAsia="宋体" w:cs="宋体"/>
          <w:color w:val="auto"/>
        </w:rPr>
      </w:pPr>
      <w:r>
        <w:rPr>
          <w:rFonts w:hint="eastAsia" w:ascii="宋体" w:hAnsi="宋体" w:eastAsia="宋体" w:cs="宋体"/>
          <w:color w:val="auto"/>
        </w:rPr>
        <w:br w:type="page"/>
      </w:r>
    </w:p>
    <w:p w14:paraId="0590111E">
      <w:pPr>
        <w:pStyle w:val="17"/>
        <w:widowControl/>
        <w:spacing w:before="75" w:beforeAutospacing="0" w:after="75" w:afterAutospacing="0"/>
        <w:rPr>
          <w:color w:val="auto"/>
        </w:rPr>
      </w:pPr>
      <w:r>
        <w:rPr>
          <w:rFonts w:hint="eastAsia" w:ascii="宋体" w:hAnsi="宋体" w:eastAsia="宋体" w:cs="宋体"/>
          <w:color w:val="auto"/>
        </w:rPr>
        <w:t>附件6-1  </w:t>
      </w:r>
      <w:r>
        <w:rPr>
          <w:rStyle w:val="26"/>
          <w:rFonts w:hint="eastAsia" w:ascii="宋体" w:hAnsi="宋体" w:eastAsia="宋体" w:cs="宋体"/>
          <w:bCs/>
          <w:color w:val="auto"/>
        </w:rPr>
        <w:t>    技术和服务要求响应表</w:t>
      </w:r>
      <w:r>
        <w:rPr>
          <w:rFonts w:hint="eastAsia" w:ascii="宋体" w:hAnsi="宋体" w:eastAsia="宋体" w:cs="宋体"/>
          <w:color w:val="auto"/>
        </w:rPr>
        <w:t> </w:t>
      </w:r>
    </w:p>
    <w:p w14:paraId="354E92A7">
      <w:pPr>
        <w:pStyle w:val="17"/>
        <w:widowControl/>
        <w:spacing w:before="75" w:beforeAutospacing="0" w:after="75" w:afterAutospacing="0" w:line="375" w:lineRule="atLeast"/>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（全称加盖单位公章）</w:t>
      </w:r>
      <w:r>
        <w:rPr>
          <w:rFonts w:hint="eastAsia" w:ascii="宋体" w:hAnsi="宋体" w:eastAsia="宋体" w:cs="宋体"/>
          <w:color w:val="auto"/>
        </w:rPr>
        <w:t>  项目编号∶</w:t>
      </w:r>
      <w:r>
        <w:rPr>
          <w:rFonts w:hint="eastAsia" w:ascii="宋体" w:hAnsi="宋体" w:eastAsia="宋体" w:cs="宋体"/>
          <w:color w:val="auto"/>
          <w:u w:val="single"/>
        </w:rPr>
        <w:t>       </w:t>
      </w:r>
    </w:p>
    <w:tbl>
      <w:tblPr>
        <w:tblStyle w:val="23"/>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691"/>
        <w:gridCol w:w="1413"/>
        <w:gridCol w:w="2375"/>
        <w:gridCol w:w="2134"/>
        <w:gridCol w:w="1172"/>
      </w:tblGrid>
      <w:tr w14:paraId="32E59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45" w:hRule="atLeast"/>
        </w:trPr>
        <w:tc>
          <w:tcPr>
            <w:tcW w:w="690" w:type="dxa"/>
            <w:shd w:val="clear" w:color="auto" w:fill="auto"/>
            <w:tcMar>
              <w:top w:w="0" w:type="dxa"/>
              <w:left w:w="105" w:type="dxa"/>
              <w:bottom w:w="0" w:type="dxa"/>
              <w:right w:w="105" w:type="dxa"/>
            </w:tcMar>
            <w:vAlign w:val="center"/>
          </w:tcPr>
          <w:p w14:paraId="4D42E62D">
            <w:pPr>
              <w:pStyle w:val="17"/>
              <w:widowControl/>
              <w:spacing w:beforeAutospacing="0" w:afterAutospacing="0" w:line="375" w:lineRule="atLeast"/>
              <w:rPr>
                <w:color w:val="auto"/>
              </w:rPr>
            </w:pPr>
            <w:r>
              <w:rPr>
                <w:rFonts w:hint="eastAsia" w:ascii="宋体" w:hAnsi="宋体" w:eastAsia="宋体" w:cs="宋体"/>
                <w:color w:val="auto"/>
              </w:rPr>
              <w:t>合同包</w:t>
            </w:r>
          </w:p>
        </w:tc>
        <w:tc>
          <w:tcPr>
            <w:tcW w:w="1410" w:type="dxa"/>
            <w:shd w:val="clear" w:color="auto" w:fill="auto"/>
            <w:tcMar>
              <w:top w:w="0" w:type="dxa"/>
              <w:left w:w="105" w:type="dxa"/>
              <w:bottom w:w="0" w:type="dxa"/>
              <w:right w:w="105" w:type="dxa"/>
            </w:tcMar>
            <w:vAlign w:val="center"/>
          </w:tcPr>
          <w:p w14:paraId="7A0AC422">
            <w:pPr>
              <w:pStyle w:val="17"/>
              <w:widowControl/>
              <w:spacing w:beforeAutospacing="0" w:afterAutospacing="0" w:line="375" w:lineRule="atLeast"/>
              <w:rPr>
                <w:color w:val="auto"/>
              </w:rPr>
            </w:pPr>
            <w:r>
              <w:rPr>
                <w:rFonts w:hint="eastAsia" w:ascii="宋体" w:hAnsi="宋体" w:eastAsia="宋体" w:cs="宋体"/>
                <w:color w:val="auto"/>
              </w:rPr>
              <w:t>章节条目号</w:t>
            </w:r>
          </w:p>
        </w:tc>
        <w:tc>
          <w:tcPr>
            <w:tcW w:w="2370" w:type="dxa"/>
            <w:shd w:val="clear" w:color="auto" w:fill="auto"/>
            <w:tcMar>
              <w:top w:w="0" w:type="dxa"/>
              <w:left w:w="105" w:type="dxa"/>
              <w:bottom w:w="0" w:type="dxa"/>
              <w:right w:w="105" w:type="dxa"/>
            </w:tcMar>
            <w:vAlign w:val="center"/>
          </w:tcPr>
          <w:p w14:paraId="6DC700FA">
            <w:pPr>
              <w:pStyle w:val="17"/>
              <w:widowControl/>
              <w:spacing w:beforeAutospacing="0" w:afterAutospacing="0" w:line="375" w:lineRule="atLeast"/>
              <w:rPr>
                <w:color w:val="auto"/>
              </w:rPr>
            </w:pPr>
            <w:r>
              <w:rPr>
                <w:rFonts w:hint="eastAsia" w:ascii="宋体" w:hAnsi="宋体" w:eastAsia="宋体" w:cs="宋体"/>
                <w:color w:val="auto"/>
              </w:rPr>
              <w:t>竞争性磋商文件规定的技术和服务要求</w:t>
            </w:r>
          </w:p>
        </w:tc>
        <w:tc>
          <w:tcPr>
            <w:tcW w:w="2130" w:type="dxa"/>
            <w:shd w:val="clear" w:color="auto" w:fill="auto"/>
            <w:tcMar>
              <w:top w:w="0" w:type="dxa"/>
              <w:left w:w="105" w:type="dxa"/>
              <w:bottom w:w="0" w:type="dxa"/>
              <w:right w:w="105" w:type="dxa"/>
            </w:tcMar>
            <w:vAlign w:val="center"/>
          </w:tcPr>
          <w:p w14:paraId="0F559C68">
            <w:pPr>
              <w:pStyle w:val="17"/>
              <w:widowControl/>
              <w:spacing w:beforeAutospacing="0" w:afterAutospacing="0" w:line="375" w:lineRule="atLeast"/>
              <w:rPr>
                <w:color w:val="auto"/>
              </w:rPr>
            </w:pPr>
            <w:r>
              <w:rPr>
                <w:rFonts w:hint="eastAsia" w:ascii="宋体" w:hAnsi="宋体" w:eastAsia="宋体" w:cs="宋体"/>
                <w:color w:val="auto"/>
              </w:rPr>
              <w:t>响应文件响应承诺</w:t>
            </w:r>
          </w:p>
        </w:tc>
        <w:tc>
          <w:tcPr>
            <w:tcW w:w="1170" w:type="dxa"/>
            <w:shd w:val="clear" w:color="auto" w:fill="auto"/>
            <w:tcMar>
              <w:top w:w="0" w:type="dxa"/>
              <w:left w:w="105" w:type="dxa"/>
              <w:bottom w:w="0" w:type="dxa"/>
              <w:right w:w="105" w:type="dxa"/>
            </w:tcMar>
            <w:vAlign w:val="center"/>
          </w:tcPr>
          <w:p w14:paraId="43C114EF">
            <w:pPr>
              <w:pStyle w:val="17"/>
              <w:widowControl/>
              <w:spacing w:beforeAutospacing="0" w:afterAutospacing="0" w:line="375" w:lineRule="atLeast"/>
              <w:rPr>
                <w:color w:val="auto"/>
              </w:rPr>
            </w:pPr>
            <w:r>
              <w:rPr>
                <w:rFonts w:hint="eastAsia" w:ascii="宋体" w:hAnsi="宋体" w:eastAsia="宋体" w:cs="宋体"/>
                <w:color w:val="auto"/>
              </w:rPr>
              <w:t>是否偏离及说明</w:t>
            </w:r>
          </w:p>
        </w:tc>
      </w:tr>
      <w:tr w14:paraId="73D4F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68388197">
            <w:pPr>
              <w:widowControl/>
              <w:jc w:val="left"/>
              <w:rPr>
                <w:color w:val="auto"/>
              </w:rPr>
            </w:pPr>
          </w:p>
        </w:tc>
        <w:tc>
          <w:tcPr>
            <w:tcW w:w="1410" w:type="dxa"/>
            <w:shd w:val="clear" w:color="auto" w:fill="auto"/>
            <w:tcMar>
              <w:top w:w="0" w:type="dxa"/>
              <w:left w:w="105" w:type="dxa"/>
              <w:bottom w:w="0" w:type="dxa"/>
              <w:right w:w="105" w:type="dxa"/>
            </w:tcMar>
            <w:vAlign w:val="center"/>
          </w:tcPr>
          <w:p w14:paraId="39EEB2FA">
            <w:pPr>
              <w:widowControl/>
              <w:jc w:val="left"/>
              <w:rPr>
                <w:color w:val="auto"/>
              </w:rPr>
            </w:pPr>
          </w:p>
        </w:tc>
        <w:tc>
          <w:tcPr>
            <w:tcW w:w="2370" w:type="dxa"/>
            <w:shd w:val="clear" w:color="auto" w:fill="auto"/>
            <w:tcMar>
              <w:top w:w="0" w:type="dxa"/>
              <w:left w:w="105" w:type="dxa"/>
              <w:bottom w:w="0" w:type="dxa"/>
              <w:right w:w="105" w:type="dxa"/>
            </w:tcMar>
            <w:vAlign w:val="center"/>
          </w:tcPr>
          <w:p w14:paraId="70FEFE5F">
            <w:pPr>
              <w:widowControl/>
              <w:jc w:val="left"/>
              <w:rPr>
                <w:color w:val="auto"/>
              </w:rPr>
            </w:pPr>
          </w:p>
        </w:tc>
        <w:tc>
          <w:tcPr>
            <w:tcW w:w="2130" w:type="dxa"/>
            <w:shd w:val="clear" w:color="auto" w:fill="auto"/>
            <w:tcMar>
              <w:top w:w="0" w:type="dxa"/>
              <w:left w:w="105" w:type="dxa"/>
              <w:bottom w:w="0" w:type="dxa"/>
              <w:right w:w="105" w:type="dxa"/>
            </w:tcMar>
            <w:vAlign w:val="center"/>
          </w:tcPr>
          <w:p w14:paraId="09FB966B">
            <w:pPr>
              <w:widowControl/>
              <w:jc w:val="left"/>
              <w:rPr>
                <w:color w:val="auto"/>
              </w:rPr>
            </w:pPr>
          </w:p>
        </w:tc>
        <w:tc>
          <w:tcPr>
            <w:tcW w:w="1170" w:type="dxa"/>
            <w:shd w:val="clear" w:color="auto" w:fill="auto"/>
            <w:tcMar>
              <w:top w:w="0" w:type="dxa"/>
              <w:left w:w="105" w:type="dxa"/>
              <w:bottom w:w="0" w:type="dxa"/>
              <w:right w:w="105" w:type="dxa"/>
            </w:tcMar>
            <w:vAlign w:val="center"/>
          </w:tcPr>
          <w:p w14:paraId="33163F4F">
            <w:pPr>
              <w:widowControl/>
              <w:jc w:val="left"/>
              <w:rPr>
                <w:color w:val="auto"/>
              </w:rPr>
            </w:pPr>
          </w:p>
        </w:tc>
      </w:tr>
      <w:tr w14:paraId="1F11C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61934AFD">
            <w:pPr>
              <w:widowControl/>
              <w:jc w:val="left"/>
              <w:rPr>
                <w:color w:val="auto"/>
              </w:rPr>
            </w:pPr>
          </w:p>
        </w:tc>
        <w:tc>
          <w:tcPr>
            <w:tcW w:w="1410" w:type="dxa"/>
            <w:shd w:val="clear" w:color="auto" w:fill="auto"/>
            <w:tcMar>
              <w:top w:w="0" w:type="dxa"/>
              <w:left w:w="105" w:type="dxa"/>
              <w:bottom w:w="0" w:type="dxa"/>
              <w:right w:w="105" w:type="dxa"/>
            </w:tcMar>
            <w:vAlign w:val="center"/>
          </w:tcPr>
          <w:p w14:paraId="14EDACE1">
            <w:pPr>
              <w:widowControl/>
              <w:jc w:val="left"/>
              <w:rPr>
                <w:color w:val="auto"/>
              </w:rPr>
            </w:pPr>
          </w:p>
        </w:tc>
        <w:tc>
          <w:tcPr>
            <w:tcW w:w="2370" w:type="dxa"/>
            <w:shd w:val="clear" w:color="auto" w:fill="auto"/>
            <w:tcMar>
              <w:top w:w="0" w:type="dxa"/>
              <w:left w:w="105" w:type="dxa"/>
              <w:bottom w:w="0" w:type="dxa"/>
              <w:right w:w="105" w:type="dxa"/>
            </w:tcMar>
            <w:vAlign w:val="center"/>
          </w:tcPr>
          <w:p w14:paraId="41EBCE75">
            <w:pPr>
              <w:widowControl/>
              <w:jc w:val="left"/>
              <w:rPr>
                <w:color w:val="auto"/>
              </w:rPr>
            </w:pPr>
          </w:p>
        </w:tc>
        <w:tc>
          <w:tcPr>
            <w:tcW w:w="2130" w:type="dxa"/>
            <w:shd w:val="clear" w:color="auto" w:fill="auto"/>
            <w:tcMar>
              <w:top w:w="0" w:type="dxa"/>
              <w:left w:w="105" w:type="dxa"/>
              <w:bottom w:w="0" w:type="dxa"/>
              <w:right w:w="105" w:type="dxa"/>
            </w:tcMar>
            <w:vAlign w:val="center"/>
          </w:tcPr>
          <w:p w14:paraId="6A9DC734">
            <w:pPr>
              <w:widowControl/>
              <w:jc w:val="left"/>
              <w:rPr>
                <w:color w:val="auto"/>
              </w:rPr>
            </w:pPr>
          </w:p>
        </w:tc>
        <w:tc>
          <w:tcPr>
            <w:tcW w:w="1170" w:type="dxa"/>
            <w:shd w:val="clear" w:color="auto" w:fill="auto"/>
            <w:tcMar>
              <w:top w:w="0" w:type="dxa"/>
              <w:left w:w="105" w:type="dxa"/>
              <w:bottom w:w="0" w:type="dxa"/>
              <w:right w:w="105" w:type="dxa"/>
            </w:tcMar>
            <w:vAlign w:val="center"/>
          </w:tcPr>
          <w:p w14:paraId="3BFB3352">
            <w:pPr>
              <w:widowControl/>
              <w:jc w:val="left"/>
              <w:rPr>
                <w:color w:val="auto"/>
              </w:rPr>
            </w:pPr>
          </w:p>
        </w:tc>
      </w:tr>
      <w:tr w14:paraId="3EBB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2E76EF3B">
            <w:pPr>
              <w:widowControl/>
              <w:jc w:val="left"/>
              <w:rPr>
                <w:color w:val="auto"/>
              </w:rPr>
            </w:pPr>
          </w:p>
        </w:tc>
        <w:tc>
          <w:tcPr>
            <w:tcW w:w="1410" w:type="dxa"/>
            <w:shd w:val="clear" w:color="auto" w:fill="auto"/>
            <w:tcMar>
              <w:top w:w="0" w:type="dxa"/>
              <w:left w:w="105" w:type="dxa"/>
              <w:bottom w:w="0" w:type="dxa"/>
              <w:right w:w="105" w:type="dxa"/>
            </w:tcMar>
            <w:vAlign w:val="center"/>
          </w:tcPr>
          <w:p w14:paraId="13139B3E">
            <w:pPr>
              <w:widowControl/>
              <w:jc w:val="left"/>
              <w:rPr>
                <w:color w:val="auto"/>
              </w:rPr>
            </w:pPr>
          </w:p>
        </w:tc>
        <w:tc>
          <w:tcPr>
            <w:tcW w:w="2370" w:type="dxa"/>
            <w:shd w:val="clear" w:color="auto" w:fill="auto"/>
            <w:tcMar>
              <w:top w:w="0" w:type="dxa"/>
              <w:left w:w="105" w:type="dxa"/>
              <w:bottom w:w="0" w:type="dxa"/>
              <w:right w:w="105" w:type="dxa"/>
            </w:tcMar>
            <w:vAlign w:val="center"/>
          </w:tcPr>
          <w:p w14:paraId="32E059C8">
            <w:pPr>
              <w:widowControl/>
              <w:jc w:val="left"/>
              <w:rPr>
                <w:color w:val="auto"/>
              </w:rPr>
            </w:pPr>
          </w:p>
        </w:tc>
        <w:tc>
          <w:tcPr>
            <w:tcW w:w="2130" w:type="dxa"/>
            <w:shd w:val="clear" w:color="auto" w:fill="auto"/>
            <w:tcMar>
              <w:top w:w="0" w:type="dxa"/>
              <w:left w:w="105" w:type="dxa"/>
              <w:bottom w:w="0" w:type="dxa"/>
              <w:right w:w="105" w:type="dxa"/>
            </w:tcMar>
            <w:vAlign w:val="center"/>
          </w:tcPr>
          <w:p w14:paraId="3032E340">
            <w:pPr>
              <w:widowControl/>
              <w:jc w:val="left"/>
              <w:rPr>
                <w:color w:val="auto"/>
              </w:rPr>
            </w:pPr>
          </w:p>
        </w:tc>
        <w:tc>
          <w:tcPr>
            <w:tcW w:w="1170" w:type="dxa"/>
            <w:shd w:val="clear" w:color="auto" w:fill="auto"/>
            <w:tcMar>
              <w:top w:w="0" w:type="dxa"/>
              <w:left w:w="105" w:type="dxa"/>
              <w:bottom w:w="0" w:type="dxa"/>
              <w:right w:w="105" w:type="dxa"/>
            </w:tcMar>
            <w:vAlign w:val="center"/>
          </w:tcPr>
          <w:p w14:paraId="732DDCDB">
            <w:pPr>
              <w:widowControl/>
              <w:jc w:val="left"/>
              <w:rPr>
                <w:color w:val="auto"/>
              </w:rPr>
            </w:pPr>
          </w:p>
        </w:tc>
      </w:tr>
      <w:tr w14:paraId="3741E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534144A1">
            <w:pPr>
              <w:widowControl/>
              <w:jc w:val="left"/>
              <w:rPr>
                <w:color w:val="auto"/>
              </w:rPr>
            </w:pPr>
          </w:p>
        </w:tc>
        <w:tc>
          <w:tcPr>
            <w:tcW w:w="1410" w:type="dxa"/>
            <w:shd w:val="clear" w:color="auto" w:fill="auto"/>
            <w:tcMar>
              <w:top w:w="0" w:type="dxa"/>
              <w:left w:w="105" w:type="dxa"/>
              <w:bottom w:w="0" w:type="dxa"/>
              <w:right w:w="105" w:type="dxa"/>
            </w:tcMar>
            <w:vAlign w:val="center"/>
          </w:tcPr>
          <w:p w14:paraId="08FC4441">
            <w:pPr>
              <w:widowControl/>
              <w:jc w:val="left"/>
              <w:rPr>
                <w:color w:val="auto"/>
              </w:rPr>
            </w:pPr>
          </w:p>
        </w:tc>
        <w:tc>
          <w:tcPr>
            <w:tcW w:w="2370" w:type="dxa"/>
            <w:shd w:val="clear" w:color="auto" w:fill="auto"/>
            <w:tcMar>
              <w:top w:w="0" w:type="dxa"/>
              <w:left w:w="105" w:type="dxa"/>
              <w:bottom w:w="0" w:type="dxa"/>
              <w:right w:w="105" w:type="dxa"/>
            </w:tcMar>
            <w:vAlign w:val="center"/>
          </w:tcPr>
          <w:p w14:paraId="0A73677C">
            <w:pPr>
              <w:widowControl/>
              <w:jc w:val="left"/>
              <w:rPr>
                <w:color w:val="auto"/>
              </w:rPr>
            </w:pPr>
          </w:p>
        </w:tc>
        <w:tc>
          <w:tcPr>
            <w:tcW w:w="2130" w:type="dxa"/>
            <w:shd w:val="clear" w:color="auto" w:fill="auto"/>
            <w:tcMar>
              <w:top w:w="0" w:type="dxa"/>
              <w:left w:w="105" w:type="dxa"/>
              <w:bottom w:w="0" w:type="dxa"/>
              <w:right w:w="105" w:type="dxa"/>
            </w:tcMar>
            <w:vAlign w:val="center"/>
          </w:tcPr>
          <w:p w14:paraId="6BE36001">
            <w:pPr>
              <w:widowControl/>
              <w:jc w:val="left"/>
              <w:rPr>
                <w:color w:val="auto"/>
              </w:rPr>
            </w:pPr>
          </w:p>
        </w:tc>
        <w:tc>
          <w:tcPr>
            <w:tcW w:w="1170" w:type="dxa"/>
            <w:shd w:val="clear" w:color="auto" w:fill="auto"/>
            <w:tcMar>
              <w:top w:w="0" w:type="dxa"/>
              <w:left w:w="105" w:type="dxa"/>
              <w:bottom w:w="0" w:type="dxa"/>
              <w:right w:w="105" w:type="dxa"/>
            </w:tcMar>
            <w:vAlign w:val="center"/>
          </w:tcPr>
          <w:p w14:paraId="13C95C58">
            <w:pPr>
              <w:widowControl/>
              <w:jc w:val="left"/>
              <w:rPr>
                <w:color w:val="auto"/>
              </w:rPr>
            </w:pPr>
          </w:p>
        </w:tc>
      </w:tr>
      <w:tr w14:paraId="0B4A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704F4F3B">
            <w:pPr>
              <w:widowControl/>
              <w:jc w:val="left"/>
              <w:rPr>
                <w:color w:val="auto"/>
              </w:rPr>
            </w:pPr>
          </w:p>
        </w:tc>
        <w:tc>
          <w:tcPr>
            <w:tcW w:w="1410" w:type="dxa"/>
            <w:shd w:val="clear" w:color="auto" w:fill="auto"/>
            <w:tcMar>
              <w:top w:w="0" w:type="dxa"/>
              <w:left w:w="105" w:type="dxa"/>
              <w:bottom w:w="0" w:type="dxa"/>
              <w:right w:w="105" w:type="dxa"/>
            </w:tcMar>
            <w:vAlign w:val="center"/>
          </w:tcPr>
          <w:p w14:paraId="36F4C086">
            <w:pPr>
              <w:widowControl/>
              <w:jc w:val="left"/>
              <w:rPr>
                <w:color w:val="auto"/>
              </w:rPr>
            </w:pPr>
          </w:p>
        </w:tc>
        <w:tc>
          <w:tcPr>
            <w:tcW w:w="2370" w:type="dxa"/>
            <w:shd w:val="clear" w:color="auto" w:fill="auto"/>
            <w:tcMar>
              <w:top w:w="0" w:type="dxa"/>
              <w:left w:w="105" w:type="dxa"/>
              <w:bottom w:w="0" w:type="dxa"/>
              <w:right w:w="105" w:type="dxa"/>
            </w:tcMar>
            <w:vAlign w:val="center"/>
          </w:tcPr>
          <w:p w14:paraId="4F9A09CE">
            <w:pPr>
              <w:widowControl/>
              <w:jc w:val="left"/>
              <w:rPr>
                <w:color w:val="auto"/>
              </w:rPr>
            </w:pPr>
          </w:p>
        </w:tc>
        <w:tc>
          <w:tcPr>
            <w:tcW w:w="2130" w:type="dxa"/>
            <w:shd w:val="clear" w:color="auto" w:fill="auto"/>
            <w:tcMar>
              <w:top w:w="0" w:type="dxa"/>
              <w:left w:w="105" w:type="dxa"/>
              <w:bottom w:w="0" w:type="dxa"/>
              <w:right w:w="105" w:type="dxa"/>
            </w:tcMar>
            <w:vAlign w:val="center"/>
          </w:tcPr>
          <w:p w14:paraId="68ADC734">
            <w:pPr>
              <w:widowControl/>
              <w:jc w:val="left"/>
              <w:rPr>
                <w:color w:val="auto"/>
              </w:rPr>
            </w:pPr>
          </w:p>
        </w:tc>
        <w:tc>
          <w:tcPr>
            <w:tcW w:w="1170" w:type="dxa"/>
            <w:shd w:val="clear" w:color="auto" w:fill="auto"/>
            <w:tcMar>
              <w:top w:w="0" w:type="dxa"/>
              <w:left w:w="105" w:type="dxa"/>
              <w:bottom w:w="0" w:type="dxa"/>
              <w:right w:w="105" w:type="dxa"/>
            </w:tcMar>
            <w:vAlign w:val="center"/>
          </w:tcPr>
          <w:p w14:paraId="7E47ED32">
            <w:pPr>
              <w:widowControl/>
              <w:jc w:val="left"/>
              <w:rPr>
                <w:color w:val="auto"/>
              </w:rPr>
            </w:pPr>
          </w:p>
        </w:tc>
      </w:tr>
      <w:tr w14:paraId="48D6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2DF51494">
            <w:pPr>
              <w:widowControl/>
              <w:jc w:val="left"/>
              <w:rPr>
                <w:color w:val="auto"/>
              </w:rPr>
            </w:pPr>
          </w:p>
        </w:tc>
        <w:tc>
          <w:tcPr>
            <w:tcW w:w="1410" w:type="dxa"/>
            <w:shd w:val="clear" w:color="auto" w:fill="auto"/>
            <w:tcMar>
              <w:top w:w="0" w:type="dxa"/>
              <w:left w:w="105" w:type="dxa"/>
              <w:bottom w:w="0" w:type="dxa"/>
              <w:right w:w="105" w:type="dxa"/>
            </w:tcMar>
            <w:vAlign w:val="center"/>
          </w:tcPr>
          <w:p w14:paraId="12815A3E">
            <w:pPr>
              <w:widowControl/>
              <w:jc w:val="left"/>
              <w:rPr>
                <w:color w:val="auto"/>
              </w:rPr>
            </w:pPr>
          </w:p>
        </w:tc>
        <w:tc>
          <w:tcPr>
            <w:tcW w:w="2370" w:type="dxa"/>
            <w:shd w:val="clear" w:color="auto" w:fill="auto"/>
            <w:tcMar>
              <w:top w:w="0" w:type="dxa"/>
              <w:left w:w="105" w:type="dxa"/>
              <w:bottom w:w="0" w:type="dxa"/>
              <w:right w:w="105" w:type="dxa"/>
            </w:tcMar>
            <w:vAlign w:val="center"/>
          </w:tcPr>
          <w:p w14:paraId="411C37AF">
            <w:pPr>
              <w:widowControl/>
              <w:jc w:val="left"/>
              <w:rPr>
                <w:color w:val="auto"/>
              </w:rPr>
            </w:pPr>
          </w:p>
        </w:tc>
        <w:tc>
          <w:tcPr>
            <w:tcW w:w="2130" w:type="dxa"/>
            <w:shd w:val="clear" w:color="auto" w:fill="auto"/>
            <w:tcMar>
              <w:top w:w="0" w:type="dxa"/>
              <w:left w:w="105" w:type="dxa"/>
              <w:bottom w:w="0" w:type="dxa"/>
              <w:right w:w="105" w:type="dxa"/>
            </w:tcMar>
            <w:vAlign w:val="center"/>
          </w:tcPr>
          <w:p w14:paraId="0846678C">
            <w:pPr>
              <w:widowControl/>
              <w:jc w:val="left"/>
              <w:rPr>
                <w:color w:val="auto"/>
              </w:rPr>
            </w:pPr>
          </w:p>
        </w:tc>
        <w:tc>
          <w:tcPr>
            <w:tcW w:w="1170" w:type="dxa"/>
            <w:shd w:val="clear" w:color="auto" w:fill="auto"/>
            <w:tcMar>
              <w:top w:w="0" w:type="dxa"/>
              <w:left w:w="105" w:type="dxa"/>
              <w:bottom w:w="0" w:type="dxa"/>
              <w:right w:w="105" w:type="dxa"/>
            </w:tcMar>
            <w:vAlign w:val="center"/>
          </w:tcPr>
          <w:p w14:paraId="0F168B19">
            <w:pPr>
              <w:widowControl/>
              <w:jc w:val="left"/>
              <w:rPr>
                <w:color w:val="auto"/>
              </w:rPr>
            </w:pPr>
          </w:p>
        </w:tc>
      </w:tr>
      <w:tr w14:paraId="7E524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20F3CC37">
            <w:pPr>
              <w:widowControl/>
              <w:jc w:val="left"/>
              <w:rPr>
                <w:color w:val="auto"/>
              </w:rPr>
            </w:pPr>
          </w:p>
        </w:tc>
        <w:tc>
          <w:tcPr>
            <w:tcW w:w="1410" w:type="dxa"/>
            <w:shd w:val="clear" w:color="auto" w:fill="auto"/>
            <w:tcMar>
              <w:top w:w="0" w:type="dxa"/>
              <w:left w:w="105" w:type="dxa"/>
              <w:bottom w:w="0" w:type="dxa"/>
              <w:right w:w="105" w:type="dxa"/>
            </w:tcMar>
            <w:vAlign w:val="center"/>
          </w:tcPr>
          <w:p w14:paraId="7F3D20BF">
            <w:pPr>
              <w:widowControl/>
              <w:jc w:val="left"/>
              <w:rPr>
                <w:color w:val="auto"/>
              </w:rPr>
            </w:pPr>
          </w:p>
        </w:tc>
        <w:tc>
          <w:tcPr>
            <w:tcW w:w="2370" w:type="dxa"/>
            <w:shd w:val="clear" w:color="auto" w:fill="auto"/>
            <w:tcMar>
              <w:top w:w="0" w:type="dxa"/>
              <w:left w:w="105" w:type="dxa"/>
              <w:bottom w:w="0" w:type="dxa"/>
              <w:right w:w="105" w:type="dxa"/>
            </w:tcMar>
            <w:vAlign w:val="center"/>
          </w:tcPr>
          <w:p w14:paraId="05EDDB08">
            <w:pPr>
              <w:widowControl/>
              <w:jc w:val="left"/>
              <w:rPr>
                <w:color w:val="auto"/>
              </w:rPr>
            </w:pPr>
          </w:p>
        </w:tc>
        <w:tc>
          <w:tcPr>
            <w:tcW w:w="2130" w:type="dxa"/>
            <w:shd w:val="clear" w:color="auto" w:fill="auto"/>
            <w:tcMar>
              <w:top w:w="0" w:type="dxa"/>
              <w:left w:w="105" w:type="dxa"/>
              <w:bottom w:w="0" w:type="dxa"/>
              <w:right w:w="105" w:type="dxa"/>
            </w:tcMar>
            <w:vAlign w:val="center"/>
          </w:tcPr>
          <w:p w14:paraId="236C24D1">
            <w:pPr>
              <w:widowControl/>
              <w:jc w:val="left"/>
              <w:rPr>
                <w:color w:val="auto"/>
              </w:rPr>
            </w:pPr>
          </w:p>
        </w:tc>
        <w:tc>
          <w:tcPr>
            <w:tcW w:w="1170" w:type="dxa"/>
            <w:shd w:val="clear" w:color="auto" w:fill="auto"/>
            <w:tcMar>
              <w:top w:w="0" w:type="dxa"/>
              <w:left w:w="105" w:type="dxa"/>
              <w:bottom w:w="0" w:type="dxa"/>
              <w:right w:w="105" w:type="dxa"/>
            </w:tcMar>
            <w:vAlign w:val="center"/>
          </w:tcPr>
          <w:p w14:paraId="5BF1FAC6">
            <w:pPr>
              <w:widowControl/>
              <w:jc w:val="left"/>
              <w:rPr>
                <w:color w:val="auto"/>
              </w:rPr>
            </w:pPr>
          </w:p>
        </w:tc>
      </w:tr>
      <w:tr w14:paraId="37FD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56CA131F">
            <w:pPr>
              <w:widowControl/>
              <w:jc w:val="left"/>
              <w:rPr>
                <w:color w:val="auto"/>
              </w:rPr>
            </w:pPr>
          </w:p>
        </w:tc>
        <w:tc>
          <w:tcPr>
            <w:tcW w:w="1410" w:type="dxa"/>
            <w:shd w:val="clear" w:color="auto" w:fill="auto"/>
            <w:tcMar>
              <w:top w:w="0" w:type="dxa"/>
              <w:left w:w="105" w:type="dxa"/>
              <w:bottom w:w="0" w:type="dxa"/>
              <w:right w:w="105" w:type="dxa"/>
            </w:tcMar>
            <w:vAlign w:val="center"/>
          </w:tcPr>
          <w:p w14:paraId="4CB55DE8">
            <w:pPr>
              <w:widowControl/>
              <w:jc w:val="left"/>
              <w:rPr>
                <w:color w:val="auto"/>
              </w:rPr>
            </w:pPr>
          </w:p>
        </w:tc>
        <w:tc>
          <w:tcPr>
            <w:tcW w:w="2370" w:type="dxa"/>
            <w:shd w:val="clear" w:color="auto" w:fill="auto"/>
            <w:tcMar>
              <w:top w:w="0" w:type="dxa"/>
              <w:left w:w="105" w:type="dxa"/>
              <w:bottom w:w="0" w:type="dxa"/>
              <w:right w:w="105" w:type="dxa"/>
            </w:tcMar>
            <w:vAlign w:val="center"/>
          </w:tcPr>
          <w:p w14:paraId="3961337D">
            <w:pPr>
              <w:widowControl/>
              <w:jc w:val="left"/>
              <w:rPr>
                <w:color w:val="auto"/>
              </w:rPr>
            </w:pPr>
          </w:p>
        </w:tc>
        <w:tc>
          <w:tcPr>
            <w:tcW w:w="2130" w:type="dxa"/>
            <w:shd w:val="clear" w:color="auto" w:fill="auto"/>
            <w:tcMar>
              <w:top w:w="0" w:type="dxa"/>
              <w:left w:w="105" w:type="dxa"/>
              <w:bottom w:w="0" w:type="dxa"/>
              <w:right w:w="105" w:type="dxa"/>
            </w:tcMar>
            <w:vAlign w:val="center"/>
          </w:tcPr>
          <w:p w14:paraId="5260EA1B">
            <w:pPr>
              <w:widowControl/>
              <w:jc w:val="left"/>
              <w:rPr>
                <w:color w:val="auto"/>
              </w:rPr>
            </w:pPr>
          </w:p>
        </w:tc>
        <w:tc>
          <w:tcPr>
            <w:tcW w:w="1170" w:type="dxa"/>
            <w:shd w:val="clear" w:color="auto" w:fill="auto"/>
            <w:tcMar>
              <w:top w:w="0" w:type="dxa"/>
              <w:left w:w="105" w:type="dxa"/>
              <w:bottom w:w="0" w:type="dxa"/>
              <w:right w:w="105" w:type="dxa"/>
            </w:tcMar>
            <w:vAlign w:val="center"/>
          </w:tcPr>
          <w:p w14:paraId="7CF45B78">
            <w:pPr>
              <w:widowControl/>
              <w:jc w:val="left"/>
              <w:rPr>
                <w:color w:val="auto"/>
              </w:rPr>
            </w:pPr>
          </w:p>
        </w:tc>
      </w:tr>
      <w:tr w14:paraId="0468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0FD0FBE9">
            <w:pPr>
              <w:widowControl/>
              <w:jc w:val="left"/>
              <w:rPr>
                <w:color w:val="auto"/>
              </w:rPr>
            </w:pPr>
          </w:p>
        </w:tc>
        <w:tc>
          <w:tcPr>
            <w:tcW w:w="1410" w:type="dxa"/>
            <w:shd w:val="clear" w:color="auto" w:fill="auto"/>
            <w:tcMar>
              <w:top w:w="0" w:type="dxa"/>
              <w:left w:w="105" w:type="dxa"/>
              <w:bottom w:w="0" w:type="dxa"/>
              <w:right w:w="105" w:type="dxa"/>
            </w:tcMar>
            <w:vAlign w:val="center"/>
          </w:tcPr>
          <w:p w14:paraId="33E0EAEB">
            <w:pPr>
              <w:widowControl/>
              <w:jc w:val="left"/>
              <w:rPr>
                <w:color w:val="auto"/>
              </w:rPr>
            </w:pPr>
          </w:p>
        </w:tc>
        <w:tc>
          <w:tcPr>
            <w:tcW w:w="2370" w:type="dxa"/>
            <w:shd w:val="clear" w:color="auto" w:fill="auto"/>
            <w:tcMar>
              <w:top w:w="0" w:type="dxa"/>
              <w:left w:w="105" w:type="dxa"/>
              <w:bottom w:w="0" w:type="dxa"/>
              <w:right w:w="105" w:type="dxa"/>
            </w:tcMar>
            <w:vAlign w:val="center"/>
          </w:tcPr>
          <w:p w14:paraId="063D8B9A">
            <w:pPr>
              <w:widowControl/>
              <w:jc w:val="left"/>
              <w:rPr>
                <w:color w:val="auto"/>
              </w:rPr>
            </w:pPr>
          </w:p>
        </w:tc>
        <w:tc>
          <w:tcPr>
            <w:tcW w:w="2130" w:type="dxa"/>
            <w:shd w:val="clear" w:color="auto" w:fill="auto"/>
            <w:tcMar>
              <w:top w:w="0" w:type="dxa"/>
              <w:left w:w="105" w:type="dxa"/>
              <w:bottom w:w="0" w:type="dxa"/>
              <w:right w:w="105" w:type="dxa"/>
            </w:tcMar>
            <w:vAlign w:val="center"/>
          </w:tcPr>
          <w:p w14:paraId="26F707E5">
            <w:pPr>
              <w:widowControl/>
              <w:jc w:val="left"/>
              <w:rPr>
                <w:color w:val="auto"/>
              </w:rPr>
            </w:pPr>
          </w:p>
        </w:tc>
        <w:tc>
          <w:tcPr>
            <w:tcW w:w="1170" w:type="dxa"/>
            <w:shd w:val="clear" w:color="auto" w:fill="auto"/>
            <w:tcMar>
              <w:top w:w="0" w:type="dxa"/>
              <w:left w:w="105" w:type="dxa"/>
              <w:bottom w:w="0" w:type="dxa"/>
              <w:right w:w="105" w:type="dxa"/>
            </w:tcMar>
            <w:vAlign w:val="center"/>
          </w:tcPr>
          <w:p w14:paraId="09414BDF">
            <w:pPr>
              <w:widowControl/>
              <w:jc w:val="left"/>
              <w:rPr>
                <w:color w:val="auto"/>
              </w:rPr>
            </w:pPr>
          </w:p>
        </w:tc>
      </w:tr>
      <w:tr w14:paraId="76A5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0C51EB88">
            <w:pPr>
              <w:widowControl/>
              <w:jc w:val="left"/>
              <w:rPr>
                <w:color w:val="auto"/>
              </w:rPr>
            </w:pPr>
          </w:p>
        </w:tc>
        <w:tc>
          <w:tcPr>
            <w:tcW w:w="1410" w:type="dxa"/>
            <w:shd w:val="clear" w:color="auto" w:fill="auto"/>
            <w:tcMar>
              <w:top w:w="0" w:type="dxa"/>
              <w:left w:w="105" w:type="dxa"/>
              <w:bottom w:w="0" w:type="dxa"/>
              <w:right w:w="105" w:type="dxa"/>
            </w:tcMar>
            <w:vAlign w:val="center"/>
          </w:tcPr>
          <w:p w14:paraId="41C9CD04">
            <w:pPr>
              <w:widowControl/>
              <w:jc w:val="left"/>
              <w:rPr>
                <w:color w:val="auto"/>
              </w:rPr>
            </w:pPr>
          </w:p>
        </w:tc>
        <w:tc>
          <w:tcPr>
            <w:tcW w:w="2370" w:type="dxa"/>
            <w:shd w:val="clear" w:color="auto" w:fill="auto"/>
            <w:tcMar>
              <w:top w:w="0" w:type="dxa"/>
              <w:left w:w="105" w:type="dxa"/>
              <w:bottom w:w="0" w:type="dxa"/>
              <w:right w:w="105" w:type="dxa"/>
            </w:tcMar>
            <w:vAlign w:val="center"/>
          </w:tcPr>
          <w:p w14:paraId="43FF0958">
            <w:pPr>
              <w:widowControl/>
              <w:jc w:val="left"/>
              <w:rPr>
                <w:color w:val="auto"/>
              </w:rPr>
            </w:pPr>
          </w:p>
        </w:tc>
        <w:tc>
          <w:tcPr>
            <w:tcW w:w="2130" w:type="dxa"/>
            <w:shd w:val="clear" w:color="auto" w:fill="auto"/>
            <w:tcMar>
              <w:top w:w="0" w:type="dxa"/>
              <w:left w:w="105" w:type="dxa"/>
              <w:bottom w:w="0" w:type="dxa"/>
              <w:right w:w="105" w:type="dxa"/>
            </w:tcMar>
            <w:vAlign w:val="center"/>
          </w:tcPr>
          <w:p w14:paraId="73100154">
            <w:pPr>
              <w:widowControl/>
              <w:jc w:val="left"/>
              <w:rPr>
                <w:color w:val="auto"/>
              </w:rPr>
            </w:pPr>
          </w:p>
        </w:tc>
        <w:tc>
          <w:tcPr>
            <w:tcW w:w="1170" w:type="dxa"/>
            <w:shd w:val="clear" w:color="auto" w:fill="auto"/>
            <w:tcMar>
              <w:top w:w="0" w:type="dxa"/>
              <w:left w:w="105" w:type="dxa"/>
              <w:bottom w:w="0" w:type="dxa"/>
              <w:right w:w="105" w:type="dxa"/>
            </w:tcMar>
            <w:vAlign w:val="center"/>
          </w:tcPr>
          <w:p w14:paraId="21653905">
            <w:pPr>
              <w:widowControl/>
              <w:jc w:val="left"/>
              <w:rPr>
                <w:color w:val="auto"/>
              </w:rPr>
            </w:pPr>
          </w:p>
        </w:tc>
      </w:tr>
      <w:tr w14:paraId="350A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6D3165AD">
            <w:pPr>
              <w:widowControl/>
              <w:jc w:val="left"/>
              <w:rPr>
                <w:color w:val="auto"/>
              </w:rPr>
            </w:pPr>
          </w:p>
        </w:tc>
        <w:tc>
          <w:tcPr>
            <w:tcW w:w="1410" w:type="dxa"/>
            <w:shd w:val="clear" w:color="auto" w:fill="auto"/>
            <w:tcMar>
              <w:top w:w="0" w:type="dxa"/>
              <w:left w:w="105" w:type="dxa"/>
              <w:bottom w:w="0" w:type="dxa"/>
              <w:right w:w="105" w:type="dxa"/>
            </w:tcMar>
            <w:vAlign w:val="center"/>
          </w:tcPr>
          <w:p w14:paraId="689A00E5">
            <w:pPr>
              <w:widowControl/>
              <w:jc w:val="left"/>
              <w:rPr>
                <w:color w:val="auto"/>
              </w:rPr>
            </w:pPr>
          </w:p>
        </w:tc>
        <w:tc>
          <w:tcPr>
            <w:tcW w:w="2370" w:type="dxa"/>
            <w:shd w:val="clear" w:color="auto" w:fill="auto"/>
            <w:tcMar>
              <w:top w:w="0" w:type="dxa"/>
              <w:left w:w="105" w:type="dxa"/>
              <w:bottom w:w="0" w:type="dxa"/>
              <w:right w:w="105" w:type="dxa"/>
            </w:tcMar>
            <w:vAlign w:val="center"/>
          </w:tcPr>
          <w:p w14:paraId="564C4ADA">
            <w:pPr>
              <w:widowControl/>
              <w:jc w:val="left"/>
              <w:rPr>
                <w:color w:val="auto"/>
              </w:rPr>
            </w:pPr>
          </w:p>
        </w:tc>
        <w:tc>
          <w:tcPr>
            <w:tcW w:w="2130" w:type="dxa"/>
            <w:shd w:val="clear" w:color="auto" w:fill="auto"/>
            <w:tcMar>
              <w:top w:w="0" w:type="dxa"/>
              <w:left w:w="105" w:type="dxa"/>
              <w:bottom w:w="0" w:type="dxa"/>
              <w:right w:w="105" w:type="dxa"/>
            </w:tcMar>
            <w:vAlign w:val="center"/>
          </w:tcPr>
          <w:p w14:paraId="33070E12">
            <w:pPr>
              <w:widowControl/>
              <w:jc w:val="left"/>
              <w:rPr>
                <w:color w:val="auto"/>
              </w:rPr>
            </w:pPr>
          </w:p>
        </w:tc>
        <w:tc>
          <w:tcPr>
            <w:tcW w:w="1170" w:type="dxa"/>
            <w:shd w:val="clear" w:color="auto" w:fill="auto"/>
            <w:tcMar>
              <w:top w:w="0" w:type="dxa"/>
              <w:left w:w="105" w:type="dxa"/>
              <w:bottom w:w="0" w:type="dxa"/>
              <w:right w:w="105" w:type="dxa"/>
            </w:tcMar>
            <w:vAlign w:val="center"/>
          </w:tcPr>
          <w:p w14:paraId="27846A14">
            <w:pPr>
              <w:widowControl/>
              <w:jc w:val="left"/>
              <w:rPr>
                <w:color w:val="auto"/>
              </w:rPr>
            </w:pPr>
          </w:p>
        </w:tc>
      </w:tr>
      <w:tr w14:paraId="1E2A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4E2C2982">
            <w:pPr>
              <w:widowControl/>
              <w:jc w:val="left"/>
              <w:rPr>
                <w:color w:val="auto"/>
              </w:rPr>
            </w:pPr>
          </w:p>
        </w:tc>
        <w:tc>
          <w:tcPr>
            <w:tcW w:w="1410" w:type="dxa"/>
            <w:shd w:val="clear" w:color="auto" w:fill="auto"/>
            <w:tcMar>
              <w:top w:w="0" w:type="dxa"/>
              <w:left w:w="105" w:type="dxa"/>
              <w:bottom w:w="0" w:type="dxa"/>
              <w:right w:w="105" w:type="dxa"/>
            </w:tcMar>
            <w:vAlign w:val="center"/>
          </w:tcPr>
          <w:p w14:paraId="734C966D">
            <w:pPr>
              <w:widowControl/>
              <w:jc w:val="left"/>
              <w:rPr>
                <w:color w:val="auto"/>
              </w:rPr>
            </w:pPr>
          </w:p>
        </w:tc>
        <w:tc>
          <w:tcPr>
            <w:tcW w:w="2370" w:type="dxa"/>
            <w:shd w:val="clear" w:color="auto" w:fill="auto"/>
            <w:tcMar>
              <w:top w:w="0" w:type="dxa"/>
              <w:left w:w="105" w:type="dxa"/>
              <w:bottom w:w="0" w:type="dxa"/>
              <w:right w:w="105" w:type="dxa"/>
            </w:tcMar>
            <w:vAlign w:val="center"/>
          </w:tcPr>
          <w:p w14:paraId="6793C18F">
            <w:pPr>
              <w:widowControl/>
              <w:jc w:val="left"/>
              <w:rPr>
                <w:color w:val="auto"/>
              </w:rPr>
            </w:pPr>
          </w:p>
        </w:tc>
        <w:tc>
          <w:tcPr>
            <w:tcW w:w="2130" w:type="dxa"/>
            <w:shd w:val="clear" w:color="auto" w:fill="auto"/>
            <w:tcMar>
              <w:top w:w="0" w:type="dxa"/>
              <w:left w:w="105" w:type="dxa"/>
              <w:bottom w:w="0" w:type="dxa"/>
              <w:right w:w="105" w:type="dxa"/>
            </w:tcMar>
            <w:vAlign w:val="center"/>
          </w:tcPr>
          <w:p w14:paraId="168D5859">
            <w:pPr>
              <w:widowControl/>
              <w:jc w:val="left"/>
              <w:rPr>
                <w:color w:val="auto"/>
              </w:rPr>
            </w:pPr>
          </w:p>
        </w:tc>
        <w:tc>
          <w:tcPr>
            <w:tcW w:w="1170" w:type="dxa"/>
            <w:shd w:val="clear" w:color="auto" w:fill="auto"/>
            <w:tcMar>
              <w:top w:w="0" w:type="dxa"/>
              <w:left w:w="105" w:type="dxa"/>
              <w:bottom w:w="0" w:type="dxa"/>
              <w:right w:w="105" w:type="dxa"/>
            </w:tcMar>
            <w:vAlign w:val="center"/>
          </w:tcPr>
          <w:p w14:paraId="7AE0C03F">
            <w:pPr>
              <w:widowControl/>
              <w:jc w:val="left"/>
              <w:rPr>
                <w:color w:val="auto"/>
              </w:rPr>
            </w:pPr>
          </w:p>
        </w:tc>
      </w:tr>
    </w:tbl>
    <w:p w14:paraId="2D81B7B3">
      <w:pPr>
        <w:pStyle w:val="17"/>
        <w:widowControl/>
        <w:spacing w:before="75" w:beforeAutospacing="0" w:after="75" w:afterAutospacing="0" w:line="375" w:lineRule="atLeast"/>
        <w:rPr>
          <w:color w:val="auto"/>
        </w:rPr>
      </w:pPr>
      <w:r>
        <w:rPr>
          <w:rStyle w:val="26"/>
          <w:rFonts w:hint="eastAsia" w:ascii="宋体" w:hAnsi="宋体" w:eastAsia="宋体" w:cs="宋体"/>
          <w:bCs/>
          <w:color w:val="auto"/>
          <w:sz w:val="21"/>
          <w:szCs w:val="21"/>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14:paraId="2F392466">
      <w:pPr>
        <w:pStyle w:val="17"/>
        <w:widowControl/>
        <w:spacing w:before="75" w:beforeAutospacing="0" w:after="75" w:afterAutospacing="0" w:line="375" w:lineRule="atLeast"/>
        <w:rPr>
          <w:color w:val="auto"/>
        </w:rPr>
      </w:pPr>
      <w:r>
        <w:rPr>
          <w:rStyle w:val="26"/>
          <w:rFonts w:hint="eastAsia" w:ascii="宋体" w:hAnsi="宋体" w:eastAsia="宋体" w:cs="宋体"/>
          <w:bCs/>
          <w:color w:val="auto"/>
          <w:sz w:val="21"/>
          <w:szCs w:val="21"/>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p>
    <w:p w14:paraId="0CDCEB97">
      <w:pPr>
        <w:pStyle w:val="17"/>
        <w:widowControl/>
        <w:spacing w:before="75" w:beforeAutospacing="0" w:after="75" w:afterAutospacing="0" w:line="375" w:lineRule="atLeast"/>
        <w:rPr>
          <w:color w:val="auto"/>
        </w:rPr>
      </w:pPr>
      <w:r>
        <w:rPr>
          <w:rFonts w:hint="eastAsia" w:ascii="宋体" w:hAnsi="宋体" w:eastAsia="宋体" w:cs="宋体"/>
          <w:color w:val="auto"/>
        </w:rPr>
        <w:t> 供应商代表签字： _________________</w:t>
      </w:r>
    </w:p>
    <w:p w14:paraId="27B56A0F">
      <w:pPr>
        <w:pStyle w:val="17"/>
        <w:widowControl/>
        <w:spacing w:before="75" w:beforeAutospacing="0" w:after="75" w:afterAutospacing="0"/>
        <w:rPr>
          <w:rFonts w:ascii="宋体" w:hAnsi="宋体" w:eastAsia="宋体" w:cs="宋体"/>
          <w:color w:val="auto"/>
        </w:rPr>
      </w:pPr>
    </w:p>
    <w:p w14:paraId="376CDAC6">
      <w:pPr>
        <w:rPr>
          <w:rFonts w:ascii="宋体" w:hAnsi="宋体" w:eastAsia="宋体" w:cs="宋体"/>
          <w:color w:val="auto"/>
        </w:rPr>
      </w:pPr>
      <w:r>
        <w:rPr>
          <w:rFonts w:hint="eastAsia" w:ascii="宋体" w:hAnsi="宋体" w:eastAsia="宋体" w:cs="宋体"/>
          <w:color w:val="auto"/>
        </w:rPr>
        <w:br w:type="page"/>
      </w:r>
    </w:p>
    <w:p w14:paraId="0866F753">
      <w:pPr>
        <w:pStyle w:val="17"/>
        <w:widowControl/>
        <w:spacing w:before="75" w:beforeAutospacing="0" w:after="75" w:afterAutospacing="0"/>
        <w:rPr>
          <w:color w:val="auto"/>
        </w:rPr>
      </w:pPr>
      <w:r>
        <w:rPr>
          <w:rFonts w:hint="eastAsia" w:ascii="宋体" w:hAnsi="宋体" w:eastAsia="宋体" w:cs="宋体"/>
          <w:color w:val="auto"/>
        </w:rPr>
        <w:t>附件6-2      </w:t>
      </w:r>
      <w:r>
        <w:rPr>
          <w:rStyle w:val="26"/>
          <w:rFonts w:hint="eastAsia" w:ascii="宋体" w:hAnsi="宋体" w:eastAsia="宋体" w:cs="宋体"/>
          <w:bCs/>
          <w:color w:val="auto"/>
        </w:rPr>
        <w:t> 商务条件和其它事项响应表 </w:t>
      </w:r>
    </w:p>
    <w:p w14:paraId="69F2340A">
      <w:pPr>
        <w:pStyle w:val="17"/>
        <w:widowControl/>
        <w:spacing w:before="75" w:beforeAutospacing="0" w:after="75" w:afterAutospacing="0" w:line="375" w:lineRule="atLeast"/>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（全称加盖单位公章）</w:t>
      </w:r>
      <w:r>
        <w:rPr>
          <w:rFonts w:hint="eastAsia" w:ascii="宋体" w:hAnsi="宋体" w:eastAsia="宋体" w:cs="宋体"/>
          <w:color w:val="auto"/>
        </w:rPr>
        <w:t>  项目编号∶</w:t>
      </w:r>
      <w:r>
        <w:rPr>
          <w:rFonts w:hint="eastAsia" w:ascii="宋体" w:hAnsi="宋体" w:eastAsia="宋体" w:cs="宋体"/>
          <w:color w:val="auto"/>
          <w:u w:val="single"/>
        </w:rPr>
        <w:t>       </w:t>
      </w:r>
    </w:p>
    <w:tbl>
      <w:tblPr>
        <w:tblStyle w:val="23"/>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691"/>
        <w:gridCol w:w="1413"/>
        <w:gridCol w:w="2375"/>
        <w:gridCol w:w="2134"/>
        <w:gridCol w:w="1172"/>
      </w:tblGrid>
      <w:tr w14:paraId="4123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45" w:hRule="atLeast"/>
        </w:trPr>
        <w:tc>
          <w:tcPr>
            <w:tcW w:w="690" w:type="dxa"/>
            <w:shd w:val="clear" w:color="auto" w:fill="auto"/>
            <w:tcMar>
              <w:top w:w="0" w:type="dxa"/>
              <w:left w:w="105" w:type="dxa"/>
              <w:bottom w:w="0" w:type="dxa"/>
              <w:right w:w="105" w:type="dxa"/>
            </w:tcMar>
            <w:vAlign w:val="center"/>
          </w:tcPr>
          <w:p w14:paraId="23CBD3A1">
            <w:pPr>
              <w:pStyle w:val="17"/>
              <w:widowControl/>
              <w:spacing w:beforeAutospacing="0" w:afterAutospacing="0" w:line="375" w:lineRule="atLeast"/>
              <w:rPr>
                <w:color w:val="auto"/>
              </w:rPr>
            </w:pPr>
            <w:r>
              <w:rPr>
                <w:rFonts w:hint="eastAsia" w:ascii="宋体" w:hAnsi="宋体" w:eastAsia="宋体" w:cs="宋体"/>
                <w:color w:val="auto"/>
              </w:rPr>
              <w:t>合同包</w:t>
            </w:r>
          </w:p>
        </w:tc>
        <w:tc>
          <w:tcPr>
            <w:tcW w:w="1410" w:type="dxa"/>
            <w:shd w:val="clear" w:color="auto" w:fill="auto"/>
            <w:tcMar>
              <w:top w:w="0" w:type="dxa"/>
              <w:left w:w="105" w:type="dxa"/>
              <w:bottom w:w="0" w:type="dxa"/>
              <w:right w:w="105" w:type="dxa"/>
            </w:tcMar>
            <w:vAlign w:val="center"/>
          </w:tcPr>
          <w:p w14:paraId="6E3BA7B2">
            <w:pPr>
              <w:pStyle w:val="17"/>
              <w:widowControl/>
              <w:spacing w:beforeAutospacing="0" w:afterAutospacing="0" w:line="375" w:lineRule="atLeast"/>
              <w:rPr>
                <w:color w:val="auto"/>
              </w:rPr>
            </w:pPr>
            <w:r>
              <w:rPr>
                <w:rFonts w:hint="eastAsia" w:ascii="宋体" w:hAnsi="宋体" w:eastAsia="宋体" w:cs="宋体"/>
                <w:color w:val="auto"/>
              </w:rPr>
              <w:t>章节条目号</w:t>
            </w:r>
          </w:p>
        </w:tc>
        <w:tc>
          <w:tcPr>
            <w:tcW w:w="2370" w:type="dxa"/>
            <w:shd w:val="clear" w:color="auto" w:fill="auto"/>
            <w:tcMar>
              <w:top w:w="0" w:type="dxa"/>
              <w:left w:w="105" w:type="dxa"/>
              <w:bottom w:w="0" w:type="dxa"/>
              <w:right w:w="105" w:type="dxa"/>
            </w:tcMar>
            <w:vAlign w:val="center"/>
          </w:tcPr>
          <w:p w14:paraId="46B839A2">
            <w:pPr>
              <w:pStyle w:val="17"/>
              <w:widowControl/>
              <w:spacing w:beforeAutospacing="0" w:afterAutospacing="0" w:line="375" w:lineRule="atLeast"/>
              <w:rPr>
                <w:color w:val="auto"/>
              </w:rPr>
            </w:pPr>
            <w:r>
              <w:rPr>
                <w:rFonts w:hint="eastAsia" w:ascii="宋体" w:hAnsi="宋体" w:eastAsia="宋体" w:cs="宋体"/>
                <w:color w:val="auto"/>
              </w:rPr>
              <w:t>竞争性磋商文件规定的商务条件要求</w:t>
            </w:r>
          </w:p>
        </w:tc>
        <w:tc>
          <w:tcPr>
            <w:tcW w:w="2130" w:type="dxa"/>
            <w:shd w:val="clear" w:color="auto" w:fill="auto"/>
            <w:tcMar>
              <w:top w:w="0" w:type="dxa"/>
              <w:left w:w="105" w:type="dxa"/>
              <w:bottom w:w="0" w:type="dxa"/>
              <w:right w:w="105" w:type="dxa"/>
            </w:tcMar>
            <w:vAlign w:val="center"/>
          </w:tcPr>
          <w:p w14:paraId="79C8529A">
            <w:pPr>
              <w:pStyle w:val="17"/>
              <w:widowControl/>
              <w:spacing w:beforeAutospacing="0" w:afterAutospacing="0" w:line="375" w:lineRule="atLeast"/>
              <w:rPr>
                <w:color w:val="auto"/>
              </w:rPr>
            </w:pPr>
            <w:r>
              <w:rPr>
                <w:rFonts w:hint="eastAsia" w:ascii="宋体" w:hAnsi="宋体" w:eastAsia="宋体" w:cs="宋体"/>
                <w:color w:val="auto"/>
              </w:rPr>
              <w:t>响应文件响应承诺</w:t>
            </w:r>
          </w:p>
        </w:tc>
        <w:tc>
          <w:tcPr>
            <w:tcW w:w="1170" w:type="dxa"/>
            <w:shd w:val="clear" w:color="auto" w:fill="auto"/>
            <w:tcMar>
              <w:top w:w="0" w:type="dxa"/>
              <w:left w:w="105" w:type="dxa"/>
              <w:bottom w:w="0" w:type="dxa"/>
              <w:right w:w="105" w:type="dxa"/>
            </w:tcMar>
            <w:vAlign w:val="center"/>
          </w:tcPr>
          <w:p w14:paraId="0CEBB700">
            <w:pPr>
              <w:pStyle w:val="17"/>
              <w:widowControl/>
              <w:spacing w:beforeAutospacing="0" w:afterAutospacing="0" w:line="375" w:lineRule="atLeast"/>
              <w:rPr>
                <w:color w:val="auto"/>
              </w:rPr>
            </w:pPr>
            <w:r>
              <w:rPr>
                <w:rFonts w:hint="eastAsia" w:ascii="宋体" w:hAnsi="宋体" w:eastAsia="宋体" w:cs="宋体"/>
                <w:color w:val="auto"/>
              </w:rPr>
              <w:t>是否偏离及说明</w:t>
            </w:r>
          </w:p>
        </w:tc>
      </w:tr>
      <w:tr w14:paraId="68EB3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60846C82">
            <w:pPr>
              <w:widowControl/>
              <w:jc w:val="left"/>
              <w:rPr>
                <w:color w:val="auto"/>
              </w:rPr>
            </w:pPr>
          </w:p>
        </w:tc>
        <w:tc>
          <w:tcPr>
            <w:tcW w:w="1410" w:type="dxa"/>
            <w:shd w:val="clear" w:color="auto" w:fill="auto"/>
            <w:tcMar>
              <w:top w:w="0" w:type="dxa"/>
              <w:left w:w="105" w:type="dxa"/>
              <w:bottom w:w="0" w:type="dxa"/>
              <w:right w:w="105" w:type="dxa"/>
            </w:tcMar>
            <w:vAlign w:val="center"/>
          </w:tcPr>
          <w:p w14:paraId="1621E6A4">
            <w:pPr>
              <w:widowControl/>
              <w:jc w:val="left"/>
              <w:rPr>
                <w:color w:val="auto"/>
              </w:rPr>
            </w:pPr>
          </w:p>
        </w:tc>
        <w:tc>
          <w:tcPr>
            <w:tcW w:w="2370" w:type="dxa"/>
            <w:shd w:val="clear" w:color="auto" w:fill="auto"/>
            <w:tcMar>
              <w:top w:w="0" w:type="dxa"/>
              <w:left w:w="105" w:type="dxa"/>
              <w:bottom w:w="0" w:type="dxa"/>
              <w:right w:w="105" w:type="dxa"/>
            </w:tcMar>
            <w:vAlign w:val="center"/>
          </w:tcPr>
          <w:p w14:paraId="0B1EEDB2">
            <w:pPr>
              <w:widowControl/>
              <w:jc w:val="left"/>
              <w:rPr>
                <w:color w:val="auto"/>
              </w:rPr>
            </w:pPr>
          </w:p>
        </w:tc>
        <w:tc>
          <w:tcPr>
            <w:tcW w:w="2130" w:type="dxa"/>
            <w:shd w:val="clear" w:color="auto" w:fill="auto"/>
            <w:tcMar>
              <w:top w:w="0" w:type="dxa"/>
              <w:left w:w="105" w:type="dxa"/>
              <w:bottom w:w="0" w:type="dxa"/>
              <w:right w:w="105" w:type="dxa"/>
            </w:tcMar>
            <w:vAlign w:val="center"/>
          </w:tcPr>
          <w:p w14:paraId="1650D833">
            <w:pPr>
              <w:widowControl/>
              <w:jc w:val="left"/>
              <w:rPr>
                <w:color w:val="auto"/>
              </w:rPr>
            </w:pPr>
          </w:p>
        </w:tc>
        <w:tc>
          <w:tcPr>
            <w:tcW w:w="1170" w:type="dxa"/>
            <w:shd w:val="clear" w:color="auto" w:fill="auto"/>
            <w:tcMar>
              <w:top w:w="0" w:type="dxa"/>
              <w:left w:w="105" w:type="dxa"/>
              <w:bottom w:w="0" w:type="dxa"/>
              <w:right w:w="105" w:type="dxa"/>
            </w:tcMar>
            <w:vAlign w:val="center"/>
          </w:tcPr>
          <w:p w14:paraId="38967888">
            <w:pPr>
              <w:widowControl/>
              <w:jc w:val="left"/>
              <w:rPr>
                <w:color w:val="auto"/>
              </w:rPr>
            </w:pPr>
          </w:p>
        </w:tc>
      </w:tr>
      <w:tr w14:paraId="3CDB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0F912BB6">
            <w:pPr>
              <w:widowControl/>
              <w:jc w:val="left"/>
              <w:rPr>
                <w:color w:val="auto"/>
              </w:rPr>
            </w:pPr>
          </w:p>
        </w:tc>
        <w:tc>
          <w:tcPr>
            <w:tcW w:w="1410" w:type="dxa"/>
            <w:shd w:val="clear" w:color="auto" w:fill="auto"/>
            <w:tcMar>
              <w:top w:w="0" w:type="dxa"/>
              <w:left w:w="105" w:type="dxa"/>
              <w:bottom w:w="0" w:type="dxa"/>
              <w:right w:w="105" w:type="dxa"/>
            </w:tcMar>
            <w:vAlign w:val="center"/>
          </w:tcPr>
          <w:p w14:paraId="6CF360F4">
            <w:pPr>
              <w:widowControl/>
              <w:jc w:val="left"/>
              <w:rPr>
                <w:color w:val="auto"/>
              </w:rPr>
            </w:pPr>
          </w:p>
        </w:tc>
        <w:tc>
          <w:tcPr>
            <w:tcW w:w="2370" w:type="dxa"/>
            <w:shd w:val="clear" w:color="auto" w:fill="auto"/>
            <w:tcMar>
              <w:top w:w="0" w:type="dxa"/>
              <w:left w:w="105" w:type="dxa"/>
              <w:bottom w:w="0" w:type="dxa"/>
              <w:right w:w="105" w:type="dxa"/>
            </w:tcMar>
            <w:vAlign w:val="center"/>
          </w:tcPr>
          <w:p w14:paraId="77A0FACB">
            <w:pPr>
              <w:widowControl/>
              <w:jc w:val="left"/>
              <w:rPr>
                <w:color w:val="auto"/>
              </w:rPr>
            </w:pPr>
          </w:p>
        </w:tc>
        <w:tc>
          <w:tcPr>
            <w:tcW w:w="2130" w:type="dxa"/>
            <w:shd w:val="clear" w:color="auto" w:fill="auto"/>
            <w:tcMar>
              <w:top w:w="0" w:type="dxa"/>
              <w:left w:w="105" w:type="dxa"/>
              <w:bottom w:w="0" w:type="dxa"/>
              <w:right w:w="105" w:type="dxa"/>
            </w:tcMar>
            <w:vAlign w:val="center"/>
          </w:tcPr>
          <w:p w14:paraId="18EFB302">
            <w:pPr>
              <w:widowControl/>
              <w:jc w:val="left"/>
              <w:rPr>
                <w:color w:val="auto"/>
              </w:rPr>
            </w:pPr>
          </w:p>
        </w:tc>
        <w:tc>
          <w:tcPr>
            <w:tcW w:w="1170" w:type="dxa"/>
            <w:shd w:val="clear" w:color="auto" w:fill="auto"/>
            <w:tcMar>
              <w:top w:w="0" w:type="dxa"/>
              <w:left w:w="105" w:type="dxa"/>
              <w:bottom w:w="0" w:type="dxa"/>
              <w:right w:w="105" w:type="dxa"/>
            </w:tcMar>
            <w:vAlign w:val="center"/>
          </w:tcPr>
          <w:p w14:paraId="54A97AE2">
            <w:pPr>
              <w:widowControl/>
              <w:jc w:val="left"/>
              <w:rPr>
                <w:color w:val="auto"/>
              </w:rPr>
            </w:pPr>
          </w:p>
        </w:tc>
      </w:tr>
      <w:tr w14:paraId="4F00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1F1CEAF3">
            <w:pPr>
              <w:widowControl/>
              <w:jc w:val="left"/>
              <w:rPr>
                <w:color w:val="auto"/>
              </w:rPr>
            </w:pPr>
          </w:p>
        </w:tc>
        <w:tc>
          <w:tcPr>
            <w:tcW w:w="1410" w:type="dxa"/>
            <w:shd w:val="clear" w:color="auto" w:fill="auto"/>
            <w:tcMar>
              <w:top w:w="0" w:type="dxa"/>
              <w:left w:w="105" w:type="dxa"/>
              <w:bottom w:w="0" w:type="dxa"/>
              <w:right w:w="105" w:type="dxa"/>
            </w:tcMar>
            <w:vAlign w:val="center"/>
          </w:tcPr>
          <w:p w14:paraId="1E13E809">
            <w:pPr>
              <w:widowControl/>
              <w:jc w:val="left"/>
              <w:rPr>
                <w:color w:val="auto"/>
              </w:rPr>
            </w:pPr>
          </w:p>
        </w:tc>
        <w:tc>
          <w:tcPr>
            <w:tcW w:w="2370" w:type="dxa"/>
            <w:shd w:val="clear" w:color="auto" w:fill="auto"/>
            <w:tcMar>
              <w:top w:w="0" w:type="dxa"/>
              <w:left w:w="105" w:type="dxa"/>
              <w:bottom w:w="0" w:type="dxa"/>
              <w:right w:w="105" w:type="dxa"/>
            </w:tcMar>
            <w:vAlign w:val="center"/>
          </w:tcPr>
          <w:p w14:paraId="69AF7E88">
            <w:pPr>
              <w:widowControl/>
              <w:jc w:val="left"/>
              <w:rPr>
                <w:color w:val="auto"/>
              </w:rPr>
            </w:pPr>
          </w:p>
        </w:tc>
        <w:tc>
          <w:tcPr>
            <w:tcW w:w="2130" w:type="dxa"/>
            <w:shd w:val="clear" w:color="auto" w:fill="auto"/>
            <w:tcMar>
              <w:top w:w="0" w:type="dxa"/>
              <w:left w:w="105" w:type="dxa"/>
              <w:bottom w:w="0" w:type="dxa"/>
              <w:right w:w="105" w:type="dxa"/>
            </w:tcMar>
            <w:vAlign w:val="center"/>
          </w:tcPr>
          <w:p w14:paraId="6A78D060">
            <w:pPr>
              <w:widowControl/>
              <w:jc w:val="left"/>
              <w:rPr>
                <w:color w:val="auto"/>
              </w:rPr>
            </w:pPr>
          </w:p>
        </w:tc>
        <w:tc>
          <w:tcPr>
            <w:tcW w:w="1170" w:type="dxa"/>
            <w:shd w:val="clear" w:color="auto" w:fill="auto"/>
            <w:tcMar>
              <w:top w:w="0" w:type="dxa"/>
              <w:left w:w="105" w:type="dxa"/>
              <w:bottom w:w="0" w:type="dxa"/>
              <w:right w:w="105" w:type="dxa"/>
            </w:tcMar>
            <w:vAlign w:val="center"/>
          </w:tcPr>
          <w:p w14:paraId="1E039228">
            <w:pPr>
              <w:widowControl/>
              <w:jc w:val="left"/>
              <w:rPr>
                <w:color w:val="auto"/>
              </w:rPr>
            </w:pPr>
          </w:p>
        </w:tc>
      </w:tr>
      <w:tr w14:paraId="78304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1D808795">
            <w:pPr>
              <w:widowControl/>
              <w:jc w:val="left"/>
              <w:rPr>
                <w:color w:val="auto"/>
              </w:rPr>
            </w:pPr>
          </w:p>
        </w:tc>
        <w:tc>
          <w:tcPr>
            <w:tcW w:w="1410" w:type="dxa"/>
            <w:shd w:val="clear" w:color="auto" w:fill="auto"/>
            <w:tcMar>
              <w:top w:w="0" w:type="dxa"/>
              <w:left w:w="105" w:type="dxa"/>
              <w:bottom w:w="0" w:type="dxa"/>
              <w:right w:w="105" w:type="dxa"/>
            </w:tcMar>
            <w:vAlign w:val="center"/>
          </w:tcPr>
          <w:p w14:paraId="62B1F0C5">
            <w:pPr>
              <w:widowControl/>
              <w:jc w:val="left"/>
              <w:rPr>
                <w:color w:val="auto"/>
              </w:rPr>
            </w:pPr>
          </w:p>
        </w:tc>
        <w:tc>
          <w:tcPr>
            <w:tcW w:w="2370" w:type="dxa"/>
            <w:shd w:val="clear" w:color="auto" w:fill="auto"/>
            <w:tcMar>
              <w:top w:w="0" w:type="dxa"/>
              <w:left w:w="105" w:type="dxa"/>
              <w:bottom w:w="0" w:type="dxa"/>
              <w:right w:w="105" w:type="dxa"/>
            </w:tcMar>
            <w:vAlign w:val="center"/>
          </w:tcPr>
          <w:p w14:paraId="2A104021">
            <w:pPr>
              <w:widowControl/>
              <w:jc w:val="left"/>
              <w:rPr>
                <w:color w:val="auto"/>
              </w:rPr>
            </w:pPr>
          </w:p>
        </w:tc>
        <w:tc>
          <w:tcPr>
            <w:tcW w:w="2130" w:type="dxa"/>
            <w:shd w:val="clear" w:color="auto" w:fill="auto"/>
            <w:tcMar>
              <w:top w:w="0" w:type="dxa"/>
              <w:left w:w="105" w:type="dxa"/>
              <w:bottom w:w="0" w:type="dxa"/>
              <w:right w:w="105" w:type="dxa"/>
            </w:tcMar>
            <w:vAlign w:val="center"/>
          </w:tcPr>
          <w:p w14:paraId="78A88792">
            <w:pPr>
              <w:widowControl/>
              <w:jc w:val="left"/>
              <w:rPr>
                <w:color w:val="auto"/>
              </w:rPr>
            </w:pPr>
          </w:p>
        </w:tc>
        <w:tc>
          <w:tcPr>
            <w:tcW w:w="1170" w:type="dxa"/>
            <w:shd w:val="clear" w:color="auto" w:fill="auto"/>
            <w:tcMar>
              <w:top w:w="0" w:type="dxa"/>
              <w:left w:w="105" w:type="dxa"/>
              <w:bottom w:w="0" w:type="dxa"/>
              <w:right w:w="105" w:type="dxa"/>
            </w:tcMar>
            <w:vAlign w:val="center"/>
          </w:tcPr>
          <w:p w14:paraId="7C6ECE6D">
            <w:pPr>
              <w:widowControl/>
              <w:jc w:val="left"/>
              <w:rPr>
                <w:color w:val="auto"/>
              </w:rPr>
            </w:pPr>
          </w:p>
        </w:tc>
      </w:tr>
      <w:tr w14:paraId="6E3DC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22DB6C7C">
            <w:pPr>
              <w:widowControl/>
              <w:jc w:val="left"/>
              <w:rPr>
                <w:color w:val="auto"/>
              </w:rPr>
            </w:pPr>
          </w:p>
        </w:tc>
        <w:tc>
          <w:tcPr>
            <w:tcW w:w="1410" w:type="dxa"/>
            <w:shd w:val="clear" w:color="auto" w:fill="auto"/>
            <w:tcMar>
              <w:top w:w="0" w:type="dxa"/>
              <w:left w:w="105" w:type="dxa"/>
              <w:bottom w:w="0" w:type="dxa"/>
              <w:right w:w="105" w:type="dxa"/>
            </w:tcMar>
            <w:vAlign w:val="center"/>
          </w:tcPr>
          <w:p w14:paraId="47A69FBA">
            <w:pPr>
              <w:widowControl/>
              <w:jc w:val="left"/>
              <w:rPr>
                <w:color w:val="auto"/>
              </w:rPr>
            </w:pPr>
          </w:p>
        </w:tc>
        <w:tc>
          <w:tcPr>
            <w:tcW w:w="2370" w:type="dxa"/>
            <w:shd w:val="clear" w:color="auto" w:fill="auto"/>
            <w:tcMar>
              <w:top w:w="0" w:type="dxa"/>
              <w:left w:w="105" w:type="dxa"/>
              <w:bottom w:w="0" w:type="dxa"/>
              <w:right w:w="105" w:type="dxa"/>
            </w:tcMar>
            <w:vAlign w:val="center"/>
          </w:tcPr>
          <w:p w14:paraId="3CC7DF3C">
            <w:pPr>
              <w:widowControl/>
              <w:jc w:val="left"/>
              <w:rPr>
                <w:color w:val="auto"/>
              </w:rPr>
            </w:pPr>
          </w:p>
        </w:tc>
        <w:tc>
          <w:tcPr>
            <w:tcW w:w="2130" w:type="dxa"/>
            <w:shd w:val="clear" w:color="auto" w:fill="auto"/>
            <w:tcMar>
              <w:top w:w="0" w:type="dxa"/>
              <w:left w:w="105" w:type="dxa"/>
              <w:bottom w:w="0" w:type="dxa"/>
              <w:right w:w="105" w:type="dxa"/>
            </w:tcMar>
            <w:vAlign w:val="center"/>
          </w:tcPr>
          <w:p w14:paraId="13CB4DA4">
            <w:pPr>
              <w:widowControl/>
              <w:jc w:val="left"/>
              <w:rPr>
                <w:color w:val="auto"/>
              </w:rPr>
            </w:pPr>
          </w:p>
        </w:tc>
        <w:tc>
          <w:tcPr>
            <w:tcW w:w="1170" w:type="dxa"/>
            <w:shd w:val="clear" w:color="auto" w:fill="auto"/>
            <w:tcMar>
              <w:top w:w="0" w:type="dxa"/>
              <w:left w:w="105" w:type="dxa"/>
              <w:bottom w:w="0" w:type="dxa"/>
              <w:right w:w="105" w:type="dxa"/>
            </w:tcMar>
            <w:vAlign w:val="center"/>
          </w:tcPr>
          <w:p w14:paraId="6916C519">
            <w:pPr>
              <w:widowControl/>
              <w:jc w:val="left"/>
              <w:rPr>
                <w:color w:val="auto"/>
              </w:rPr>
            </w:pPr>
          </w:p>
        </w:tc>
      </w:tr>
      <w:tr w14:paraId="10DD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00FA3D1B">
            <w:pPr>
              <w:widowControl/>
              <w:jc w:val="left"/>
              <w:rPr>
                <w:color w:val="auto"/>
              </w:rPr>
            </w:pPr>
          </w:p>
        </w:tc>
        <w:tc>
          <w:tcPr>
            <w:tcW w:w="1410" w:type="dxa"/>
            <w:shd w:val="clear" w:color="auto" w:fill="auto"/>
            <w:tcMar>
              <w:top w:w="0" w:type="dxa"/>
              <w:left w:w="105" w:type="dxa"/>
              <w:bottom w:w="0" w:type="dxa"/>
              <w:right w:w="105" w:type="dxa"/>
            </w:tcMar>
            <w:vAlign w:val="center"/>
          </w:tcPr>
          <w:p w14:paraId="7A1FE239">
            <w:pPr>
              <w:widowControl/>
              <w:jc w:val="left"/>
              <w:rPr>
                <w:color w:val="auto"/>
              </w:rPr>
            </w:pPr>
          </w:p>
        </w:tc>
        <w:tc>
          <w:tcPr>
            <w:tcW w:w="2370" w:type="dxa"/>
            <w:shd w:val="clear" w:color="auto" w:fill="auto"/>
            <w:tcMar>
              <w:top w:w="0" w:type="dxa"/>
              <w:left w:w="105" w:type="dxa"/>
              <w:bottom w:w="0" w:type="dxa"/>
              <w:right w:w="105" w:type="dxa"/>
            </w:tcMar>
            <w:vAlign w:val="center"/>
          </w:tcPr>
          <w:p w14:paraId="4476B577">
            <w:pPr>
              <w:widowControl/>
              <w:jc w:val="left"/>
              <w:rPr>
                <w:color w:val="auto"/>
              </w:rPr>
            </w:pPr>
          </w:p>
        </w:tc>
        <w:tc>
          <w:tcPr>
            <w:tcW w:w="2130" w:type="dxa"/>
            <w:shd w:val="clear" w:color="auto" w:fill="auto"/>
            <w:tcMar>
              <w:top w:w="0" w:type="dxa"/>
              <w:left w:w="105" w:type="dxa"/>
              <w:bottom w:w="0" w:type="dxa"/>
              <w:right w:w="105" w:type="dxa"/>
            </w:tcMar>
            <w:vAlign w:val="center"/>
          </w:tcPr>
          <w:p w14:paraId="7C6B3B84">
            <w:pPr>
              <w:widowControl/>
              <w:jc w:val="left"/>
              <w:rPr>
                <w:color w:val="auto"/>
              </w:rPr>
            </w:pPr>
          </w:p>
        </w:tc>
        <w:tc>
          <w:tcPr>
            <w:tcW w:w="1170" w:type="dxa"/>
            <w:shd w:val="clear" w:color="auto" w:fill="auto"/>
            <w:tcMar>
              <w:top w:w="0" w:type="dxa"/>
              <w:left w:w="105" w:type="dxa"/>
              <w:bottom w:w="0" w:type="dxa"/>
              <w:right w:w="105" w:type="dxa"/>
            </w:tcMar>
            <w:vAlign w:val="center"/>
          </w:tcPr>
          <w:p w14:paraId="50F0FCF8">
            <w:pPr>
              <w:widowControl/>
              <w:jc w:val="left"/>
              <w:rPr>
                <w:color w:val="auto"/>
              </w:rPr>
            </w:pPr>
          </w:p>
        </w:tc>
      </w:tr>
      <w:tr w14:paraId="020F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0D282723">
            <w:pPr>
              <w:widowControl/>
              <w:jc w:val="left"/>
              <w:rPr>
                <w:color w:val="auto"/>
              </w:rPr>
            </w:pPr>
          </w:p>
        </w:tc>
        <w:tc>
          <w:tcPr>
            <w:tcW w:w="1410" w:type="dxa"/>
            <w:shd w:val="clear" w:color="auto" w:fill="auto"/>
            <w:tcMar>
              <w:top w:w="0" w:type="dxa"/>
              <w:left w:w="105" w:type="dxa"/>
              <w:bottom w:w="0" w:type="dxa"/>
              <w:right w:w="105" w:type="dxa"/>
            </w:tcMar>
            <w:vAlign w:val="center"/>
          </w:tcPr>
          <w:p w14:paraId="3732A440">
            <w:pPr>
              <w:widowControl/>
              <w:jc w:val="left"/>
              <w:rPr>
                <w:color w:val="auto"/>
              </w:rPr>
            </w:pPr>
          </w:p>
        </w:tc>
        <w:tc>
          <w:tcPr>
            <w:tcW w:w="2370" w:type="dxa"/>
            <w:shd w:val="clear" w:color="auto" w:fill="auto"/>
            <w:tcMar>
              <w:top w:w="0" w:type="dxa"/>
              <w:left w:w="105" w:type="dxa"/>
              <w:bottom w:w="0" w:type="dxa"/>
              <w:right w:w="105" w:type="dxa"/>
            </w:tcMar>
            <w:vAlign w:val="center"/>
          </w:tcPr>
          <w:p w14:paraId="5EC93C62">
            <w:pPr>
              <w:widowControl/>
              <w:jc w:val="left"/>
              <w:rPr>
                <w:color w:val="auto"/>
              </w:rPr>
            </w:pPr>
          </w:p>
        </w:tc>
        <w:tc>
          <w:tcPr>
            <w:tcW w:w="2130" w:type="dxa"/>
            <w:shd w:val="clear" w:color="auto" w:fill="auto"/>
            <w:tcMar>
              <w:top w:w="0" w:type="dxa"/>
              <w:left w:w="105" w:type="dxa"/>
              <w:bottom w:w="0" w:type="dxa"/>
              <w:right w:w="105" w:type="dxa"/>
            </w:tcMar>
            <w:vAlign w:val="center"/>
          </w:tcPr>
          <w:p w14:paraId="6567782E">
            <w:pPr>
              <w:widowControl/>
              <w:jc w:val="left"/>
              <w:rPr>
                <w:color w:val="auto"/>
              </w:rPr>
            </w:pPr>
          </w:p>
        </w:tc>
        <w:tc>
          <w:tcPr>
            <w:tcW w:w="1170" w:type="dxa"/>
            <w:shd w:val="clear" w:color="auto" w:fill="auto"/>
            <w:tcMar>
              <w:top w:w="0" w:type="dxa"/>
              <w:left w:w="105" w:type="dxa"/>
              <w:bottom w:w="0" w:type="dxa"/>
              <w:right w:w="105" w:type="dxa"/>
            </w:tcMar>
            <w:vAlign w:val="center"/>
          </w:tcPr>
          <w:p w14:paraId="5E5D952F">
            <w:pPr>
              <w:widowControl/>
              <w:jc w:val="left"/>
              <w:rPr>
                <w:color w:val="auto"/>
              </w:rPr>
            </w:pPr>
          </w:p>
        </w:tc>
      </w:tr>
      <w:tr w14:paraId="5EC74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2572346E">
            <w:pPr>
              <w:widowControl/>
              <w:jc w:val="left"/>
              <w:rPr>
                <w:color w:val="auto"/>
              </w:rPr>
            </w:pPr>
          </w:p>
        </w:tc>
        <w:tc>
          <w:tcPr>
            <w:tcW w:w="1410" w:type="dxa"/>
            <w:shd w:val="clear" w:color="auto" w:fill="auto"/>
            <w:tcMar>
              <w:top w:w="0" w:type="dxa"/>
              <w:left w:w="105" w:type="dxa"/>
              <w:bottom w:w="0" w:type="dxa"/>
              <w:right w:w="105" w:type="dxa"/>
            </w:tcMar>
            <w:vAlign w:val="center"/>
          </w:tcPr>
          <w:p w14:paraId="59AF0501">
            <w:pPr>
              <w:widowControl/>
              <w:jc w:val="left"/>
              <w:rPr>
                <w:color w:val="auto"/>
              </w:rPr>
            </w:pPr>
          </w:p>
        </w:tc>
        <w:tc>
          <w:tcPr>
            <w:tcW w:w="2370" w:type="dxa"/>
            <w:shd w:val="clear" w:color="auto" w:fill="auto"/>
            <w:tcMar>
              <w:top w:w="0" w:type="dxa"/>
              <w:left w:w="105" w:type="dxa"/>
              <w:bottom w:w="0" w:type="dxa"/>
              <w:right w:w="105" w:type="dxa"/>
            </w:tcMar>
            <w:vAlign w:val="center"/>
          </w:tcPr>
          <w:p w14:paraId="134054BD">
            <w:pPr>
              <w:widowControl/>
              <w:jc w:val="left"/>
              <w:rPr>
                <w:color w:val="auto"/>
              </w:rPr>
            </w:pPr>
          </w:p>
        </w:tc>
        <w:tc>
          <w:tcPr>
            <w:tcW w:w="2130" w:type="dxa"/>
            <w:shd w:val="clear" w:color="auto" w:fill="auto"/>
            <w:tcMar>
              <w:top w:w="0" w:type="dxa"/>
              <w:left w:w="105" w:type="dxa"/>
              <w:bottom w:w="0" w:type="dxa"/>
              <w:right w:w="105" w:type="dxa"/>
            </w:tcMar>
            <w:vAlign w:val="center"/>
          </w:tcPr>
          <w:p w14:paraId="0EAD6024">
            <w:pPr>
              <w:widowControl/>
              <w:jc w:val="left"/>
              <w:rPr>
                <w:color w:val="auto"/>
              </w:rPr>
            </w:pPr>
          </w:p>
        </w:tc>
        <w:tc>
          <w:tcPr>
            <w:tcW w:w="1170" w:type="dxa"/>
            <w:shd w:val="clear" w:color="auto" w:fill="auto"/>
            <w:tcMar>
              <w:top w:w="0" w:type="dxa"/>
              <w:left w:w="105" w:type="dxa"/>
              <w:bottom w:w="0" w:type="dxa"/>
              <w:right w:w="105" w:type="dxa"/>
            </w:tcMar>
            <w:vAlign w:val="center"/>
          </w:tcPr>
          <w:p w14:paraId="5FA973E5">
            <w:pPr>
              <w:widowControl/>
              <w:jc w:val="left"/>
              <w:rPr>
                <w:color w:val="auto"/>
              </w:rPr>
            </w:pPr>
          </w:p>
        </w:tc>
      </w:tr>
      <w:tr w14:paraId="3693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45F43F6E">
            <w:pPr>
              <w:widowControl/>
              <w:jc w:val="left"/>
              <w:rPr>
                <w:color w:val="auto"/>
              </w:rPr>
            </w:pPr>
          </w:p>
        </w:tc>
        <w:tc>
          <w:tcPr>
            <w:tcW w:w="1410" w:type="dxa"/>
            <w:shd w:val="clear" w:color="auto" w:fill="auto"/>
            <w:tcMar>
              <w:top w:w="0" w:type="dxa"/>
              <w:left w:w="105" w:type="dxa"/>
              <w:bottom w:w="0" w:type="dxa"/>
              <w:right w:w="105" w:type="dxa"/>
            </w:tcMar>
            <w:vAlign w:val="center"/>
          </w:tcPr>
          <w:p w14:paraId="421036E2">
            <w:pPr>
              <w:widowControl/>
              <w:jc w:val="left"/>
              <w:rPr>
                <w:color w:val="auto"/>
              </w:rPr>
            </w:pPr>
          </w:p>
        </w:tc>
        <w:tc>
          <w:tcPr>
            <w:tcW w:w="2370" w:type="dxa"/>
            <w:shd w:val="clear" w:color="auto" w:fill="auto"/>
            <w:tcMar>
              <w:top w:w="0" w:type="dxa"/>
              <w:left w:w="105" w:type="dxa"/>
              <w:bottom w:w="0" w:type="dxa"/>
              <w:right w:w="105" w:type="dxa"/>
            </w:tcMar>
            <w:vAlign w:val="center"/>
          </w:tcPr>
          <w:p w14:paraId="333EF31C">
            <w:pPr>
              <w:widowControl/>
              <w:jc w:val="left"/>
              <w:rPr>
                <w:color w:val="auto"/>
              </w:rPr>
            </w:pPr>
          </w:p>
        </w:tc>
        <w:tc>
          <w:tcPr>
            <w:tcW w:w="2130" w:type="dxa"/>
            <w:shd w:val="clear" w:color="auto" w:fill="auto"/>
            <w:tcMar>
              <w:top w:w="0" w:type="dxa"/>
              <w:left w:w="105" w:type="dxa"/>
              <w:bottom w:w="0" w:type="dxa"/>
              <w:right w:w="105" w:type="dxa"/>
            </w:tcMar>
            <w:vAlign w:val="center"/>
          </w:tcPr>
          <w:p w14:paraId="0B9C481A">
            <w:pPr>
              <w:widowControl/>
              <w:jc w:val="left"/>
              <w:rPr>
                <w:color w:val="auto"/>
              </w:rPr>
            </w:pPr>
          </w:p>
        </w:tc>
        <w:tc>
          <w:tcPr>
            <w:tcW w:w="1170" w:type="dxa"/>
            <w:shd w:val="clear" w:color="auto" w:fill="auto"/>
            <w:tcMar>
              <w:top w:w="0" w:type="dxa"/>
              <w:left w:w="105" w:type="dxa"/>
              <w:bottom w:w="0" w:type="dxa"/>
              <w:right w:w="105" w:type="dxa"/>
            </w:tcMar>
            <w:vAlign w:val="center"/>
          </w:tcPr>
          <w:p w14:paraId="423FA055">
            <w:pPr>
              <w:widowControl/>
              <w:jc w:val="left"/>
              <w:rPr>
                <w:color w:val="auto"/>
              </w:rPr>
            </w:pPr>
          </w:p>
        </w:tc>
      </w:tr>
      <w:tr w14:paraId="588F8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4C301CAD">
            <w:pPr>
              <w:widowControl/>
              <w:jc w:val="left"/>
              <w:rPr>
                <w:color w:val="auto"/>
              </w:rPr>
            </w:pPr>
          </w:p>
        </w:tc>
        <w:tc>
          <w:tcPr>
            <w:tcW w:w="1410" w:type="dxa"/>
            <w:shd w:val="clear" w:color="auto" w:fill="auto"/>
            <w:tcMar>
              <w:top w:w="0" w:type="dxa"/>
              <w:left w:w="105" w:type="dxa"/>
              <w:bottom w:w="0" w:type="dxa"/>
              <w:right w:w="105" w:type="dxa"/>
            </w:tcMar>
            <w:vAlign w:val="center"/>
          </w:tcPr>
          <w:p w14:paraId="2552FCD2">
            <w:pPr>
              <w:widowControl/>
              <w:jc w:val="left"/>
              <w:rPr>
                <w:color w:val="auto"/>
              </w:rPr>
            </w:pPr>
          </w:p>
        </w:tc>
        <w:tc>
          <w:tcPr>
            <w:tcW w:w="2370" w:type="dxa"/>
            <w:shd w:val="clear" w:color="auto" w:fill="auto"/>
            <w:tcMar>
              <w:top w:w="0" w:type="dxa"/>
              <w:left w:w="105" w:type="dxa"/>
              <w:bottom w:w="0" w:type="dxa"/>
              <w:right w:w="105" w:type="dxa"/>
            </w:tcMar>
            <w:vAlign w:val="center"/>
          </w:tcPr>
          <w:p w14:paraId="4DAA0BE1">
            <w:pPr>
              <w:widowControl/>
              <w:jc w:val="left"/>
              <w:rPr>
                <w:color w:val="auto"/>
              </w:rPr>
            </w:pPr>
          </w:p>
        </w:tc>
        <w:tc>
          <w:tcPr>
            <w:tcW w:w="2130" w:type="dxa"/>
            <w:shd w:val="clear" w:color="auto" w:fill="auto"/>
            <w:tcMar>
              <w:top w:w="0" w:type="dxa"/>
              <w:left w:w="105" w:type="dxa"/>
              <w:bottom w:w="0" w:type="dxa"/>
              <w:right w:w="105" w:type="dxa"/>
            </w:tcMar>
            <w:vAlign w:val="center"/>
          </w:tcPr>
          <w:p w14:paraId="1E906156">
            <w:pPr>
              <w:widowControl/>
              <w:jc w:val="left"/>
              <w:rPr>
                <w:color w:val="auto"/>
              </w:rPr>
            </w:pPr>
          </w:p>
        </w:tc>
        <w:tc>
          <w:tcPr>
            <w:tcW w:w="1170" w:type="dxa"/>
            <w:shd w:val="clear" w:color="auto" w:fill="auto"/>
            <w:tcMar>
              <w:top w:w="0" w:type="dxa"/>
              <w:left w:w="105" w:type="dxa"/>
              <w:bottom w:w="0" w:type="dxa"/>
              <w:right w:w="105" w:type="dxa"/>
            </w:tcMar>
            <w:vAlign w:val="center"/>
          </w:tcPr>
          <w:p w14:paraId="65BA993F">
            <w:pPr>
              <w:widowControl/>
              <w:jc w:val="left"/>
              <w:rPr>
                <w:color w:val="auto"/>
              </w:rPr>
            </w:pPr>
          </w:p>
        </w:tc>
      </w:tr>
      <w:tr w14:paraId="3B07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06C9C90E">
            <w:pPr>
              <w:widowControl/>
              <w:jc w:val="left"/>
              <w:rPr>
                <w:color w:val="auto"/>
              </w:rPr>
            </w:pPr>
          </w:p>
        </w:tc>
        <w:tc>
          <w:tcPr>
            <w:tcW w:w="1410" w:type="dxa"/>
            <w:shd w:val="clear" w:color="auto" w:fill="auto"/>
            <w:tcMar>
              <w:top w:w="0" w:type="dxa"/>
              <w:left w:w="105" w:type="dxa"/>
              <w:bottom w:w="0" w:type="dxa"/>
              <w:right w:w="105" w:type="dxa"/>
            </w:tcMar>
            <w:vAlign w:val="center"/>
          </w:tcPr>
          <w:p w14:paraId="2255AEC9">
            <w:pPr>
              <w:widowControl/>
              <w:jc w:val="left"/>
              <w:rPr>
                <w:color w:val="auto"/>
              </w:rPr>
            </w:pPr>
          </w:p>
        </w:tc>
        <w:tc>
          <w:tcPr>
            <w:tcW w:w="2370" w:type="dxa"/>
            <w:shd w:val="clear" w:color="auto" w:fill="auto"/>
            <w:tcMar>
              <w:top w:w="0" w:type="dxa"/>
              <w:left w:w="105" w:type="dxa"/>
              <w:bottom w:w="0" w:type="dxa"/>
              <w:right w:w="105" w:type="dxa"/>
            </w:tcMar>
            <w:vAlign w:val="center"/>
          </w:tcPr>
          <w:p w14:paraId="4A76FD74">
            <w:pPr>
              <w:widowControl/>
              <w:jc w:val="left"/>
              <w:rPr>
                <w:color w:val="auto"/>
              </w:rPr>
            </w:pPr>
          </w:p>
        </w:tc>
        <w:tc>
          <w:tcPr>
            <w:tcW w:w="2130" w:type="dxa"/>
            <w:shd w:val="clear" w:color="auto" w:fill="auto"/>
            <w:tcMar>
              <w:top w:w="0" w:type="dxa"/>
              <w:left w:w="105" w:type="dxa"/>
              <w:bottom w:w="0" w:type="dxa"/>
              <w:right w:w="105" w:type="dxa"/>
            </w:tcMar>
            <w:vAlign w:val="center"/>
          </w:tcPr>
          <w:p w14:paraId="3839870A">
            <w:pPr>
              <w:widowControl/>
              <w:jc w:val="left"/>
              <w:rPr>
                <w:color w:val="auto"/>
              </w:rPr>
            </w:pPr>
          </w:p>
        </w:tc>
        <w:tc>
          <w:tcPr>
            <w:tcW w:w="1170" w:type="dxa"/>
            <w:shd w:val="clear" w:color="auto" w:fill="auto"/>
            <w:tcMar>
              <w:top w:w="0" w:type="dxa"/>
              <w:left w:w="105" w:type="dxa"/>
              <w:bottom w:w="0" w:type="dxa"/>
              <w:right w:w="105" w:type="dxa"/>
            </w:tcMar>
            <w:vAlign w:val="center"/>
          </w:tcPr>
          <w:p w14:paraId="63AA13C1">
            <w:pPr>
              <w:widowControl/>
              <w:jc w:val="left"/>
              <w:rPr>
                <w:color w:val="auto"/>
              </w:rPr>
            </w:pPr>
          </w:p>
        </w:tc>
      </w:tr>
      <w:tr w14:paraId="165D7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trPr>
        <w:tc>
          <w:tcPr>
            <w:tcW w:w="690" w:type="dxa"/>
            <w:shd w:val="clear" w:color="auto" w:fill="auto"/>
            <w:tcMar>
              <w:top w:w="0" w:type="dxa"/>
              <w:left w:w="105" w:type="dxa"/>
              <w:bottom w:w="0" w:type="dxa"/>
              <w:right w:w="105" w:type="dxa"/>
            </w:tcMar>
            <w:vAlign w:val="center"/>
          </w:tcPr>
          <w:p w14:paraId="1AE665F4">
            <w:pPr>
              <w:widowControl/>
              <w:jc w:val="left"/>
              <w:rPr>
                <w:color w:val="auto"/>
              </w:rPr>
            </w:pPr>
          </w:p>
        </w:tc>
        <w:tc>
          <w:tcPr>
            <w:tcW w:w="1410" w:type="dxa"/>
            <w:shd w:val="clear" w:color="auto" w:fill="auto"/>
            <w:tcMar>
              <w:top w:w="0" w:type="dxa"/>
              <w:left w:w="105" w:type="dxa"/>
              <w:bottom w:w="0" w:type="dxa"/>
              <w:right w:w="105" w:type="dxa"/>
            </w:tcMar>
            <w:vAlign w:val="center"/>
          </w:tcPr>
          <w:p w14:paraId="151DA82E">
            <w:pPr>
              <w:widowControl/>
              <w:jc w:val="left"/>
              <w:rPr>
                <w:color w:val="auto"/>
              </w:rPr>
            </w:pPr>
          </w:p>
        </w:tc>
        <w:tc>
          <w:tcPr>
            <w:tcW w:w="2370" w:type="dxa"/>
            <w:shd w:val="clear" w:color="auto" w:fill="auto"/>
            <w:tcMar>
              <w:top w:w="0" w:type="dxa"/>
              <w:left w:w="105" w:type="dxa"/>
              <w:bottom w:w="0" w:type="dxa"/>
              <w:right w:w="105" w:type="dxa"/>
            </w:tcMar>
            <w:vAlign w:val="center"/>
          </w:tcPr>
          <w:p w14:paraId="3E41B118">
            <w:pPr>
              <w:widowControl/>
              <w:jc w:val="left"/>
              <w:rPr>
                <w:color w:val="auto"/>
              </w:rPr>
            </w:pPr>
          </w:p>
        </w:tc>
        <w:tc>
          <w:tcPr>
            <w:tcW w:w="2130" w:type="dxa"/>
            <w:shd w:val="clear" w:color="auto" w:fill="auto"/>
            <w:tcMar>
              <w:top w:w="0" w:type="dxa"/>
              <w:left w:w="105" w:type="dxa"/>
              <w:bottom w:w="0" w:type="dxa"/>
              <w:right w:w="105" w:type="dxa"/>
            </w:tcMar>
            <w:vAlign w:val="center"/>
          </w:tcPr>
          <w:p w14:paraId="484A76C3">
            <w:pPr>
              <w:widowControl/>
              <w:jc w:val="left"/>
              <w:rPr>
                <w:color w:val="auto"/>
              </w:rPr>
            </w:pPr>
          </w:p>
        </w:tc>
        <w:tc>
          <w:tcPr>
            <w:tcW w:w="1170" w:type="dxa"/>
            <w:shd w:val="clear" w:color="auto" w:fill="auto"/>
            <w:tcMar>
              <w:top w:w="0" w:type="dxa"/>
              <w:left w:w="105" w:type="dxa"/>
              <w:bottom w:w="0" w:type="dxa"/>
              <w:right w:w="105" w:type="dxa"/>
            </w:tcMar>
            <w:vAlign w:val="center"/>
          </w:tcPr>
          <w:p w14:paraId="077E1689">
            <w:pPr>
              <w:widowControl/>
              <w:jc w:val="left"/>
              <w:rPr>
                <w:color w:val="auto"/>
              </w:rPr>
            </w:pPr>
          </w:p>
        </w:tc>
      </w:tr>
    </w:tbl>
    <w:p w14:paraId="734B9CC9">
      <w:pPr>
        <w:pStyle w:val="17"/>
        <w:widowControl/>
        <w:spacing w:before="75" w:beforeAutospacing="0" w:after="75" w:afterAutospacing="0" w:line="375" w:lineRule="atLeast"/>
        <w:rPr>
          <w:rStyle w:val="26"/>
          <w:rFonts w:ascii="宋体" w:hAnsi="宋体" w:eastAsia="宋体" w:cs="宋体"/>
          <w:bCs/>
          <w:color w:val="auto"/>
        </w:rPr>
      </w:pPr>
      <w:r>
        <w:rPr>
          <w:rStyle w:val="26"/>
          <w:rFonts w:hint="eastAsia" w:ascii="宋体" w:hAnsi="宋体" w:eastAsia="宋体" w:cs="宋体"/>
          <w:bCs/>
          <w:color w:val="auto"/>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14:paraId="529F29FA">
      <w:pPr>
        <w:pStyle w:val="17"/>
        <w:widowControl/>
        <w:spacing w:before="75" w:beforeAutospacing="0" w:after="75" w:afterAutospacing="0" w:line="375" w:lineRule="atLeast"/>
        <w:rPr>
          <w:rStyle w:val="26"/>
          <w:rFonts w:ascii="宋体" w:hAnsi="宋体" w:eastAsia="宋体" w:cs="宋体"/>
          <w:bCs/>
          <w:color w:val="auto"/>
        </w:rPr>
      </w:pPr>
      <w:r>
        <w:rPr>
          <w:rStyle w:val="26"/>
          <w:rFonts w:hint="eastAsia" w:ascii="宋体" w:hAnsi="宋体" w:eastAsia="宋体" w:cs="宋体"/>
          <w:bCs/>
          <w:color w:val="auto"/>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p>
    <w:p w14:paraId="452DC925">
      <w:pPr>
        <w:pStyle w:val="17"/>
        <w:widowControl/>
        <w:spacing w:before="75" w:beforeAutospacing="0" w:after="75" w:afterAutospacing="0" w:line="375" w:lineRule="atLeast"/>
        <w:rPr>
          <w:color w:val="auto"/>
        </w:rPr>
      </w:pPr>
      <w:r>
        <w:rPr>
          <w:rFonts w:hint="eastAsia" w:ascii="宋体" w:hAnsi="宋体" w:eastAsia="宋体" w:cs="宋体"/>
          <w:color w:val="auto"/>
        </w:rPr>
        <w:t>供应商代表签字： _________________</w:t>
      </w:r>
    </w:p>
    <w:p w14:paraId="5E705A04">
      <w:pPr>
        <w:pStyle w:val="17"/>
        <w:widowControl/>
        <w:spacing w:before="75" w:beforeAutospacing="0" w:after="75" w:afterAutospacing="0" w:line="420" w:lineRule="atLeast"/>
        <w:rPr>
          <w:color w:val="auto"/>
        </w:rPr>
      </w:pPr>
      <w:r>
        <w:rPr>
          <w:rFonts w:hint="eastAsia" w:ascii="宋体" w:hAnsi="宋体" w:eastAsia="宋体" w:cs="宋体"/>
          <w:color w:val="auto"/>
        </w:rPr>
        <w:t>附件7   </w:t>
      </w:r>
      <w:r>
        <w:rPr>
          <w:rStyle w:val="26"/>
          <w:rFonts w:hint="eastAsia" w:ascii="宋体" w:hAnsi="宋体" w:eastAsia="宋体" w:cs="宋体"/>
          <w:bCs/>
          <w:color w:val="auto"/>
        </w:rPr>
        <w:t>  相关技术、商务、服务响应承诺及资料</w:t>
      </w:r>
    </w:p>
    <w:p w14:paraId="0CFAF797">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21014C33">
      <w:pPr>
        <w:pStyle w:val="17"/>
        <w:widowControl/>
        <w:spacing w:before="75" w:beforeAutospacing="0" w:after="75" w:afterAutospacing="0" w:line="495" w:lineRule="atLeast"/>
        <w:rPr>
          <w:color w:val="auto"/>
        </w:rPr>
      </w:pPr>
      <w:r>
        <w:rPr>
          <w:rStyle w:val="26"/>
          <w:rFonts w:hint="eastAsia" w:ascii="宋体" w:hAnsi="宋体" w:eastAsia="宋体" w:cs="宋体"/>
          <w:bCs/>
          <w:color w:val="auto"/>
        </w:rPr>
        <w:t>说明：    </w:t>
      </w:r>
    </w:p>
    <w:p w14:paraId="3B4D13C1">
      <w:pPr>
        <w:pStyle w:val="17"/>
        <w:widowControl/>
        <w:spacing w:before="75" w:beforeAutospacing="0" w:after="75" w:afterAutospacing="0" w:line="495" w:lineRule="atLeast"/>
        <w:rPr>
          <w:color w:val="auto"/>
        </w:rPr>
      </w:pPr>
      <w:r>
        <w:rPr>
          <w:rFonts w:hint="eastAsia" w:ascii="宋体" w:hAnsi="宋体" w:eastAsia="宋体" w:cs="宋体"/>
          <w:color w:val="auto"/>
        </w:rPr>
        <w:t>  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14:paraId="22D833F5">
      <w:pPr>
        <w:pStyle w:val="17"/>
        <w:widowControl/>
        <w:spacing w:before="75" w:beforeAutospacing="0" w:after="75" w:afterAutospacing="0" w:line="495" w:lineRule="atLeast"/>
        <w:rPr>
          <w:color w:val="auto"/>
        </w:rPr>
      </w:pPr>
      <w:r>
        <w:rPr>
          <w:rFonts w:hint="eastAsia" w:ascii="宋体" w:hAnsi="宋体" w:eastAsia="宋体" w:cs="宋体"/>
          <w:color w:val="auto"/>
        </w:rPr>
        <w:t>  2.如果没有特别要求的，供应商根据磋商文件的要求以及特点，提供相关技术、商务、服务响应承诺及资料，格式自拟。</w:t>
      </w:r>
    </w:p>
    <w:p w14:paraId="63B33E24">
      <w:pPr>
        <w:pStyle w:val="17"/>
        <w:widowControl/>
        <w:spacing w:before="75" w:beforeAutospacing="0" w:after="75" w:afterAutospacing="0" w:line="495" w:lineRule="atLeast"/>
        <w:rPr>
          <w:color w:val="auto"/>
        </w:rPr>
      </w:pPr>
      <w:r>
        <w:rPr>
          <w:rStyle w:val="26"/>
          <w:rFonts w:hint="eastAsia" w:ascii="宋体" w:hAnsi="宋体" w:eastAsia="宋体" w:cs="宋体"/>
          <w:bCs/>
          <w:color w:val="auto"/>
        </w:rPr>
        <w:t> </w:t>
      </w:r>
    </w:p>
    <w:p w14:paraId="4DD480BB">
      <w:pPr>
        <w:pStyle w:val="17"/>
        <w:widowControl/>
        <w:spacing w:before="75" w:beforeAutospacing="0" w:after="75" w:afterAutospacing="0" w:line="495" w:lineRule="atLeast"/>
        <w:rPr>
          <w:color w:val="auto"/>
        </w:rPr>
      </w:pPr>
      <w:r>
        <w:rPr>
          <w:rStyle w:val="26"/>
          <w:rFonts w:hint="eastAsia" w:ascii="宋体" w:hAnsi="宋体" w:eastAsia="宋体" w:cs="宋体"/>
          <w:bCs/>
          <w:color w:val="auto"/>
        </w:rPr>
        <w:t> </w:t>
      </w:r>
    </w:p>
    <w:p w14:paraId="13C56F9B">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 </w:t>
      </w:r>
    </w:p>
    <w:p w14:paraId="0CDF3778">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 </w:t>
      </w:r>
    </w:p>
    <w:p w14:paraId="7153F7A0">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5CA72FBA">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29177925">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60EBA48B">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 </w:t>
      </w:r>
    </w:p>
    <w:p w14:paraId="64BF1301">
      <w:pPr>
        <w:pStyle w:val="17"/>
        <w:widowControl/>
        <w:spacing w:before="75" w:beforeAutospacing="0" w:after="75" w:afterAutospacing="0" w:line="495" w:lineRule="atLeast"/>
        <w:rPr>
          <w:color w:val="auto"/>
        </w:rPr>
      </w:pPr>
      <w:r>
        <w:rPr>
          <w:rFonts w:hint="eastAsia" w:ascii="宋体" w:hAnsi="宋体" w:eastAsia="宋体" w:cs="宋体"/>
          <w:color w:val="auto"/>
        </w:rPr>
        <w:t> </w:t>
      </w:r>
    </w:p>
    <w:p w14:paraId="1C86C4F4">
      <w:pPr>
        <w:pStyle w:val="17"/>
        <w:widowControl/>
        <w:spacing w:before="75" w:beforeAutospacing="0" w:after="75" w:afterAutospacing="0" w:line="495" w:lineRule="atLeast"/>
        <w:rPr>
          <w:color w:val="auto"/>
        </w:rPr>
      </w:pPr>
      <w:r>
        <w:rPr>
          <w:rStyle w:val="26"/>
          <w:rFonts w:hint="eastAsia" w:ascii="宋体" w:hAnsi="宋体" w:eastAsia="宋体" w:cs="宋体"/>
          <w:bCs/>
          <w:color w:val="auto"/>
        </w:rPr>
        <w:t> </w:t>
      </w:r>
    </w:p>
    <w:p w14:paraId="6A9A703B">
      <w:pPr>
        <w:pStyle w:val="17"/>
        <w:widowControl/>
        <w:spacing w:before="75" w:beforeAutospacing="0" w:after="75" w:afterAutospacing="0" w:line="495" w:lineRule="atLeast"/>
        <w:rPr>
          <w:color w:val="auto"/>
        </w:rPr>
      </w:pPr>
      <w:r>
        <w:rPr>
          <w:rStyle w:val="26"/>
          <w:rFonts w:hint="eastAsia" w:ascii="宋体" w:hAnsi="宋体" w:eastAsia="宋体" w:cs="宋体"/>
          <w:bCs/>
          <w:color w:val="auto"/>
        </w:rPr>
        <w:t> </w:t>
      </w:r>
    </w:p>
    <w:p w14:paraId="1F20C28D">
      <w:pPr>
        <w:pStyle w:val="17"/>
        <w:widowControl/>
        <w:spacing w:before="75" w:beforeAutospacing="0" w:after="75" w:afterAutospacing="0" w:line="495" w:lineRule="atLeast"/>
        <w:rPr>
          <w:color w:val="auto"/>
        </w:rPr>
      </w:pPr>
      <w:r>
        <w:rPr>
          <w:rStyle w:val="26"/>
          <w:rFonts w:hint="eastAsia" w:ascii="宋体" w:hAnsi="宋体" w:eastAsia="宋体" w:cs="宋体"/>
          <w:bCs/>
          <w:color w:val="auto"/>
        </w:rPr>
        <w:t> </w:t>
      </w:r>
    </w:p>
    <w:p w14:paraId="613A19E4">
      <w:pPr>
        <w:pStyle w:val="17"/>
        <w:widowControl/>
        <w:spacing w:before="75" w:beforeAutospacing="0" w:after="75" w:afterAutospacing="0"/>
        <w:rPr>
          <w:color w:val="auto"/>
        </w:rPr>
      </w:pPr>
      <w:r>
        <w:rPr>
          <w:rFonts w:hint="eastAsia" w:ascii="宋体" w:hAnsi="宋体" w:eastAsia="宋体" w:cs="宋体"/>
          <w:color w:val="auto"/>
        </w:rPr>
        <w:t> </w:t>
      </w:r>
    </w:p>
    <w:p w14:paraId="0BA5BE5B">
      <w:pPr>
        <w:pStyle w:val="17"/>
        <w:widowControl/>
        <w:spacing w:before="75" w:beforeAutospacing="0" w:after="75" w:afterAutospacing="0" w:line="420" w:lineRule="atLeast"/>
        <w:rPr>
          <w:color w:val="auto"/>
        </w:rPr>
      </w:pPr>
      <w:r>
        <w:rPr>
          <w:rFonts w:hint="eastAsia" w:ascii="宋体" w:hAnsi="宋体" w:eastAsia="宋体" w:cs="宋体"/>
          <w:color w:val="auto"/>
        </w:rPr>
        <w:t> </w:t>
      </w:r>
    </w:p>
    <w:p w14:paraId="7BECDF6A">
      <w:pPr>
        <w:pStyle w:val="17"/>
        <w:widowControl/>
        <w:spacing w:before="75" w:beforeAutospacing="0" w:after="75" w:afterAutospacing="0" w:line="465" w:lineRule="atLeast"/>
        <w:rPr>
          <w:color w:val="auto"/>
        </w:rPr>
      </w:pPr>
      <w:r>
        <w:rPr>
          <w:color w:val="auto"/>
        </w:rPr>
        <w:t> </w:t>
      </w:r>
    </w:p>
    <w:p w14:paraId="4E1B27EF">
      <w:pPr>
        <w:pStyle w:val="17"/>
        <w:widowControl/>
        <w:spacing w:before="75" w:beforeAutospacing="0" w:after="75" w:afterAutospacing="0" w:line="465" w:lineRule="atLeast"/>
        <w:rPr>
          <w:rFonts w:ascii="宋体" w:hAnsi="宋体" w:eastAsia="宋体" w:cs="宋体"/>
          <w:color w:val="auto"/>
        </w:rPr>
      </w:pPr>
    </w:p>
    <w:p w14:paraId="2EA3B611">
      <w:pPr>
        <w:pStyle w:val="17"/>
        <w:widowControl/>
        <w:spacing w:before="75" w:beforeAutospacing="0" w:after="75" w:afterAutospacing="0" w:line="465" w:lineRule="atLeast"/>
        <w:rPr>
          <w:rFonts w:ascii="宋体" w:hAnsi="宋体" w:eastAsia="宋体" w:cs="宋体"/>
          <w:color w:val="auto"/>
        </w:rPr>
      </w:pPr>
    </w:p>
    <w:p w14:paraId="39F3019C">
      <w:pPr>
        <w:rPr>
          <w:rFonts w:ascii="宋体" w:hAnsi="宋体" w:eastAsia="宋体" w:cs="宋体"/>
          <w:color w:val="auto"/>
          <w:sz w:val="24"/>
        </w:rPr>
      </w:pPr>
      <w:r>
        <w:rPr>
          <w:rFonts w:hint="eastAsia" w:ascii="宋体" w:hAnsi="宋体" w:eastAsia="宋体" w:cs="宋体"/>
          <w:color w:val="auto"/>
          <w:sz w:val="24"/>
        </w:rPr>
        <w:br w:type="page"/>
      </w:r>
    </w:p>
    <w:p w14:paraId="577E85C7">
      <w:pPr>
        <w:pStyle w:val="17"/>
        <w:widowControl/>
        <w:spacing w:before="75" w:beforeAutospacing="0" w:after="75" w:afterAutospacing="0" w:line="465" w:lineRule="atLeast"/>
        <w:rPr>
          <w:color w:val="auto"/>
        </w:rPr>
      </w:pPr>
      <w:r>
        <w:rPr>
          <w:rFonts w:hint="eastAsia" w:ascii="宋体" w:hAnsi="宋体" w:eastAsia="宋体" w:cs="宋体"/>
          <w:color w:val="auto"/>
        </w:rPr>
        <w:t>附件8    </w:t>
      </w:r>
      <w:r>
        <w:rPr>
          <w:rStyle w:val="26"/>
          <w:rFonts w:hint="eastAsia" w:ascii="宋体" w:hAnsi="宋体" w:eastAsia="宋体" w:cs="宋体"/>
          <w:bCs/>
          <w:color w:val="auto"/>
        </w:rPr>
        <w:t>供应商提交符合政府采购政策的证明材料</w:t>
      </w:r>
    </w:p>
    <w:p w14:paraId="128F8A00">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 </w:t>
      </w:r>
    </w:p>
    <w:p w14:paraId="40FADF97">
      <w:pPr>
        <w:pStyle w:val="17"/>
        <w:widowControl/>
        <w:spacing w:before="75" w:beforeAutospacing="0" w:after="75" w:afterAutospacing="0"/>
        <w:rPr>
          <w:color w:val="auto"/>
        </w:rPr>
      </w:pPr>
      <w:r>
        <w:rPr>
          <w:rFonts w:hint="eastAsia" w:ascii="宋体" w:hAnsi="宋体" w:eastAsia="宋体" w:cs="宋体"/>
          <w:color w:val="auto"/>
        </w:rPr>
        <w:t>附件8-1-1        </w:t>
      </w:r>
      <w:r>
        <w:rPr>
          <w:rStyle w:val="26"/>
          <w:rFonts w:hint="eastAsia" w:ascii="宋体" w:hAnsi="宋体" w:eastAsia="宋体" w:cs="宋体"/>
          <w:bCs/>
          <w:color w:val="auto"/>
        </w:rPr>
        <w:t>中小企业声明函（如果有的话）</w:t>
      </w:r>
    </w:p>
    <w:p w14:paraId="4B70EC0F">
      <w:pPr>
        <w:pStyle w:val="17"/>
        <w:widowControl/>
        <w:spacing w:before="75" w:beforeAutospacing="0" w:after="75" w:afterAutospacing="0" w:line="315" w:lineRule="atLeast"/>
        <w:jc w:val="both"/>
        <w:rPr>
          <w:color w:val="auto"/>
        </w:rPr>
      </w:pPr>
      <w:r>
        <w:rPr>
          <w:rFonts w:hint="eastAsia" w:ascii="宋体" w:hAnsi="宋体" w:eastAsia="宋体" w:cs="宋体"/>
          <w:color w:val="auto"/>
        </w:rPr>
        <w:t> </w:t>
      </w:r>
    </w:p>
    <w:p w14:paraId="42ED2F64">
      <w:pPr>
        <w:pStyle w:val="37"/>
        <w:keepNext w:val="0"/>
        <w:keepLines w:val="0"/>
        <w:pageBreakBefore w:val="0"/>
        <w:kinsoku/>
        <w:wordWrap/>
        <w:overflowPunct/>
        <w:topLinePunct w:val="0"/>
        <w:autoSpaceDE/>
        <w:autoSpaceDN/>
        <w:bidi w:val="0"/>
        <w:adjustRightInd/>
        <w:snapToGrid/>
        <w:spacing w:line="40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中小企业声明函（货物）</w:t>
      </w:r>
    </w:p>
    <w:p w14:paraId="0578A8FE">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本公司</w:t>
      </w:r>
      <w:r>
        <w:rPr>
          <w:rFonts w:hint="eastAsia" w:ascii="宋体" w:hAnsi="宋体" w:eastAsia="宋体" w:cs="宋体"/>
          <w:color w:val="auto"/>
          <w:sz w:val="24"/>
          <w:szCs w:val="24"/>
          <w:u w:val="single"/>
        </w:rPr>
        <w:t>（联合体）</w:t>
      </w:r>
      <w:r>
        <w:rPr>
          <w:rFonts w:hint="eastAsia" w:ascii="宋体" w:hAnsi="宋体" w:eastAsia="宋体" w:cs="宋体"/>
          <w:color w:val="auto"/>
          <w:sz w:val="24"/>
          <w:szCs w:val="24"/>
        </w:rPr>
        <w:t>郑重声明，根据《政府采购促进中小企业发展管理办法》（财库﹝2020﹞46号）的规定，本公司</w:t>
      </w:r>
      <w:r>
        <w:rPr>
          <w:rFonts w:hint="eastAsia" w:ascii="宋体" w:hAnsi="宋体" w:eastAsia="宋体" w:cs="宋体"/>
          <w:color w:val="auto"/>
          <w:sz w:val="24"/>
          <w:szCs w:val="24"/>
          <w:u w:val="single"/>
        </w:rPr>
        <w:t>（联合体）</w:t>
      </w:r>
      <w:r>
        <w:rPr>
          <w:rFonts w:hint="eastAsia" w:ascii="宋体" w:hAnsi="宋体" w:eastAsia="宋体" w:cs="宋体"/>
          <w:color w:val="auto"/>
          <w:sz w:val="24"/>
          <w:szCs w:val="24"/>
        </w:rPr>
        <w:t>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采购活动，提供的货物全部由符合政策要求的中小企业制造。相关企业（含联合体中的中小企业、签订分包意向协议的中小企业）的具体情况如下：</w:t>
      </w:r>
    </w:p>
    <w:p w14:paraId="0DE31F3B">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，从业人员人，营业收入为万元，资产总额为万元1，属于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w:t>
      </w:r>
    </w:p>
    <w:p w14:paraId="5CD7334D">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，从业人员人，营业收入为万元，资产总额为万元1，属于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w:t>
      </w:r>
    </w:p>
    <w:p w14:paraId="67E09926">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4A7E7C60">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0B9FD9B9">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本企业对上述声明内容的真实性负责。如有虚假，将依法承担相应责任。</w:t>
      </w:r>
    </w:p>
    <w:p w14:paraId="283D8F79">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企业名称（盖章）：</w:t>
      </w:r>
    </w:p>
    <w:p w14:paraId="2621BD2E">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日</w:t>
      </w:r>
    </w:p>
    <w:p w14:paraId="61584D26">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※注意：</w:t>
      </w:r>
    </w:p>
    <w:p w14:paraId="7FEE8A3A">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1、从业人员、营业收入、资产总额填报上一年度数据，无上一年度数据的新成立企业可不填报。</w:t>
      </w:r>
    </w:p>
    <w:p w14:paraId="0AADE632">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14:paraId="01EF0170">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14:paraId="1571E8CC">
      <w:pPr>
        <w:pStyle w:val="37"/>
        <w:keepNext w:val="0"/>
        <w:keepLines w:val="0"/>
        <w:pageBreakBefore w:val="0"/>
        <w:kinsoku/>
        <w:wordWrap/>
        <w:overflowPunct/>
        <w:topLinePunct w:val="0"/>
        <w:autoSpaceDE/>
        <w:autoSpaceDN/>
        <w:bidi w:val="0"/>
        <w:adjustRightInd/>
        <w:snapToGrid/>
        <w:spacing w:line="400" w:lineRule="exact"/>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 xml:space="preserve"> </w:t>
      </w:r>
    </w:p>
    <w:p w14:paraId="07E61513">
      <w:pPr>
        <w:pStyle w:val="37"/>
        <w:keepNext w:val="0"/>
        <w:keepLines w:val="0"/>
        <w:pageBreakBefore w:val="0"/>
        <w:kinsoku/>
        <w:wordWrap/>
        <w:overflowPunct/>
        <w:topLinePunct w:val="0"/>
        <w:autoSpaceDE/>
        <w:autoSpaceDN/>
        <w:bidi w:val="0"/>
        <w:adjustRightInd/>
        <w:snapToGrid/>
        <w:spacing w:line="4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2C6F1E0">
      <w:pPr>
        <w:pStyle w:val="37"/>
        <w:keepNext w:val="0"/>
        <w:keepLines w:val="0"/>
        <w:pageBreakBefore w:val="0"/>
        <w:kinsoku/>
        <w:wordWrap/>
        <w:overflowPunct/>
        <w:topLinePunct w:val="0"/>
        <w:autoSpaceDE/>
        <w:autoSpaceDN/>
        <w:bidi w:val="0"/>
        <w:adjustRightInd/>
        <w:snapToGrid/>
        <w:spacing w:line="400" w:lineRule="exact"/>
        <w:jc w:val="center"/>
        <w:outlineLvl w:val="3"/>
        <w:rPr>
          <w:rFonts w:hint="eastAsia" w:ascii="宋体" w:hAnsi="宋体" w:eastAsia="宋体" w:cs="宋体"/>
          <w:color w:val="auto"/>
          <w:sz w:val="24"/>
          <w:szCs w:val="24"/>
        </w:rPr>
      </w:pPr>
      <w:r>
        <w:rPr>
          <w:rFonts w:hint="eastAsia" w:ascii="宋体" w:hAnsi="宋体" w:eastAsia="宋体" w:cs="宋体"/>
          <w:b/>
          <w:color w:val="auto"/>
          <w:sz w:val="24"/>
          <w:szCs w:val="24"/>
        </w:rPr>
        <w:t xml:space="preserve"> 中小企业声明函（工程、服务）</w:t>
      </w:r>
    </w:p>
    <w:p w14:paraId="645DEC4A">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本公司</w:t>
      </w:r>
      <w:r>
        <w:rPr>
          <w:rFonts w:hint="eastAsia" w:ascii="宋体" w:hAnsi="宋体" w:eastAsia="宋体" w:cs="宋体"/>
          <w:color w:val="auto"/>
          <w:sz w:val="24"/>
          <w:szCs w:val="24"/>
          <w:u w:val="single"/>
        </w:rPr>
        <w:t>（联合体）</w:t>
      </w:r>
      <w:r>
        <w:rPr>
          <w:rFonts w:hint="eastAsia" w:ascii="宋体" w:hAnsi="宋体" w:eastAsia="宋体" w:cs="宋体"/>
          <w:color w:val="auto"/>
          <w:sz w:val="24"/>
          <w:szCs w:val="24"/>
        </w:rPr>
        <w:t>郑重声明，根据《政府采购促进中小企业发展管理办法》（财库﹝2020﹞46号）的规定，本公司</w:t>
      </w:r>
      <w:r>
        <w:rPr>
          <w:rFonts w:hint="eastAsia" w:ascii="宋体" w:hAnsi="宋体" w:eastAsia="宋体" w:cs="宋体"/>
          <w:color w:val="auto"/>
          <w:sz w:val="24"/>
          <w:szCs w:val="24"/>
          <w:u w:val="single"/>
        </w:rPr>
        <w:t>（联合体）</w:t>
      </w:r>
      <w:r>
        <w:rPr>
          <w:rFonts w:hint="eastAsia" w:ascii="宋体" w:hAnsi="宋体" w:eastAsia="宋体" w:cs="宋体"/>
          <w:color w:val="auto"/>
          <w:sz w:val="24"/>
          <w:szCs w:val="24"/>
        </w:rPr>
        <w:t>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1E43D840">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万元1，属于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w:t>
      </w:r>
    </w:p>
    <w:p w14:paraId="0A022D5A">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万元1，属于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w:t>
      </w:r>
    </w:p>
    <w:p w14:paraId="1C09F88C">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6DFA8871">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49E5D73E">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本企业对上述声明内容的真实性负责。如有虚假，将依法承担相应责任。</w:t>
      </w:r>
    </w:p>
    <w:p w14:paraId="4D7D0F1F">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企业名称（盖章）：</w:t>
      </w:r>
    </w:p>
    <w:p w14:paraId="5E28ABAE">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日</w:t>
      </w:r>
    </w:p>
    <w:p w14:paraId="7BF82F0B">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lang w:eastAsia="zh-CN"/>
        </w:rPr>
      </w:pPr>
    </w:p>
    <w:p w14:paraId="1493FC6D">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 ※注意：</w:t>
      </w:r>
    </w:p>
    <w:p w14:paraId="56F96BA6">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1、从业人员、营业收入、资产总额填报上一年度数据，无上一年度数据的新成立企业可不填报。</w:t>
      </w:r>
    </w:p>
    <w:p w14:paraId="65F4B56C">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14:paraId="262BBDA8">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14:paraId="69EF149C">
      <w:pPr>
        <w:pStyle w:val="37"/>
        <w:keepNext w:val="0"/>
        <w:keepLines w:val="0"/>
        <w:pageBreakBefore w:val="0"/>
        <w:kinsoku/>
        <w:wordWrap/>
        <w:overflowPunct/>
        <w:topLinePunct w:val="0"/>
        <w:autoSpaceDE/>
        <w:autoSpaceDN/>
        <w:bidi w:val="0"/>
        <w:adjustRightInd/>
        <w:snapToGrid/>
        <w:spacing w:line="400" w:lineRule="exact"/>
        <w:ind w:firstLine="480"/>
        <w:jc w:val="left"/>
        <w:rPr>
          <w:rFonts w:hint="eastAsia" w:ascii="宋体" w:hAnsi="宋体" w:eastAsia="宋体" w:cs="宋体"/>
          <w:color w:val="auto"/>
          <w:sz w:val="24"/>
          <w:szCs w:val="24"/>
          <w:lang w:eastAsia="zh-CN"/>
        </w:rPr>
      </w:pPr>
    </w:p>
    <w:p w14:paraId="3FE4719D">
      <w:pPr>
        <w:pStyle w:val="17"/>
        <w:widowControl/>
        <w:spacing w:beforeAutospacing="0" w:after="150" w:afterAutospacing="0"/>
        <w:rPr>
          <w:color w:val="auto"/>
        </w:rPr>
      </w:pPr>
      <w:r>
        <w:rPr>
          <w:rFonts w:ascii="Calibri" w:hAnsi="Calibri" w:cs="Calibri"/>
          <w:color w:val="auto"/>
        </w:rPr>
        <w:t> </w:t>
      </w:r>
    </w:p>
    <w:p w14:paraId="2B930854">
      <w:pPr>
        <w:rPr>
          <w:rFonts w:ascii="宋体" w:hAnsi="宋体" w:eastAsia="宋体" w:cs="宋体"/>
          <w:color w:val="auto"/>
          <w:sz w:val="24"/>
        </w:rPr>
      </w:pPr>
      <w:r>
        <w:rPr>
          <w:rFonts w:hint="eastAsia" w:ascii="宋体" w:hAnsi="宋体" w:eastAsia="宋体" w:cs="宋体"/>
          <w:color w:val="auto"/>
          <w:sz w:val="24"/>
        </w:rPr>
        <w:br w:type="page"/>
      </w:r>
    </w:p>
    <w:p w14:paraId="3678320E">
      <w:pPr>
        <w:pStyle w:val="17"/>
        <w:widowControl/>
        <w:spacing w:before="75" w:beforeAutospacing="0" w:after="75" w:afterAutospacing="0"/>
        <w:rPr>
          <w:color w:val="auto"/>
        </w:rPr>
      </w:pPr>
      <w:r>
        <w:rPr>
          <w:rFonts w:hint="eastAsia" w:ascii="宋体" w:hAnsi="宋体" w:eastAsia="宋体" w:cs="宋体"/>
          <w:color w:val="auto"/>
        </w:rPr>
        <w:t>附件8-1-2</w:t>
      </w:r>
    </w:p>
    <w:p w14:paraId="741AB705">
      <w:pPr>
        <w:pStyle w:val="17"/>
        <w:widowControl/>
        <w:spacing w:before="75" w:beforeAutospacing="0" w:after="75" w:afterAutospacing="0" w:line="315" w:lineRule="atLeast"/>
        <w:ind w:firstLine="480"/>
        <w:jc w:val="both"/>
        <w:rPr>
          <w:color w:val="auto"/>
        </w:rPr>
      </w:pPr>
    </w:p>
    <w:p w14:paraId="3F5B6CB6">
      <w:pPr>
        <w:pStyle w:val="17"/>
        <w:widowControl/>
        <w:spacing w:before="75" w:beforeAutospacing="0" w:after="75" w:afterAutospacing="0"/>
        <w:jc w:val="center"/>
        <w:rPr>
          <w:color w:val="auto"/>
        </w:rPr>
      </w:pPr>
      <w:r>
        <w:rPr>
          <w:rStyle w:val="26"/>
          <w:rFonts w:hint="eastAsia" w:ascii="宋体" w:hAnsi="宋体" w:eastAsia="宋体" w:cs="宋体"/>
          <w:bCs/>
          <w:color w:val="auto"/>
        </w:rPr>
        <w:t>残疾人福利性单位声明函（如果有的话）</w:t>
      </w:r>
    </w:p>
    <w:p w14:paraId="689D5DA4">
      <w:pPr>
        <w:pStyle w:val="17"/>
        <w:widowControl/>
        <w:spacing w:before="75" w:beforeAutospacing="0" w:after="75" w:afterAutospacing="0"/>
        <w:rPr>
          <w:color w:val="auto"/>
        </w:rPr>
      </w:pPr>
      <w:r>
        <w:rPr>
          <w:rStyle w:val="26"/>
          <w:rFonts w:hint="eastAsia" w:ascii="宋体" w:hAnsi="宋体" w:eastAsia="宋体" w:cs="宋体"/>
          <w:bCs/>
          <w:color w:val="auto"/>
        </w:rPr>
        <w:t> </w:t>
      </w:r>
    </w:p>
    <w:p w14:paraId="00A62D3F">
      <w:pPr>
        <w:pStyle w:val="17"/>
        <w:widowControl/>
        <w:spacing w:before="75" w:beforeAutospacing="0" w:after="75" w:afterAutospacing="0" w:line="435" w:lineRule="atLeast"/>
        <w:jc w:val="both"/>
        <w:rPr>
          <w:color w:val="auto"/>
        </w:rPr>
      </w:pPr>
      <w:r>
        <w:rPr>
          <w:rStyle w:val="26"/>
          <w:rFonts w:hint="eastAsia" w:ascii="宋体" w:hAnsi="宋体" w:eastAsia="宋体" w:cs="宋体"/>
          <w:bCs/>
          <w:color w:val="auto"/>
        </w:rPr>
        <w:t> </w:t>
      </w:r>
    </w:p>
    <w:p w14:paraId="5C3D1634">
      <w:pPr>
        <w:pStyle w:val="17"/>
        <w:widowControl/>
        <w:spacing w:before="75" w:beforeAutospacing="0" w:after="75" w:afterAutospacing="0" w:line="435" w:lineRule="atLeast"/>
        <w:ind w:firstLine="420"/>
        <w:jc w:val="both"/>
        <w:rPr>
          <w:color w:val="auto"/>
        </w:rPr>
      </w:pPr>
      <w:r>
        <w:rPr>
          <w:rFonts w:hint="eastAsia" w:ascii="宋体" w:hAnsi="宋体" w:eastAsia="宋体" w:cs="宋体"/>
          <w:color w:val="auto"/>
        </w:rPr>
        <w:t>本供应商郑重声明，根据《财政部 民政部 中国残疾人联合会关于促进残疾人就业政府采购政策的通知》（财库[2017]141号）、《政府采购促进中小企业发展管理办法》（财库〔2020〕46号）的规定，本供应商为符合条件的残疾人福利性单位，且本供应商参加贵单位的</w:t>
      </w:r>
      <w:r>
        <w:rPr>
          <w:rFonts w:hint="eastAsia" w:ascii="宋体" w:hAnsi="宋体" w:eastAsia="宋体" w:cs="宋体"/>
          <w:color w:val="auto"/>
          <w:u w:val="single"/>
        </w:rPr>
        <w:t>（填写“项目名称”）</w:t>
      </w:r>
      <w:r>
        <w:rPr>
          <w:rFonts w:hint="eastAsia" w:ascii="宋体" w:hAnsi="宋体" w:eastAsia="宋体" w:cs="宋体"/>
          <w:color w:val="auto"/>
        </w:rPr>
        <w:t>项目采购活动：</w:t>
      </w:r>
    </w:p>
    <w:p w14:paraId="1D9DE230">
      <w:pPr>
        <w:pStyle w:val="17"/>
        <w:widowControl/>
        <w:spacing w:before="75" w:beforeAutospacing="0" w:after="75" w:afterAutospacing="0" w:line="435" w:lineRule="atLeast"/>
        <w:ind w:firstLine="420"/>
        <w:jc w:val="both"/>
        <w:rPr>
          <w:color w:val="auto"/>
        </w:rPr>
      </w:pPr>
      <w:r>
        <w:rPr>
          <w:rFonts w:hint="eastAsia" w:ascii="宋体" w:hAnsi="宋体" w:eastAsia="宋体" w:cs="宋体"/>
          <w:color w:val="auto"/>
        </w:rPr>
        <w:t>（ ）提供本供应商制造的</w:t>
      </w:r>
      <w:r>
        <w:rPr>
          <w:rFonts w:hint="eastAsia" w:ascii="宋体" w:hAnsi="宋体" w:eastAsia="宋体" w:cs="宋体"/>
          <w:color w:val="auto"/>
          <w:u w:val="single"/>
        </w:rPr>
        <w:t>（填写“所投合同包、品目号”）</w:t>
      </w:r>
      <w:r>
        <w:rPr>
          <w:rFonts w:hint="eastAsia" w:ascii="宋体" w:hAnsi="宋体" w:eastAsia="宋体" w:cs="宋体"/>
          <w:color w:val="auto"/>
        </w:rPr>
        <w:t>货物，或提供其他残疾人福利性单位制造的</w:t>
      </w:r>
      <w:r>
        <w:rPr>
          <w:rFonts w:hint="eastAsia" w:ascii="宋体" w:hAnsi="宋体" w:eastAsia="宋体" w:cs="宋体"/>
          <w:color w:val="auto"/>
          <w:u w:val="single"/>
        </w:rPr>
        <w:t>（填写“所投合同包、品目号”）</w:t>
      </w:r>
      <w:r>
        <w:rPr>
          <w:rFonts w:hint="eastAsia" w:ascii="宋体" w:hAnsi="宋体" w:eastAsia="宋体" w:cs="宋体"/>
          <w:color w:val="auto"/>
        </w:rPr>
        <w:t>货物（不包括使用非残疾人福利性单位注册商标的货物）。（说明：只有部分货物由残疾人福利企业制造的，在该货物后标</w:t>
      </w:r>
      <w:r>
        <w:rPr>
          <w:rFonts w:ascii="Segoe UI Symbol" w:hAnsi="Segoe UI Symbol" w:eastAsia="Segoe UI Symbol" w:cs="Segoe UI Symbol"/>
          <w:color w:val="auto"/>
          <w:shd w:val="clear" w:color="auto" w:fill="FFFFFF"/>
        </w:rPr>
        <w:t>★</w:t>
      </w:r>
      <w:r>
        <w:rPr>
          <w:rFonts w:hint="eastAsia" w:ascii="宋体" w:hAnsi="宋体" w:eastAsia="宋体" w:cs="宋体"/>
          <w:color w:val="auto"/>
        </w:rPr>
        <w:t>）</w:t>
      </w:r>
    </w:p>
    <w:p w14:paraId="6AEA49EB">
      <w:pPr>
        <w:pStyle w:val="17"/>
        <w:widowControl/>
        <w:spacing w:before="75" w:beforeAutospacing="0" w:after="75" w:afterAutospacing="0"/>
        <w:ind w:firstLine="420"/>
        <w:rPr>
          <w:color w:val="auto"/>
        </w:rPr>
      </w:pPr>
      <w:r>
        <w:rPr>
          <w:rFonts w:hint="eastAsia" w:ascii="宋体" w:hAnsi="宋体" w:eastAsia="宋体" w:cs="宋体"/>
          <w:color w:val="auto"/>
        </w:rPr>
        <w:t>（ ）由本供应商承建的</w:t>
      </w:r>
      <w:r>
        <w:rPr>
          <w:rFonts w:hint="eastAsia" w:ascii="宋体" w:hAnsi="宋体" w:eastAsia="宋体" w:cs="宋体"/>
          <w:color w:val="auto"/>
          <w:u w:val="single"/>
        </w:rPr>
        <w:t>（填写“所投合同包、品目号”）</w:t>
      </w:r>
      <w:r>
        <w:rPr>
          <w:rFonts w:hint="eastAsia" w:ascii="宋体" w:hAnsi="宋体" w:eastAsia="宋体" w:cs="宋体"/>
          <w:color w:val="auto"/>
        </w:rPr>
        <w:t>工程</w:t>
      </w:r>
    </w:p>
    <w:p w14:paraId="501342B3">
      <w:pPr>
        <w:pStyle w:val="17"/>
        <w:widowControl/>
        <w:spacing w:before="75" w:beforeAutospacing="0" w:after="75" w:afterAutospacing="0"/>
        <w:ind w:firstLine="420"/>
        <w:rPr>
          <w:color w:val="auto"/>
        </w:rPr>
      </w:pPr>
      <w:r>
        <w:rPr>
          <w:rFonts w:hint="eastAsia" w:ascii="宋体" w:hAnsi="宋体" w:eastAsia="宋体" w:cs="宋体"/>
          <w:color w:val="auto"/>
        </w:rPr>
        <w:t>（ ）由本供应商承接的</w:t>
      </w:r>
      <w:r>
        <w:rPr>
          <w:rFonts w:hint="eastAsia" w:ascii="宋体" w:hAnsi="宋体" w:eastAsia="宋体" w:cs="宋体"/>
          <w:color w:val="auto"/>
          <w:u w:val="single"/>
        </w:rPr>
        <w:t>（填写“所投合同包、品目号”）</w:t>
      </w:r>
      <w:r>
        <w:rPr>
          <w:rFonts w:hint="eastAsia" w:ascii="宋体" w:hAnsi="宋体" w:eastAsia="宋体" w:cs="宋体"/>
          <w:color w:val="auto"/>
        </w:rPr>
        <w:t>服务；</w:t>
      </w:r>
    </w:p>
    <w:p w14:paraId="056D9655">
      <w:pPr>
        <w:pStyle w:val="17"/>
        <w:widowControl/>
        <w:spacing w:before="75" w:beforeAutospacing="0" w:after="75" w:afterAutospacing="0" w:line="435" w:lineRule="atLeast"/>
        <w:ind w:firstLine="420"/>
        <w:jc w:val="both"/>
        <w:rPr>
          <w:color w:val="auto"/>
        </w:rPr>
      </w:pPr>
      <w:r>
        <w:rPr>
          <w:rFonts w:hint="eastAsia" w:ascii="宋体" w:hAnsi="宋体" w:eastAsia="宋体" w:cs="宋体"/>
          <w:color w:val="auto"/>
        </w:rPr>
        <w:t>本供应商对上述声明的真实性负责。如有虚假，将依法承担相应责任。</w:t>
      </w:r>
    </w:p>
    <w:p w14:paraId="2030F426">
      <w:pPr>
        <w:pStyle w:val="17"/>
        <w:widowControl/>
        <w:spacing w:before="75" w:beforeAutospacing="0" w:after="75" w:afterAutospacing="0" w:line="435" w:lineRule="atLeast"/>
        <w:ind w:firstLine="420"/>
        <w:jc w:val="both"/>
        <w:rPr>
          <w:color w:val="auto"/>
        </w:rPr>
      </w:pPr>
      <w:r>
        <w:rPr>
          <w:rFonts w:hint="eastAsia" w:ascii="宋体" w:hAnsi="宋体" w:eastAsia="宋体" w:cs="宋体"/>
          <w:color w:val="auto"/>
        </w:rPr>
        <w:t> </w:t>
      </w:r>
    </w:p>
    <w:p w14:paraId="1B6740B4">
      <w:pPr>
        <w:pStyle w:val="17"/>
        <w:widowControl/>
        <w:spacing w:before="75" w:beforeAutospacing="0" w:after="75" w:afterAutospacing="0" w:line="435" w:lineRule="atLeast"/>
        <w:jc w:val="both"/>
        <w:rPr>
          <w:color w:val="auto"/>
        </w:rPr>
      </w:pPr>
      <w:r>
        <w:rPr>
          <w:rFonts w:hint="eastAsia" w:ascii="宋体" w:hAnsi="宋体" w:eastAsia="宋体" w:cs="宋体"/>
          <w:color w:val="auto"/>
        </w:rPr>
        <w:t> </w:t>
      </w:r>
    </w:p>
    <w:p w14:paraId="008EDAC4">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024FD1FB">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7F40B59B">
      <w:pPr>
        <w:pStyle w:val="17"/>
        <w:widowControl/>
        <w:spacing w:before="75" w:beforeAutospacing="0" w:after="75" w:afterAutospacing="0" w:line="435" w:lineRule="atLeast"/>
        <w:jc w:val="both"/>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53BFB6FA">
      <w:pPr>
        <w:pStyle w:val="17"/>
        <w:widowControl/>
        <w:spacing w:before="75" w:beforeAutospacing="0" w:after="75" w:afterAutospacing="0" w:line="420" w:lineRule="atLeast"/>
        <w:ind w:firstLine="480"/>
        <w:rPr>
          <w:rFonts w:ascii="宋体" w:hAnsi="宋体" w:eastAsia="宋体" w:cs="宋体"/>
          <w:color w:val="auto"/>
        </w:rPr>
      </w:pPr>
      <w:r>
        <w:rPr>
          <w:rFonts w:hint="eastAsia" w:ascii="宋体" w:hAnsi="宋体" w:eastAsia="宋体" w:cs="宋体"/>
          <w:color w:val="auto"/>
        </w:rPr>
        <w:t>备注：</w:t>
      </w:r>
    </w:p>
    <w:p w14:paraId="4D5F60ED">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1）若供应商不符合残疾人福利性单位，不用提供本声明函，否则视为提供虚假材料。供应商在提交最后报价前，如果已向磋商小组提交上述声明函，视同为供应商符合残疾人福利性单位，享受价格扣除的优惠政策。</w:t>
      </w:r>
    </w:p>
    <w:p w14:paraId="5F766AF2">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（2）请供应商按照实际情况编制填写本声明函，并在相应的（）中打“√”。</w:t>
      </w:r>
    </w:p>
    <w:p w14:paraId="1FB8AA68">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（3）纸质响应文件正本中的本声明函（若有）应为原件。</w:t>
      </w:r>
    </w:p>
    <w:p w14:paraId="3C8AE5A1">
      <w:pPr>
        <w:pStyle w:val="17"/>
        <w:widowControl/>
        <w:spacing w:before="75" w:beforeAutospacing="0" w:after="75" w:afterAutospacing="0" w:line="420" w:lineRule="atLeast"/>
        <w:ind w:firstLine="480"/>
        <w:rPr>
          <w:color w:val="auto"/>
        </w:rPr>
      </w:pPr>
      <w:r>
        <w:rPr>
          <w:rFonts w:hint="eastAsia" w:ascii="宋体" w:hAnsi="宋体" w:eastAsia="宋体" w:cs="宋体"/>
          <w:color w:val="auto"/>
        </w:rPr>
        <w:t>（4）若《残疾人福利性单位声明函》内容不真实，视为提供虚假材料。</w:t>
      </w:r>
    </w:p>
    <w:p w14:paraId="78F70053">
      <w:pPr>
        <w:pStyle w:val="17"/>
        <w:widowControl/>
        <w:spacing w:before="75" w:beforeAutospacing="0" w:after="75" w:afterAutospacing="0" w:line="435" w:lineRule="atLeast"/>
        <w:ind w:firstLine="420"/>
        <w:jc w:val="both"/>
        <w:rPr>
          <w:color w:val="auto"/>
        </w:rPr>
      </w:pPr>
    </w:p>
    <w:p w14:paraId="343C6D39">
      <w:pPr>
        <w:pStyle w:val="17"/>
        <w:widowControl/>
        <w:spacing w:before="75" w:beforeAutospacing="0" w:after="75" w:afterAutospacing="0"/>
        <w:rPr>
          <w:rFonts w:ascii="宋体" w:hAnsi="宋体" w:eastAsia="宋体" w:cs="宋体"/>
          <w:color w:val="auto"/>
        </w:rPr>
      </w:pPr>
      <w:r>
        <w:rPr>
          <w:rFonts w:hint="eastAsia" w:ascii="宋体" w:hAnsi="宋体" w:eastAsia="宋体" w:cs="宋体"/>
          <w:color w:val="auto"/>
        </w:rPr>
        <w:t> </w:t>
      </w:r>
    </w:p>
    <w:p w14:paraId="61108C5D">
      <w:pPr>
        <w:jc w:val="center"/>
        <w:rPr>
          <w:rFonts w:ascii="宋体" w:hAnsi="宋体" w:eastAsia="宋体" w:cs="宋体"/>
          <w:b/>
          <w:bCs/>
          <w:color w:val="auto"/>
          <w:sz w:val="24"/>
        </w:rPr>
      </w:pPr>
      <w:r>
        <w:rPr>
          <w:rFonts w:hint="eastAsia" w:ascii="宋体" w:hAnsi="宋体" w:eastAsia="宋体" w:cs="宋体"/>
          <w:color w:val="auto"/>
          <w:sz w:val="24"/>
        </w:rPr>
        <w:br w:type="page"/>
      </w:r>
      <w:r>
        <w:rPr>
          <w:rFonts w:hint="eastAsia" w:ascii="宋体" w:hAnsi="宋体" w:eastAsia="宋体" w:cs="宋体"/>
          <w:b/>
          <w:bCs/>
          <w:color w:val="auto"/>
          <w:sz w:val="24"/>
        </w:rPr>
        <w:t>附件</w:t>
      </w:r>
      <w:r>
        <w:rPr>
          <w:rFonts w:hint="eastAsia" w:cs="宋体"/>
          <w:b/>
          <w:bCs/>
          <w:color w:val="auto"/>
          <w:sz w:val="24"/>
        </w:rPr>
        <w:t>8</w:t>
      </w:r>
      <w:r>
        <w:rPr>
          <w:rFonts w:hint="eastAsia" w:ascii="宋体" w:hAnsi="宋体" w:eastAsia="宋体" w:cs="宋体"/>
          <w:b/>
          <w:bCs/>
          <w:color w:val="auto"/>
          <w:sz w:val="24"/>
        </w:rPr>
        <w:t>-1-3 监狱企业证明材料</w:t>
      </w:r>
    </w:p>
    <w:p w14:paraId="78CE949D">
      <w:pPr>
        <w:pStyle w:val="17"/>
        <w:widowControl/>
        <w:spacing w:beforeAutospacing="0" w:afterAutospacing="0" w:line="360" w:lineRule="exact"/>
        <w:ind w:firstLine="420"/>
        <w:rPr>
          <w:rFonts w:ascii="宋体" w:hAnsi="宋体" w:eastAsia="宋体" w:cs="宋体"/>
          <w:color w:val="auto"/>
        </w:rPr>
      </w:pPr>
      <w:r>
        <w:rPr>
          <w:rFonts w:hint="eastAsia" w:ascii="宋体" w:hAnsi="宋体" w:eastAsia="宋体" w:cs="宋体"/>
          <w:color w:val="auto"/>
          <w:lang w:eastAsia="zh-CN"/>
        </w:rPr>
        <w:t>供应商</w:t>
      </w:r>
      <w:r>
        <w:rPr>
          <w:rFonts w:hint="eastAsia" w:ascii="宋体" w:hAnsi="宋体" w:eastAsia="宋体" w:cs="宋体"/>
          <w:color w:val="auto"/>
        </w:rPr>
        <w:t>为监狱企业，提供本单位制造的货物（承接的服务），并在电子投标文件中提供省级以上监狱管理局、戒毒管理局（含新疆生产建设兵团）出具的属于监狱企业的证明文件。</w:t>
      </w:r>
    </w:p>
    <w:p w14:paraId="25C6D11D">
      <w:pPr>
        <w:rPr>
          <w:rFonts w:ascii="宋体" w:hAnsi="宋体" w:eastAsia="宋体" w:cs="宋体"/>
          <w:color w:val="auto"/>
        </w:rPr>
      </w:pPr>
    </w:p>
    <w:p w14:paraId="5B7FF40A">
      <w:pPr>
        <w:rPr>
          <w:rFonts w:ascii="宋体" w:hAnsi="宋体" w:eastAsia="宋体" w:cs="宋体"/>
          <w:color w:val="auto"/>
        </w:rPr>
      </w:pPr>
      <w:r>
        <w:rPr>
          <w:rFonts w:hint="eastAsia" w:ascii="宋体" w:hAnsi="宋体" w:eastAsia="宋体" w:cs="宋体"/>
          <w:color w:val="auto"/>
        </w:rPr>
        <w:br w:type="page"/>
      </w:r>
    </w:p>
    <w:p w14:paraId="5188D161">
      <w:pPr>
        <w:pStyle w:val="17"/>
        <w:widowControl/>
        <w:spacing w:before="75" w:beforeAutospacing="0" w:after="75" w:afterAutospacing="0"/>
        <w:jc w:val="center"/>
        <w:rPr>
          <w:color w:val="auto"/>
        </w:rPr>
      </w:pPr>
      <w:r>
        <w:rPr>
          <w:rFonts w:hint="eastAsia" w:ascii="宋体" w:hAnsi="宋体" w:eastAsia="宋体" w:cs="宋体"/>
          <w:color w:val="auto"/>
        </w:rPr>
        <w:t>附件8-2</w:t>
      </w:r>
      <w:r>
        <w:rPr>
          <w:rStyle w:val="26"/>
          <w:rFonts w:hint="eastAsia" w:ascii="宋体" w:hAnsi="宋体" w:eastAsia="宋体" w:cs="宋体"/>
          <w:bCs/>
          <w:color w:val="auto"/>
        </w:rPr>
        <w:t>优先类节能产品、环境标志产品价格扣除证明材料（如果有的话）</w:t>
      </w:r>
    </w:p>
    <w:p w14:paraId="20817BBC">
      <w:pPr>
        <w:pStyle w:val="17"/>
        <w:widowControl/>
        <w:spacing w:before="75" w:beforeAutospacing="0" w:after="75" w:afterAutospacing="0"/>
        <w:jc w:val="both"/>
        <w:rPr>
          <w:color w:val="auto"/>
        </w:rPr>
      </w:pPr>
      <w:r>
        <w:rPr>
          <w:rFonts w:hint="eastAsia" w:ascii="宋体" w:hAnsi="宋体" w:eastAsia="宋体" w:cs="宋体"/>
          <w:color w:val="auto"/>
        </w:rPr>
        <w:t>              </w:t>
      </w:r>
    </w:p>
    <w:tbl>
      <w:tblPr>
        <w:tblStyle w:val="23"/>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215"/>
        <w:gridCol w:w="1215"/>
        <w:gridCol w:w="1215"/>
        <w:gridCol w:w="1215"/>
        <w:gridCol w:w="1215"/>
        <w:gridCol w:w="1215"/>
        <w:gridCol w:w="1230"/>
      </w:tblGrid>
      <w:tr w14:paraId="4E549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15" w:type="dxa"/>
            <w:shd w:val="clear" w:color="auto" w:fill="auto"/>
            <w:tcMar>
              <w:top w:w="0" w:type="dxa"/>
              <w:left w:w="105" w:type="dxa"/>
              <w:bottom w:w="0" w:type="dxa"/>
              <w:right w:w="105" w:type="dxa"/>
            </w:tcMar>
            <w:vAlign w:val="center"/>
          </w:tcPr>
          <w:p w14:paraId="31BB1C92">
            <w:pPr>
              <w:widowControl/>
              <w:jc w:val="left"/>
              <w:rPr>
                <w:color w:val="auto"/>
              </w:rPr>
            </w:pPr>
          </w:p>
        </w:tc>
        <w:tc>
          <w:tcPr>
            <w:tcW w:w="7305" w:type="dxa"/>
            <w:gridSpan w:val="6"/>
            <w:shd w:val="clear" w:color="auto" w:fill="auto"/>
            <w:tcMar>
              <w:top w:w="0" w:type="dxa"/>
              <w:left w:w="105" w:type="dxa"/>
              <w:bottom w:w="0" w:type="dxa"/>
              <w:right w:w="105" w:type="dxa"/>
            </w:tcMar>
            <w:vAlign w:val="center"/>
          </w:tcPr>
          <w:p w14:paraId="430BF026">
            <w:pPr>
              <w:pStyle w:val="17"/>
              <w:widowControl/>
              <w:spacing w:beforeAutospacing="0" w:afterAutospacing="0"/>
              <w:jc w:val="center"/>
              <w:rPr>
                <w:color w:val="auto"/>
              </w:rPr>
            </w:pPr>
            <w:r>
              <w:rPr>
                <w:rFonts w:hint="eastAsia" w:ascii="宋体" w:hAnsi="宋体" w:eastAsia="宋体" w:cs="宋体"/>
                <w:color w:val="auto"/>
                <w:sz w:val="21"/>
                <w:szCs w:val="21"/>
              </w:rPr>
              <w:t>本合同包内属于节能、环境标志产品的情况</w:t>
            </w:r>
          </w:p>
        </w:tc>
      </w:tr>
      <w:tr w14:paraId="02B9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15" w:type="dxa"/>
            <w:shd w:val="clear" w:color="auto" w:fill="auto"/>
            <w:tcMar>
              <w:top w:w="0" w:type="dxa"/>
              <w:left w:w="105" w:type="dxa"/>
              <w:bottom w:w="0" w:type="dxa"/>
              <w:right w:w="105" w:type="dxa"/>
            </w:tcMar>
            <w:vAlign w:val="center"/>
          </w:tcPr>
          <w:p w14:paraId="556B6715">
            <w:pPr>
              <w:pStyle w:val="17"/>
              <w:widowControl/>
              <w:spacing w:beforeAutospacing="0" w:afterAutospacing="0"/>
              <w:jc w:val="center"/>
              <w:rPr>
                <w:color w:val="auto"/>
              </w:rPr>
            </w:pPr>
            <w:r>
              <w:rPr>
                <w:rFonts w:hint="eastAsia" w:ascii="宋体" w:hAnsi="宋体" w:eastAsia="宋体" w:cs="宋体"/>
                <w:color w:val="auto"/>
                <w:sz w:val="21"/>
                <w:szCs w:val="21"/>
              </w:rPr>
              <w:t>合同包</w:t>
            </w:r>
          </w:p>
        </w:tc>
        <w:tc>
          <w:tcPr>
            <w:tcW w:w="1215" w:type="dxa"/>
            <w:shd w:val="clear" w:color="auto" w:fill="auto"/>
            <w:tcMar>
              <w:top w:w="0" w:type="dxa"/>
              <w:left w:w="105" w:type="dxa"/>
              <w:bottom w:w="0" w:type="dxa"/>
              <w:right w:w="105" w:type="dxa"/>
            </w:tcMar>
            <w:vAlign w:val="center"/>
          </w:tcPr>
          <w:p w14:paraId="28496FA7">
            <w:pPr>
              <w:pStyle w:val="17"/>
              <w:widowControl/>
              <w:spacing w:beforeAutospacing="0" w:afterAutospacing="0"/>
              <w:jc w:val="center"/>
              <w:rPr>
                <w:color w:val="auto"/>
              </w:rPr>
            </w:pPr>
            <w:r>
              <w:rPr>
                <w:rFonts w:hint="eastAsia" w:ascii="宋体" w:hAnsi="宋体" w:eastAsia="宋体" w:cs="宋体"/>
                <w:color w:val="auto"/>
                <w:sz w:val="21"/>
                <w:szCs w:val="21"/>
              </w:rPr>
              <w:t>品目号</w:t>
            </w:r>
          </w:p>
        </w:tc>
        <w:tc>
          <w:tcPr>
            <w:tcW w:w="1215" w:type="dxa"/>
            <w:shd w:val="clear" w:color="auto" w:fill="auto"/>
            <w:tcMar>
              <w:top w:w="0" w:type="dxa"/>
              <w:left w:w="105" w:type="dxa"/>
              <w:bottom w:w="0" w:type="dxa"/>
              <w:right w:w="105" w:type="dxa"/>
            </w:tcMar>
            <w:vAlign w:val="center"/>
          </w:tcPr>
          <w:p w14:paraId="4989F6B0">
            <w:pPr>
              <w:pStyle w:val="17"/>
              <w:widowControl/>
              <w:spacing w:beforeAutospacing="0" w:afterAutospacing="0"/>
              <w:jc w:val="center"/>
              <w:rPr>
                <w:color w:val="auto"/>
              </w:rPr>
            </w:pPr>
            <w:r>
              <w:rPr>
                <w:rFonts w:hint="eastAsia" w:ascii="宋体" w:hAnsi="宋体" w:eastAsia="宋体" w:cs="宋体"/>
                <w:color w:val="auto"/>
                <w:sz w:val="21"/>
                <w:szCs w:val="21"/>
              </w:rPr>
              <w:t>产品名称</w:t>
            </w:r>
          </w:p>
        </w:tc>
        <w:tc>
          <w:tcPr>
            <w:tcW w:w="1215" w:type="dxa"/>
            <w:shd w:val="clear" w:color="auto" w:fill="auto"/>
            <w:tcMar>
              <w:top w:w="0" w:type="dxa"/>
              <w:left w:w="105" w:type="dxa"/>
              <w:bottom w:w="0" w:type="dxa"/>
              <w:right w:w="105" w:type="dxa"/>
            </w:tcMar>
            <w:vAlign w:val="center"/>
          </w:tcPr>
          <w:p w14:paraId="252EE01A">
            <w:pPr>
              <w:pStyle w:val="17"/>
              <w:widowControl/>
              <w:spacing w:beforeAutospacing="0" w:afterAutospacing="0"/>
              <w:jc w:val="center"/>
              <w:rPr>
                <w:color w:val="auto"/>
              </w:rPr>
            </w:pPr>
            <w:r>
              <w:rPr>
                <w:rFonts w:hint="eastAsia" w:ascii="宋体" w:hAnsi="宋体" w:eastAsia="宋体" w:cs="宋体"/>
                <w:color w:val="auto"/>
                <w:sz w:val="21"/>
                <w:szCs w:val="21"/>
              </w:rPr>
              <w:t>最后报价单价</w:t>
            </w:r>
          </w:p>
          <w:p w14:paraId="15A70F88">
            <w:pPr>
              <w:pStyle w:val="17"/>
              <w:widowControl/>
              <w:spacing w:beforeAutospacing="0" w:afterAutospacing="0"/>
              <w:jc w:val="center"/>
              <w:rPr>
                <w:color w:val="auto"/>
              </w:rPr>
            </w:pPr>
            <w:r>
              <w:rPr>
                <w:rFonts w:hint="eastAsia" w:ascii="宋体" w:hAnsi="宋体" w:eastAsia="宋体" w:cs="宋体"/>
                <w:color w:val="auto"/>
                <w:sz w:val="21"/>
                <w:szCs w:val="21"/>
              </w:rPr>
              <w:t>（现场）</w:t>
            </w:r>
          </w:p>
        </w:tc>
        <w:tc>
          <w:tcPr>
            <w:tcW w:w="1215" w:type="dxa"/>
            <w:shd w:val="clear" w:color="auto" w:fill="auto"/>
            <w:tcMar>
              <w:top w:w="0" w:type="dxa"/>
              <w:left w:w="105" w:type="dxa"/>
              <w:bottom w:w="0" w:type="dxa"/>
              <w:right w:w="105" w:type="dxa"/>
            </w:tcMar>
            <w:vAlign w:val="center"/>
          </w:tcPr>
          <w:p w14:paraId="6A582533">
            <w:pPr>
              <w:pStyle w:val="17"/>
              <w:widowControl/>
              <w:spacing w:beforeAutospacing="0" w:afterAutospacing="0"/>
              <w:jc w:val="center"/>
              <w:rPr>
                <w:color w:val="auto"/>
              </w:rPr>
            </w:pPr>
            <w:r>
              <w:rPr>
                <w:rFonts w:hint="eastAsia" w:ascii="宋体" w:hAnsi="宋体" w:eastAsia="宋体" w:cs="宋体"/>
                <w:color w:val="auto"/>
                <w:sz w:val="21"/>
                <w:szCs w:val="21"/>
              </w:rPr>
              <w:t>数量</w:t>
            </w:r>
          </w:p>
        </w:tc>
        <w:tc>
          <w:tcPr>
            <w:tcW w:w="1215" w:type="dxa"/>
            <w:shd w:val="clear" w:color="auto" w:fill="auto"/>
            <w:tcMar>
              <w:top w:w="0" w:type="dxa"/>
              <w:left w:w="105" w:type="dxa"/>
              <w:bottom w:w="0" w:type="dxa"/>
              <w:right w:w="105" w:type="dxa"/>
            </w:tcMar>
            <w:vAlign w:val="center"/>
          </w:tcPr>
          <w:p w14:paraId="31A034D0">
            <w:pPr>
              <w:pStyle w:val="17"/>
              <w:widowControl/>
              <w:spacing w:beforeAutospacing="0" w:afterAutospacing="0"/>
              <w:jc w:val="center"/>
              <w:rPr>
                <w:color w:val="auto"/>
              </w:rPr>
            </w:pPr>
            <w:r>
              <w:rPr>
                <w:rFonts w:hint="eastAsia" w:ascii="宋体" w:hAnsi="宋体" w:eastAsia="宋体" w:cs="宋体"/>
                <w:color w:val="auto"/>
                <w:sz w:val="21"/>
                <w:szCs w:val="21"/>
              </w:rPr>
              <w:t>最后报价总价</w:t>
            </w:r>
          </w:p>
          <w:p w14:paraId="79A51D6F">
            <w:pPr>
              <w:pStyle w:val="17"/>
              <w:widowControl/>
              <w:spacing w:beforeAutospacing="0" w:afterAutospacing="0"/>
              <w:jc w:val="center"/>
              <w:rPr>
                <w:color w:val="auto"/>
              </w:rPr>
            </w:pPr>
            <w:r>
              <w:rPr>
                <w:rFonts w:hint="eastAsia" w:ascii="宋体" w:hAnsi="宋体" w:eastAsia="宋体" w:cs="宋体"/>
                <w:color w:val="auto"/>
                <w:sz w:val="21"/>
                <w:szCs w:val="21"/>
              </w:rPr>
              <w:t>（现场）</w:t>
            </w:r>
          </w:p>
        </w:tc>
        <w:tc>
          <w:tcPr>
            <w:tcW w:w="1230" w:type="dxa"/>
            <w:shd w:val="clear" w:color="auto" w:fill="auto"/>
            <w:tcMar>
              <w:top w:w="0" w:type="dxa"/>
              <w:left w:w="105" w:type="dxa"/>
              <w:bottom w:w="0" w:type="dxa"/>
              <w:right w:w="105" w:type="dxa"/>
            </w:tcMar>
            <w:vAlign w:val="center"/>
          </w:tcPr>
          <w:p w14:paraId="6FAC30F6">
            <w:pPr>
              <w:pStyle w:val="17"/>
              <w:widowControl/>
              <w:spacing w:beforeAutospacing="0" w:afterAutospacing="0"/>
              <w:jc w:val="center"/>
              <w:rPr>
                <w:color w:val="auto"/>
              </w:rPr>
            </w:pPr>
            <w:r>
              <w:rPr>
                <w:rFonts w:hint="eastAsia" w:ascii="宋体" w:hAnsi="宋体" w:eastAsia="宋体" w:cs="宋体"/>
                <w:color w:val="auto"/>
                <w:sz w:val="21"/>
                <w:szCs w:val="21"/>
              </w:rPr>
              <w:t>认证种类</w:t>
            </w:r>
          </w:p>
        </w:tc>
      </w:tr>
      <w:tr w14:paraId="58F1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15" w:type="dxa"/>
            <w:vMerge w:val="restart"/>
            <w:shd w:val="clear" w:color="auto" w:fill="auto"/>
            <w:tcMar>
              <w:top w:w="0" w:type="dxa"/>
              <w:left w:w="105" w:type="dxa"/>
              <w:bottom w:w="0" w:type="dxa"/>
              <w:right w:w="105" w:type="dxa"/>
            </w:tcMar>
            <w:vAlign w:val="center"/>
          </w:tcPr>
          <w:p w14:paraId="37350B33">
            <w:pPr>
              <w:pStyle w:val="17"/>
              <w:widowControl/>
              <w:spacing w:beforeAutospacing="0" w:afterAutospacing="0"/>
              <w:jc w:val="center"/>
              <w:rPr>
                <w:color w:val="auto"/>
              </w:rPr>
            </w:pPr>
            <w:r>
              <w:rPr>
                <w:rFonts w:hint="eastAsia" w:ascii="宋体" w:hAnsi="宋体" w:eastAsia="宋体" w:cs="宋体"/>
                <w:color w:val="auto"/>
                <w:sz w:val="21"/>
                <w:szCs w:val="21"/>
              </w:rPr>
              <w:t>*</w:t>
            </w:r>
          </w:p>
        </w:tc>
        <w:tc>
          <w:tcPr>
            <w:tcW w:w="1215" w:type="dxa"/>
            <w:shd w:val="clear" w:color="auto" w:fill="auto"/>
            <w:tcMar>
              <w:top w:w="0" w:type="dxa"/>
              <w:left w:w="105" w:type="dxa"/>
              <w:bottom w:w="0" w:type="dxa"/>
              <w:right w:w="105" w:type="dxa"/>
            </w:tcMar>
            <w:vAlign w:val="center"/>
          </w:tcPr>
          <w:p w14:paraId="0C0D0BD6">
            <w:pPr>
              <w:pStyle w:val="17"/>
              <w:widowControl/>
              <w:spacing w:beforeAutospacing="0" w:afterAutospacing="0"/>
              <w:jc w:val="center"/>
              <w:rPr>
                <w:color w:val="auto"/>
              </w:rPr>
            </w:pPr>
            <w:r>
              <w:rPr>
                <w:rFonts w:hint="eastAsia" w:ascii="宋体" w:hAnsi="宋体" w:eastAsia="宋体" w:cs="宋体"/>
                <w:color w:val="auto"/>
                <w:sz w:val="21"/>
                <w:szCs w:val="21"/>
              </w:rPr>
              <w:t>*-1</w:t>
            </w:r>
          </w:p>
        </w:tc>
        <w:tc>
          <w:tcPr>
            <w:tcW w:w="1215" w:type="dxa"/>
            <w:shd w:val="clear" w:color="auto" w:fill="auto"/>
            <w:tcMar>
              <w:top w:w="0" w:type="dxa"/>
              <w:left w:w="105" w:type="dxa"/>
              <w:bottom w:w="0" w:type="dxa"/>
              <w:right w:w="105" w:type="dxa"/>
            </w:tcMar>
            <w:vAlign w:val="center"/>
          </w:tcPr>
          <w:p w14:paraId="237F3D10">
            <w:pPr>
              <w:widowControl/>
              <w:jc w:val="left"/>
              <w:rPr>
                <w:color w:val="auto"/>
              </w:rPr>
            </w:pPr>
          </w:p>
        </w:tc>
        <w:tc>
          <w:tcPr>
            <w:tcW w:w="1215" w:type="dxa"/>
            <w:shd w:val="clear" w:color="auto" w:fill="auto"/>
            <w:tcMar>
              <w:top w:w="0" w:type="dxa"/>
              <w:left w:w="105" w:type="dxa"/>
              <w:bottom w:w="0" w:type="dxa"/>
              <w:right w:w="105" w:type="dxa"/>
            </w:tcMar>
            <w:vAlign w:val="center"/>
          </w:tcPr>
          <w:p w14:paraId="23B60E78">
            <w:pPr>
              <w:widowControl/>
              <w:jc w:val="left"/>
              <w:rPr>
                <w:color w:val="auto"/>
              </w:rPr>
            </w:pPr>
          </w:p>
        </w:tc>
        <w:tc>
          <w:tcPr>
            <w:tcW w:w="1215" w:type="dxa"/>
            <w:shd w:val="clear" w:color="auto" w:fill="auto"/>
            <w:tcMar>
              <w:top w:w="0" w:type="dxa"/>
              <w:left w:w="105" w:type="dxa"/>
              <w:bottom w:w="0" w:type="dxa"/>
              <w:right w:w="105" w:type="dxa"/>
            </w:tcMar>
            <w:vAlign w:val="center"/>
          </w:tcPr>
          <w:p w14:paraId="350A2534">
            <w:pPr>
              <w:widowControl/>
              <w:jc w:val="left"/>
              <w:rPr>
                <w:color w:val="auto"/>
              </w:rPr>
            </w:pPr>
          </w:p>
        </w:tc>
        <w:tc>
          <w:tcPr>
            <w:tcW w:w="1215" w:type="dxa"/>
            <w:shd w:val="clear" w:color="auto" w:fill="auto"/>
            <w:tcMar>
              <w:top w:w="0" w:type="dxa"/>
              <w:left w:w="105" w:type="dxa"/>
              <w:bottom w:w="0" w:type="dxa"/>
              <w:right w:w="105" w:type="dxa"/>
            </w:tcMar>
            <w:vAlign w:val="center"/>
          </w:tcPr>
          <w:p w14:paraId="79727103">
            <w:pPr>
              <w:widowControl/>
              <w:jc w:val="left"/>
              <w:rPr>
                <w:color w:val="auto"/>
              </w:rPr>
            </w:pPr>
          </w:p>
        </w:tc>
        <w:tc>
          <w:tcPr>
            <w:tcW w:w="1230" w:type="dxa"/>
            <w:shd w:val="clear" w:color="auto" w:fill="auto"/>
            <w:tcMar>
              <w:top w:w="0" w:type="dxa"/>
              <w:left w:w="105" w:type="dxa"/>
              <w:bottom w:w="0" w:type="dxa"/>
              <w:right w:w="105" w:type="dxa"/>
            </w:tcMar>
            <w:vAlign w:val="center"/>
          </w:tcPr>
          <w:p w14:paraId="744B9E9F">
            <w:pPr>
              <w:widowControl/>
              <w:jc w:val="left"/>
              <w:rPr>
                <w:color w:val="auto"/>
              </w:rPr>
            </w:pPr>
          </w:p>
        </w:tc>
      </w:tr>
      <w:tr w14:paraId="1490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15" w:type="dxa"/>
            <w:vMerge w:val="continue"/>
            <w:shd w:val="clear" w:color="auto" w:fill="auto"/>
            <w:tcMar>
              <w:top w:w="0" w:type="dxa"/>
              <w:left w:w="105" w:type="dxa"/>
              <w:bottom w:w="0" w:type="dxa"/>
              <w:right w:w="105" w:type="dxa"/>
            </w:tcMar>
            <w:vAlign w:val="center"/>
          </w:tcPr>
          <w:p w14:paraId="09ED2CCC">
            <w:pPr>
              <w:rPr>
                <w:rFonts w:ascii="宋体"/>
                <w:color w:val="auto"/>
                <w:sz w:val="24"/>
              </w:rPr>
            </w:pPr>
          </w:p>
        </w:tc>
        <w:tc>
          <w:tcPr>
            <w:tcW w:w="1215" w:type="dxa"/>
            <w:shd w:val="clear" w:color="auto" w:fill="auto"/>
            <w:tcMar>
              <w:top w:w="0" w:type="dxa"/>
              <w:left w:w="105" w:type="dxa"/>
              <w:bottom w:w="0" w:type="dxa"/>
              <w:right w:w="105" w:type="dxa"/>
            </w:tcMar>
            <w:vAlign w:val="center"/>
          </w:tcPr>
          <w:p w14:paraId="62814B45">
            <w:pPr>
              <w:pStyle w:val="17"/>
              <w:widowControl/>
              <w:spacing w:beforeAutospacing="0" w:afterAutospacing="0"/>
              <w:jc w:val="center"/>
              <w:rPr>
                <w:color w:val="auto"/>
              </w:rPr>
            </w:pPr>
            <w:r>
              <w:rPr>
                <w:rFonts w:ascii="Calibri" w:hAnsi="Calibri" w:cs="Calibri"/>
                <w:color w:val="auto"/>
                <w:sz w:val="21"/>
                <w:szCs w:val="21"/>
              </w:rPr>
              <w:t>…</w:t>
            </w:r>
          </w:p>
        </w:tc>
        <w:tc>
          <w:tcPr>
            <w:tcW w:w="1215" w:type="dxa"/>
            <w:shd w:val="clear" w:color="auto" w:fill="auto"/>
            <w:tcMar>
              <w:top w:w="0" w:type="dxa"/>
              <w:left w:w="105" w:type="dxa"/>
              <w:bottom w:w="0" w:type="dxa"/>
              <w:right w:w="105" w:type="dxa"/>
            </w:tcMar>
            <w:vAlign w:val="center"/>
          </w:tcPr>
          <w:p w14:paraId="11362188">
            <w:pPr>
              <w:widowControl/>
              <w:jc w:val="left"/>
              <w:rPr>
                <w:color w:val="auto"/>
              </w:rPr>
            </w:pPr>
          </w:p>
        </w:tc>
        <w:tc>
          <w:tcPr>
            <w:tcW w:w="1215" w:type="dxa"/>
            <w:shd w:val="clear" w:color="auto" w:fill="auto"/>
            <w:tcMar>
              <w:top w:w="0" w:type="dxa"/>
              <w:left w:w="105" w:type="dxa"/>
              <w:bottom w:w="0" w:type="dxa"/>
              <w:right w:w="105" w:type="dxa"/>
            </w:tcMar>
            <w:vAlign w:val="center"/>
          </w:tcPr>
          <w:p w14:paraId="7030E545">
            <w:pPr>
              <w:widowControl/>
              <w:jc w:val="left"/>
              <w:rPr>
                <w:color w:val="auto"/>
              </w:rPr>
            </w:pPr>
          </w:p>
        </w:tc>
        <w:tc>
          <w:tcPr>
            <w:tcW w:w="1215" w:type="dxa"/>
            <w:shd w:val="clear" w:color="auto" w:fill="auto"/>
            <w:tcMar>
              <w:top w:w="0" w:type="dxa"/>
              <w:left w:w="105" w:type="dxa"/>
              <w:bottom w:w="0" w:type="dxa"/>
              <w:right w:w="105" w:type="dxa"/>
            </w:tcMar>
            <w:vAlign w:val="center"/>
          </w:tcPr>
          <w:p w14:paraId="3305267A">
            <w:pPr>
              <w:widowControl/>
              <w:jc w:val="left"/>
              <w:rPr>
                <w:color w:val="auto"/>
              </w:rPr>
            </w:pPr>
          </w:p>
        </w:tc>
        <w:tc>
          <w:tcPr>
            <w:tcW w:w="1215" w:type="dxa"/>
            <w:shd w:val="clear" w:color="auto" w:fill="auto"/>
            <w:tcMar>
              <w:top w:w="0" w:type="dxa"/>
              <w:left w:w="105" w:type="dxa"/>
              <w:bottom w:w="0" w:type="dxa"/>
              <w:right w:w="105" w:type="dxa"/>
            </w:tcMar>
            <w:vAlign w:val="center"/>
          </w:tcPr>
          <w:p w14:paraId="1CD1CA8E">
            <w:pPr>
              <w:widowControl/>
              <w:jc w:val="left"/>
              <w:rPr>
                <w:color w:val="auto"/>
              </w:rPr>
            </w:pPr>
          </w:p>
        </w:tc>
        <w:tc>
          <w:tcPr>
            <w:tcW w:w="1230" w:type="dxa"/>
            <w:shd w:val="clear" w:color="auto" w:fill="auto"/>
            <w:tcMar>
              <w:top w:w="0" w:type="dxa"/>
              <w:left w:w="105" w:type="dxa"/>
              <w:bottom w:w="0" w:type="dxa"/>
              <w:right w:w="105" w:type="dxa"/>
            </w:tcMar>
            <w:vAlign w:val="center"/>
          </w:tcPr>
          <w:p w14:paraId="1AF8F489">
            <w:pPr>
              <w:widowControl/>
              <w:jc w:val="left"/>
              <w:rPr>
                <w:color w:val="auto"/>
              </w:rPr>
            </w:pPr>
          </w:p>
        </w:tc>
      </w:tr>
      <w:tr w14:paraId="3C91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15" w:type="dxa"/>
            <w:shd w:val="clear" w:color="auto" w:fill="auto"/>
            <w:tcMar>
              <w:top w:w="0" w:type="dxa"/>
              <w:left w:w="105" w:type="dxa"/>
              <w:bottom w:w="0" w:type="dxa"/>
              <w:right w:w="105" w:type="dxa"/>
            </w:tcMar>
            <w:vAlign w:val="center"/>
          </w:tcPr>
          <w:p w14:paraId="5A1B1A68">
            <w:pPr>
              <w:pStyle w:val="17"/>
              <w:widowControl/>
              <w:spacing w:beforeAutospacing="0" w:afterAutospacing="0"/>
              <w:jc w:val="center"/>
              <w:rPr>
                <w:color w:val="auto"/>
              </w:rPr>
            </w:pPr>
            <w:r>
              <w:rPr>
                <w:rFonts w:hint="eastAsia" w:ascii="宋体" w:hAnsi="宋体" w:eastAsia="宋体" w:cs="宋体"/>
                <w:color w:val="auto"/>
                <w:sz w:val="21"/>
                <w:szCs w:val="21"/>
              </w:rPr>
              <w:t>备注</w:t>
            </w:r>
          </w:p>
        </w:tc>
        <w:tc>
          <w:tcPr>
            <w:tcW w:w="7305" w:type="dxa"/>
            <w:gridSpan w:val="6"/>
            <w:shd w:val="clear" w:color="auto" w:fill="auto"/>
            <w:tcMar>
              <w:top w:w="0" w:type="dxa"/>
              <w:left w:w="105" w:type="dxa"/>
              <w:bottom w:w="0" w:type="dxa"/>
              <w:right w:w="105" w:type="dxa"/>
            </w:tcMar>
          </w:tcPr>
          <w:p w14:paraId="497F959A">
            <w:pPr>
              <w:pStyle w:val="17"/>
              <w:widowControl/>
              <w:spacing w:beforeAutospacing="0" w:afterAutospacing="0"/>
              <w:rPr>
                <w:color w:val="auto"/>
              </w:rPr>
            </w:pPr>
            <w:r>
              <w:rPr>
                <w:rFonts w:hint="eastAsia" w:ascii="宋体" w:hAnsi="宋体" w:eastAsia="宋体" w:cs="宋体"/>
                <w:color w:val="auto"/>
                <w:sz w:val="21"/>
                <w:szCs w:val="21"/>
              </w:rPr>
              <w:t>a.本合同包内属于节能、环境标志产品的合计最后报价总金额：      ；</w:t>
            </w:r>
          </w:p>
          <w:p w14:paraId="74D0371E">
            <w:pPr>
              <w:pStyle w:val="17"/>
              <w:widowControl/>
              <w:spacing w:beforeAutospacing="0" w:afterAutospacing="0"/>
              <w:rPr>
                <w:color w:val="auto"/>
              </w:rPr>
            </w:pPr>
            <w:r>
              <w:rPr>
                <w:rFonts w:hint="eastAsia" w:ascii="宋体" w:hAnsi="宋体" w:eastAsia="宋体" w:cs="宋体"/>
                <w:color w:val="auto"/>
                <w:sz w:val="21"/>
                <w:szCs w:val="21"/>
              </w:rPr>
              <w:t>b.本合同包最后报价总价：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14:paraId="316081D0">
            <w:pPr>
              <w:pStyle w:val="17"/>
              <w:widowControl/>
              <w:spacing w:beforeAutospacing="0" w:afterAutospacing="0"/>
              <w:rPr>
                <w:color w:val="auto"/>
              </w:rPr>
            </w:pPr>
            <w:r>
              <w:rPr>
                <w:rFonts w:hint="eastAsia" w:ascii="宋体" w:hAnsi="宋体" w:eastAsia="宋体" w:cs="宋体"/>
                <w:color w:val="auto"/>
                <w:sz w:val="21"/>
                <w:szCs w:val="21"/>
              </w:rPr>
              <w:t>c.本合同包内属于节能、环境标志产品的合计最后报价总金额占本合同包最后报价总价的比例（以</w:t>
            </w:r>
            <w:r>
              <w:rPr>
                <w:rFonts w:ascii="Calibri" w:hAnsi="Calibri" w:cs="Calibri"/>
                <w:color w:val="auto"/>
                <w:sz w:val="21"/>
                <w:szCs w:val="21"/>
              </w:rPr>
              <w:t>%</w:t>
            </w:r>
            <w:r>
              <w:rPr>
                <w:rFonts w:hint="eastAsia" w:ascii="宋体" w:hAnsi="宋体" w:eastAsia="宋体" w:cs="宋体"/>
                <w:color w:val="auto"/>
                <w:sz w:val="21"/>
                <w:szCs w:val="21"/>
              </w:rPr>
              <w:t>列示）：</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tc>
      </w:tr>
    </w:tbl>
    <w:p w14:paraId="6177E2FB">
      <w:pPr>
        <w:pStyle w:val="17"/>
        <w:widowControl/>
        <w:spacing w:before="75" w:beforeAutospacing="0" w:after="75" w:afterAutospacing="0" w:line="360" w:lineRule="atLeast"/>
        <w:rPr>
          <w:color w:val="auto"/>
        </w:rPr>
      </w:pPr>
      <w:r>
        <w:rPr>
          <w:rFonts w:hint="eastAsia" w:ascii="宋体" w:hAnsi="宋体" w:eastAsia="宋体" w:cs="宋体"/>
          <w:color w:val="auto"/>
          <w:sz w:val="21"/>
          <w:szCs w:val="21"/>
        </w:rPr>
        <w:t>★注意：</w:t>
      </w:r>
    </w:p>
    <w:p w14:paraId="7693EA0C">
      <w:pPr>
        <w:pStyle w:val="17"/>
        <w:widowControl/>
        <w:spacing w:before="75" w:beforeAutospacing="0" w:after="75" w:afterAutospacing="0" w:line="360" w:lineRule="atLeast"/>
        <w:rPr>
          <w:color w:val="auto"/>
        </w:rPr>
      </w:pPr>
      <w:r>
        <w:rPr>
          <w:rFonts w:hint="eastAsia" w:ascii="宋体" w:hAnsi="宋体" w:eastAsia="宋体" w:cs="宋体"/>
          <w:color w:val="auto"/>
        </w:rPr>
        <w:t>1.供应商提供的产品属于《节能产品政策采购清单》，应提供产品所在最新一期《节能产品政府采购清单》所在页复印件，并划线注明对应的产品，以利磋商小组审阅。未按要求提供证明资料并划线注明的，磋商小组将不予认定，不享受价格扣除的优惠政策。</w:t>
      </w:r>
    </w:p>
    <w:p w14:paraId="7D709808">
      <w:pPr>
        <w:pStyle w:val="17"/>
        <w:widowControl/>
        <w:spacing w:before="75" w:beforeAutospacing="0" w:after="75" w:afterAutospacing="0" w:line="360" w:lineRule="atLeast"/>
        <w:rPr>
          <w:color w:val="auto"/>
        </w:rPr>
      </w:pPr>
      <w:r>
        <w:rPr>
          <w:rFonts w:hint="eastAsia" w:ascii="宋体" w:hAnsi="宋体" w:eastAsia="宋体" w:cs="宋体"/>
          <w:color w:val="auto"/>
        </w:rPr>
        <w:t>2.供应商提供的产品属于《环境标志产品政府采购清单》，应提供产品所在最新一期《环境标志产品政府采购清单》所在页复印件，并划线注明对应的产品，以利磋商小组审阅。未按要求提供证明资料并划线注明的，磋商小组将不予认定，不享受价格扣除的优惠政策。</w:t>
      </w:r>
    </w:p>
    <w:p w14:paraId="72A87787">
      <w:pPr>
        <w:pStyle w:val="17"/>
        <w:widowControl/>
        <w:spacing w:before="75" w:beforeAutospacing="0" w:after="75" w:afterAutospacing="0" w:line="360" w:lineRule="atLeast"/>
        <w:rPr>
          <w:color w:val="auto"/>
        </w:rPr>
      </w:pPr>
      <w:r>
        <w:rPr>
          <w:rFonts w:hint="eastAsia" w:ascii="宋体" w:hAnsi="宋体" w:eastAsia="宋体" w:cs="宋体"/>
          <w:color w:val="auto"/>
        </w:rPr>
        <w:t>3、具体统计、计算：</w:t>
      </w:r>
    </w:p>
    <w:p w14:paraId="04E0ACF0">
      <w:pPr>
        <w:pStyle w:val="17"/>
        <w:widowControl/>
        <w:spacing w:before="75" w:beforeAutospacing="0" w:after="75" w:afterAutospacing="0" w:line="360" w:lineRule="atLeast"/>
        <w:rPr>
          <w:color w:val="auto"/>
        </w:rPr>
      </w:pPr>
      <w:r>
        <w:rPr>
          <w:rFonts w:hint="eastAsia" w:ascii="宋体" w:hAnsi="宋体" w:eastAsia="宋体" w:cs="宋体"/>
          <w:color w:val="auto"/>
        </w:rPr>
        <w:t>3.1若同一合同包内的单个或多个货物取得或同时取得节能、环境标志产品等两项或多项认证的，均按照单个货物对应一项认证的原则统计、计算1次。</w:t>
      </w:r>
    </w:p>
    <w:p w14:paraId="4495713A">
      <w:pPr>
        <w:pStyle w:val="17"/>
        <w:widowControl/>
        <w:spacing w:before="75" w:beforeAutospacing="0" w:after="75" w:afterAutospacing="0" w:line="360" w:lineRule="atLeast"/>
        <w:rPr>
          <w:color w:val="auto"/>
        </w:rPr>
      </w:pPr>
      <w:r>
        <w:rPr>
          <w:rFonts w:hint="eastAsia" w:ascii="宋体" w:hAnsi="宋体" w:eastAsia="宋体" w:cs="宋体"/>
          <w:color w:val="auto"/>
        </w:rPr>
        <w:t>3.2计算结果若除不尽，可四舍五入保留到小数点后两位。</w:t>
      </w:r>
    </w:p>
    <w:p w14:paraId="01028867">
      <w:pPr>
        <w:pStyle w:val="17"/>
        <w:widowControl/>
        <w:spacing w:before="75" w:beforeAutospacing="0" w:after="75" w:afterAutospacing="0" w:line="360" w:lineRule="atLeast"/>
        <w:rPr>
          <w:color w:val="auto"/>
        </w:rPr>
      </w:pPr>
      <w:r>
        <w:rPr>
          <w:rFonts w:hint="eastAsia" w:ascii="宋体" w:hAnsi="宋体" w:eastAsia="宋体" w:cs="宋体"/>
          <w:color w:val="auto"/>
        </w:rPr>
        <w:t>3.3供应商应按照磋商文件上表要求认真统计、计算，否则磋商小组可不予认定。</w:t>
      </w:r>
    </w:p>
    <w:p w14:paraId="6FC98A06">
      <w:pPr>
        <w:pStyle w:val="17"/>
        <w:widowControl/>
        <w:spacing w:before="75" w:beforeAutospacing="0" w:after="75" w:afterAutospacing="0" w:line="360" w:lineRule="atLeast"/>
        <w:rPr>
          <w:color w:val="auto"/>
        </w:rPr>
      </w:pPr>
      <w:r>
        <w:rPr>
          <w:rFonts w:hint="eastAsia" w:ascii="宋体" w:hAnsi="宋体" w:eastAsia="宋体" w:cs="宋体"/>
          <w:color w:val="auto"/>
        </w:rPr>
        <w:t>3.4若无节能、环境标志产品，不填写本表，否则，视为提供虚假材料。</w:t>
      </w:r>
    </w:p>
    <w:p w14:paraId="7D21A931">
      <w:pPr>
        <w:pStyle w:val="17"/>
        <w:widowControl/>
        <w:spacing w:before="75" w:beforeAutospacing="0" w:after="75" w:afterAutospacing="0" w:line="360" w:lineRule="atLeast"/>
        <w:rPr>
          <w:color w:val="auto"/>
        </w:rPr>
      </w:pPr>
      <w:r>
        <w:rPr>
          <w:rFonts w:hint="eastAsia" w:ascii="宋体" w:hAnsi="宋体" w:eastAsia="宋体" w:cs="宋体"/>
          <w:color w:val="auto"/>
        </w:rPr>
        <w:t>3.5强制类节能产品不享受价格扣除。</w:t>
      </w:r>
    </w:p>
    <w:p w14:paraId="43D954F1">
      <w:pPr>
        <w:pStyle w:val="17"/>
        <w:widowControl/>
        <w:spacing w:before="75" w:beforeAutospacing="0" w:after="75" w:afterAutospacing="0" w:line="360" w:lineRule="atLeast"/>
        <w:rPr>
          <w:color w:val="auto"/>
        </w:rPr>
      </w:pPr>
      <w:r>
        <w:rPr>
          <w:rFonts w:hint="eastAsia" w:ascii="宋体" w:hAnsi="宋体" w:eastAsia="宋体" w:cs="宋体"/>
          <w:color w:val="auto"/>
        </w:rPr>
        <w:t>4、本表以合同包为单位，不同合同包请分别填写；同一合同包请按照顺序分别填写，以方便磋商小组审阅。供应商在提交最后报价前，如果已向磋商小组提交上表内容并附相应证明资料，视同为供应商的产品属于节能、环境标志产品，享受价格扣除的优惠政策。</w:t>
      </w:r>
    </w:p>
    <w:p w14:paraId="4752363D">
      <w:pPr>
        <w:pStyle w:val="17"/>
        <w:widowControl/>
        <w:spacing w:before="75" w:beforeAutospacing="0" w:after="75" w:afterAutospacing="0" w:line="360" w:lineRule="atLeast"/>
        <w:rPr>
          <w:color w:val="auto"/>
        </w:rPr>
      </w:pPr>
      <w:r>
        <w:rPr>
          <w:rFonts w:hint="eastAsia" w:ascii="宋体" w:hAnsi="宋体" w:eastAsia="宋体" w:cs="宋体"/>
          <w:color w:val="auto"/>
        </w:rPr>
        <w:t>5、纸质响应文件正本中的本表（若有）应为原件。</w:t>
      </w:r>
    </w:p>
    <w:p w14:paraId="67282B06">
      <w:pPr>
        <w:pStyle w:val="17"/>
        <w:widowControl/>
        <w:spacing w:before="75" w:beforeAutospacing="0" w:after="75" w:afterAutospacing="0" w:line="420" w:lineRule="atLeast"/>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11CB5F88">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 </w:t>
      </w:r>
    </w:p>
    <w:p w14:paraId="065137EC">
      <w:pPr>
        <w:pStyle w:val="17"/>
        <w:widowControl/>
        <w:spacing w:before="75" w:beforeAutospacing="0" w:after="75" w:afterAutospacing="0"/>
        <w:rPr>
          <w:color w:val="auto"/>
        </w:rPr>
      </w:pPr>
      <w:r>
        <w:rPr>
          <w:rFonts w:hint="eastAsia" w:ascii="宋体" w:hAnsi="宋体" w:eastAsia="宋体" w:cs="宋体"/>
          <w:color w:val="auto"/>
        </w:rPr>
        <w:t> </w:t>
      </w:r>
    </w:p>
    <w:p w14:paraId="14F5B18F">
      <w:pPr>
        <w:pStyle w:val="17"/>
        <w:widowControl/>
        <w:spacing w:before="75" w:beforeAutospacing="0" w:after="75" w:afterAutospacing="0"/>
        <w:rPr>
          <w:color w:val="auto"/>
        </w:rPr>
      </w:pPr>
      <w:r>
        <w:rPr>
          <w:rFonts w:hint="eastAsia" w:ascii="宋体" w:hAnsi="宋体" w:eastAsia="宋体" w:cs="宋体"/>
          <w:color w:val="auto"/>
        </w:rPr>
        <w:t>附件9     </w:t>
      </w:r>
      <w:r>
        <w:rPr>
          <w:rStyle w:val="26"/>
          <w:rFonts w:hint="eastAsia" w:ascii="宋体" w:hAnsi="宋体" w:eastAsia="宋体" w:cs="宋体"/>
          <w:bCs/>
          <w:color w:val="auto"/>
        </w:rPr>
        <w:t>要求作为响应文件组成部分的其他内容（若有）</w:t>
      </w:r>
    </w:p>
    <w:p w14:paraId="0AE571AE">
      <w:pPr>
        <w:pStyle w:val="17"/>
        <w:widowControl/>
        <w:spacing w:before="75" w:beforeAutospacing="0" w:after="75" w:afterAutospacing="0"/>
        <w:rPr>
          <w:color w:val="auto"/>
        </w:rPr>
      </w:pPr>
      <w:r>
        <w:rPr>
          <w:rFonts w:hint="eastAsia" w:ascii="宋体" w:hAnsi="宋体" w:eastAsia="宋体" w:cs="宋体"/>
          <w:color w:val="auto"/>
        </w:rPr>
        <w:t> </w:t>
      </w:r>
    </w:p>
    <w:p w14:paraId="34575803">
      <w:pPr>
        <w:pStyle w:val="17"/>
        <w:widowControl/>
        <w:spacing w:before="75" w:beforeAutospacing="0" w:after="75" w:afterAutospacing="0" w:line="435" w:lineRule="atLeast"/>
        <w:rPr>
          <w:color w:val="auto"/>
        </w:rPr>
      </w:pPr>
      <w:r>
        <w:rPr>
          <w:rFonts w:hint="eastAsia" w:ascii="宋体" w:hAnsi="宋体" w:eastAsia="宋体" w:cs="宋体"/>
          <w:color w:val="auto"/>
        </w:rPr>
        <w:t>说明：</w:t>
      </w:r>
    </w:p>
    <w:p w14:paraId="7C0E0356">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14:paraId="247BD10A">
      <w:pPr>
        <w:pStyle w:val="17"/>
        <w:widowControl/>
        <w:spacing w:before="75" w:beforeAutospacing="0" w:after="75" w:afterAutospacing="0" w:line="435" w:lineRule="atLeast"/>
        <w:ind w:firstLine="480"/>
        <w:rPr>
          <w:color w:val="auto"/>
        </w:rPr>
      </w:pPr>
      <w:r>
        <w:rPr>
          <w:rFonts w:hint="eastAsia" w:ascii="宋体" w:hAnsi="宋体" w:eastAsia="宋体" w:cs="宋体"/>
          <w:color w:val="auto"/>
        </w:rPr>
        <w:t>2、供应商根据自身实际情况编写有关资料包括如供应商单位简介、竞争性磋商文件要求提供或供应商自已认为体现自身优势，需要补充说明的其它资料，格式自拟。</w:t>
      </w:r>
    </w:p>
    <w:p w14:paraId="6DF00828">
      <w:pPr>
        <w:pStyle w:val="17"/>
        <w:widowControl/>
        <w:spacing w:before="75" w:beforeAutospacing="0" w:after="75" w:afterAutospacing="0" w:line="435" w:lineRule="atLeast"/>
        <w:jc w:val="both"/>
        <w:rPr>
          <w:rFonts w:ascii="宋体" w:hAnsi="宋体" w:eastAsia="宋体" w:cs="宋体"/>
          <w:color w:val="auto"/>
        </w:rPr>
      </w:pPr>
    </w:p>
    <w:p w14:paraId="192119FB">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供应商代表：</w:t>
      </w:r>
      <w:r>
        <w:rPr>
          <w:rFonts w:hint="eastAsia" w:ascii="宋体" w:hAnsi="宋体" w:eastAsia="宋体" w:cs="宋体"/>
          <w:color w:val="auto"/>
          <w:u w:val="single"/>
        </w:rPr>
        <w:t>             （签字） </w:t>
      </w:r>
    </w:p>
    <w:p w14:paraId="657E1377">
      <w:pPr>
        <w:pStyle w:val="17"/>
        <w:widowControl/>
        <w:spacing w:before="75" w:beforeAutospacing="0" w:after="75" w:afterAutospacing="0" w:line="435" w:lineRule="atLeast"/>
        <w:jc w:val="both"/>
        <w:rPr>
          <w:color w:val="auto"/>
        </w:rPr>
      </w:pPr>
      <w:r>
        <w:rPr>
          <w:rFonts w:hint="eastAsia" w:ascii="宋体" w:hAnsi="宋体" w:eastAsia="宋体" w:cs="宋体"/>
          <w:color w:val="auto"/>
        </w:rPr>
        <w:t>供应商名称：</w:t>
      </w:r>
      <w:r>
        <w:rPr>
          <w:rFonts w:hint="eastAsia" w:ascii="宋体" w:hAnsi="宋体" w:eastAsia="宋体" w:cs="宋体"/>
          <w:color w:val="auto"/>
          <w:u w:val="single"/>
        </w:rPr>
        <w:t>     （全称并加盖公章）              </w:t>
      </w:r>
    </w:p>
    <w:p w14:paraId="654CF0C4">
      <w:pPr>
        <w:pStyle w:val="17"/>
        <w:widowControl/>
        <w:spacing w:before="75" w:beforeAutospacing="0" w:after="75" w:afterAutospacing="0" w:line="435" w:lineRule="atLeast"/>
        <w:rPr>
          <w:color w:val="auto"/>
        </w:rPr>
      </w:pPr>
      <w:r>
        <w:rPr>
          <w:rFonts w:hint="eastAsia" w:ascii="宋体" w:hAnsi="宋体" w:eastAsia="宋体" w:cs="宋体"/>
          <w:color w:val="auto"/>
        </w:rPr>
        <w:t>日  期： </w:t>
      </w:r>
      <w:r>
        <w:rPr>
          <w:rFonts w:hint="eastAsia" w:ascii="宋体" w:hAnsi="宋体" w:eastAsia="宋体" w:cs="宋体"/>
          <w:color w:val="auto"/>
          <w:u w:val="single"/>
        </w:rPr>
        <w:t>    </w:t>
      </w:r>
      <w:r>
        <w:rPr>
          <w:rFonts w:hint="eastAsia" w:ascii="宋体" w:hAnsi="宋体" w:eastAsia="宋体" w:cs="宋体"/>
          <w:color w:val="auto"/>
        </w:rPr>
        <w:t>年 </w:t>
      </w:r>
      <w:r>
        <w:rPr>
          <w:rFonts w:hint="eastAsia" w:ascii="宋体" w:hAnsi="宋体" w:eastAsia="宋体" w:cs="宋体"/>
          <w:color w:val="auto"/>
          <w:u w:val="single"/>
        </w:rPr>
        <w:t>   </w:t>
      </w:r>
      <w:r>
        <w:rPr>
          <w:rFonts w:hint="eastAsia" w:ascii="宋体" w:hAnsi="宋体" w:eastAsia="宋体" w:cs="宋体"/>
          <w:color w:val="auto"/>
        </w:rPr>
        <w:t>月 </w:t>
      </w:r>
      <w:r>
        <w:rPr>
          <w:rFonts w:hint="eastAsia" w:ascii="宋体" w:hAnsi="宋体" w:eastAsia="宋体" w:cs="宋体"/>
          <w:color w:val="auto"/>
          <w:u w:val="single"/>
        </w:rPr>
        <w:t>   </w:t>
      </w:r>
      <w:r>
        <w:rPr>
          <w:rFonts w:hint="eastAsia" w:ascii="宋体" w:hAnsi="宋体" w:eastAsia="宋体" w:cs="宋体"/>
          <w:color w:val="auto"/>
        </w:rPr>
        <w:t>日</w:t>
      </w:r>
    </w:p>
    <w:p w14:paraId="1C28A7C3">
      <w:pPr>
        <w:pStyle w:val="17"/>
        <w:widowControl/>
        <w:spacing w:before="75" w:beforeAutospacing="0" w:after="75" w:afterAutospacing="0"/>
        <w:rPr>
          <w:color w:val="auto"/>
        </w:rPr>
      </w:pPr>
      <w:r>
        <w:rPr>
          <w:color w:val="auto"/>
        </w:rPr>
        <w:t> </w:t>
      </w:r>
    </w:p>
    <w:p w14:paraId="5A9450E3">
      <w:pPr>
        <w:pStyle w:val="17"/>
        <w:widowControl/>
        <w:spacing w:before="75" w:beforeAutospacing="0" w:after="75" w:afterAutospacing="0"/>
        <w:rPr>
          <w:color w:val="auto"/>
        </w:rPr>
      </w:pPr>
      <w:r>
        <w:rPr>
          <w:rFonts w:hint="eastAsia" w:ascii="宋体" w:hAnsi="宋体" w:eastAsia="宋体" w:cs="宋体"/>
          <w:color w:val="auto"/>
        </w:rPr>
        <w:t> </w:t>
      </w:r>
    </w:p>
    <w:p w14:paraId="3DDF5B86">
      <w:pPr>
        <w:pStyle w:val="17"/>
        <w:widowControl/>
        <w:spacing w:before="75" w:beforeAutospacing="0" w:after="75" w:afterAutospacing="0"/>
        <w:rPr>
          <w:color w:val="auto"/>
        </w:rPr>
      </w:pPr>
      <w:r>
        <w:rPr>
          <w:color w:val="auto"/>
        </w:rPr>
        <w:t> </w:t>
      </w:r>
    </w:p>
    <w:p w14:paraId="20CACC17">
      <w:pPr>
        <w:pStyle w:val="17"/>
        <w:widowControl/>
        <w:spacing w:before="75" w:beforeAutospacing="0" w:after="75" w:afterAutospacing="0"/>
        <w:rPr>
          <w:color w:val="auto"/>
        </w:rPr>
      </w:pPr>
      <w:r>
        <w:rPr>
          <w:color w:val="auto"/>
        </w:rPr>
        <w:t> </w:t>
      </w:r>
    </w:p>
    <w:p w14:paraId="160B3B6B">
      <w:pPr>
        <w:pStyle w:val="17"/>
        <w:widowControl/>
        <w:spacing w:before="75" w:beforeAutospacing="0" w:after="75" w:afterAutospacing="0"/>
        <w:rPr>
          <w:color w:val="auto"/>
        </w:rPr>
      </w:pPr>
      <w:r>
        <w:rPr>
          <w:color w:val="auto"/>
        </w:rPr>
        <w:t> </w:t>
      </w:r>
    </w:p>
    <w:p w14:paraId="501D05F3">
      <w:pPr>
        <w:pStyle w:val="17"/>
        <w:widowControl/>
        <w:spacing w:before="75" w:beforeAutospacing="0" w:after="75" w:afterAutospacing="0"/>
        <w:rPr>
          <w:color w:val="auto"/>
        </w:rPr>
      </w:pPr>
      <w:r>
        <w:rPr>
          <w:rFonts w:hint="eastAsia" w:ascii="宋体" w:hAnsi="宋体" w:eastAsia="宋体" w:cs="宋体"/>
          <w:color w:val="auto"/>
          <w:sz w:val="21"/>
          <w:szCs w:val="21"/>
        </w:rPr>
        <w:t> </w:t>
      </w:r>
    </w:p>
    <w:p w14:paraId="1F354A34">
      <w:pPr>
        <w:pStyle w:val="17"/>
        <w:widowControl/>
        <w:spacing w:before="75" w:beforeAutospacing="0" w:after="75" w:afterAutospacing="0"/>
        <w:rPr>
          <w:color w:val="auto"/>
        </w:rPr>
      </w:pPr>
      <w:r>
        <w:rPr>
          <w:color w:val="auto"/>
        </w:rPr>
        <w:t> </w:t>
      </w:r>
    </w:p>
    <w:p w14:paraId="2B8569A6">
      <w:pPr>
        <w:rPr>
          <w:color w:val="auto"/>
        </w:rPr>
      </w:pPr>
    </w:p>
    <w:sectPr>
      <w:footerReference r:id="rId3" w:type="default"/>
      <w:pgSz w:w="11906" w:h="16838"/>
      <w:pgMar w:top="1440" w:right="1800" w:bottom="1440" w:left="13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B6E61">
    <w:pPr>
      <w:pStyle w:val="13"/>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_x0000_s1026"/>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14:paraId="248FAA1F">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vert="horz" wrap="square" lIns="0" tIns="0" rIns="0" bIns="0" anchor="t" anchorCtr="0"/>
                  </wps:wsp>
                </a:graphicData>
              </a:graphic>
            </wp:anchor>
          </w:drawing>
        </mc:Choice>
        <mc:Fallback>
          <w:pict>
            <v:rect id="_x0000_s1026" o:spid="_x0000_s1026" o:spt="1" style="position:absolute;left:0pt;margin-top:0pt;height:144pt;width:144pt;mso-position-horizontal:center;mso-position-horizontal-relative:margin;z-index:251659264;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mtmPLTAAAA&#10;BQEAAA8AAAAAAAAAAQAgAAAAIgAAAGRycy9kb3ducmV2LnhtbFBLAQIUABQAAAAIAIdO4kCUZp4D&#10;sAEAAHYDAAAOAAAAAAAAAAEAIAAAACIBAABkcnMvZTJvRG9jLnhtbFBLBQYAAAAABgAGAFkBAABE&#10;BQAAAAA=&#10;">
              <v:fill on="f" focussize="0,0"/>
              <v:stroke on="f"/>
              <v:imagedata o:title=""/>
              <o:lock v:ext="edit" aspectratio="f"/>
              <v:textbox inset="0mm,0mm,0mm,0mm">
                <w:txbxContent>
                  <w:p w14:paraId="248FAA1F">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2D9A6"/>
    <w:multiLevelType w:val="singleLevel"/>
    <w:tmpl w:val="83E2D9A6"/>
    <w:lvl w:ilvl="0" w:tentative="0">
      <w:start w:val="1"/>
      <w:numFmt w:val="decimal"/>
      <w:suff w:val="nothing"/>
      <w:lvlText w:val="%1、"/>
      <w:lvlJc w:val="left"/>
    </w:lvl>
  </w:abstractNum>
  <w:abstractNum w:abstractNumId="1">
    <w:nsid w:val="997BF5D4"/>
    <w:multiLevelType w:val="singleLevel"/>
    <w:tmpl w:val="997BF5D4"/>
    <w:lvl w:ilvl="0" w:tentative="0">
      <w:start w:val="1"/>
      <w:numFmt w:val="chineseCounting"/>
      <w:suff w:val="nothing"/>
      <w:lvlText w:val="（%1）"/>
      <w:lvlJc w:val="left"/>
      <w:rPr>
        <w:rFonts w:hint="eastAsia"/>
      </w:rPr>
    </w:lvl>
  </w:abstractNum>
  <w:abstractNum w:abstractNumId="2">
    <w:nsid w:val="2744F2A8"/>
    <w:multiLevelType w:val="singleLevel"/>
    <w:tmpl w:val="2744F2A8"/>
    <w:lvl w:ilvl="0" w:tentative="0">
      <w:start w:val="1"/>
      <w:numFmt w:val="decimal"/>
      <w:suff w:val="nothing"/>
      <w:lvlText w:val="%1、"/>
      <w:lvlJc w:val="left"/>
    </w:lvl>
  </w:abstractNum>
  <w:abstractNum w:abstractNumId="3">
    <w:nsid w:val="560F73D0"/>
    <w:multiLevelType w:val="singleLevel"/>
    <w:tmpl w:val="560F73D0"/>
    <w:lvl w:ilvl="0" w:tentative="0">
      <w:start w:val="2"/>
      <w:numFmt w:val="chineseCounting"/>
      <w:suff w:val="nothing"/>
      <w:lvlText w:val="（%1）"/>
      <w:lvlJc w:val="left"/>
      <w:rPr>
        <w:rFonts w:hint="eastAsia"/>
      </w:rPr>
    </w:lvl>
  </w:abstractNum>
  <w:abstractNum w:abstractNumId="4">
    <w:nsid w:val="7D285955"/>
    <w:multiLevelType w:val="singleLevel"/>
    <w:tmpl w:val="7D285955"/>
    <w:lvl w:ilvl="0" w:tentative="0">
      <w:start w:val="1"/>
      <w:numFmt w:val="chineseCounting"/>
      <w:suff w:val="nothing"/>
      <w:lvlText w:val="%1、"/>
      <w:lvlJc w:val="left"/>
      <w:pPr>
        <w:ind w:left="210"/>
      </w:pPr>
      <w:rPr>
        <w:rFonts w:hint="eastAsi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NDFjODhiOTJiYTkzZjE3MWExMzYwZTU2MDY4ZGEifQ=="/>
  </w:docVars>
  <w:rsids>
    <w:rsidRoot w:val="00DD6853"/>
    <w:rsid w:val="000022A4"/>
    <w:rsid w:val="00090087"/>
    <w:rsid w:val="000D1E00"/>
    <w:rsid w:val="000D387A"/>
    <w:rsid w:val="00120E1A"/>
    <w:rsid w:val="0014730E"/>
    <w:rsid w:val="00171089"/>
    <w:rsid w:val="00171595"/>
    <w:rsid w:val="00211D99"/>
    <w:rsid w:val="002362C8"/>
    <w:rsid w:val="002C6344"/>
    <w:rsid w:val="002F31AF"/>
    <w:rsid w:val="00306DB5"/>
    <w:rsid w:val="003C23B2"/>
    <w:rsid w:val="003D6656"/>
    <w:rsid w:val="003F18EC"/>
    <w:rsid w:val="00437D26"/>
    <w:rsid w:val="00465ECB"/>
    <w:rsid w:val="004B0364"/>
    <w:rsid w:val="004C076F"/>
    <w:rsid w:val="0051664E"/>
    <w:rsid w:val="005225E7"/>
    <w:rsid w:val="00522FC3"/>
    <w:rsid w:val="00546701"/>
    <w:rsid w:val="005730D3"/>
    <w:rsid w:val="00625A9B"/>
    <w:rsid w:val="00661959"/>
    <w:rsid w:val="00667372"/>
    <w:rsid w:val="00701296"/>
    <w:rsid w:val="00772F3D"/>
    <w:rsid w:val="007F4FFB"/>
    <w:rsid w:val="0088372C"/>
    <w:rsid w:val="008C355B"/>
    <w:rsid w:val="008D3943"/>
    <w:rsid w:val="00923192"/>
    <w:rsid w:val="00937B5A"/>
    <w:rsid w:val="00946688"/>
    <w:rsid w:val="00960C22"/>
    <w:rsid w:val="009C074A"/>
    <w:rsid w:val="009C7A2B"/>
    <w:rsid w:val="009E2FAB"/>
    <w:rsid w:val="00A24444"/>
    <w:rsid w:val="00A340AF"/>
    <w:rsid w:val="00A724C8"/>
    <w:rsid w:val="00AA7FFE"/>
    <w:rsid w:val="00B05F8A"/>
    <w:rsid w:val="00B22084"/>
    <w:rsid w:val="00B644CF"/>
    <w:rsid w:val="00B94352"/>
    <w:rsid w:val="00BB6E65"/>
    <w:rsid w:val="00BF273D"/>
    <w:rsid w:val="00BF58CD"/>
    <w:rsid w:val="00C14BDB"/>
    <w:rsid w:val="00C25C0A"/>
    <w:rsid w:val="00D05093"/>
    <w:rsid w:val="00D10D31"/>
    <w:rsid w:val="00D143AA"/>
    <w:rsid w:val="00D42881"/>
    <w:rsid w:val="00D45028"/>
    <w:rsid w:val="00D452D3"/>
    <w:rsid w:val="00D551E3"/>
    <w:rsid w:val="00DD6853"/>
    <w:rsid w:val="00DE6EB3"/>
    <w:rsid w:val="00E1001B"/>
    <w:rsid w:val="00E607E0"/>
    <w:rsid w:val="00E7781A"/>
    <w:rsid w:val="00E95644"/>
    <w:rsid w:val="00ED3A97"/>
    <w:rsid w:val="00F67602"/>
    <w:rsid w:val="00F969E8"/>
    <w:rsid w:val="00FA6570"/>
    <w:rsid w:val="00FC05C0"/>
    <w:rsid w:val="00FE391A"/>
    <w:rsid w:val="00FE48E5"/>
    <w:rsid w:val="01AC3A93"/>
    <w:rsid w:val="01C7267B"/>
    <w:rsid w:val="02053E88"/>
    <w:rsid w:val="03127926"/>
    <w:rsid w:val="03677581"/>
    <w:rsid w:val="0443020F"/>
    <w:rsid w:val="045A5B8C"/>
    <w:rsid w:val="046643CE"/>
    <w:rsid w:val="0488798E"/>
    <w:rsid w:val="048C3708"/>
    <w:rsid w:val="04A5162E"/>
    <w:rsid w:val="06ED33E1"/>
    <w:rsid w:val="07027CB2"/>
    <w:rsid w:val="072D2F81"/>
    <w:rsid w:val="07F60B29"/>
    <w:rsid w:val="07FC605F"/>
    <w:rsid w:val="082425D6"/>
    <w:rsid w:val="08681D0C"/>
    <w:rsid w:val="08A449DF"/>
    <w:rsid w:val="0A1421D6"/>
    <w:rsid w:val="0A4E56DA"/>
    <w:rsid w:val="0BD55459"/>
    <w:rsid w:val="0BF36E6D"/>
    <w:rsid w:val="0C105273"/>
    <w:rsid w:val="0C5525D2"/>
    <w:rsid w:val="0CA81B29"/>
    <w:rsid w:val="0D271511"/>
    <w:rsid w:val="0DF01CA5"/>
    <w:rsid w:val="0E455054"/>
    <w:rsid w:val="0E7A5673"/>
    <w:rsid w:val="0EA8609C"/>
    <w:rsid w:val="0F6743E2"/>
    <w:rsid w:val="0F7E1042"/>
    <w:rsid w:val="0FB029A1"/>
    <w:rsid w:val="0FCB6181"/>
    <w:rsid w:val="103233B6"/>
    <w:rsid w:val="103359C7"/>
    <w:rsid w:val="10466E61"/>
    <w:rsid w:val="10611EED"/>
    <w:rsid w:val="10853E2D"/>
    <w:rsid w:val="11784D16"/>
    <w:rsid w:val="11D5049D"/>
    <w:rsid w:val="126A51FF"/>
    <w:rsid w:val="126E2D03"/>
    <w:rsid w:val="12CF2183"/>
    <w:rsid w:val="12EA7F78"/>
    <w:rsid w:val="13792378"/>
    <w:rsid w:val="13893C35"/>
    <w:rsid w:val="13D140B0"/>
    <w:rsid w:val="145C5FB3"/>
    <w:rsid w:val="14AC2B62"/>
    <w:rsid w:val="14B35332"/>
    <w:rsid w:val="1548367B"/>
    <w:rsid w:val="155618F4"/>
    <w:rsid w:val="157643FE"/>
    <w:rsid w:val="15DD4ECB"/>
    <w:rsid w:val="164A3AD6"/>
    <w:rsid w:val="1715250F"/>
    <w:rsid w:val="18427B7F"/>
    <w:rsid w:val="189E5F8F"/>
    <w:rsid w:val="18CB23AE"/>
    <w:rsid w:val="18E6772B"/>
    <w:rsid w:val="195C14A3"/>
    <w:rsid w:val="19714C6D"/>
    <w:rsid w:val="19EB3D17"/>
    <w:rsid w:val="19F94F44"/>
    <w:rsid w:val="1A284ADA"/>
    <w:rsid w:val="1AB82F3D"/>
    <w:rsid w:val="1B1217BF"/>
    <w:rsid w:val="1B830F69"/>
    <w:rsid w:val="1B950F86"/>
    <w:rsid w:val="1BA333BA"/>
    <w:rsid w:val="1BDD2D6F"/>
    <w:rsid w:val="1C030F74"/>
    <w:rsid w:val="1CE73720"/>
    <w:rsid w:val="1D644DCB"/>
    <w:rsid w:val="1E6964CC"/>
    <w:rsid w:val="1EC91389"/>
    <w:rsid w:val="1ECA760C"/>
    <w:rsid w:val="1FBC0EEE"/>
    <w:rsid w:val="200B1443"/>
    <w:rsid w:val="20203F84"/>
    <w:rsid w:val="20EC135F"/>
    <w:rsid w:val="220C2143"/>
    <w:rsid w:val="22FB2B87"/>
    <w:rsid w:val="23437E94"/>
    <w:rsid w:val="23AC1491"/>
    <w:rsid w:val="23C640E9"/>
    <w:rsid w:val="249C0F87"/>
    <w:rsid w:val="255C36D3"/>
    <w:rsid w:val="25887F93"/>
    <w:rsid w:val="25A466AC"/>
    <w:rsid w:val="26651F3A"/>
    <w:rsid w:val="26F51CE9"/>
    <w:rsid w:val="2708462A"/>
    <w:rsid w:val="270C4509"/>
    <w:rsid w:val="270E5857"/>
    <w:rsid w:val="271123A4"/>
    <w:rsid w:val="278E72DD"/>
    <w:rsid w:val="28304892"/>
    <w:rsid w:val="285A4062"/>
    <w:rsid w:val="2898484E"/>
    <w:rsid w:val="28B90679"/>
    <w:rsid w:val="28BD7465"/>
    <w:rsid w:val="2929187C"/>
    <w:rsid w:val="29443F41"/>
    <w:rsid w:val="29FD7B39"/>
    <w:rsid w:val="2A2D071D"/>
    <w:rsid w:val="2A4A19FA"/>
    <w:rsid w:val="2A5C57A7"/>
    <w:rsid w:val="2A6E7289"/>
    <w:rsid w:val="2A9C5BA4"/>
    <w:rsid w:val="2AA95078"/>
    <w:rsid w:val="2B6C72C5"/>
    <w:rsid w:val="2BD96984"/>
    <w:rsid w:val="2BDA4BD6"/>
    <w:rsid w:val="2BEA646B"/>
    <w:rsid w:val="2BFC064E"/>
    <w:rsid w:val="2C2C5EA6"/>
    <w:rsid w:val="2C676571"/>
    <w:rsid w:val="2C8C7149"/>
    <w:rsid w:val="2DC408E7"/>
    <w:rsid w:val="2E8B0409"/>
    <w:rsid w:val="2E9E309D"/>
    <w:rsid w:val="2ED863E8"/>
    <w:rsid w:val="2EEB70FA"/>
    <w:rsid w:val="2EF17758"/>
    <w:rsid w:val="2F316C36"/>
    <w:rsid w:val="303E14AB"/>
    <w:rsid w:val="30986E0D"/>
    <w:rsid w:val="311373EE"/>
    <w:rsid w:val="318E35A9"/>
    <w:rsid w:val="31A1054D"/>
    <w:rsid w:val="31F12C79"/>
    <w:rsid w:val="3205419A"/>
    <w:rsid w:val="323E597C"/>
    <w:rsid w:val="32CE73F5"/>
    <w:rsid w:val="339F09A9"/>
    <w:rsid w:val="33DD7851"/>
    <w:rsid w:val="33E54F7B"/>
    <w:rsid w:val="34B31A1F"/>
    <w:rsid w:val="35704203"/>
    <w:rsid w:val="35731BF7"/>
    <w:rsid w:val="35CB37E1"/>
    <w:rsid w:val="35DA3658"/>
    <w:rsid w:val="364D2448"/>
    <w:rsid w:val="36853990"/>
    <w:rsid w:val="37313B18"/>
    <w:rsid w:val="37F92887"/>
    <w:rsid w:val="381C34E2"/>
    <w:rsid w:val="381C796E"/>
    <w:rsid w:val="39423B23"/>
    <w:rsid w:val="394D359B"/>
    <w:rsid w:val="39BA4298"/>
    <w:rsid w:val="3AA96BF6"/>
    <w:rsid w:val="3AD66425"/>
    <w:rsid w:val="3BBB5CD9"/>
    <w:rsid w:val="3BDA6CC8"/>
    <w:rsid w:val="3BE41159"/>
    <w:rsid w:val="3C0339FD"/>
    <w:rsid w:val="3C1747F4"/>
    <w:rsid w:val="3C2148F9"/>
    <w:rsid w:val="3C7D5372"/>
    <w:rsid w:val="3C8F1F46"/>
    <w:rsid w:val="3CE41E78"/>
    <w:rsid w:val="3D026B9F"/>
    <w:rsid w:val="3DEA43F9"/>
    <w:rsid w:val="3DF5589F"/>
    <w:rsid w:val="3E025133"/>
    <w:rsid w:val="3E0A3328"/>
    <w:rsid w:val="3E5A1BA6"/>
    <w:rsid w:val="3E5D7769"/>
    <w:rsid w:val="3E6E6B91"/>
    <w:rsid w:val="3E8E0E2A"/>
    <w:rsid w:val="3ECD6708"/>
    <w:rsid w:val="3FB65EE3"/>
    <w:rsid w:val="400718BA"/>
    <w:rsid w:val="406C4128"/>
    <w:rsid w:val="407B2AB9"/>
    <w:rsid w:val="40BD3397"/>
    <w:rsid w:val="41BC4BE0"/>
    <w:rsid w:val="41BE0DB4"/>
    <w:rsid w:val="41E86305"/>
    <w:rsid w:val="41FF0A9A"/>
    <w:rsid w:val="41FF48E5"/>
    <w:rsid w:val="425F778B"/>
    <w:rsid w:val="427977F3"/>
    <w:rsid w:val="42A11B51"/>
    <w:rsid w:val="42AD74ED"/>
    <w:rsid w:val="42DA32B5"/>
    <w:rsid w:val="43375B7B"/>
    <w:rsid w:val="433B66DF"/>
    <w:rsid w:val="435374C7"/>
    <w:rsid w:val="437B70E6"/>
    <w:rsid w:val="43E108C4"/>
    <w:rsid w:val="44C672D2"/>
    <w:rsid w:val="45032C1E"/>
    <w:rsid w:val="45154A79"/>
    <w:rsid w:val="45160E6F"/>
    <w:rsid w:val="458E0080"/>
    <w:rsid w:val="45F0453C"/>
    <w:rsid w:val="46CD2D2F"/>
    <w:rsid w:val="46F86A5C"/>
    <w:rsid w:val="47602312"/>
    <w:rsid w:val="47745153"/>
    <w:rsid w:val="480B55CB"/>
    <w:rsid w:val="487B68A9"/>
    <w:rsid w:val="489013B2"/>
    <w:rsid w:val="48A00AFD"/>
    <w:rsid w:val="48DA22F3"/>
    <w:rsid w:val="48F03833"/>
    <w:rsid w:val="49445706"/>
    <w:rsid w:val="49E035A5"/>
    <w:rsid w:val="4A2336D4"/>
    <w:rsid w:val="4B027A42"/>
    <w:rsid w:val="4B466C11"/>
    <w:rsid w:val="4B895F20"/>
    <w:rsid w:val="4BDB78EF"/>
    <w:rsid w:val="4BF41C94"/>
    <w:rsid w:val="4C2F01CE"/>
    <w:rsid w:val="4CC254E6"/>
    <w:rsid w:val="4CD13867"/>
    <w:rsid w:val="4CE4720A"/>
    <w:rsid w:val="4D0D18D2"/>
    <w:rsid w:val="4DBD3866"/>
    <w:rsid w:val="4E187028"/>
    <w:rsid w:val="4E5D39F1"/>
    <w:rsid w:val="4E8642F1"/>
    <w:rsid w:val="4EA01857"/>
    <w:rsid w:val="4F306087"/>
    <w:rsid w:val="4F6F432B"/>
    <w:rsid w:val="512633AA"/>
    <w:rsid w:val="51BE2A82"/>
    <w:rsid w:val="51E22AC1"/>
    <w:rsid w:val="520E65C7"/>
    <w:rsid w:val="526A4E0F"/>
    <w:rsid w:val="527A33B0"/>
    <w:rsid w:val="52DD61F2"/>
    <w:rsid w:val="53D167AB"/>
    <w:rsid w:val="54703A7A"/>
    <w:rsid w:val="54A342C6"/>
    <w:rsid w:val="54F91BAD"/>
    <w:rsid w:val="54FA13EA"/>
    <w:rsid w:val="55256612"/>
    <w:rsid w:val="558531AE"/>
    <w:rsid w:val="55C37BD9"/>
    <w:rsid w:val="56850670"/>
    <w:rsid w:val="56F313F8"/>
    <w:rsid w:val="570D3992"/>
    <w:rsid w:val="571A43BF"/>
    <w:rsid w:val="574323B2"/>
    <w:rsid w:val="57931F59"/>
    <w:rsid w:val="5794182D"/>
    <w:rsid w:val="57CA4A7F"/>
    <w:rsid w:val="58246EA5"/>
    <w:rsid w:val="58550FBC"/>
    <w:rsid w:val="5868290B"/>
    <w:rsid w:val="58A16B4D"/>
    <w:rsid w:val="58AF311F"/>
    <w:rsid w:val="58E81E30"/>
    <w:rsid w:val="595F7FC5"/>
    <w:rsid w:val="597931D9"/>
    <w:rsid w:val="59811520"/>
    <w:rsid w:val="599F742B"/>
    <w:rsid w:val="59CA3C2C"/>
    <w:rsid w:val="59FA01B5"/>
    <w:rsid w:val="5A0A5DD6"/>
    <w:rsid w:val="5A2B6DF8"/>
    <w:rsid w:val="5B405C94"/>
    <w:rsid w:val="5BF065F9"/>
    <w:rsid w:val="5C781F0A"/>
    <w:rsid w:val="5D1968BC"/>
    <w:rsid w:val="5D213B63"/>
    <w:rsid w:val="5D494E68"/>
    <w:rsid w:val="5D9B7800"/>
    <w:rsid w:val="5DC8333E"/>
    <w:rsid w:val="5DD0460F"/>
    <w:rsid w:val="5DE509C9"/>
    <w:rsid w:val="5E043B29"/>
    <w:rsid w:val="5EB0091D"/>
    <w:rsid w:val="5EC33AA4"/>
    <w:rsid w:val="5EFB16A0"/>
    <w:rsid w:val="5F0B55A5"/>
    <w:rsid w:val="5F7A3198"/>
    <w:rsid w:val="60286EAC"/>
    <w:rsid w:val="60381A31"/>
    <w:rsid w:val="60D6228D"/>
    <w:rsid w:val="618E553F"/>
    <w:rsid w:val="619353C3"/>
    <w:rsid w:val="61AA73E9"/>
    <w:rsid w:val="61FC06FB"/>
    <w:rsid w:val="6241653A"/>
    <w:rsid w:val="62C55544"/>
    <w:rsid w:val="62FE48F5"/>
    <w:rsid w:val="63A74C8C"/>
    <w:rsid w:val="63EA5381"/>
    <w:rsid w:val="63F7334F"/>
    <w:rsid w:val="647D6288"/>
    <w:rsid w:val="64EF1195"/>
    <w:rsid w:val="653843FB"/>
    <w:rsid w:val="65570582"/>
    <w:rsid w:val="65762DA6"/>
    <w:rsid w:val="65952724"/>
    <w:rsid w:val="663D12E2"/>
    <w:rsid w:val="665D4E3F"/>
    <w:rsid w:val="675B2BFF"/>
    <w:rsid w:val="6784366C"/>
    <w:rsid w:val="67B2371F"/>
    <w:rsid w:val="67B53825"/>
    <w:rsid w:val="67EB29F5"/>
    <w:rsid w:val="68EA3F41"/>
    <w:rsid w:val="69420049"/>
    <w:rsid w:val="695A0B28"/>
    <w:rsid w:val="697D46DB"/>
    <w:rsid w:val="69C47DF1"/>
    <w:rsid w:val="69CF4947"/>
    <w:rsid w:val="6AA2209C"/>
    <w:rsid w:val="6AE0417B"/>
    <w:rsid w:val="6B052C78"/>
    <w:rsid w:val="6B0B3F90"/>
    <w:rsid w:val="6B1A7B12"/>
    <w:rsid w:val="6B227784"/>
    <w:rsid w:val="6B39651C"/>
    <w:rsid w:val="6B3965D1"/>
    <w:rsid w:val="6B517558"/>
    <w:rsid w:val="6B5275DD"/>
    <w:rsid w:val="6BB867D7"/>
    <w:rsid w:val="6BD83F86"/>
    <w:rsid w:val="6C3E1F20"/>
    <w:rsid w:val="6C770A8E"/>
    <w:rsid w:val="6C883C86"/>
    <w:rsid w:val="6C94677C"/>
    <w:rsid w:val="6D3B2A1F"/>
    <w:rsid w:val="6D8D04A3"/>
    <w:rsid w:val="6DF17581"/>
    <w:rsid w:val="6E286E02"/>
    <w:rsid w:val="6E7B0FAB"/>
    <w:rsid w:val="6E7E601D"/>
    <w:rsid w:val="6E8126B3"/>
    <w:rsid w:val="6EB54143"/>
    <w:rsid w:val="6F1C062E"/>
    <w:rsid w:val="6F543924"/>
    <w:rsid w:val="6FCB66BB"/>
    <w:rsid w:val="6FFF70A2"/>
    <w:rsid w:val="70453BB5"/>
    <w:rsid w:val="70455963"/>
    <w:rsid w:val="709561A1"/>
    <w:rsid w:val="70AB34A4"/>
    <w:rsid w:val="70FE448F"/>
    <w:rsid w:val="71876F91"/>
    <w:rsid w:val="72897D89"/>
    <w:rsid w:val="728D3298"/>
    <w:rsid w:val="730E1CC8"/>
    <w:rsid w:val="73137F9A"/>
    <w:rsid w:val="739055FE"/>
    <w:rsid w:val="73CC68DA"/>
    <w:rsid w:val="74074D1D"/>
    <w:rsid w:val="74277859"/>
    <w:rsid w:val="744407F5"/>
    <w:rsid w:val="74975A9E"/>
    <w:rsid w:val="751B6764"/>
    <w:rsid w:val="757E2861"/>
    <w:rsid w:val="760C17EB"/>
    <w:rsid w:val="76216D6A"/>
    <w:rsid w:val="762318EA"/>
    <w:rsid w:val="76B635AF"/>
    <w:rsid w:val="775546DD"/>
    <w:rsid w:val="775E11E4"/>
    <w:rsid w:val="77A22893"/>
    <w:rsid w:val="78000DC7"/>
    <w:rsid w:val="782E2727"/>
    <w:rsid w:val="78973C6F"/>
    <w:rsid w:val="78AD0549"/>
    <w:rsid w:val="78B35AFC"/>
    <w:rsid w:val="793F01D8"/>
    <w:rsid w:val="79646E59"/>
    <w:rsid w:val="796D74A3"/>
    <w:rsid w:val="7994406D"/>
    <w:rsid w:val="7A1253F6"/>
    <w:rsid w:val="7A915496"/>
    <w:rsid w:val="7AE27952"/>
    <w:rsid w:val="7AED4944"/>
    <w:rsid w:val="7B252618"/>
    <w:rsid w:val="7BBD07FA"/>
    <w:rsid w:val="7C2B43D3"/>
    <w:rsid w:val="7C410644"/>
    <w:rsid w:val="7C887303"/>
    <w:rsid w:val="7CCD43AA"/>
    <w:rsid w:val="7D165DED"/>
    <w:rsid w:val="7D33726F"/>
    <w:rsid w:val="7DC44AEB"/>
    <w:rsid w:val="7DD50326"/>
    <w:rsid w:val="7E7A3A8F"/>
    <w:rsid w:val="7EA91BB4"/>
    <w:rsid w:val="7EFF2CB0"/>
    <w:rsid w:val="7FE907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qFormat="1" w:uiPriority="9" w:semiHidden="0" w:name="heading 2"/>
    <w:lsdException w:qFormat="1" w:uiPriority="0" w:name="heading 3"/>
    <w:lsdException w:qFormat="1" w:uiPriority="0" w:semiHidden="0" w:name="heading 4"/>
    <w:lsdException w:uiPriority="99" w:name="heading 5"/>
    <w:lsdException w:uiPriority="99" w:name="heading 6"/>
    <w:lsdException w:uiPriority="99" w:name="heading 7"/>
    <w:lsdException w:uiPriority="99" w:name="heading 8"/>
    <w:lsdException w:uiPriority="99" w:name="heading 9"/>
    <w:lsdException w:qFormat="1" w:uiPriority="99"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qFormat="1"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qFormat="1" w:unhideWhenUsed="0" w:uiPriority="0" w:semiHidden="0" w:name="Normal Indent"/>
    <w:lsdException w:unhideWhenUsed="0" w:uiPriority="99"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qFormat="1" w:unhideWhenUsed="0" w:uiPriority="0" w:semiHidden="0" w:name="envelope return"/>
    <w:lsdException w:unhideWhenUsed="0" w:uiPriority="99" w:semiHidden="0" w:name="footnote reference"/>
    <w:lsdException w:qFormat="1" w:unhideWhenUsed="0" w:uiPriority="0"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qFormat="1" w:uiPriority="99" w:semiHidden="0" w:name="Message Header"/>
    <w:lsdException w:unhideWhenUsed="0" w:uiPriority="99" w:semiHidden="0" w:name="Subtitle"/>
    <w:lsdException w:unhideWhenUsed="0" w:uiPriority="99" w:semiHidden="0" w:name="Salutation"/>
    <w:lsdException w:unhideWhenUsed="0" w:uiPriority="99" w:semiHidden="0" w:name="Date"/>
    <w:lsdException w:qFormat="1" w:unhideWhenUsed="0" w:uiPriority="99" w:semiHidden="0" w:name="Body Text First Indent"/>
    <w:lsdException w:qFormat="1"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qFormat="1" w:unhideWhenUsed="0" w:uiPriority="0" w:semiHidden="0" w:name="Hyperlink"/>
    <w:lsdException w:unhideWhenUsed="0" w:uiPriority="99" w:semiHidden="0" w:name="FollowedHyperlink"/>
    <w:lsdException w:qFormat="1" w:unhideWhenUsed="0" w:uiPriority="0" w:semiHidden="0" w:name="Strong"/>
    <w:lsdException w:qFormat="1" w:unhideWhenUsed="0" w:uiPriority="99" w:semiHidden="0" w:name="Emphasis"/>
    <w:lsdException w:unhideWhenUsed="0" w:uiPriority="99" w:semiHidden="0" w:name="Document Map"/>
    <w:lsdException w:qFormat="1" w:unhideWhenUsed="0" w:uiPriority="0" w:semiHidden="0" w:name="Plain Text"/>
    <w:lsdException w:unhideWhenUsed="0" w:uiPriority="99"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qFormat="1" w:unhideWhenUsed="0" w:uiPriority="0"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nhideWhenUsed="0" w:uiPriority="0"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5">
    <w:name w:val="heading 4"/>
    <w:basedOn w:val="1"/>
    <w:next w:val="1"/>
    <w:autoRedefine/>
    <w:unhideWhenUsed/>
    <w:qFormat/>
    <w:uiPriority w:val="0"/>
    <w:pPr>
      <w:spacing w:before="100" w:beforeAutospacing="1" w:after="100" w:afterAutospacing="1"/>
      <w:jc w:val="left"/>
      <w:outlineLvl w:val="3"/>
    </w:pPr>
    <w:rPr>
      <w:rFonts w:hint="eastAsia" w:ascii="宋体" w:hAnsi="宋体" w:eastAsia="宋体" w:cs="Times New Roman"/>
      <w:b/>
      <w:bCs/>
      <w:kern w:val="0"/>
      <w:sz w:val="24"/>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widowControl/>
      <w:spacing w:before="25" w:after="25"/>
      <w:jc w:val="left"/>
    </w:pPr>
    <w:rPr>
      <w:rFonts w:ascii="Times" w:hAnsi="Times" w:cs="宋体"/>
      <w:spacing w:val="10"/>
      <w:kern w:val="0"/>
      <w:sz w:val="24"/>
      <w:szCs w:val="24"/>
    </w:rPr>
  </w:style>
  <w:style w:type="paragraph" w:styleId="6">
    <w:name w:val="Normal Indent"/>
    <w:basedOn w:val="1"/>
    <w:autoRedefine/>
    <w:qFormat/>
    <w:uiPriority w:val="0"/>
    <w:pPr>
      <w:ind w:firstLine="420"/>
    </w:pPr>
    <w:rPr>
      <w:kern w:val="2"/>
      <w:sz w:val="21"/>
    </w:rPr>
  </w:style>
  <w:style w:type="paragraph" w:styleId="7">
    <w:name w:val="annotation text"/>
    <w:basedOn w:val="1"/>
    <w:link w:val="39"/>
    <w:autoRedefine/>
    <w:semiHidden/>
    <w:qFormat/>
    <w:uiPriority w:val="0"/>
    <w:pPr>
      <w:jc w:val="left"/>
    </w:pPr>
  </w:style>
  <w:style w:type="paragraph" w:styleId="8">
    <w:name w:val="Body Text"/>
    <w:basedOn w:val="1"/>
    <w:autoRedefine/>
    <w:qFormat/>
    <w:uiPriority w:val="99"/>
    <w:rPr>
      <w:rFonts w:ascii="黑体" w:hAnsi="Courier New" w:eastAsia="黑体"/>
      <w:sz w:val="30"/>
      <w:shd w:val="pct10" w:color="auto" w:fill="FFFFFF"/>
    </w:rPr>
  </w:style>
  <w:style w:type="paragraph" w:styleId="9">
    <w:name w:val="Body Text Indent"/>
    <w:basedOn w:val="1"/>
    <w:next w:val="10"/>
    <w:autoRedefine/>
    <w:qFormat/>
    <w:uiPriority w:val="0"/>
    <w:pPr>
      <w:widowControl/>
      <w:tabs>
        <w:tab w:val="left" w:pos="0"/>
        <w:tab w:val="left" w:pos="993"/>
        <w:tab w:val="left" w:pos="1134"/>
      </w:tabs>
      <w:spacing w:line="500" w:lineRule="exact"/>
      <w:ind w:firstLine="567"/>
    </w:pPr>
    <w:rPr>
      <w:rFonts w:ascii="宋体"/>
      <w:sz w:val="28"/>
    </w:rPr>
  </w:style>
  <w:style w:type="paragraph" w:styleId="10">
    <w:name w:val="envelope return"/>
    <w:basedOn w:val="1"/>
    <w:autoRedefine/>
    <w:qFormat/>
    <w:uiPriority w:val="0"/>
    <w:pPr>
      <w:snapToGrid w:val="0"/>
    </w:pPr>
    <w:rPr>
      <w:rFonts w:ascii="Arial" w:hAnsi="Arial"/>
    </w:rPr>
  </w:style>
  <w:style w:type="paragraph" w:styleId="11">
    <w:name w:val="Plain Text"/>
    <w:basedOn w:val="1"/>
    <w:autoRedefine/>
    <w:qFormat/>
    <w:uiPriority w:val="0"/>
    <w:rPr>
      <w:rFonts w:ascii="宋体" w:hAnsi="Courier New"/>
      <w:szCs w:val="20"/>
    </w:rPr>
  </w:style>
  <w:style w:type="paragraph" w:styleId="12">
    <w:name w:val="Balloon Text"/>
    <w:basedOn w:val="1"/>
    <w:link w:val="36"/>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rPr>
  </w:style>
  <w:style w:type="paragraph" w:styleId="1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2"/>
    <w:basedOn w:val="1"/>
    <w:next w:val="1"/>
    <w:autoRedefine/>
    <w:qFormat/>
    <w:uiPriority w:val="99"/>
    <w:pPr>
      <w:ind w:left="420" w:leftChars="200"/>
    </w:pPr>
  </w:style>
  <w:style w:type="paragraph" w:styleId="16">
    <w:name w:val="Message Header"/>
    <w:basedOn w:val="1"/>
    <w:autoRedefine/>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kern w:val="0"/>
      <w:sz w:val="24"/>
    </w:rPr>
  </w:style>
  <w:style w:type="paragraph" w:styleId="17">
    <w:name w:val="Normal (Web)"/>
    <w:basedOn w:val="1"/>
    <w:autoRedefine/>
    <w:qFormat/>
    <w:uiPriority w:val="0"/>
    <w:pPr>
      <w:spacing w:beforeAutospacing="1" w:afterAutospacing="1"/>
      <w:jc w:val="left"/>
    </w:pPr>
    <w:rPr>
      <w:rFonts w:cs="Times New Roman"/>
      <w:kern w:val="0"/>
      <w:sz w:val="24"/>
    </w:rPr>
  </w:style>
  <w:style w:type="paragraph" w:styleId="18">
    <w:name w:val="index 1"/>
    <w:basedOn w:val="1"/>
    <w:next w:val="1"/>
    <w:autoRedefine/>
    <w:semiHidden/>
    <w:unhideWhenUsed/>
    <w:qFormat/>
    <w:uiPriority w:val="99"/>
  </w:style>
  <w:style w:type="paragraph" w:styleId="19">
    <w:name w:val="Title"/>
    <w:basedOn w:val="1"/>
    <w:autoRedefine/>
    <w:qFormat/>
    <w:uiPriority w:val="99"/>
    <w:pPr>
      <w:spacing w:before="240" w:after="60"/>
      <w:jc w:val="center"/>
      <w:outlineLvl w:val="0"/>
    </w:pPr>
    <w:rPr>
      <w:rFonts w:ascii="Cambria" w:hAnsi="Cambria"/>
      <w:b/>
      <w:bCs/>
      <w:sz w:val="32"/>
      <w:szCs w:val="32"/>
    </w:rPr>
  </w:style>
  <w:style w:type="paragraph" w:styleId="20">
    <w:name w:val="annotation subject"/>
    <w:basedOn w:val="7"/>
    <w:next w:val="7"/>
    <w:link w:val="40"/>
    <w:autoRedefine/>
    <w:qFormat/>
    <w:uiPriority w:val="0"/>
    <w:rPr>
      <w:b/>
      <w:bCs/>
    </w:rPr>
  </w:style>
  <w:style w:type="paragraph" w:styleId="21">
    <w:name w:val="Body Text First Indent"/>
    <w:basedOn w:val="8"/>
    <w:autoRedefine/>
    <w:qFormat/>
    <w:uiPriority w:val="99"/>
    <w:pPr>
      <w:spacing w:after="120"/>
      <w:ind w:firstLine="420" w:firstLineChars="100"/>
    </w:pPr>
    <w:rPr>
      <w:rFonts w:ascii="Verdana" w:hAnsi="Verdana"/>
      <w:szCs w:val="21"/>
    </w:rPr>
  </w:style>
  <w:style w:type="paragraph" w:styleId="22">
    <w:name w:val="Body Text First Indent 2"/>
    <w:basedOn w:val="9"/>
    <w:autoRedefine/>
    <w:qFormat/>
    <w:uiPriority w:val="99"/>
    <w:pPr>
      <w:ind w:firstLine="420" w:firstLineChars="200"/>
    </w:pPr>
  </w:style>
  <w:style w:type="table" w:styleId="24">
    <w:name w:val="Table Grid"/>
    <w:basedOn w:val="2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autoRedefine/>
    <w:qFormat/>
    <w:uiPriority w:val="0"/>
    <w:rPr>
      <w:b/>
    </w:rPr>
  </w:style>
  <w:style w:type="character" w:styleId="27">
    <w:name w:val="Emphasis"/>
    <w:basedOn w:val="25"/>
    <w:autoRedefine/>
    <w:qFormat/>
    <w:uiPriority w:val="99"/>
    <w:rPr>
      <w:i/>
    </w:rPr>
  </w:style>
  <w:style w:type="character" w:styleId="28">
    <w:name w:val="Hyperlink"/>
    <w:basedOn w:val="25"/>
    <w:autoRedefine/>
    <w:qFormat/>
    <w:uiPriority w:val="0"/>
    <w:rPr>
      <w:color w:val="0000FF"/>
      <w:u w:val="single"/>
    </w:rPr>
  </w:style>
  <w:style w:type="character" w:styleId="29">
    <w:name w:val="annotation reference"/>
    <w:basedOn w:val="25"/>
    <w:autoRedefine/>
    <w:qFormat/>
    <w:uiPriority w:val="0"/>
    <w:rPr>
      <w:sz w:val="21"/>
      <w:szCs w:val="21"/>
    </w:rPr>
  </w:style>
  <w:style w:type="paragraph" w:customStyle="1" w:styleId="30">
    <w:name w:val="样式 标题 3 + (中文) 黑体 小四 非加粗 段前: 7.8 磅 段后: 0 磅 行距: 固定值 20 磅"/>
    <w:basedOn w:val="4"/>
    <w:autoRedefine/>
    <w:qFormat/>
    <w:uiPriority w:val="99"/>
    <w:pPr>
      <w:tabs>
        <w:tab w:val="left" w:pos="425"/>
      </w:tabs>
      <w:spacing w:line="400" w:lineRule="exact"/>
    </w:pPr>
    <w:rPr>
      <w:rFonts w:ascii="Times New Roman" w:hAnsi="Times New Roman" w:eastAsia="黑体" w:cs="宋体"/>
      <w:b w:val="0"/>
      <w:kern w:val="2"/>
      <w:sz w:val="24"/>
      <w:szCs w:val="20"/>
    </w:rPr>
  </w:style>
  <w:style w:type="paragraph" w:customStyle="1" w:styleId="31">
    <w:name w:val="Fließtext"/>
    <w:basedOn w:val="1"/>
    <w:autoRedefine/>
    <w:qFormat/>
    <w:uiPriority w:val="0"/>
    <w:pPr>
      <w:overflowPunct w:val="0"/>
      <w:autoSpaceDE w:val="0"/>
      <w:autoSpaceDN w:val="0"/>
      <w:adjustRightInd w:val="0"/>
    </w:pPr>
    <w:rPr>
      <w:kern w:val="28"/>
      <w:szCs w:val="20"/>
    </w:rPr>
  </w:style>
  <w:style w:type="paragraph" w:customStyle="1" w:styleId="32">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33">
    <w:name w:val="NormalCharacter"/>
    <w:autoRedefine/>
    <w:qFormat/>
    <w:uiPriority w:val="0"/>
    <w:rPr>
      <w:rFonts w:ascii="Tahoma" w:hAnsi="Tahoma"/>
      <w:sz w:val="24"/>
    </w:rPr>
  </w:style>
  <w:style w:type="paragraph" w:customStyle="1" w:styleId="34">
    <w:name w:val="NormalIndent"/>
    <w:basedOn w:val="1"/>
    <w:autoRedefine/>
    <w:qFormat/>
    <w:uiPriority w:val="0"/>
    <w:pPr>
      <w:ind w:firstLine="420"/>
    </w:pPr>
  </w:style>
  <w:style w:type="character" w:customStyle="1" w:styleId="35">
    <w:name w:val="font31"/>
    <w:autoRedefine/>
    <w:qFormat/>
    <w:uiPriority w:val="0"/>
    <w:rPr>
      <w:rFonts w:hint="eastAsia" w:ascii="宋体" w:hAnsi="宋体" w:eastAsia="宋体" w:cs="宋体"/>
      <w:b/>
      <w:bCs/>
      <w:color w:val="000000"/>
      <w:sz w:val="20"/>
      <w:szCs w:val="20"/>
      <w:u w:val="none"/>
    </w:rPr>
  </w:style>
  <w:style w:type="character" w:customStyle="1" w:styleId="36">
    <w:name w:val="批注框文本 Char"/>
    <w:basedOn w:val="25"/>
    <w:link w:val="12"/>
    <w:autoRedefine/>
    <w:qFormat/>
    <w:uiPriority w:val="0"/>
    <w:rPr>
      <w:rFonts w:asciiTheme="minorHAnsi" w:hAnsiTheme="minorHAnsi" w:eastAsiaTheme="minorEastAsia" w:cstheme="minorBidi"/>
      <w:kern w:val="2"/>
      <w:sz w:val="18"/>
      <w:szCs w:val="18"/>
    </w:rPr>
  </w:style>
  <w:style w:type="paragraph" w:customStyle="1" w:styleId="37">
    <w:name w:val="null3"/>
    <w:autoRedefine/>
    <w:qFormat/>
    <w:uiPriority w:val="0"/>
    <w:rPr>
      <w:rFonts w:hint="eastAsia" w:asciiTheme="minorHAnsi" w:hAnsiTheme="minorHAnsi" w:eastAsiaTheme="minorEastAsia" w:cstheme="minorBidi"/>
      <w:lang w:val="en-US" w:eastAsia="zh-CN" w:bidi="ar-SA"/>
    </w:rPr>
  </w:style>
  <w:style w:type="character" w:customStyle="1" w:styleId="38">
    <w:name w:val="不明显强调1"/>
    <w:basedOn w:val="25"/>
    <w:autoRedefine/>
    <w:qFormat/>
    <w:uiPriority w:val="19"/>
    <w:rPr>
      <w:i/>
      <w:iCs/>
      <w:color w:val="808080" w:themeColor="text1" w:themeTint="80"/>
      <w14:textFill>
        <w14:solidFill>
          <w14:schemeClr w14:val="tx1">
            <w14:lumMod w14:val="50000"/>
            <w14:lumOff w14:val="50000"/>
          </w14:schemeClr>
        </w14:solidFill>
      </w14:textFill>
    </w:rPr>
  </w:style>
  <w:style w:type="character" w:customStyle="1" w:styleId="39">
    <w:name w:val="批注文字 Char"/>
    <w:basedOn w:val="25"/>
    <w:link w:val="7"/>
    <w:autoRedefine/>
    <w:semiHidden/>
    <w:qFormat/>
    <w:uiPriority w:val="0"/>
    <w:rPr>
      <w:rFonts w:asciiTheme="minorHAnsi" w:hAnsiTheme="minorHAnsi" w:eastAsiaTheme="minorEastAsia" w:cstheme="minorBidi"/>
      <w:kern w:val="2"/>
      <w:sz w:val="21"/>
      <w:szCs w:val="24"/>
    </w:rPr>
  </w:style>
  <w:style w:type="character" w:customStyle="1" w:styleId="40">
    <w:name w:val="批注主题 Char"/>
    <w:basedOn w:val="39"/>
    <w:link w:val="20"/>
    <w:autoRedefine/>
    <w:qFormat/>
    <w:uiPriority w:val="0"/>
  </w:style>
  <w:style w:type="character" w:customStyle="1" w:styleId="41">
    <w:name w:val="UserStyle_124"/>
    <w:autoRedefine/>
    <w:qFormat/>
    <w:uiPriority w:val="0"/>
    <w:rPr>
      <w:rFonts w:ascii="Tahoma" w:hAnsi="Tahoma"/>
      <w:sz w:val="24"/>
    </w:rPr>
  </w:style>
  <w:style w:type="paragraph" w:customStyle="1" w:styleId="42">
    <w:name w:val="Body Text First Indent 21"/>
    <w:basedOn w:val="1"/>
    <w:autoRedefine/>
    <w:qFormat/>
    <w:uiPriority w:val="0"/>
    <w:pPr>
      <w:spacing w:line="340" w:lineRule="exact"/>
      <w:ind w:left="420" w:leftChars="200" w:right="-139" w:hanging="26" w:hangingChars="26"/>
    </w:pPr>
    <w:rPr>
      <w:rFonts w:ascii="华文中宋" w:hAnsi="华文中宋" w:eastAsia="华文中宋" w:cs="华文中宋"/>
      <w:sz w:val="24"/>
    </w:rPr>
  </w:style>
  <w:style w:type="character" w:customStyle="1" w:styleId="43">
    <w:name w:val="font41"/>
    <w:basedOn w:val="25"/>
    <w:qFormat/>
    <w:uiPriority w:val="0"/>
    <w:rPr>
      <w:rFonts w:hint="eastAsia" w:ascii="宋体" w:hAnsi="宋体" w:eastAsia="宋体" w:cs="宋体"/>
      <w:color w:val="FF0000"/>
      <w:sz w:val="24"/>
      <w:szCs w:val="24"/>
      <w:u w:val="none"/>
    </w:rPr>
  </w:style>
  <w:style w:type="character" w:customStyle="1" w:styleId="44">
    <w:name w:val="font21"/>
    <w:basedOn w:val="25"/>
    <w:autoRedefine/>
    <w:qFormat/>
    <w:uiPriority w:val="0"/>
    <w:rPr>
      <w:rFonts w:hint="eastAsia" w:ascii="宋体" w:hAnsi="宋体" w:eastAsia="宋体" w:cs="宋体"/>
      <w:color w:val="000000"/>
      <w:sz w:val="24"/>
      <w:szCs w:val="24"/>
      <w:u w:val="none"/>
    </w:rPr>
  </w:style>
  <w:style w:type="character" w:customStyle="1" w:styleId="45">
    <w:name w:val="font51"/>
    <w:basedOn w:val="25"/>
    <w:qFormat/>
    <w:uiPriority w:val="0"/>
    <w:rPr>
      <w:rFonts w:ascii="微软雅黑" w:hAnsi="微软雅黑" w:eastAsia="微软雅黑" w:cs="微软雅黑"/>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82</Pages>
  <Words>49157</Words>
  <Characters>51451</Characters>
  <Lines>391</Lines>
  <Paragraphs>110</Paragraphs>
  <TotalTime>0</TotalTime>
  <ScaleCrop>false</ScaleCrop>
  <LinksUpToDate>false</LinksUpToDate>
  <CharactersWithSpaces>54047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Administrator.SKY-20170627GOK</dc:creator>
  <cp:lastModifiedBy>Administrator</cp:lastModifiedBy>
  <cp:lastPrinted>2024-07-02T06:59:00Z</cp:lastPrinted>
  <dcterms:modified xsi:type="dcterms:W3CDTF">2024-09-26T08:42:30Z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C4CAED3641514A39AA6A17056E55043C_13</vt:lpwstr>
  </property>
</Properties>
</file>