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0CC017">
      <w:pPr>
        <w:shd w:val="clea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项目名称：东方市2025年医疗卫生强基工程建设项目(二次)</w:t>
      </w:r>
    </w:p>
    <w:p w14:paraId="6CA3D693">
      <w:pPr>
        <w:shd w:val="clea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预算金额</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150.00</w:t>
      </w:r>
      <w:r>
        <w:rPr>
          <w:rFonts w:hint="eastAsia" w:ascii="宋体" w:hAnsi="宋体" w:eastAsia="宋体" w:cs="宋体"/>
          <w:color w:val="auto"/>
          <w:sz w:val="28"/>
          <w:szCs w:val="28"/>
          <w:highlight w:val="none"/>
        </w:rPr>
        <w:t>万</w:t>
      </w:r>
      <w:r>
        <w:rPr>
          <w:rFonts w:hint="eastAsia" w:ascii="宋体" w:hAnsi="宋体" w:eastAsia="宋体" w:cs="宋体"/>
          <w:color w:val="auto"/>
          <w:sz w:val="28"/>
          <w:szCs w:val="28"/>
          <w:highlight w:val="none"/>
          <w:lang w:eastAsia="zh-CN"/>
        </w:rPr>
        <w:t>元</w:t>
      </w:r>
    </w:p>
    <w:tbl>
      <w:tblPr>
        <w:tblStyle w:val="9"/>
        <w:tblW w:w="531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6"/>
        <w:gridCol w:w="2465"/>
        <w:gridCol w:w="1496"/>
        <w:gridCol w:w="4450"/>
      </w:tblGrid>
      <w:tr w14:paraId="25108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20E5C">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序号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27B31">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标包名称</w:t>
            </w:r>
          </w:p>
        </w:tc>
        <w:tc>
          <w:tcPr>
            <w:tcW w:w="8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08D1">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预算</w:t>
            </w:r>
          </w:p>
          <w:p w14:paraId="7D851C3D">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金额</w:t>
            </w:r>
          </w:p>
          <w:p w14:paraId="52B75808">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（万元）</w:t>
            </w:r>
          </w:p>
        </w:tc>
        <w:tc>
          <w:tcPr>
            <w:tcW w:w="2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EFDF8">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建设内容</w:t>
            </w:r>
          </w:p>
        </w:tc>
      </w:tr>
      <w:tr w14:paraId="02139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2B293">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1包</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D189C">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区域DIP医保控费系统</w:t>
            </w:r>
          </w:p>
        </w:tc>
        <w:tc>
          <w:tcPr>
            <w:tcW w:w="8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9679">
            <w:pPr>
              <w:keepNext w:val="0"/>
              <w:keepLines w:val="0"/>
              <w:widowControl/>
              <w:suppressLineNumbers w:val="0"/>
              <w:shd w:val="clear"/>
              <w:spacing w:before="0" w:beforeAutospacing="0" w:after="0" w:afterAutospacing="0"/>
              <w:ind w:left="0" w:right="0"/>
              <w:jc w:val="center"/>
              <w:textAlignment w:val="center"/>
              <w:rPr>
                <w:rFonts w:hint="eastAsia" w:ascii="宋体" w:hAnsi="宋体" w:eastAsia="宋体" w:cs="宋体"/>
                <w:i w:val="0"/>
                <w:iCs w:val="0"/>
                <w:color w:val="auto"/>
                <w:sz w:val="28"/>
                <w:szCs w:val="28"/>
                <w:highlight w:val="none"/>
                <w:u w:val="none"/>
              </w:rPr>
            </w:pPr>
            <w:r>
              <w:rPr>
                <w:rFonts w:hint="eastAsia" w:ascii="宋体" w:hAnsi="宋体" w:eastAsia="宋体" w:cs="宋体"/>
                <w:i w:val="0"/>
                <w:iCs w:val="0"/>
                <w:color w:val="auto"/>
                <w:kern w:val="0"/>
                <w:sz w:val="28"/>
                <w:szCs w:val="28"/>
                <w:highlight w:val="none"/>
                <w:u w:val="none"/>
                <w:lang w:val="en-US" w:eastAsia="zh-CN" w:bidi="ar"/>
              </w:rPr>
              <w:t>150</w:t>
            </w:r>
          </w:p>
        </w:tc>
        <w:tc>
          <w:tcPr>
            <w:tcW w:w="2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7D4F">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i w:val="0"/>
                <w:iCs w:val="0"/>
                <w:color w:val="auto"/>
                <w:sz w:val="28"/>
                <w:szCs w:val="28"/>
                <w:highlight w:val="none"/>
                <w:u w:val="none"/>
              </w:rPr>
            </w:pPr>
            <w:r>
              <w:rPr>
                <w:rStyle w:val="14"/>
                <w:rFonts w:hint="eastAsia" w:ascii="宋体" w:hAnsi="宋体" w:eastAsia="宋体" w:cs="宋体"/>
                <w:color w:val="auto"/>
                <w:sz w:val="28"/>
                <w:szCs w:val="28"/>
                <w:highlight w:val="none"/>
                <w:lang w:val="en-US" w:eastAsia="zh-CN" w:bidi="ar"/>
              </w:rPr>
              <w:t>建设区域</w:t>
            </w:r>
            <w:r>
              <w:rPr>
                <w:rStyle w:val="15"/>
                <w:rFonts w:hint="eastAsia" w:ascii="宋体" w:hAnsi="宋体" w:eastAsia="宋体" w:cs="宋体"/>
                <w:color w:val="auto"/>
                <w:sz w:val="28"/>
                <w:szCs w:val="28"/>
                <w:highlight w:val="none"/>
                <w:lang w:val="en-US" w:eastAsia="zh-CN" w:bidi="ar"/>
              </w:rPr>
              <w:t>DIP</w:t>
            </w:r>
            <w:r>
              <w:rPr>
                <w:rStyle w:val="14"/>
                <w:rFonts w:hint="eastAsia" w:ascii="宋体" w:hAnsi="宋体" w:eastAsia="宋体" w:cs="宋体"/>
                <w:color w:val="auto"/>
                <w:sz w:val="28"/>
                <w:szCs w:val="28"/>
                <w:highlight w:val="none"/>
                <w:lang w:val="en-US" w:eastAsia="zh-CN" w:bidi="ar"/>
              </w:rPr>
              <w:t>医保控费系统，为东方市人民医院、东方市中医院、东方市妇幼保健院、东方市第二人民医院部署管理系统与智能审核系统，实现医保结算清单质控、预分组、费用预警、资金分配及智能审核监控，提升医保基金使用效率与监管水平。</w:t>
            </w:r>
          </w:p>
        </w:tc>
      </w:tr>
    </w:tbl>
    <w:p w14:paraId="5B87F3E0">
      <w:pPr>
        <w:shd w:val="clear"/>
        <w:rPr>
          <w:rFonts w:hint="eastAsia" w:ascii="宋体" w:hAnsi="宋体" w:eastAsia="宋体" w:cs="宋体"/>
          <w:color w:val="auto"/>
          <w:sz w:val="28"/>
          <w:szCs w:val="28"/>
          <w:highlight w:val="none"/>
          <w:lang w:val="en-US" w:eastAsia="zh-CN"/>
        </w:rPr>
      </w:pPr>
    </w:p>
    <w:p w14:paraId="7B7C3E45">
      <w:pPr>
        <w:pStyle w:val="2"/>
        <w:shd w:val="clear"/>
        <w:bidi w:val="0"/>
        <w:jc w:val="center"/>
        <w:rPr>
          <w:rFonts w:hint="eastAsia"/>
          <w:color w:val="auto"/>
          <w:highlight w:val="none"/>
          <w:lang w:val="en-US" w:eastAsia="zh-CN"/>
        </w:rPr>
      </w:pPr>
      <w:r>
        <w:rPr>
          <w:rFonts w:hint="eastAsia"/>
          <w:color w:val="auto"/>
          <w:highlight w:val="none"/>
          <w:lang w:val="en-US" w:eastAsia="zh-CN"/>
        </w:rPr>
        <w:t>采购包1</w:t>
      </w:r>
      <w:bookmarkStart w:id="5" w:name="_GoBack"/>
      <w:bookmarkEnd w:id="5"/>
      <w:r>
        <w:rPr>
          <w:rFonts w:hint="eastAsia"/>
          <w:color w:val="auto"/>
          <w:highlight w:val="none"/>
          <w:lang w:val="en-US" w:eastAsia="zh-CN"/>
        </w:rPr>
        <w:t>：采购需求</w:t>
      </w:r>
    </w:p>
    <w:p w14:paraId="6642032D">
      <w:pPr>
        <w:keepNext w:val="0"/>
        <w:keepLines w:val="0"/>
        <w:widowControl/>
        <w:suppressLineNumbers w:val="0"/>
        <w:shd w:val="clear"/>
        <w:spacing w:before="300" w:beforeAutospacing="0"/>
        <w:ind w:left="0" w:firstLine="0"/>
        <w:jc w:val="center"/>
        <w:rPr>
          <w:rFonts w:hint="eastAsia" w:ascii="微软雅黑" w:hAnsi="微软雅黑" w:eastAsia="微软雅黑" w:cs="微软雅黑"/>
          <w:b/>
          <w:bCs/>
          <w:i w:val="0"/>
          <w:iCs w:val="0"/>
          <w:caps w:val="0"/>
          <w:color w:val="auto"/>
          <w:spacing w:val="0"/>
          <w:kern w:val="0"/>
          <w:sz w:val="25"/>
          <w:szCs w:val="25"/>
          <w:highlight w:val="none"/>
          <w:lang w:val="en-US" w:eastAsia="zh-CN" w:bidi="ar"/>
        </w:rPr>
      </w:pPr>
      <w:r>
        <w:rPr>
          <w:rFonts w:hint="eastAsia" w:ascii="宋体" w:hAnsi="宋体" w:eastAsia="宋体" w:cs="宋体"/>
          <w:i w:val="0"/>
          <w:iCs w:val="0"/>
          <w:caps w:val="0"/>
          <w:color w:val="auto"/>
          <w:spacing w:val="0"/>
          <w:sz w:val="28"/>
          <w:szCs w:val="28"/>
          <w:highlight w:val="none"/>
          <w:lang w:val="en-US" w:eastAsia="zh-CN"/>
        </w:rPr>
        <w:t>建设清单</w:t>
      </w:r>
    </w:p>
    <w:p w14:paraId="169BC7FB">
      <w:pPr>
        <w:keepNext w:val="0"/>
        <w:keepLines w:val="0"/>
        <w:widowControl/>
        <w:suppressLineNumbers w:val="0"/>
        <w:shd w:val="clear"/>
        <w:spacing w:before="300" w:beforeAutospacing="0"/>
        <w:ind w:lef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1.硬件设备清单</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56" w:type="dxa"/>
          <w:left w:w="96" w:type="dxa"/>
          <w:bottom w:w="56" w:type="dxa"/>
          <w:right w:w="96" w:type="dxa"/>
        </w:tblCellMar>
      </w:tblPr>
      <w:tblGrid>
        <w:gridCol w:w="730"/>
        <w:gridCol w:w="1566"/>
        <w:gridCol w:w="1916"/>
        <w:gridCol w:w="3708"/>
        <w:gridCol w:w="575"/>
      </w:tblGrid>
      <w:tr w14:paraId="4EAE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jc w:val="center"/>
        </w:trPr>
        <w:tc>
          <w:tcPr>
            <w:tcW w:w="430" w:type="pct"/>
            <w:shd w:val="clear" w:color="auto" w:fill="F2F2F2"/>
            <w:vAlign w:val="center"/>
          </w:tcPr>
          <w:p w14:paraId="26BE7B5A">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序号</w:t>
            </w:r>
          </w:p>
        </w:tc>
        <w:tc>
          <w:tcPr>
            <w:tcW w:w="921" w:type="pct"/>
            <w:shd w:val="clear" w:color="auto" w:fill="F2F2F2"/>
            <w:vAlign w:val="center"/>
          </w:tcPr>
          <w:p w14:paraId="1431786C">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分类</w:t>
            </w:r>
          </w:p>
        </w:tc>
        <w:tc>
          <w:tcPr>
            <w:tcW w:w="1127" w:type="pct"/>
            <w:shd w:val="clear" w:color="auto" w:fill="F2F2F2"/>
            <w:vAlign w:val="center"/>
          </w:tcPr>
          <w:p w14:paraId="000DBA1E">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模块</w:t>
            </w:r>
          </w:p>
        </w:tc>
        <w:tc>
          <w:tcPr>
            <w:tcW w:w="2181" w:type="pct"/>
            <w:shd w:val="clear" w:color="auto" w:fill="F2F2F2"/>
            <w:vAlign w:val="center"/>
          </w:tcPr>
          <w:p w14:paraId="3B04C12D">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规格要求</w:t>
            </w:r>
          </w:p>
        </w:tc>
        <w:tc>
          <w:tcPr>
            <w:tcW w:w="338" w:type="pct"/>
            <w:shd w:val="clear" w:color="auto" w:fill="F2F2F2"/>
            <w:vAlign w:val="center"/>
          </w:tcPr>
          <w:p w14:paraId="7F6275F0">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数量</w:t>
            </w:r>
          </w:p>
        </w:tc>
      </w:tr>
      <w:tr w14:paraId="4F10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430" w:type="pct"/>
            <w:shd w:val="clear" w:color="auto" w:fill="auto"/>
            <w:vAlign w:val="center"/>
          </w:tcPr>
          <w:p w14:paraId="7605EEA9">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2_1</w:t>
            </w:r>
          </w:p>
        </w:tc>
        <w:tc>
          <w:tcPr>
            <w:tcW w:w="921" w:type="pct"/>
            <w:shd w:val="clear" w:color="auto" w:fill="auto"/>
            <w:vAlign w:val="center"/>
          </w:tcPr>
          <w:p w14:paraId="52936227">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服务器</w:t>
            </w:r>
          </w:p>
        </w:tc>
        <w:tc>
          <w:tcPr>
            <w:tcW w:w="1127" w:type="pct"/>
            <w:shd w:val="clear" w:color="auto" w:fill="auto"/>
            <w:vAlign w:val="center"/>
          </w:tcPr>
          <w:p w14:paraId="3FD9AEB1">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服务器</w:t>
            </w:r>
          </w:p>
        </w:tc>
        <w:tc>
          <w:tcPr>
            <w:tcW w:w="2181" w:type="pct"/>
            <w:shd w:val="clear" w:color="auto" w:fill="auto"/>
            <w:vAlign w:val="center"/>
          </w:tcPr>
          <w:p w14:paraId="5C78819C">
            <w:pPr>
              <w:keepNext w:val="0"/>
              <w:keepLines w:val="0"/>
              <w:widowControl/>
              <w:suppressLineNumbers w:val="0"/>
              <w:shd w:val="clear"/>
              <w:snapToGrid w:val="0"/>
              <w:spacing w:before="0" w:beforeAutospacing="0" w:after="0" w:afterAutospacing="0"/>
              <w:ind w:left="0" w:right="0"/>
              <w:jc w:val="left"/>
              <w:rPr>
                <w:rFonts w:hint="eastAsia" w:ascii="宋体" w:hAnsi="宋体" w:eastAsia="宋体" w:cs="宋体"/>
                <w:i w:val="0"/>
                <w:iCs w:val="0"/>
                <w:caps w:val="0"/>
                <w:color w:val="auto"/>
                <w:spacing w:val="0"/>
                <w:sz w:val="24"/>
                <w:szCs w:val="24"/>
                <w:highlight w:val="none"/>
                <w:lang w:val="en-US" w:eastAsia="zh-CN"/>
              </w:rPr>
            </w:pPr>
            <w:r>
              <w:rPr>
                <w:rFonts w:hint="eastAsia" w:ascii="宋体" w:hAnsi="宋体" w:eastAsia="宋体" w:cs="宋体"/>
                <w:i w:val="0"/>
                <w:iCs w:val="0"/>
                <w:caps w:val="0"/>
                <w:color w:val="auto"/>
                <w:spacing w:val="0"/>
                <w:sz w:val="24"/>
                <w:szCs w:val="24"/>
                <w:highlight w:val="none"/>
                <w:lang w:val="en-US" w:eastAsia="zh-CN"/>
              </w:rPr>
              <w:t>配送服务器或搭建于云服务器</w:t>
            </w:r>
          </w:p>
        </w:tc>
        <w:tc>
          <w:tcPr>
            <w:tcW w:w="338" w:type="pct"/>
            <w:shd w:val="clear" w:color="auto" w:fill="auto"/>
            <w:vAlign w:val="center"/>
          </w:tcPr>
          <w:p w14:paraId="3D93214B">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eastAsia="zh-CN"/>
              </w:rPr>
            </w:pPr>
            <w:r>
              <w:rPr>
                <w:rFonts w:hint="eastAsia" w:ascii="宋体" w:hAnsi="宋体" w:eastAsia="宋体" w:cs="宋体"/>
                <w:i w:val="0"/>
                <w:iCs w:val="0"/>
                <w:caps w:val="0"/>
                <w:color w:val="auto"/>
                <w:spacing w:val="0"/>
                <w:sz w:val="24"/>
                <w:szCs w:val="24"/>
                <w:highlight w:val="none"/>
                <w:lang w:val="en-US" w:eastAsia="zh-CN"/>
              </w:rPr>
              <w:t>1</w:t>
            </w:r>
          </w:p>
        </w:tc>
      </w:tr>
    </w:tbl>
    <w:p w14:paraId="25F858E9">
      <w:pPr>
        <w:keepNext w:val="0"/>
        <w:keepLines w:val="0"/>
        <w:widowControl/>
        <w:suppressLineNumbers w:val="0"/>
        <w:shd w:val="clear"/>
        <w:spacing w:before="300" w:beforeAutospacing="0"/>
        <w:ind w:lef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2.软件系统清单</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56" w:type="dxa"/>
          <w:left w:w="96" w:type="dxa"/>
          <w:bottom w:w="56" w:type="dxa"/>
          <w:right w:w="96" w:type="dxa"/>
        </w:tblCellMar>
      </w:tblPr>
      <w:tblGrid>
        <w:gridCol w:w="590"/>
        <w:gridCol w:w="1637"/>
        <w:gridCol w:w="1948"/>
        <w:gridCol w:w="3443"/>
        <w:gridCol w:w="877"/>
      </w:tblGrid>
      <w:tr w14:paraId="55A3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tblHeader/>
          <w:jc w:val="center"/>
        </w:trPr>
        <w:tc>
          <w:tcPr>
            <w:tcW w:w="347" w:type="pct"/>
            <w:shd w:val="clear" w:color="auto" w:fill="F2F2F2"/>
            <w:vAlign w:val="center"/>
          </w:tcPr>
          <w:p w14:paraId="18353046">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序号</w:t>
            </w:r>
          </w:p>
        </w:tc>
        <w:tc>
          <w:tcPr>
            <w:tcW w:w="963" w:type="pct"/>
            <w:shd w:val="clear" w:color="auto" w:fill="F2F2F2"/>
            <w:vAlign w:val="center"/>
          </w:tcPr>
          <w:p w14:paraId="53399958">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分类</w:t>
            </w:r>
          </w:p>
        </w:tc>
        <w:tc>
          <w:tcPr>
            <w:tcW w:w="1146" w:type="pct"/>
            <w:shd w:val="clear" w:color="auto" w:fill="F2F2F2"/>
            <w:vAlign w:val="center"/>
          </w:tcPr>
          <w:p w14:paraId="0F55B5B1">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模块</w:t>
            </w:r>
          </w:p>
        </w:tc>
        <w:tc>
          <w:tcPr>
            <w:tcW w:w="2025" w:type="pct"/>
            <w:shd w:val="clear" w:color="auto" w:fill="F2F2F2"/>
            <w:vAlign w:val="center"/>
          </w:tcPr>
          <w:p w14:paraId="35B1F2F3">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功能描述</w:t>
            </w:r>
          </w:p>
        </w:tc>
        <w:tc>
          <w:tcPr>
            <w:tcW w:w="516" w:type="pct"/>
            <w:shd w:val="clear" w:color="auto" w:fill="F2F2F2"/>
            <w:vAlign w:val="center"/>
          </w:tcPr>
          <w:p w14:paraId="1ACA205D">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数量</w:t>
            </w:r>
          </w:p>
        </w:tc>
      </w:tr>
      <w:tr w14:paraId="0FDC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347" w:type="pct"/>
            <w:shd w:val="clear" w:color="auto" w:fill="auto"/>
            <w:vAlign w:val="center"/>
          </w:tcPr>
          <w:p w14:paraId="3A8E61D2">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rPr>
            </w:pPr>
            <w:r>
              <w:rPr>
                <w:rFonts w:hint="eastAsia" w:ascii="宋体" w:hAnsi="宋体" w:eastAsia="宋体" w:cs="宋体"/>
                <w:i w:val="0"/>
                <w:iCs w:val="0"/>
                <w:caps w:val="0"/>
                <w:color w:val="auto"/>
                <w:spacing w:val="0"/>
                <w:kern w:val="0"/>
                <w:sz w:val="24"/>
                <w:szCs w:val="24"/>
                <w:highlight w:val="none"/>
                <w:lang w:val="en-US" w:eastAsia="zh-CN" w:bidi="ar"/>
              </w:rPr>
              <w:t>1</w:t>
            </w:r>
          </w:p>
        </w:tc>
        <w:tc>
          <w:tcPr>
            <w:tcW w:w="963" w:type="pct"/>
            <w:shd w:val="clear" w:color="auto" w:fill="auto"/>
            <w:vAlign w:val="center"/>
          </w:tcPr>
          <w:p w14:paraId="35903763">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应用软件</w:t>
            </w:r>
          </w:p>
        </w:tc>
        <w:tc>
          <w:tcPr>
            <w:tcW w:w="1146" w:type="pct"/>
            <w:shd w:val="clear" w:color="auto" w:fill="auto"/>
            <w:vAlign w:val="center"/>
          </w:tcPr>
          <w:p w14:paraId="22CF8599">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区域DIP管理系统（总医院版）</w:t>
            </w:r>
          </w:p>
        </w:tc>
        <w:tc>
          <w:tcPr>
            <w:tcW w:w="2025" w:type="pct"/>
            <w:shd w:val="clear" w:color="auto" w:fill="auto"/>
            <w:vAlign w:val="center"/>
          </w:tcPr>
          <w:p w14:paraId="6221099B">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部署于总医院的DIP管理系统</w:t>
            </w:r>
          </w:p>
        </w:tc>
        <w:tc>
          <w:tcPr>
            <w:tcW w:w="516" w:type="pct"/>
            <w:shd w:val="clear" w:color="auto" w:fill="auto"/>
            <w:vAlign w:val="center"/>
          </w:tcPr>
          <w:p w14:paraId="020C2094">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1套</w:t>
            </w:r>
          </w:p>
        </w:tc>
      </w:tr>
      <w:tr w14:paraId="7CC9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jc w:val="center"/>
        </w:trPr>
        <w:tc>
          <w:tcPr>
            <w:tcW w:w="347" w:type="pct"/>
            <w:shd w:val="clear" w:color="auto" w:fill="F9F9F9"/>
            <w:vAlign w:val="center"/>
          </w:tcPr>
          <w:p w14:paraId="7C9D8B6F">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rPr>
            </w:pPr>
            <w:r>
              <w:rPr>
                <w:rFonts w:hint="eastAsia" w:ascii="宋体" w:hAnsi="宋体" w:eastAsia="宋体" w:cs="宋体"/>
                <w:i w:val="0"/>
                <w:iCs w:val="0"/>
                <w:caps w:val="0"/>
                <w:color w:val="auto"/>
                <w:spacing w:val="0"/>
                <w:kern w:val="0"/>
                <w:sz w:val="24"/>
                <w:szCs w:val="24"/>
                <w:highlight w:val="none"/>
                <w:lang w:val="en-US" w:eastAsia="zh-CN" w:bidi="ar"/>
              </w:rPr>
              <w:t>2</w:t>
            </w:r>
          </w:p>
        </w:tc>
        <w:tc>
          <w:tcPr>
            <w:tcW w:w="963" w:type="pct"/>
            <w:shd w:val="clear" w:color="auto" w:fill="F9F9F9"/>
            <w:vAlign w:val="center"/>
          </w:tcPr>
          <w:p w14:paraId="56A98308">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应用软件</w:t>
            </w:r>
          </w:p>
        </w:tc>
        <w:tc>
          <w:tcPr>
            <w:tcW w:w="1146" w:type="pct"/>
            <w:shd w:val="clear" w:color="auto" w:fill="F9F9F9"/>
            <w:vAlign w:val="center"/>
          </w:tcPr>
          <w:p w14:paraId="386F346A">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区域DIP管理系统（团体医院版）</w:t>
            </w:r>
          </w:p>
        </w:tc>
        <w:tc>
          <w:tcPr>
            <w:tcW w:w="2025" w:type="pct"/>
            <w:shd w:val="clear" w:color="auto" w:fill="F9F9F9"/>
            <w:vAlign w:val="center"/>
          </w:tcPr>
          <w:p w14:paraId="7F531AAD">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部署于三家团体医院的DIP管理系统</w:t>
            </w:r>
          </w:p>
        </w:tc>
        <w:tc>
          <w:tcPr>
            <w:tcW w:w="516" w:type="pct"/>
            <w:shd w:val="clear" w:color="auto" w:fill="F9F9F9"/>
            <w:vAlign w:val="center"/>
          </w:tcPr>
          <w:p w14:paraId="06BDC553">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3套</w:t>
            </w:r>
          </w:p>
        </w:tc>
      </w:tr>
      <w:tr w14:paraId="5D8F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6" w:type="dxa"/>
            <w:left w:w="96" w:type="dxa"/>
            <w:bottom w:w="56" w:type="dxa"/>
            <w:right w:w="96" w:type="dxa"/>
          </w:tblCellMar>
        </w:tblPrEx>
        <w:trPr>
          <w:trHeight w:val="0" w:hRule="atLeast"/>
          <w:jc w:val="center"/>
        </w:trPr>
        <w:tc>
          <w:tcPr>
            <w:tcW w:w="347" w:type="pct"/>
            <w:shd w:val="clear" w:color="auto" w:fill="auto"/>
            <w:vAlign w:val="center"/>
          </w:tcPr>
          <w:p w14:paraId="50DB36CE">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rPr>
            </w:pPr>
            <w:r>
              <w:rPr>
                <w:rFonts w:hint="eastAsia" w:ascii="宋体" w:hAnsi="宋体" w:eastAsia="宋体" w:cs="宋体"/>
                <w:i w:val="0"/>
                <w:iCs w:val="0"/>
                <w:caps w:val="0"/>
                <w:color w:val="auto"/>
                <w:spacing w:val="0"/>
                <w:kern w:val="0"/>
                <w:sz w:val="24"/>
                <w:szCs w:val="24"/>
                <w:highlight w:val="none"/>
                <w:lang w:val="en-US" w:eastAsia="zh-CN" w:bidi="ar"/>
              </w:rPr>
              <w:t>3</w:t>
            </w:r>
          </w:p>
        </w:tc>
        <w:tc>
          <w:tcPr>
            <w:tcW w:w="963" w:type="pct"/>
            <w:shd w:val="clear" w:color="auto" w:fill="auto"/>
            <w:vAlign w:val="center"/>
          </w:tcPr>
          <w:p w14:paraId="4A283E4D">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应用软件</w:t>
            </w:r>
          </w:p>
        </w:tc>
        <w:tc>
          <w:tcPr>
            <w:tcW w:w="1146" w:type="pct"/>
            <w:shd w:val="clear" w:color="auto" w:fill="auto"/>
            <w:vAlign w:val="center"/>
          </w:tcPr>
          <w:p w14:paraId="76B1FE0A">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区域医保智能审核系统</w:t>
            </w:r>
          </w:p>
        </w:tc>
        <w:tc>
          <w:tcPr>
            <w:tcW w:w="2025" w:type="pct"/>
            <w:shd w:val="clear" w:color="auto" w:fill="auto"/>
            <w:vAlign w:val="center"/>
          </w:tcPr>
          <w:p w14:paraId="00AA6850">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医保数据审核与监控系统</w:t>
            </w:r>
          </w:p>
        </w:tc>
        <w:tc>
          <w:tcPr>
            <w:tcW w:w="516" w:type="pct"/>
            <w:shd w:val="clear" w:color="auto" w:fill="auto"/>
            <w:vAlign w:val="center"/>
          </w:tcPr>
          <w:p w14:paraId="1DAB264E">
            <w:pPr>
              <w:keepNext w:val="0"/>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1套</w:t>
            </w:r>
          </w:p>
        </w:tc>
      </w:tr>
    </w:tbl>
    <w:p w14:paraId="4D87D39D">
      <w:pPr>
        <w:keepNext w:val="0"/>
        <w:keepLines w:val="0"/>
        <w:widowControl/>
        <w:suppressLineNumbers w:val="0"/>
        <w:shd w:val="clear"/>
        <w:spacing w:before="300" w:beforeAutospacing="0"/>
        <w:ind w:lef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3.实施服务清单</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56" w:type="dxa"/>
          <w:left w:w="96" w:type="dxa"/>
          <w:bottom w:w="56" w:type="dxa"/>
          <w:right w:w="96" w:type="dxa"/>
        </w:tblCellMar>
      </w:tblPr>
      <w:tblGrid>
        <w:gridCol w:w="768"/>
        <w:gridCol w:w="1781"/>
        <w:gridCol w:w="1871"/>
        <w:gridCol w:w="3212"/>
        <w:gridCol w:w="863"/>
      </w:tblGrid>
      <w:tr w14:paraId="7B27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tblHeader/>
          <w:jc w:val="center"/>
        </w:trPr>
        <w:tc>
          <w:tcPr>
            <w:tcW w:w="452" w:type="pct"/>
            <w:shd w:val="clear" w:color="auto" w:fill="F2F2F2"/>
            <w:vAlign w:val="center"/>
          </w:tcPr>
          <w:p w14:paraId="2B3758E7">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序号</w:t>
            </w:r>
          </w:p>
        </w:tc>
        <w:tc>
          <w:tcPr>
            <w:tcW w:w="1048" w:type="pct"/>
            <w:shd w:val="clear" w:color="auto" w:fill="F2F2F2"/>
            <w:vAlign w:val="center"/>
          </w:tcPr>
          <w:p w14:paraId="27F8CA69">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分类</w:t>
            </w:r>
          </w:p>
        </w:tc>
        <w:tc>
          <w:tcPr>
            <w:tcW w:w="1101" w:type="pct"/>
            <w:shd w:val="clear" w:color="auto" w:fill="F2F2F2"/>
            <w:vAlign w:val="center"/>
          </w:tcPr>
          <w:p w14:paraId="4A50E39F">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服务内容</w:t>
            </w:r>
          </w:p>
        </w:tc>
        <w:tc>
          <w:tcPr>
            <w:tcW w:w="1890" w:type="pct"/>
            <w:shd w:val="clear" w:color="auto" w:fill="F2F2F2"/>
            <w:vAlign w:val="center"/>
          </w:tcPr>
          <w:p w14:paraId="2C19A46D">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详细描述</w:t>
            </w:r>
          </w:p>
        </w:tc>
        <w:tc>
          <w:tcPr>
            <w:tcW w:w="507" w:type="pct"/>
            <w:shd w:val="clear" w:color="auto" w:fill="F2F2F2"/>
            <w:vAlign w:val="center"/>
          </w:tcPr>
          <w:p w14:paraId="24EC1D0F">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kern w:val="0"/>
                <w:sz w:val="24"/>
                <w:szCs w:val="24"/>
                <w:highlight w:val="none"/>
                <w:lang w:val="en-US" w:eastAsia="zh-CN" w:bidi="ar"/>
              </w:rPr>
              <w:t>数量</w:t>
            </w:r>
          </w:p>
        </w:tc>
      </w:tr>
      <w:tr w14:paraId="2149E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jc w:val="center"/>
        </w:trPr>
        <w:tc>
          <w:tcPr>
            <w:tcW w:w="452" w:type="pct"/>
            <w:shd w:val="clear" w:color="auto" w:fill="auto"/>
            <w:vAlign w:val="center"/>
          </w:tcPr>
          <w:p w14:paraId="60C24309">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w:t>
            </w:r>
          </w:p>
        </w:tc>
        <w:tc>
          <w:tcPr>
            <w:tcW w:w="1048" w:type="pct"/>
            <w:shd w:val="clear" w:color="auto" w:fill="auto"/>
            <w:vAlign w:val="center"/>
          </w:tcPr>
          <w:p w14:paraId="29795788">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eastAsia="zh-CN"/>
              </w:rPr>
            </w:pPr>
            <w:r>
              <w:rPr>
                <w:rFonts w:hint="eastAsia" w:ascii="宋体" w:hAnsi="宋体" w:eastAsia="宋体" w:cs="宋体"/>
                <w:i w:val="0"/>
                <w:iCs w:val="0"/>
                <w:caps w:val="0"/>
                <w:color w:val="auto"/>
                <w:spacing w:val="0"/>
                <w:sz w:val="24"/>
                <w:szCs w:val="24"/>
                <w:highlight w:val="none"/>
                <w:lang w:val="en-US" w:eastAsia="zh-CN"/>
              </w:rPr>
              <w:t>接口对接</w:t>
            </w:r>
          </w:p>
        </w:tc>
        <w:tc>
          <w:tcPr>
            <w:tcW w:w="1101" w:type="pct"/>
            <w:shd w:val="clear" w:color="auto" w:fill="auto"/>
            <w:vAlign w:val="center"/>
          </w:tcPr>
          <w:p w14:paraId="5C1EDCB5">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rPr>
            </w:pPr>
            <w:r>
              <w:rPr>
                <w:rFonts w:hint="eastAsia" w:ascii="宋体" w:hAnsi="宋体" w:eastAsia="宋体" w:cs="宋体"/>
                <w:i w:val="0"/>
                <w:iCs w:val="0"/>
                <w:caps w:val="0"/>
                <w:color w:val="auto"/>
                <w:spacing w:val="0"/>
                <w:kern w:val="0"/>
                <w:sz w:val="24"/>
                <w:szCs w:val="24"/>
                <w:highlight w:val="none"/>
                <w:lang w:val="en-US" w:eastAsia="zh-CN" w:bidi="ar"/>
              </w:rPr>
              <w:t>接口对接</w:t>
            </w:r>
          </w:p>
        </w:tc>
        <w:tc>
          <w:tcPr>
            <w:tcW w:w="1890" w:type="pct"/>
            <w:shd w:val="clear" w:color="auto" w:fill="auto"/>
            <w:vAlign w:val="center"/>
          </w:tcPr>
          <w:p w14:paraId="6E48AFB3">
            <w:pPr>
              <w:keepNext/>
              <w:keepLines w:val="0"/>
              <w:widowControl/>
              <w:suppressLineNumbers w:val="0"/>
              <w:shd w:val="clear"/>
              <w:snapToGrid w:val="0"/>
              <w:spacing w:before="0" w:beforeAutospacing="0" w:after="0" w:afterAutospacing="0"/>
              <w:ind w:left="0" w:right="0"/>
              <w:jc w:val="left"/>
              <w:rPr>
                <w:rFonts w:hint="eastAsia" w:ascii="宋体" w:hAnsi="宋体" w:eastAsia="宋体" w:cs="宋体"/>
                <w:i w:val="0"/>
                <w:iCs w:val="0"/>
                <w:caps w:val="0"/>
                <w:color w:val="auto"/>
                <w:spacing w:val="0"/>
                <w:sz w:val="24"/>
                <w:szCs w:val="24"/>
                <w:highlight w:val="none"/>
                <w:lang w:val="en-US"/>
              </w:rPr>
            </w:pPr>
            <w:r>
              <w:rPr>
                <w:rFonts w:hint="eastAsia" w:ascii="宋体" w:hAnsi="宋体" w:eastAsia="宋体" w:cs="宋体"/>
                <w:i w:val="0"/>
                <w:iCs w:val="0"/>
                <w:caps w:val="0"/>
                <w:color w:val="auto"/>
                <w:spacing w:val="0"/>
                <w:kern w:val="0"/>
                <w:sz w:val="24"/>
                <w:szCs w:val="24"/>
                <w:highlight w:val="none"/>
                <w:lang w:val="en-US" w:eastAsia="zh-CN" w:bidi="ar"/>
              </w:rPr>
              <w:t>对接相关的系统厂商（包含东方市县域医共体医疗信息共享平台）</w:t>
            </w:r>
          </w:p>
        </w:tc>
        <w:tc>
          <w:tcPr>
            <w:tcW w:w="507" w:type="pct"/>
            <w:shd w:val="clear" w:color="auto" w:fill="auto"/>
            <w:vAlign w:val="center"/>
          </w:tcPr>
          <w:p w14:paraId="2BD28B92">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lang w:val="en-US"/>
              </w:rPr>
            </w:pPr>
          </w:p>
        </w:tc>
      </w:tr>
      <w:tr w14:paraId="0112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56" w:type="dxa"/>
            <w:left w:w="96" w:type="dxa"/>
            <w:bottom w:w="56" w:type="dxa"/>
            <w:right w:w="96" w:type="dxa"/>
          </w:tblCellMar>
        </w:tblPrEx>
        <w:trPr>
          <w:trHeight w:val="0" w:hRule="atLeast"/>
          <w:jc w:val="center"/>
        </w:trPr>
        <w:tc>
          <w:tcPr>
            <w:tcW w:w="452" w:type="pct"/>
            <w:shd w:val="clear" w:color="auto" w:fill="F9F9F9"/>
            <w:vAlign w:val="center"/>
          </w:tcPr>
          <w:p w14:paraId="0E0E0CF0">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w:t>
            </w:r>
          </w:p>
        </w:tc>
        <w:tc>
          <w:tcPr>
            <w:tcW w:w="1048" w:type="pct"/>
            <w:shd w:val="clear" w:color="auto" w:fill="F9F9F9"/>
            <w:vAlign w:val="center"/>
          </w:tcPr>
          <w:p w14:paraId="708AA655">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运维服务</w:t>
            </w:r>
          </w:p>
        </w:tc>
        <w:tc>
          <w:tcPr>
            <w:tcW w:w="1101" w:type="pct"/>
            <w:shd w:val="clear" w:color="auto" w:fill="F9F9F9"/>
            <w:vAlign w:val="center"/>
          </w:tcPr>
          <w:p w14:paraId="1D061495">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运维支持</w:t>
            </w:r>
          </w:p>
        </w:tc>
        <w:tc>
          <w:tcPr>
            <w:tcW w:w="1890" w:type="pct"/>
            <w:shd w:val="clear" w:color="auto" w:fill="F9F9F9"/>
            <w:vAlign w:val="center"/>
          </w:tcPr>
          <w:p w14:paraId="33881F77">
            <w:pPr>
              <w:keepNext/>
              <w:keepLines w:val="0"/>
              <w:widowControl/>
              <w:suppressLineNumbers w:val="0"/>
              <w:shd w:val="clear"/>
              <w:snapToGrid w:val="0"/>
              <w:spacing w:before="0" w:beforeAutospacing="0" w:after="0" w:afterAutospacing="0"/>
              <w:ind w:left="0" w:right="0"/>
              <w:jc w:val="lef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系统上线后的运维支持服务</w:t>
            </w:r>
          </w:p>
        </w:tc>
        <w:tc>
          <w:tcPr>
            <w:tcW w:w="507" w:type="pct"/>
            <w:shd w:val="clear" w:color="auto" w:fill="F9F9F9"/>
            <w:vAlign w:val="center"/>
          </w:tcPr>
          <w:p w14:paraId="45DC63FE">
            <w:pPr>
              <w:keepNext/>
              <w:keepLines w:val="0"/>
              <w:widowControl/>
              <w:suppressLineNumbers w:val="0"/>
              <w:shd w:val="clear"/>
              <w:snapToGrid w:val="0"/>
              <w:spacing w:before="0" w:beforeAutospacing="0" w:after="0" w:afterAutospacing="0"/>
              <w:ind w:left="0" w:right="0"/>
              <w:jc w:val="center"/>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3年</w:t>
            </w:r>
          </w:p>
        </w:tc>
      </w:tr>
    </w:tbl>
    <w:p w14:paraId="61A622AE">
      <w:pPr>
        <w:shd w:val="clear"/>
        <w:bidi w:val="0"/>
        <w:rPr>
          <w:rFonts w:hint="eastAsia" w:ascii="宋体" w:hAnsi="宋体" w:eastAsia="宋体" w:cs="宋体"/>
          <w:color w:val="auto"/>
          <w:sz w:val="24"/>
          <w:szCs w:val="24"/>
          <w:highlight w:val="none"/>
          <w:lang w:val="en-US" w:eastAsia="zh-CN"/>
        </w:rPr>
      </w:pPr>
    </w:p>
    <w:p w14:paraId="4B5C7435">
      <w:pPr>
        <w:pStyle w:val="3"/>
        <w:keepNext w:val="0"/>
        <w:keepLines w:val="0"/>
        <w:widowControl/>
        <w:suppressLineNumbers w:val="0"/>
        <w:shd w:val="clear"/>
        <w:spacing w:line="600" w:lineRule="atLeast"/>
        <w:ind w:left="0" w:firstLine="0"/>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color w:val="auto"/>
          <w:sz w:val="28"/>
          <w:szCs w:val="28"/>
          <w:highlight w:val="none"/>
          <w:lang w:val="en-US" w:eastAsia="zh-CN"/>
        </w:rPr>
        <w:tab/>
      </w:r>
      <w:r>
        <w:rPr>
          <w:rFonts w:hint="eastAsia" w:ascii="宋体" w:hAnsi="宋体" w:eastAsia="宋体" w:cs="宋体"/>
          <w:i w:val="0"/>
          <w:iCs w:val="0"/>
          <w:caps w:val="0"/>
          <w:color w:val="auto"/>
          <w:spacing w:val="0"/>
          <w:sz w:val="28"/>
          <w:szCs w:val="28"/>
          <w:highlight w:val="none"/>
        </w:rPr>
        <w:t>一、区域DIP管理系统</w:t>
      </w:r>
    </w:p>
    <w:p w14:paraId="3C1F061F">
      <w:pPr>
        <w:pStyle w:val="4"/>
        <w:keepNext w:val="0"/>
        <w:keepLines w:val="0"/>
        <w:widowControl/>
        <w:suppressLineNumbers w:val="0"/>
        <w:shd w:val="clear"/>
        <w:spacing w:line="600" w:lineRule="atLeast"/>
        <w:ind w:left="0" w:firstLine="0"/>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（一）医共体总医院DIP管理系统（东方市人民医院）</w:t>
      </w:r>
    </w:p>
    <w:p w14:paraId="2993F92C">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1. 内置分组器：基于国家版DIP分组规范本地化适配，适用于海南省和东方市的分组规则、医保结算清单质控要求，并适用于不同支付政策、支付标准分组结果数据集成分析。</w:t>
      </w:r>
    </w:p>
    <w:p w14:paraId="012C4A8D">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2. 医生助手：提供医生模拟分组、医生费用预警、规则配置等功能，帮助医生及时了解入组情况和DIP组标准，进行实时的费用和天数预警。</w:t>
      </w:r>
    </w:p>
    <w:p w14:paraId="677E9FBD">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3. 智能质控服务：通过知识库规则质控和分组修改建议服务，对医保结算清单、病案首页、病例入组等数据情况进行质控，保证上传医保局的信息合理合规。</w:t>
      </w:r>
    </w:p>
    <w:p w14:paraId="5879E554">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4. 医保资金管理：包括额度分配和额度监控，根据医保基金总额分配到各个医疗机构及科室，并实时监控使用情况。</w:t>
      </w:r>
    </w:p>
    <w:p w14:paraId="7B46FAD3">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5. 结算清单管理系统：提供清单质控、结算清单预分组服务、医保结算清单生成及上报功能、质控规则引擎维护、统计数据功能等，确保结算清单的数据质量。</w:t>
      </w:r>
    </w:p>
    <w:p w14:paraId="09EE3DF1">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6. 区域运营分析管理系统：从全院、科室、医疗组、DIP病组、异常费用等维度进行全面的数据分析，帮助院领导、医保办全面了解DIP情况。</w:t>
      </w:r>
    </w:p>
    <w:p w14:paraId="00C85DD9">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7. 区域医保绩效管理系统：提供基于医院/科室/病组维度下医疗能力、医疗质量、资源效率、医疗行为、费用控制、病案质量等方面的数据分析，建立科学院内绩效评价体系。</w:t>
      </w:r>
    </w:p>
    <w:p w14:paraId="12838A84">
      <w:pPr>
        <w:pStyle w:val="4"/>
        <w:keepNext w:val="0"/>
        <w:keepLines w:val="0"/>
        <w:widowControl/>
        <w:suppressLineNumbers w:val="0"/>
        <w:shd w:val="clear"/>
        <w:spacing w:line="600" w:lineRule="atLeast"/>
        <w:ind w:left="0" w:firstLine="0"/>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（二）医共体团体医院DIP管理系统（东方市中医院、东方市妇幼保健院、东方市第二人民医院）</w:t>
      </w:r>
    </w:p>
    <w:p w14:paraId="53AFC13C">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1. 区域结算清单管理系统：提供清单质控、结算清单预分组服务、医保结算清单生成及上报功能、质控规则引擎维护、统计数据功能等，确保结算清单的数据质量。</w:t>
      </w:r>
    </w:p>
    <w:p w14:paraId="4D614BE5">
      <w:pPr>
        <w:pStyle w:val="3"/>
        <w:keepNext w:val="0"/>
        <w:keepLines w:val="0"/>
        <w:widowControl/>
        <w:suppressLineNumbers w:val="0"/>
        <w:shd w:val="clear"/>
        <w:spacing w:line="600" w:lineRule="atLeast"/>
        <w:ind w:left="0" w:firstLine="0"/>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二、区域医保智能审核系统</w:t>
      </w:r>
    </w:p>
    <w:p w14:paraId="32C2B70C">
      <w:pPr>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color w:val="auto"/>
          <w:sz w:val="28"/>
          <w:szCs w:val="28"/>
          <w:highlight w:val="none"/>
          <w:lang w:val="en-US" w:eastAsia="zh-CN"/>
        </w:rPr>
        <w:t>软件部署范围包括：东方市卫生健康委员会、东方市人民医院、东方市中医院、东方市妇幼保健院、东方市第二人民医院。</w:t>
      </w:r>
    </w:p>
    <w:p w14:paraId="311B38C1">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1. 医保审核规则：支持不同地区医保对医院监管审核规则的设置，包括药品规则、诊疗项目规则等。</w:t>
      </w:r>
    </w:p>
    <w:p w14:paraId="49A254D0">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2. 智能审核提醒：基于医保规则知识库中的各项规则，对医保患者的诊疗行为进行审核，对于违规行为进行提醒。</w:t>
      </w:r>
    </w:p>
    <w:p w14:paraId="2B5EA479">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3. 智能审核监控：提供门诊医生工作站、住院医生和护士工作站进行医保智能审核提醒结果的实时监控功能。</w:t>
      </w:r>
    </w:p>
    <w:p w14:paraId="64529F98">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4. 事后费用审核：支持对在院患者和出院患者的费用进行审核，并对违规行为予以提醒。</w:t>
      </w:r>
    </w:p>
    <w:p w14:paraId="52E4E9F4">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rPr>
        <w:t>5. 审核日志管理：支持工作人员通过设置检索条件，查看历史过程中的智能审核结果。</w:t>
      </w:r>
    </w:p>
    <w:p w14:paraId="21B289CF">
      <w:pPr>
        <w:pStyle w:val="3"/>
        <w:keepNext w:val="0"/>
        <w:keepLines w:val="0"/>
        <w:widowControl/>
        <w:suppressLineNumbers w:val="0"/>
        <w:shd w:val="clear"/>
        <w:spacing w:line="600" w:lineRule="atLeast"/>
        <w:ind w:left="0" w:firstLine="0"/>
        <w:rPr>
          <w:rFonts w:hint="eastAsia" w:ascii="宋体" w:hAnsi="宋体" w:eastAsia="宋体" w:cs="宋体"/>
          <w:color w:val="auto"/>
          <w:sz w:val="28"/>
          <w:szCs w:val="28"/>
          <w:highlight w:val="none"/>
          <w:lang w:val="en-US" w:eastAsia="zh-CN"/>
        </w:rPr>
      </w:pPr>
      <w:r>
        <w:rPr>
          <w:rFonts w:hint="eastAsia" w:ascii="宋体" w:hAnsi="宋体" w:eastAsia="宋体" w:cs="宋体"/>
          <w:i w:val="0"/>
          <w:iCs w:val="0"/>
          <w:caps w:val="0"/>
          <w:color w:val="auto"/>
          <w:spacing w:val="0"/>
          <w:sz w:val="28"/>
          <w:szCs w:val="28"/>
          <w:highlight w:val="none"/>
          <w:lang w:val="en-US" w:eastAsia="zh-CN"/>
        </w:rPr>
        <w:t>三</w:t>
      </w:r>
      <w:r>
        <w:rPr>
          <w:rFonts w:hint="eastAsia" w:ascii="宋体" w:hAnsi="宋体" w:eastAsia="宋体" w:cs="宋体"/>
          <w:i w:val="0"/>
          <w:iCs w:val="0"/>
          <w:caps w:val="0"/>
          <w:color w:val="auto"/>
          <w:spacing w:val="0"/>
          <w:sz w:val="28"/>
          <w:szCs w:val="28"/>
          <w:highlight w:val="none"/>
        </w:rPr>
        <w:t>、</w:t>
      </w:r>
      <w:r>
        <w:rPr>
          <w:rFonts w:hint="eastAsia" w:ascii="宋体" w:hAnsi="宋体" w:eastAsia="宋体" w:cs="宋体"/>
          <w:i w:val="0"/>
          <w:iCs w:val="0"/>
          <w:caps w:val="0"/>
          <w:color w:val="auto"/>
          <w:spacing w:val="0"/>
          <w:sz w:val="28"/>
          <w:szCs w:val="28"/>
          <w:highlight w:val="none"/>
          <w:lang w:val="en-US" w:eastAsia="zh-CN"/>
        </w:rPr>
        <w:t>硬件</w:t>
      </w:r>
    </w:p>
    <w:p w14:paraId="4E77664F">
      <w:pPr>
        <w:pStyle w:val="4"/>
        <w:keepNext w:val="0"/>
        <w:keepLines w:val="0"/>
        <w:widowControl/>
        <w:suppressLineNumbers w:val="0"/>
        <w:shd w:val="clear"/>
        <w:spacing w:line="600" w:lineRule="atLeast"/>
        <w:ind w:left="0" w:firstLine="0"/>
        <w:rPr>
          <w:rFonts w:hint="eastAsia" w:ascii="宋体" w:hAnsi="宋体" w:eastAsia="宋体" w:cs="宋体"/>
          <w:i w:val="0"/>
          <w:iCs w:val="0"/>
          <w:caps w:val="0"/>
          <w:color w:val="auto"/>
          <w:spacing w:val="0"/>
          <w:sz w:val="28"/>
          <w:szCs w:val="28"/>
          <w:highlight w:val="none"/>
          <w:lang w:val="en-US" w:eastAsia="zh-CN"/>
        </w:rPr>
      </w:pPr>
      <w:r>
        <w:rPr>
          <w:rFonts w:hint="eastAsia" w:ascii="宋体" w:hAnsi="宋体" w:eastAsia="宋体" w:cs="宋体"/>
          <w:i w:val="0"/>
          <w:iCs w:val="0"/>
          <w:caps w:val="0"/>
          <w:color w:val="auto"/>
          <w:spacing w:val="0"/>
          <w:sz w:val="28"/>
          <w:szCs w:val="28"/>
          <w:highlight w:val="none"/>
        </w:rPr>
        <w:t>（一）硬件</w:t>
      </w:r>
      <w:r>
        <w:rPr>
          <w:rFonts w:hint="eastAsia" w:ascii="宋体" w:hAnsi="宋体" w:eastAsia="宋体" w:cs="宋体"/>
          <w:i w:val="0"/>
          <w:iCs w:val="0"/>
          <w:caps w:val="0"/>
          <w:color w:val="auto"/>
          <w:spacing w:val="0"/>
          <w:sz w:val="28"/>
          <w:szCs w:val="28"/>
          <w:highlight w:val="none"/>
          <w:lang w:val="en-US" w:eastAsia="zh-CN"/>
        </w:rPr>
        <w:t>服务器</w:t>
      </w:r>
    </w:p>
    <w:p w14:paraId="2CDB33F8">
      <w:pPr>
        <w:pStyle w:val="8"/>
        <w:keepNext w:val="0"/>
        <w:keepLines w:val="0"/>
        <w:widowControl/>
        <w:suppressLineNumbers w:val="0"/>
        <w:shd w:val="clear"/>
        <w:ind w:left="0" w:firstLine="420"/>
        <w:jc w:val="both"/>
        <w:rPr>
          <w:rFonts w:hint="eastAsia" w:ascii="宋体" w:hAnsi="宋体" w:eastAsia="宋体" w:cs="宋体"/>
          <w:i w:val="0"/>
          <w:iCs w:val="0"/>
          <w:caps w:val="0"/>
          <w:color w:val="auto"/>
          <w:spacing w:val="0"/>
          <w:sz w:val="28"/>
          <w:szCs w:val="28"/>
          <w:highlight w:val="none"/>
          <w:lang w:val="en-US" w:eastAsia="zh-CN"/>
        </w:rPr>
      </w:pPr>
      <w:r>
        <w:rPr>
          <w:rFonts w:hint="eastAsia" w:ascii="宋体" w:hAnsi="宋体" w:eastAsia="宋体" w:cs="宋体"/>
          <w:i w:val="0"/>
          <w:iCs w:val="0"/>
          <w:caps w:val="0"/>
          <w:color w:val="auto"/>
          <w:spacing w:val="0"/>
          <w:sz w:val="28"/>
          <w:szCs w:val="28"/>
          <w:highlight w:val="none"/>
        </w:rPr>
        <w:t>用于部署区域DIP管理系统和智能审核系统。</w:t>
      </w:r>
      <w:r>
        <w:rPr>
          <w:rFonts w:hint="eastAsia" w:ascii="宋体" w:hAnsi="宋体" w:eastAsia="宋体" w:cs="宋体"/>
          <w:i w:val="0"/>
          <w:iCs w:val="0"/>
          <w:caps w:val="0"/>
          <w:color w:val="auto"/>
          <w:spacing w:val="0"/>
          <w:sz w:val="28"/>
          <w:szCs w:val="28"/>
          <w:highlight w:val="none"/>
          <w:lang w:val="en-US" w:eastAsia="zh-CN"/>
        </w:rPr>
        <w:t>可以采用云部署或者本地服务器。</w:t>
      </w:r>
    </w:p>
    <w:p w14:paraId="6577B159">
      <w:pPr>
        <w:pStyle w:val="4"/>
        <w:numPr>
          <w:ilvl w:val="1"/>
          <w:numId w:val="0"/>
        </w:numPr>
        <w:shd w:val="clear"/>
        <w:spacing w:before="156" w:after="156"/>
        <w:rPr>
          <w:rFonts w:hint="eastAsia"/>
          <w:color w:val="auto"/>
          <w:highlight w:val="none"/>
        </w:rPr>
      </w:pPr>
      <w:bookmarkStart w:id="0" w:name="_Hlk46995291"/>
      <w:r>
        <w:rPr>
          <w:rFonts w:hint="eastAsia"/>
          <w:color w:val="auto"/>
          <w:highlight w:val="none"/>
        </w:rPr>
        <w:t>（二）采购清单</w:t>
      </w:r>
    </w:p>
    <w:tbl>
      <w:tblPr>
        <w:tblStyle w:val="9"/>
        <w:tblW w:w="4997" w:type="pct"/>
        <w:tblInd w:w="0" w:type="dxa"/>
        <w:tblLayout w:type="autofit"/>
        <w:tblCellMar>
          <w:top w:w="0" w:type="dxa"/>
          <w:left w:w="108" w:type="dxa"/>
          <w:bottom w:w="0" w:type="dxa"/>
          <w:right w:w="108" w:type="dxa"/>
        </w:tblCellMar>
      </w:tblPr>
      <w:tblGrid>
        <w:gridCol w:w="1070"/>
        <w:gridCol w:w="1839"/>
        <w:gridCol w:w="2395"/>
        <w:gridCol w:w="1070"/>
        <w:gridCol w:w="1070"/>
        <w:gridCol w:w="1073"/>
      </w:tblGrid>
      <w:tr w14:paraId="681F2EEF">
        <w:tblPrEx>
          <w:tblCellMar>
            <w:top w:w="0" w:type="dxa"/>
            <w:left w:w="108" w:type="dxa"/>
            <w:bottom w:w="0" w:type="dxa"/>
            <w:right w:w="108" w:type="dxa"/>
          </w:tblCellMar>
        </w:tblPrEx>
        <w:trPr>
          <w:trHeight w:val="312" w:hRule="atLeast"/>
        </w:trPr>
        <w:tc>
          <w:tcPr>
            <w:tcW w:w="628" w:type="pct"/>
            <w:vMerge w:val="restart"/>
            <w:tcBorders>
              <w:top w:val="single" w:color="000000" w:sz="4" w:space="0"/>
              <w:left w:val="single" w:color="000000" w:sz="4" w:space="0"/>
              <w:bottom w:val="single" w:color="000000" w:sz="4" w:space="0"/>
              <w:right w:val="single" w:color="000000" w:sz="4" w:space="0"/>
            </w:tcBorders>
            <w:vAlign w:val="center"/>
          </w:tcPr>
          <w:p w14:paraId="39800746">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序号</w:t>
            </w:r>
          </w:p>
        </w:tc>
        <w:tc>
          <w:tcPr>
            <w:tcW w:w="2484" w:type="pct"/>
            <w:gridSpan w:val="2"/>
            <w:tcBorders>
              <w:top w:val="single" w:color="000000" w:sz="4" w:space="0"/>
              <w:left w:val="single" w:color="000000" w:sz="4" w:space="0"/>
              <w:bottom w:val="single" w:color="000000" w:sz="4" w:space="0"/>
              <w:right w:val="single" w:color="000000" w:sz="4" w:space="0"/>
            </w:tcBorders>
            <w:vAlign w:val="center"/>
          </w:tcPr>
          <w:p w14:paraId="014F01B6">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采购内容</w:t>
            </w:r>
          </w:p>
        </w:tc>
        <w:tc>
          <w:tcPr>
            <w:tcW w:w="628" w:type="pct"/>
            <w:vMerge w:val="restart"/>
            <w:tcBorders>
              <w:top w:val="single" w:color="000000" w:sz="4" w:space="0"/>
              <w:left w:val="single" w:color="000000" w:sz="4" w:space="0"/>
              <w:bottom w:val="single" w:color="000000" w:sz="4" w:space="0"/>
              <w:right w:val="single" w:color="000000" w:sz="4" w:space="0"/>
            </w:tcBorders>
            <w:vAlign w:val="center"/>
          </w:tcPr>
          <w:p w14:paraId="2EED8E2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单位</w:t>
            </w:r>
          </w:p>
        </w:tc>
        <w:tc>
          <w:tcPr>
            <w:tcW w:w="628" w:type="pct"/>
            <w:vMerge w:val="restart"/>
            <w:tcBorders>
              <w:top w:val="single" w:color="000000" w:sz="4" w:space="0"/>
              <w:left w:val="single" w:color="000000" w:sz="4" w:space="0"/>
              <w:bottom w:val="single" w:color="000000" w:sz="4" w:space="0"/>
              <w:right w:val="single" w:color="000000" w:sz="4" w:space="0"/>
            </w:tcBorders>
            <w:vAlign w:val="center"/>
          </w:tcPr>
          <w:p w14:paraId="205DAF91">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数量</w:t>
            </w:r>
          </w:p>
        </w:tc>
        <w:tc>
          <w:tcPr>
            <w:tcW w:w="629" w:type="pct"/>
            <w:vMerge w:val="restart"/>
            <w:tcBorders>
              <w:top w:val="single" w:color="000000" w:sz="4" w:space="0"/>
              <w:left w:val="single" w:color="000000" w:sz="4" w:space="0"/>
              <w:bottom w:val="single" w:color="000000" w:sz="4" w:space="0"/>
              <w:right w:val="single" w:color="000000" w:sz="4" w:space="0"/>
            </w:tcBorders>
            <w:vAlign w:val="center"/>
          </w:tcPr>
          <w:p w14:paraId="089ACED0">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备注</w:t>
            </w:r>
          </w:p>
        </w:tc>
      </w:tr>
      <w:tr w14:paraId="4E73ADA4">
        <w:tblPrEx>
          <w:tblCellMar>
            <w:top w:w="0" w:type="dxa"/>
            <w:left w:w="108" w:type="dxa"/>
            <w:bottom w:w="0" w:type="dxa"/>
            <w:right w:w="108" w:type="dxa"/>
          </w:tblCellMar>
        </w:tblPrEx>
        <w:trPr>
          <w:trHeight w:val="288" w:hRule="atLeast"/>
        </w:trPr>
        <w:tc>
          <w:tcPr>
            <w:tcW w:w="628" w:type="pct"/>
            <w:vMerge w:val="continue"/>
            <w:tcBorders>
              <w:top w:val="single" w:color="000000" w:sz="4" w:space="0"/>
              <w:left w:val="single" w:color="000000" w:sz="4" w:space="0"/>
              <w:bottom w:val="single" w:color="000000" w:sz="4" w:space="0"/>
              <w:right w:val="single" w:color="000000" w:sz="4" w:space="0"/>
            </w:tcBorders>
            <w:vAlign w:val="center"/>
          </w:tcPr>
          <w:p w14:paraId="01ED80B6">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b/>
                <w:bCs/>
                <w:color w:val="auto"/>
                <w:sz w:val="24"/>
                <w:szCs w:val="24"/>
                <w:highlight w:val="none"/>
              </w:rPr>
            </w:pPr>
          </w:p>
        </w:tc>
        <w:tc>
          <w:tcPr>
            <w:tcW w:w="1079" w:type="pct"/>
            <w:tcBorders>
              <w:top w:val="single" w:color="000000" w:sz="4" w:space="0"/>
              <w:left w:val="single" w:color="000000" w:sz="4" w:space="0"/>
              <w:bottom w:val="single" w:color="000000" w:sz="4" w:space="0"/>
              <w:right w:val="single" w:color="000000" w:sz="4" w:space="0"/>
            </w:tcBorders>
            <w:vAlign w:val="center"/>
          </w:tcPr>
          <w:p w14:paraId="16F3B8B6">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系统名称</w:t>
            </w:r>
          </w:p>
        </w:tc>
        <w:tc>
          <w:tcPr>
            <w:tcW w:w="1405" w:type="pct"/>
            <w:tcBorders>
              <w:top w:val="single" w:color="000000" w:sz="4" w:space="0"/>
              <w:left w:val="single" w:color="000000" w:sz="4" w:space="0"/>
              <w:bottom w:val="single" w:color="000000" w:sz="4" w:space="0"/>
              <w:right w:val="single" w:color="000000" w:sz="4" w:space="0"/>
            </w:tcBorders>
            <w:vAlign w:val="center"/>
          </w:tcPr>
          <w:p w14:paraId="18204633">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bidi="ar"/>
              </w:rPr>
              <w:t>系统模块</w:t>
            </w:r>
          </w:p>
        </w:tc>
        <w:tc>
          <w:tcPr>
            <w:tcW w:w="628" w:type="pct"/>
            <w:vMerge w:val="continue"/>
            <w:tcBorders>
              <w:top w:val="single" w:color="000000" w:sz="4" w:space="0"/>
              <w:left w:val="single" w:color="000000" w:sz="4" w:space="0"/>
              <w:bottom w:val="single" w:color="000000" w:sz="4" w:space="0"/>
              <w:right w:val="single" w:color="000000" w:sz="4" w:space="0"/>
            </w:tcBorders>
            <w:vAlign w:val="center"/>
          </w:tcPr>
          <w:p w14:paraId="7F41E5E7">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b/>
                <w:bCs/>
                <w:color w:val="auto"/>
                <w:sz w:val="24"/>
                <w:szCs w:val="24"/>
                <w:highlight w:val="none"/>
              </w:rPr>
            </w:pPr>
          </w:p>
        </w:tc>
        <w:tc>
          <w:tcPr>
            <w:tcW w:w="628" w:type="pct"/>
            <w:vMerge w:val="continue"/>
            <w:tcBorders>
              <w:top w:val="single" w:color="000000" w:sz="4" w:space="0"/>
              <w:left w:val="single" w:color="000000" w:sz="4" w:space="0"/>
              <w:bottom w:val="single" w:color="000000" w:sz="4" w:space="0"/>
              <w:right w:val="single" w:color="000000" w:sz="4" w:space="0"/>
            </w:tcBorders>
            <w:vAlign w:val="center"/>
          </w:tcPr>
          <w:p w14:paraId="1032024C">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b/>
                <w:bCs/>
                <w:color w:val="auto"/>
                <w:sz w:val="24"/>
                <w:szCs w:val="24"/>
                <w:highlight w:val="none"/>
              </w:rPr>
            </w:pPr>
          </w:p>
        </w:tc>
        <w:tc>
          <w:tcPr>
            <w:tcW w:w="629" w:type="pct"/>
            <w:vMerge w:val="continue"/>
            <w:tcBorders>
              <w:top w:val="single" w:color="000000" w:sz="4" w:space="0"/>
              <w:left w:val="single" w:color="000000" w:sz="4" w:space="0"/>
              <w:bottom w:val="single" w:color="000000" w:sz="4" w:space="0"/>
              <w:right w:val="single" w:color="000000" w:sz="4" w:space="0"/>
            </w:tcBorders>
            <w:vAlign w:val="center"/>
          </w:tcPr>
          <w:p w14:paraId="15F164AA">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r>
      <w:tr w14:paraId="549B8199">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021C5795">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1079" w:type="pct"/>
            <w:vMerge w:val="restart"/>
            <w:tcBorders>
              <w:top w:val="single" w:color="000000" w:sz="4" w:space="0"/>
              <w:left w:val="single" w:color="000000" w:sz="4" w:space="0"/>
              <w:bottom w:val="single" w:color="000000" w:sz="4" w:space="0"/>
              <w:right w:val="single" w:color="000000" w:sz="4" w:space="0"/>
            </w:tcBorders>
            <w:vAlign w:val="center"/>
          </w:tcPr>
          <w:p w14:paraId="297AE4E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DIP智能管理系统</w:t>
            </w:r>
          </w:p>
        </w:tc>
        <w:tc>
          <w:tcPr>
            <w:tcW w:w="1405" w:type="pct"/>
            <w:tcBorders>
              <w:top w:val="single" w:color="000000" w:sz="4" w:space="0"/>
              <w:left w:val="single" w:color="000000" w:sz="4" w:space="0"/>
              <w:bottom w:val="single" w:color="000000" w:sz="4" w:space="0"/>
              <w:right w:val="single" w:color="000000" w:sz="4" w:space="0"/>
            </w:tcBorders>
            <w:vAlign w:val="center"/>
          </w:tcPr>
          <w:p w14:paraId="239F76B1">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医生助手</w:t>
            </w:r>
          </w:p>
        </w:tc>
        <w:tc>
          <w:tcPr>
            <w:tcW w:w="628" w:type="pct"/>
            <w:tcBorders>
              <w:top w:val="single" w:color="000000" w:sz="4" w:space="0"/>
              <w:left w:val="single" w:color="000000" w:sz="4" w:space="0"/>
              <w:bottom w:val="single" w:color="000000" w:sz="4" w:space="0"/>
              <w:right w:val="single" w:color="000000" w:sz="4" w:space="0"/>
            </w:tcBorders>
            <w:vAlign w:val="center"/>
          </w:tcPr>
          <w:p w14:paraId="612189A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14F1F434">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206298F5">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2775394E">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54DAB4EA">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3038092E">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13021E5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医生质控助手</w:t>
            </w:r>
          </w:p>
        </w:tc>
        <w:tc>
          <w:tcPr>
            <w:tcW w:w="628" w:type="pct"/>
            <w:tcBorders>
              <w:top w:val="single" w:color="000000" w:sz="4" w:space="0"/>
              <w:left w:val="single" w:color="000000" w:sz="4" w:space="0"/>
              <w:bottom w:val="single" w:color="000000" w:sz="4" w:space="0"/>
              <w:right w:val="single" w:color="000000" w:sz="4" w:space="0"/>
            </w:tcBorders>
            <w:vAlign w:val="center"/>
          </w:tcPr>
          <w:p w14:paraId="6BF178CC">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1EB777A7">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1888F665">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0BF01713">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4B2D02F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62674CC3">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2D9A2944">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清单质控系统</w:t>
            </w:r>
          </w:p>
        </w:tc>
        <w:tc>
          <w:tcPr>
            <w:tcW w:w="628" w:type="pct"/>
            <w:tcBorders>
              <w:top w:val="single" w:color="000000" w:sz="4" w:space="0"/>
              <w:left w:val="single" w:color="000000" w:sz="4" w:space="0"/>
              <w:bottom w:val="single" w:color="000000" w:sz="4" w:space="0"/>
              <w:right w:val="single" w:color="000000" w:sz="4" w:space="0"/>
            </w:tcBorders>
            <w:vAlign w:val="center"/>
          </w:tcPr>
          <w:p w14:paraId="0C2CD23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79BCDEFD">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50DE9F17">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7BC0BD59">
        <w:tblPrEx>
          <w:tblCellMar>
            <w:top w:w="0" w:type="dxa"/>
            <w:left w:w="108" w:type="dxa"/>
            <w:bottom w:w="0" w:type="dxa"/>
            <w:right w:w="108" w:type="dxa"/>
          </w:tblCellMar>
        </w:tblPrEx>
        <w:trPr>
          <w:trHeight w:val="327"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683EEB06">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5DCE4260">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525999EE">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运营分析系统</w:t>
            </w:r>
          </w:p>
        </w:tc>
        <w:tc>
          <w:tcPr>
            <w:tcW w:w="628" w:type="pct"/>
            <w:tcBorders>
              <w:top w:val="single" w:color="000000" w:sz="4" w:space="0"/>
              <w:left w:val="single" w:color="000000" w:sz="4" w:space="0"/>
              <w:bottom w:val="single" w:color="000000" w:sz="4" w:space="0"/>
              <w:right w:val="single" w:color="000000" w:sz="4" w:space="0"/>
            </w:tcBorders>
            <w:vAlign w:val="center"/>
          </w:tcPr>
          <w:p w14:paraId="53C98FCA">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30EA800D">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3F7BB2AB">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06820D38">
        <w:tblPrEx>
          <w:tblCellMar>
            <w:top w:w="0" w:type="dxa"/>
            <w:left w:w="108" w:type="dxa"/>
            <w:bottom w:w="0" w:type="dxa"/>
            <w:right w:w="108" w:type="dxa"/>
          </w:tblCellMar>
        </w:tblPrEx>
        <w:trPr>
          <w:trHeight w:val="638"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783724FE">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0903A94A">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34A39C90">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DIP系统与医院相关系统接口对接</w:t>
            </w:r>
          </w:p>
        </w:tc>
        <w:tc>
          <w:tcPr>
            <w:tcW w:w="628" w:type="pct"/>
            <w:tcBorders>
              <w:top w:val="single" w:color="000000" w:sz="4" w:space="0"/>
              <w:left w:val="single" w:color="000000" w:sz="4" w:space="0"/>
              <w:bottom w:val="single" w:color="000000" w:sz="4" w:space="0"/>
              <w:right w:val="single" w:color="000000" w:sz="4" w:space="0"/>
            </w:tcBorders>
            <w:vAlign w:val="center"/>
          </w:tcPr>
          <w:p w14:paraId="0C560C7A">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538D6D69">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501B7428">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350D76F6">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7A110F32">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6</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7EAB85C4">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728CC5AB">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系统运营服务</w:t>
            </w:r>
          </w:p>
        </w:tc>
        <w:tc>
          <w:tcPr>
            <w:tcW w:w="628" w:type="pct"/>
            <w:tcBorders>
              <w:top w:val="single" w:color="000000" w:sz="4" w:space="0"/>
              <w:left w:val="single" w:color="000000" w:sz="4" w:space="0"/>
              <w:bottom w:val="single" w:color="000000" w:sz="4" w:space="0"/>
              <w:right w:val="single" w:color="000000" w:sz="4" w:space="0"/>
            </w:tcBorders>
            <w:vAlign w:val="center"/>
          </w:tcPr>
          <w:p w14:paraId="2602DD26">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37FA0393">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58CCBE98">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66AE38FF">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1DF4C5C5">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7</w:t>
            </w:r>
          </w:p>
        </w:tc>
        <w:tc>
          <w:tcPr>
            <w:tcW w:w="1079" w:type="pct"/>
            <w:vMerge w:val="restart"/>
            <w:tcBorders>
              <w:top w:val="single" w:color="000000" w:sz="4" w:space="0"/>
              <w:left w:val="single" w:color="000000" w:sz="4" w:space="0"/>
              <w:bottom w:val="single" w:color="000000" w:sz="4" w:space="0"/>
              <w:right w:val="single" w:color="000000" w:sz="4" w:space="0"/>
            </w:tcBorders>
            <w:vAlign w:val="center"/>
          </w:tcPr>
          <w:p w14:paraId="636B169D">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医保智能审核系统</w:t>
            </w:r>
          </w:p>
        </w:tc>
        <w:tc>
          <w:tcPr>
            <w:tcW w:w="1405" w:type="pct"/>
            <w:tcBorders>
              <w:top w:val="single" w:color="000000" w:sz="4" w:space="0"/>
              <w:left w:val="single" w:color="000000" w:sz="4" w:space="0"/>
              <w:bottom w:val="single" w:color="000000" w:sz="4" w:space="0"/>
              <w:right w:val="single" w:color="000000" w:sz="4" w:space="0"/>
            </w:tcBorders>
            <w:vAlign w:val="center"/>
          </w:tcPr>
          <w:p w14:paraId="7753D38D">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实时审核预警</w:t>
            </w:r>
          </w:p>
        </w:tc>
        <w:tc>
          <w:tcPr>
            <w:tcW w:w="628" w:type="pct"/>
            <w:tcBorders>
              <w:top w:val="single" w:color="000000" w:sz="4" w:space="0"/>
              <w:left w:val="single" w:color="000000" w:sz="4" w:space="0"/>
              <w:bottom w:val="single" w:color="000000" w:sz="4" w:space="0"/>
              <w:right w:val="single" w:color="000000" w:sz="4" w:space="0"/>
            </w:tcBorders>
            <w:vAlign w:val="center"/>
          </w:tcPr>
          <w:p w14:paraId="00A3BBA9">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4D52D96C">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7C20DBBC">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09D09737">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1A831B3A">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5CC4D216">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129295D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实时监控</w:t>
            </w:r>
          </w:p>
        </w:tc>
        <w:tc>
          <w:tcPr>
            <w:tcW w:w="628" w:type="pct"/>
            <w:tcBorders>
              <w:top w:val="single" w:color="000000" w:sz="4" w:space="0"/>
              <w:left w:val="single" w:color="000000" w:sz="4" w:space="0"/>
              <w:bottom w:val="single" w:color="000000" w:sz="4" w:space="0"/>
              <w:right w:val="single" w:color="000000" w:sz="4" w:space="0"/>
            </w:tcBorders>
            <w:vAlign w:val="center"/>
          </w:tcPr>
          <w:p w14:paraId="692CF57E">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7EC8DCAB">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372047B9">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0906D64C">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4EA8BD6A">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9</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34758442">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14C08706">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违规分析</w:t>
            </w:r>
          </w:p>
        </w:tc>
        <w:tc>
          <w:tcPr>
            <w:tcW w:w="628" w:type="pct"/>
            <w:tcBorders>
              <w:top w:val="single" w:color="000000" w:sz="4" w:space="0"/>
              <w:left w:val="single" w:color="000000" w:sz="4" w:space="0"/>
              <w:bottom w:val="single" w:color="000000" w:sz="4" w:space="0"/>
              <w:right w:val="single" w:color="000000" w:sz="4" w:space="0"/>
            </w:tcBorders>
            <w:vAlign w:val="center"/>
          </w:tcPr>
          <w:p w14:paraId="02B7B73F">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42F9C3D7">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045F7769">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7B71B28E">
        <w:tblPrEx>
          <w:tblCellMar>
            <w:top w:w="0" w:type="dxa"/>
            <w:left w:w="108" w:type="dxa"/>
            <w:bottom w:w="0" w:type="dxa"/>
            <w:right w:w="108" w:type="dxa"/>
          </w:tblCellMar>
        </w:tblPrEx>
        <w:trPr>
          <w:trHeight w:val="312"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656B7BF4">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10</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2E2B8EE3">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401CF785">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规则管理</w:t>
            </w:r>
          </w:p>
        </w:tc>
        <w:tc>
          <w:tcPr>
            <w:tcW w:w="628" w:type="pct"/>
            <w:tcBorders>
              <w:top w:val="single" w:color="000000" w:sz="4" w:space="0"/>
              <w:left w:val="single" w:color="000000" w:sz="4" w:space="0"/>
              <w:bottom w:val="single" w:color="000000" w:sz="4" w:space="0"/>
              <w:right w:val="single" w:color="000000" w:sz="4" w:space="0"/>
            </w:tcBorders>
            <w:vAlign w:val="center"/>
          </w:tcPr>
          <w:p w14:paraId="06518387">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3FD5E02E">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2A74D185">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2A66AB60">
        <w:tblPrEx>
          <w:tblCellMar>
            <w:top w:w="0" w:type="dxa"/>
            <w:left w:w="108" w:type="dxa"/>
            <w:bottom w:w="0" w:type="dxa"/>
            <w:right w:w="108" w:type="dxa"/>
          </w:tblCellMar>
        </w:tblPrEx>
        <w:trPr>
          <w:trHeight w:val="327"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4B32AFAB">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11</w:t>
            </w:r>
          </w:p>
        </w:tc>
        <w:tc>
          <w:tcPr>
            <w:tcW w:w="1079" w:type="pct"/>
            <w:vMerge w:val="continue"/>
            <w:tcBorders>
              <w:top w:val="single" w:color="000000" w:sz="4" w:space="0"/>
              <w:left w:val="single" w:color="000000" w:sz="4" w:space="0"/>
              <w:bottom w:val="single" w:color="000000" w:sz="4" w:space="0"/>
              <w:right w:val="single" w:color="000000" w:sz="4" w:space="0"/>
            </w:tcBorders>
            <w:vAlign w:val="center"/>
          </w:tcPr>
          <w:p w14:paraId="1FD35EF4">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rPr>
            </w:pPr>
          </w:p>
        </w:tc>
        <w:tc>
          <w:tcPr>
            <w:tcW w:w="1405" w:type="pct"/>
            <w:tcBorders>
              <w:top w:val="single" w:color="000000" w:sz="4" w:space="0"/>
              <w:left w:val="single" w:color="000000" w:sz="4" w:space="0"/>
              <w:bottom w:val="single" w:color="000000" w:sz="4" w:space="0"/>
              <w:right w:val="single" w:color="000000" w:sz="4" w:space="0"/>
            </w:tcBorders>
            <w:vAlign w:val="center"/>
          </w:tcPr>
          <w:p w14:paraId="450B0F01">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智能审核系统与医院相关接口对接</w:t>
            </w:r>
          </w:p>
        </w:tc>
        <w:tc>
          <w:tcPr>
            <w:tcW w:w="628" w:type="pct"/>
            <w:tcBorders>
              <w:top w:val="single" w:color="000000" w:sz="4" w:space="0"/>
              <w:left w:val="single" w:color="000000" w:sz="4" w:space="0"/>
              <w:bottom w:val="single" w:color="000000" w:sz="4" w:space="0"/>
              <w:right w:val="single" w:color="000000" w:sz="4" w:space="0"/>
            </w:tcBorders>
            <w:vAlign w:val="center"/>
          </w:tcPr>
          <w:p w14:paraId="1D725C0B">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3365F5F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33602FE1">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1ADE5A53">
        <w:tblPrEx>
          <w:tblCellMar>
            <w:top w:w="0" w:type="dxa"/>
            <w:left w:w="108" w:type="dxa"/>
            <w:bottom w:w="0" w:type="dxa"/>
            <w:right w:w="108" w:type="dxa"/>
          </w:tblCellMar>
        </w:tblPrEx>
        <w:trPr>
          <w:trHeight w:val="327"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2AA0120C">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12</w:t>
            </w:r>
          </w:p>
        </w:tc>
        <w:tc>
          <w:tcPr>
            <w:tcW w:w="1079" w:type="pct"/>
            <w:tcBorders>
              <w:top w:val="single" w:color="000000" w:sz="4" w:space="0"/>
              <w:left w:val="single" w:color="000000" w:sz="4" w:space="0"/>
              <w:bottom w:val="single" w:color="000000" w:sz="4" w:space="0"/>
              <w:right w:val="single" w:color="000000" w:sz="4" w:space="0"/>
            </w:tcBorders>
            <w:vAlign w:val="center"/>
          </w:tcPr>
          <w:p w14:paraId="450B62DF">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服务器</w:t>
            </w:r>
          </w:p>
        </w:tc>
        <w:tc>
          <w:tcPr>
            <w:tcW w:w="1405" w:type="pct"/>
            <w:tcBorders>
              <w:top w:val="single" w:color="000000" w:sz="4" w:space="0"/>
              <w:left w:val="single" w:color="000000" w:sz="4" w:space="0"/>
              <w:bottom w:val="single" w:color="000000" w:sz="4" w:space="0"/>
              <w:right w:val="single" w:color="000000" w:sz="4" w:space="0"/>
            </w:tcBorders>
            <w:vAlign w:val="center"/>
          </w:tcPr>
          <w:p w14:paraId="5AE699F5">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8核、内存32G、存储1T（可扩展）</w:t>
            </w:r>
          </w:p>
        </w:tc>
        <w:tc>
          <w:tcPr>
            <w:tcW w:w="628" w:type="pct"/>
            <w:tcBorders>
              <w:top w:val="single" w:color="000000" w:sz="4" w:space="0"/>
              <w:left w:val="single" w:color="000000" w:sz="4" w:space="0"/>
              <w:bottom w:val="single" w:color="000000" w:sz="4" w:space="0"/>
              <w:right w:val="single" w:color="000000" w:sz="4" w:space="0"/>
            </w:tcBorders>
            <w:vAlign w:val="center"/>
          </w:tcPr>
          <w:p w14:paraId="5F5E51BB">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台</w:t>
            </w:r>
          </w:p>
        </w:tc>
        <w:tc>
          <w:tcPr>
            <w:tcW w:w="628" w:type="pct"/>
            <w:tcBorders>
              <w:top w:val="single" w:color="000000" w:sz="4" w:space="0"/>
              <w:left w:val="single" w:color="000000" w:sz="4" w:space="0"/>
              <w:bottom w:val="single" w:color="000000" w:sz="4" w:space="0"/>
              <w:right w:val="single" w:color="000000" w:sz="4" w:space="0"/>
            </w:tcBorders>
            <w:vAlign w:val="center"/>
          </w:tcPr>
          <w:p w14:paraId="3A7D14C4">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29" w:type="pct"/>
            <w:tcBorders>
              <w:top w:val="single" w:color="000000" w:sz="4" w:space="0"/>
              <w:left w:val="single" w:color="000000" w:sz="4" w:space="0"/>
              <w:bottom w:val="single" w:color="000000" w:sz="4" w:space="0"/>
              <w:right w:val="single" w:color="000000" w:sz="4" w:space="0"/>
            </w:tcBorders>
            <w:vAlign w:val="center"/>
          </w:tcPr>
          <w:p w14:paraId="50EA0C76">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r w14:paraId="2D98455E">
        <w:tblPrEx>
          <w:tblCellMar>
            <w:top w:w="0" w:type="dxa"/>
            <w:left w:w="108" w:type="dxa"/>
            <w:bottom w:w="0" w:type="dxa"/>
            <w:right w:w="108" w:type="dxa"/>
          </w:tblCellMar>
        </w:tblPrEx>
        <w:trPr>
          <w:trHeight w:val="327"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637578F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13</w:t>
            </w:r>
          </w:p>
        </w:tc>
        <w:tc>
          <w:tcPr>
            <w:tcW w:w="1079" w:type="pct"/>
            <w:tcBorders>
              <w:top w:val="single" w:color="000000" w:sz="4" w:space="0"/>
              <w:left w:val="single" w:color="000000" w:sz="4" w:space="0"/>
              <w:bottom w:val="single" w:color="000000" w:sz="4" w:space="0"/>
              <w:right w:val="single" w:color="000000" w:sz="4" w:space="0"/>
            </w:tcBorders>
            <w:vAlign w:val="center"/>
          </w:tcPr>
          <w:p w14:paraId="6EF1B8D7">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网络安全服务</w:t>
            </w:r>
          </w:p>
        </w:tc>
        <w:tc>
          <w:tcPr>
            <w:tcW w:w="1405" w:type="pct"/>
            <w:tcBorders>
              <w:top w:val="single" w:color="000000" w:sz="4" w:space="0"/>
              <w:left w:val="single" w:color="000000" w:sz="4" w:space="0"/>
              <w:bottom w:val="single" w:color="000000" w:sz="4" w:space="0"/>
              <w:right w:val="single" w:color="000000" w:sz="4" w:space="0"/>
            </w:tcBorders>
            <w:vAlign w:val="center"/>
          </w:tcPr>
          <w:p w14:paraId="1BEEFFF8">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i w:val="0"/>
                <w:iCs w:val="0"/>
                <w:color w:val="auto"/>
                <w:kern w:val="0"/>
                <w:sz w:val="24"/>
                <w:szCs w:val="24"/>
                <w:highlight w:val="none"/>
                <w:u w:val="none"/>
                <w:lang w:val="en-US" w:eastAsia="zh-CN" w:bidi="ar"/>
              </w:rPr>
              <w:t>提供网络边界逻辑隔离与安全防护服务</w:t>
            </w:r>
          </w:p>
        </w:tc>
        <w:tc>
          <w:tcPr>
            <w:tcW w:w="628" w:type="pct"/>
            <w:tcBorders>
              <w:top w:val="single" w:color="000000" w:sz="4" w:space="0"/>
              <w:left w:val="single" w:color="000000" w:sz="4" w:space="0"/>
              <w:bottom w:val="single" w:color="000000" w:sz="4" w:space="0"/>
              <w:right w:val="single" w:color="000000" w:sz="4" w:space="0"/>
            </w:tcBorders>
            <w:vAlign w:val="center"/>
          </w:tcPr>
          <w:p w14:paraId="6B73AE7C">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项/年</w:t>
            </w:r>
          </w:p>
        </w:tc>
        <w:tc>
          <w:tcPr>
            <w:tcW w:w="628" w:type="pct"/>
            <w:tcBorders>
              <w:top w:val="single" w:color="000000" w:sz="4" w:space="0"/>
              <w:left w:val="single" w:color="000000" w:sz="4" w:space="0"/>
              <w:bottom w:val="single" w:color="000000" w:sz="4" w:space="0"/>
              <w:right w:val="single" w:color="000000" w:sz="4" w:space="0"/>
            </w:tcBorders>
            <w:vAlign w:val="center"/>
          </w:tcPr>
          <w:p w14:paraId="4DCF1D0A">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7CB7F295">
            <w:pPr>
              <w:keepNext w:val="0"/>
              <w:keepLines w:val="0"/>
              <w:widowControl/>
              <w:suppressLineNumbers w:val="0"/>
              <w:shd w:val="clear"/>
              <w:spacing w:before="0" w:beforeAutospacing="0" w:after="0" w:afterAutospacing="0"/>
              <w:ind w:left="0" w:right="0" w:firstLine="0" w:firstLineChars="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提供一年服务</w:t>
            </w:r>
          </w:p>
        </w:tc>
      </w:tr>
      <w:tr w14:paraId="6E0BD61B">
        <w:tblPrEx>
          <w:tblCellMar>
            <w:top w:w="0" w:type="dxa"/>
            <w:left w:w="108" w:type="dxa"/>
            <w:bottom w:w="0" w:type="dxa"/>
            <w:right w:w="108" w:type="dxa"/>
          </w:tblCellMar>
        </w:tblPrEx>
        <w:trPr>
          <w:trHeight w:val="456" w:hRule="atLeast"/>
        </w:trPr>
        <w:tc>
          <w:tcPr>
            <w:tcW w:w="628" w:type="pct"/>
            <w:tcBorders>
              <w:top w:val="single" w:color="000000" w:sz="4" w:space="0"/>
              <w:left w:val="single" w:color="000000" w:sz="4" w:space="0"/>
              <w:bottom w:val="single" w:color="000000" w:sz="4" w:space="0"/>
              <w:right w:val="single" w:color="000000" w:sz="4" w:space="0"/>
            </w:tcBorders>
            <w:vAlign w:val="center"/>
          </w:tcPr>
          <w:p w14:paraId="5A3683AB">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kern w:val="0"/>
                <w:sz w:val="24"/>
                <w:szCs w:val="24"/>
                <w:highlight w:val="none"/>
                <w:lang w:bidi="ar"/>
              </w:rPr>
              <w:t>1</w:t>
            </w:r>
            <w:r>
              <w:rPr>
                <w:rFonts w:hint="eastAsia" w:ascii="宋体" w:hAnsi="宋体" w:eastAsia="宋体" w:cs="宋体"/>
                <w:color w:val="auto"/>
                <w:kern w:val="0"/>
                <w:sz w:val="24"/>
                <w:szCs w:val="24"/>
                <w:highlight w:val="none"/>
                <w:lang w:val="en-US" w:eastAsia="zh-CN" w:bidi="ar"/>
              </w:rPr>
              <w:t>4</w:t>
            </w:r>
          </w:p>
        </w:tc>
        <w:tc>
          <w:tcPr>
            <w:tcW w:w="1079" w:type="pct"/>
            <w:tcBorders>
              <w:top w:val="single" w:color="000000" w:sz="4" w:space="0"/>
              <w:left w:val="single" w:color="000000" w:sz="4" w:space="0"/>
              <w:bottom w:val="single" w:color="000000" w:sz="4" w:space="0"/>
              <w:right w:val="single" w:color="000000" w:sz="4" w:space="0"/>
            </w:tcBorders>
            <w:vAlign w:val="center"/>
          </w:tcPr>
          <w:p w14:paraId="3F069115">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系统集成服务</w:t>
            </w:r>
          </w:p>
        </w:tc>
        <w:tc>
          <w:tcPr>
            <w:tcW w:w="1405" w:type="pct"/>
            <w:tcBorders>
              <w:top w:val="single" w:color="000000" w:sz="4" w:space="0"/>
              <w:left w:val="single" w:color="000000" w:sz="4" w:space="0"/>
              <w:bottom w:val="single" w:color="000000" w:sz="4" w:space="0"/>
              <w:right w:val="single" w:color="000000" w:sz="4" w:space="0"/>
            </w:tcBorders>
            <w:vAlign w:val="center"/>
          </w:tcPr>
          <w:p w14:paraId="79C679AD">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系统集成</w:t>
            </w:r>
          </w:p>
        </w:tc>
        <w:tc>
          <w:tcPr>
            <w:tcW w:w="628" w:type="pct"/>
            <w:tcBorders>
              <w:top w:val="single" w:color="000000" w:sz="4" w:space="0"/>
              <w:left w:val="single" w:color="000000" w:sz="4" w:space="0"/>
              <w:bottom w:val="single" w:color="000000" w:sz="4" w:space="0"/>
              <w:right w:val="single" w:color="000000" w:sz="4" w:space="0"/>
            </w:tcBorders>
            <w:vAlign w:val="center"/>
          </w:tcPr>
          <w:p w14:paraId="09CEA9BD">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项</w:t>
            </w:r>
          </w:p>
        </w:tc>
        <w:tc>
          <w:tcPr>
            <w:tcW w:w="628" w:type="pct"/>
            <w:tcBorders>
              <w:top w:val="single" w:color="000000" w:sz="4" w:space="0"/>
              <w:left w:val="single" w:color="000000" w:sz="4" w:space="0"/>
              <w:bottom w:val="single" w:color="000000" w:sz="4" w:space="0"/>
              <w:right w:val="single" w:color="000000" w:sz="4" w:space="0"/>
            </w:tcBorders>
            <w:vAlign w:val="center"/>
          </w:tcPr>
          <w:p w14:paraId="25DBE5E1">
            <w:pPr>
              <w:keepNext w:val="0"/>
              <w:keepLines w:val="0"/>
              <w:widowControl/>
              <w:suppressLineNumbers w:val="0"/>
              <w:shd w:val="clear"/>
              <w:spacing w:before="0" w:beforeAutospacing="0" w:after="0" w:afterAutospacing="0"/>
              <w:ind w:left="0" w:right="0"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29" w:type="pct"/>
            <w:tcBorders>
              <w:top w:val="single" w:color="000000" w:sz="4" w:space="0"/>
              <w:left w:val="single" w:color="000000" w:sz="4" w:space="0"/>
              <w:bottom w:val="single" w:color="000000" w:sz="4" w:space="0"/>
              <w:right w:val="single" w:color="000000" w:sz="4" w:space="0"/>
            </w:tcBorders>
            <w:vAlign w:val="center"/>
          </w:tcPr>
          <w:p w14:paraId="10B9BBD1">
            <w:pPr>
              <w:keepNext w:val="0"/>
              <w:keepLines w:val="0"/>
              <w:widowControl/>
              <w:suppressLineNumbers w:val="0"/>
              <w:shd w:val="clear"/>
              <w:spacing w:before="0" w:beforeAutospacing="0" w:after="0" w:afterAutospacing="0"/>
              <w:ind w:left="0" w:right="0" w:firstLine="0" w:firstLineChars="0"/>
              <w:rPr>
                <w:rFonts w:hint="eastAsia" w:ascii="宋体" w:hAnsi="宋体" w:eastAsia="宋体" w:cs="宋体"/>
                <w:color w:val="auto"/>
                <w:sz w:val="24"/>
                <w:szCs w:val="24"/>
                <w:highlight w:val="none"/>
              </w:rPr>
            </w:pPr>
          </w:p>
        </w:tc>
      </w:tr>
    </w:tbl>
    <w:p w14:paraId="29A9A6D9">
      <w:pPr>
        <w:pStyle w:val="4"/>
        <w:numPr>
          <w:ilvl w:val="1"/>
          <w:numId w:val="0"/>
        </w:numPr>
        <w:shd w:val="clear"/>
        <w:spacing w:before="156" w:after="156"/>
        <w:rPr>
          <w:rFonts w:hint="eastAsia"/>
          <w:color w:val="auto"/>
          <w:highlight w:val="none"/>
        </w:rPr>
      </w:pPr>
      <w:r>
        <w:rPr>
          <w:rFonts w:hint="eastAsia"/>
          <w:color w:val="auto"/>
          <w:highlight w:val="none"/>
        </w:rPr>
        <w:t>（三）服务功能和技术参数要求</w:t>
      </w:r>
    </w:p>
    <w:p w14:paraId="7DC92B29">
      <w:pPr>
        <w:pStyle w:val="16"/>
        <w:keepNext/>
        <w:keepLines/>
        <w:numPr>
          <w:ilvl w:val="0"/>
          <w:numId w:val="1"/>
        </w:numPr>
        <w:shd w:val="clear"/>
        <w:spacing w:before="260" w:after="260" w:line="440" w:lineRule="exact"/>
        <w:ind w:firstLineChars="0"/>
        <w:outlineLvl w:val="3"/>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中心监控</w:t>
      </w:r>
    </w:p>
    <w:p w14:paraId="3018D016">
      <w:pPr>
        <w:widowControl/>
        <w:numPr>
          <w:ilvl w:val="0"/>
          <w:numId w:val="2"/>
        </w:numPr>
        <w:shd w:val="clear"/>
        <w:spacing w:line="440" w:lineRule="exact"/>
        <w:ind w:firstLineChars="0"/>
        <w:outlineLvl w:val="4"/>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清单质控中心监控</w:t>
      </w:r>
    </w:p>
    <w:p w14:paraId="577EA65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3FA29735">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1.系统监控：操作监控：记录系统使用情况，包括使时长和使用频率；账号监控：记录中心端下各级账号数量情况;</w:t>
      </w:r>
    </w:p>
    <w:p w14:paraId="6253322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2.指标监控：对中心端下所有医院的医保结算清单进行重点指标统计展示，包括清单总量、医院数量、平均住院日、手术占比等基础信息以及入组、质控、费用类别等信息;</w:t>
      </w:r>
    </w:p>
    <w:p w14:paraId="539C804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3.字段监控：对中心端下所有医院的医保结算清单的违规内容按清单模块与字段进行可视化展示，便于中心端用户了解所管辖医院清单经常违规的字段情况;</w:t>
      </w:r>
    </w:p>
    <w:p w14:paraId="735BAA9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4.违规监控：对中心端下所有医院的医保结算清单的违规数量进行可视化展示，并支持下钻医院首页进行深入分析;</w:t>
      </w:r>
    </w:p>
    <w:p w14:paraId="12D95F3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5.维度监控：对中心端下所有医院的医保结算清单得分按清单维度进行可视化展示，便于中心端用户了解所管辖医院整体清单在不同模块的得分情况;</w:t>
      </w:r>
    </w:p>
    <w:p w14:paraId="3885AD2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6.数据分析：展示中心端下所有医院的医保结算清单重点指标统计结果表，并支持下钻医院首页进行深入分析以及数据下载。</w:t>
      </w:r>
    </w:p>
    <w:p w14:paraId="433216A5">
      <w:pPr>
        <w:widowControl/>
        <w:numPr>
          <w:ilvl w:val="0"/>
          <w:numId w:val="2"/>
        </w:numPr>
        <w:shd w:val="clear"/>
        <w:spacing w:line="440" w:lineRule="exact"/>
        <w:ind w:firstLineChars="0"/>
        <w:outlineLvl w:val="4"/>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病案质控中心监控</w:t>
      </w:r>
    </w:p>
    <w:p w14:paraId="00C457E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561F603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1.指标监控:对中心端下所有医院的病案首页进行重点指标统计展示，包括病案总量、医院数量、平均住院日、手术占比等基础信息以及入组、质控、费用类别等信息;</w:t>
      </w:r>
    </w:p>
    <w:p w14:paraId="33BB2E9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2.系统监控:操作监控：记录系统使用情况，包括使时长和使用频率；账号监控：记录中心端下各级账号数量情况;</w:t>
      </w:r>
    </w:p>
    <w:p w14:paraId="6AA7C569">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3.规则监控:对中心端下所有医院的病案首页进按规则大类进行违规数量的统计可视化展示;</w:t>
      </w:r>
    </w:p>
    <w:p w14:paraId="4126FAF5">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4.违规监控:对中心端下所有医院病案首页的违规数量进行可视化展示，并支持下钻医院首页进行深入分析;</w:t>
      </w:r>
    </w:p>
    <w:p w14:paraId="044ABDF9">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5.字段监控:对中心端下所有医院病案首页的违规内容按病案模块与字段进行可视化展示，便于中心端用户了解所管辖医院病案经常违规的字段情况;</w:t>
      </w:r>
    </w:p>
    <w:p w14:paraId="2908519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6.手术开展情况:对中心端下所有医院病案首页进行手术情况统计图表展示，包括手术占比、三四级手术占比、微创手术占比、并发症发生率、I类切口手术部位感染率;</w:t>
      </w:r>
    </w:p>
    <w:p w14:paraId="4930520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7.医院指标分析展示:中心端下所有医院的病案首页重点指标统计结果表，并支持下钻医院首页进行深入分析以及数据下载。</w:t>
      </w:r>
    </w:p>
    <w:p w14:paraId="7802AF74">
      <w:pPr>
        <w:widowControl/>
        <w:numPr>
          <w:ilvl w:val="0"/>
          <w:numId w:val="2"/>
        </w:numPr>
        <w:shd w:val="clear"/>
        <w:spacing w:line="440" w:lineRule="exact"/>
        <w:ind w:firstLineChars="0"/>
        <w:outlineLvl w:val="4"/>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运营分析中心监控</w:t>
      </w:r>
    </w:p>
    <w:p w14:paraId="0767D90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2955F9D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1.中心总览</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：提供产品应适用于集成式部署，用于多家接入医院的用户总览所有医院的DRG/DIP核心指标，包括但不限于病例、入组、结算、盈亏、病例类型等情况</w:t>
      </w:r>
    </w:p>
    <w:p w14:paraId="3C3E711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2.医院质量评价</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：提供产品支持所有集成接入的医院质量评价分析，可查看各家医院汇总结果。</w:t>
      </w:r>
    </w:p>
    <w:p w14:paraId="2954034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3.医院运营分析</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：提供产品支持所有集成接入的医院运营情况分析，可查看各家医院汇总结果。</w:t>
      </w:r>
    </w:p>
    <w:p w14:paraId="5C161F9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4.病组盈亏分析</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：提供产品支持所有数据按照病组进行盈亏分析，可查看每个DIP在所有医院集成的汇总结果。</w:t>
      </w:r>
    </w:p>
    <w:p w14:paraId="191AE5D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5.学科发展分析：</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提供产品支持所有数据按照学科进行分析，可查看每个学科发展在所有医院集成的汇总结果。</w:t>
      </w:r>
    </w:p>
    <w:p w14:paraId="678CCB3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6.监管考核分析：</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提供产品支持所有集成接入的医院指标考核与基金监管分析，可查看各家医院汇总结果。</w:t>
      </w:r>
    </w:p>
    <w:p w14:paraId="53A27F5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7.级别汇总分析</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：提供产品应根据医院结算等级，进行汇总分析。</w:t>
      </w:r>
    </w:p>
    <w:p w14:paraId="041C3193">
      <w:pPr>
        <w:widowControl/>
        <w:numPr>
          <w:ilvl w:val="0"/>
          <w:numId w:val="2"/>
        </w:numPr>
        <w:shd w:val="clear"/>
        <w:spacing w:line="440" w:lineRule="exact"/>
        <w:ind w:firstLineChars="0"/>
        <w:outlineLvl w:val="4"/>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智能审核中心监控</w:t>
      </w:r>
    </w:p>
    <w:p w14:paraId="675D8C1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6626B30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1.中心总览</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：适用于集成模式部署，用于中心端用户总览所有医院事后审核核心指标结果，包括但不限于总费用、总人次、违规人次、违规金额、违反规则等占比情况；</w:t>
      </w:r>
    </w:p>
    <w:p w14:paraId="4F0E0D1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2.级别汇总</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：根据医院结算等级，进行常规和违规指标的汇总统计展示，包括但不限于总费用、总人次、违规人次、违规金额、规则统计等；</w:t>
      </w:r>
    </w:p>
    <w:p w14:paraId="694A700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3.医院汇总</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：汇总展示接入医院的常规和违规指标的汇总统计展示，包括但不限于总费用、总人次、违规人次、违规金额、规则统计等</w:t>
      </w:r>
    </w:p>
    <w:p w14:paraId="673D8C0A">
      <w:pPr>
        <w:pStyle w:val="16"/>
        <w:keepNext/>
        <w:keepLines/>
        <w:numPr>
          <w:ilvl w:val="0"/>
          <w:numId w:val="1"/>
        </w:numPr>
        <w:shd w:val="clear"/>
        <w:spacing w:before="260" w:after="260" w:line="440" w:lineRule="exact"/>
        <w:ind w:firstLineChars="0"/>
        <w:outlineLvl w:val="3"/>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医生助手</w:t>
      </w:r>
    </w:p>
    <w:p w14:paraId="123538F9">
      <w:pPr>
        <w:widowControl/>
        <w:numPr>
          <w:ilvl w:val="0"/>
          <w:numId w:val="3"/>
        </w:numPr>
        <w:shd w:val="clear"/>
        <w:spacing w:line="440" w:lineRule="exact"/>
        <w:ind w:firstLineChars="0"/>
        <w:outlineLvl w:val="4"/>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▲分组模拟查询</w:t>
      </w:r>
    </w:p>
    <w:p w14:paraId="185B0AD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提供产品系统弹窗中，支持医生可以自由替换主要诊断、主要手术，增删调整次要诊断和次要手术，支持进行分组模拟，查看修订诊断和手术信息后的分组结果和结算结果，辅助医生事前判定，并支持数据重置。</w:t>
      </w:r>
    </w:p>
    <w:p w14:paraId="0DE8EE21">
      <w:pPr>
        <w:widowControl/>
        <w:numPr>
          <w:ilvl w:val="0"/>
          <w:numId w:val="3"/>
        </w:numPr>
        <w:shd w:val="clear"/>
        <w:spacing w:line="440" w:lineRule="exact"/>
        <w:ind w:firstLineChars="0"/>
        <w:outlineLvl w:val="4"/>
        <w:rPr>
          <w:rFonts w:hint="eastAsia" w:ascii="宋体" w:hAnsi="宋体" w:eastAsia="宋体" w:cs="宋体"/>
          <w:color w:val="auto"/>
          <w:sz w:val="28"/>
          <w:szCs w:val="28"/>
          <w:highlight w:val="none"/>
        </w:rPr>
      </w:pPr>
      <w:bookmarkStart w:id="1" w:name="_Toc13608"/>
      <w:r>
        <w:rPr>
          <w:rFonts w:hint="eastAsia" w:ascii="宋体" w:hAnsi="宋体" w:eastAsia="宋体" w:cs="宋体"/>
          <w:color w:val="auto"/>
          <w:kern w:val="0"/>
          <w:sz w:val="28"/>
          <w:szCs w:val="28"/>
          <w:highlight w:val="none"/>
        </w:rPr>
        <w:t>实时分组预警</w:t>
      </w:r>
      <w:bookmarkEnd w:id="1"/>
    </w:p>
    <w:p w14:paraId="760B1D7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提供产品包含以下功能：</w:t>
      </w:r>
    </w:p>
    <w:p w14:paraId="13B28F1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1.动态分组管控：</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根据住院的诊疗信息预测分组结果，并对本地政策信息进行数据化，生成医院病组参考值，并进行模拟分配，形成分组和费用预警机制；进行数据可视化，直观有效的展示病例类型及费用预警结果；对低倍率及高倍率的界值进行展示，提供给医生进行费用参考。</w:t>
      </w:r>
    </w:p>
    <w:p w14:paraId="0A87BD5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2.结算指标参考</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根据医保付费政策设定判定逻辑，结合实时动态分组结果和病例住院总费用，综合判定病例的病组均费、病种分值、调整系数、病例类型、DIP费用标准、费用比例、标准差额、预测费用、预测盈亏等情况。</w:t>
      </w:r>
    </w:p>
    <w:p w14:paraId="5320899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3.智能质控提醒</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：提供产品对医生填写的诊疗数据及患者基础信息数据，进行串联质控，通过文字描述，智能提醒数据风险事项。</w:t>
      </w:r>
    </w:p>
    <w:p w14:paraId="266014DF">
      <w:pPr>
        <w:widowControl/>
        <w:numPr>
          <w:ilvl w:val="0"/>
          <w:numId w:val="3"/>
        </w:numPr>
        <w:shd w:val="clear"/>
        <w:spacing w:line="440" w:lineRule="exact"/>
        <w:ind w:firstLineChars="0"/>
        <w:outlineLvl w:val="4"/>
        <w:rPr>
          <w:rFonts w:hint="eastAsia" w:ascii="宋体" w:hAnsi="宋体" w:eastAsia="宋体" w:cs="宋体"/>
          <w:color w:val="auto"/>
          <w:sz w:val="28"/>
          <w:szCs w:val="28"/>
          <w:highlight w:val="none"/>
        </w:rPr>
      </w:pPr>
      <w:bookmarkStart w:id="2" w:name="_Toc29916"/>
      <w:r>
        <w:rPr>
          <w:rFonts w:hint="eastAsia" w:ascii="宋体" w:hAnsi="宋体" w:eastAsia="宋体" w:cs="宋体"/>
          <w:color w:val="auto"/>
          <w:sz w:val="28"/>
          <w:szCs w:val="28"/>
          <w:highlight w:val="none"/>
        </w:rPr>
        <w:t>分组数据治理</w:t>
      </w:r>
      <w:bookmarkEnd w:id="2"/>
    </w:p>
    <w:p w14:paraId="2650473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根据上传信息中已填写的诊断与手术进行测评，对手术进行轮询查询，及时发现结算价格更合理的诊断与手术组合，并智能提醒。</w:t>
      </w:r>
    </w:p>
    <w:p w14:paraId="1E5EBB20">
      <w:pPr>
        <w:widowControl/>
        <w:numPr>
          <w:ilvl w:val="0"/>
          <w:numId w:val="3"/>
        </w:numPr>
        <w:shd w:val="clear"/>
        <w:spacing w:line="440" w:lineRule="exact"/>
        <w:ind w:firstLineChars="0"/>
        <w:outlineLvl w:val="4"/>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查询助手</w:t>
      </w:r>
    </w:p>
    <w:p w14:paraId="6AD2418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支持让临床医生查看该病例的规范性临床诊疗路径，并能够下载2019版该临床路径的PDF文件。</w:t>
      </w:r>
    </w:p>
    <w:p w14:paraId="058D4A82">
      <w:pPr>
        <w:pStyle w:val="16"/>
        <w:keepNext/>
        <w:keepLines/>
        <w:numPr>
          <w:ilvl w:val="0"/>
          <w:numId w:val="1"/>
        </w:numPr>
        <w:shd w:val="clear"/>
        <w:spacing w:before="260" w:after="260"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医生质控助手</w:t>
      </w:r>
    </w:p>
    <w:p w14:paraId="6298CC7E">
      <w:pPr>
        <w:widowControl/>
        <w:numPr>
          <w:ilvl w:val="0"/>
          <w:numId w:val="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清单质控基础支撑</w:t>
      </w:r>
    </w:p>
    <w:p w14:paraId="748275C5">
      <w:pPr>
        <w:widowControl/>
        <w:numPr>
          <w:ilvl w:val="0"/>
          <w:numId w:val="5"/>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电子病例融合内嵌</w:t>
      </w:r>
    </w:p>
    <w:p w14:paraId="3438849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2FC418F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1.清单详情：展示预出院/预结算患者的清单详情信息，可使用书签定位清单具体模块;</w:t>
      </w:r>
    </w:p>
    <w:p w14:paraId="261D0D4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DIP模拟分组与结算：调用分组与结算引擎，对预出院/预结算患者诊疗与费用信息进行DIP模拟分组与结算，展现分组、结算、盈亏、费用结构等重点指标信息，提供费用明细查看功能，查询各费用类别下的费用明细详情;</w:t>
      </w:r>
    </w:p>
    <w:p w14:paraId="2672B47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3.清单质控：调用质控引擎，对预出院/预结算患者诊疗与费用信息进行清单质控，提示质控结果信息;</w:t>
      </w:r>
    </w:p>
    <w:p w14:paraId="452B6445">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4.清单评分：调用质控与评分引擎，对预出院/预结算患者进行质控评分，展现质控结果与扣分结果，并计算患者的清单得分。</w:t>
      </w:r>
    </w:p>
    <w:p w14:paraId="73A4C31A">
      <w:pPr>
        <w:widowControl/>
        <w:numPr>
          <w:ilvl w:val="0"/>
          <w:numId w:val="5"/>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病案系统融合内嵌</w:t>
      </w:r>
    </w:p>
    <w:p w14:paraId="51BFFEB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483707D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1.清单详情：展示病案系统患者对应的清单详情信息，可使用书签定位清单具体模块;</w:t>
      </w:r>
    </w:p>
    <w:p w14:paraId="0AE6D6E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DIP模拟分组与结算：调用分组与结算引擎，对病案系统患者对应的清单诊疗与费用信息进行DIP模拟分组与结算，展现分组、结算、盈亏、费用结构等重点指标信息，提供费用明细查看功能，查询各费用类别下的费用明细详情;</w:t>
      </w:r>
    </w:p>
    <w:p w14:paraId="532E5CE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3.清单质控：调用质控引擎，对病案系统患者对应的清单诊疗与费用信息进行清单质控，提示质控结果信息;</w:t>
      </w:r>
    </w:p>
    <w:p w14:paraId="21F6481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4.清单评分：调用质控与评分引擎，对病案系统患者对应的清单进行质控评分，展现质控结果与扣分结果，并计算患者的清单得分。</w:t>
      </w:r>
    </w:p>
    <w:p w14:paraId="1A19B760">
      <w:pPr>
        <w:widowControl/>
        <w:numPr>
          <w:ilvl w:val="0"/>
          <w:numId w:val="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病案质控基础支撑</w:t>
      </w:r>
    </w:p>
    <w:p w14:paraId="1A9E2170">
      <w:pPr>
        <w:widowControl/>
        <w:numPr>
          <w:ilvl w:val="0"/>
          <w:numId w:val="6"/>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电子病例融合内嵌</w:t>
      </w:r>
    </w:p>
    <w:p w14:paraId="4DA8D35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50B9F02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1.病案详情：展示预出院患者的病案详情信息，可使用书签定位病案具体模块;</w:t>
      </w:r>
    </w:p>
    <w:p w14:paraId="28365C8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2.CN-DRG模拟分组结果展示：调用分组引擎，对预出院患者诊疗信息进行CN-DRG模拟分组，展现分组、费用结构等重点指标信息;</w:t>
      </w:r>
    </w:p>
    <w:p w14:paraId="7A2D1F5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3.病案质控：调用质控引擎，对预出院患者诊疗信息进行质控，提示质控结果信息;</w:t>
      </w:r>
    </w:p>
    <w:p w14:paraId="06EC3A8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4.病案评分：调用质控与评分引擎，对预出院患者进行质控评分，展现质控结果与扣分结果，并计算患者的病案得分。</w:t>
      </w:r>
    </w:p>
    <w:p w14:paraId="64E62BA5">
      <w:pPr>
        <w:widowControl/>
        <w:numPr>
          <w:ilvl w:val="0"/>
          <w:numId w:val="6"/>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病案系统融合内嵌</w:t>
      </w:r>
    </w:p>
    <w:p w14:paraId="70616EE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6CF7C20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1.展示病案系统患者病案详情信息，可使用书签定位病案具体模块;</w:t>
      </w:r>
    </w:p>
    <w:p w14:paraId="76B6EC4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2.CN-DRG模拟分组结果展示：调用分组引擎，对病案系统患者病案信息进行CN-DRG模拟分组，展现分组、费用结构等重点指标信息;</w:t>
      </w:r>
    </w:p>
    <w:p w14:paraId="0DDF638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3.病案质控：调用质控引擎，对病案系统患者病案信息进行质控，提示质控结果信息;</w:t>
      </w:r>
    </w:p>
    <w:p w14:paraId="45C83BE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4.病案评分:调用质控与评分引擎，对病案系统患者病案进行质控评分，展现质控结果与扣分结果，并计算患者的病案得分。</w:t>
      </w:r>
    </w:p>
    <w:p w14:paraId="3434AE04">
      <w:pPr>
        <w:widowControl/>
        <w:numPr>
          <w:ilvl w:val="0"/>
          <w:numId w:val="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▲医生工作站融合内嵌</w:t>
      </w:r>
    </w:p>
    <w:p w14:paraId="53ACCA4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提供的产品对在院、出院等不同时间状态的患者进行监控。支持医生提交病案首页数据，通过点击按钮，实现自动弹窗，并实现分组质控及院内病例盈亏情况示警。</w:t>
      </w:r>
    </w:p>
    <w:p w14:paraId="76D5F512">
      <w:pPr>
        <w:pStyle w:val="16"/>
        <w:keepNext/>
        <w:keepLines/>
        <w:numPr>
          <w:ilvl w:val="0"/>
          <w:numId w:val="1"/>
        </w:numPr>
        <w:shd w:val="clear"/>
        <w:spacing w:before="260" w:after="260" w:line="440" w:lineRule="exact"/>
        <w:ind w:firstLineChars="0"/>
        <w:outlineLvl w:val="2"/>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清单质控系统</w:t>
      </w:r>
    </w:p>
    <w:p w14:paraId="737F8839">
      <w:pPr>
        <w:widowControl/>
        <w:numPr>
          <w:ilvl w:val="0"/>
          <w:numId w:val="7"/>
        </w:numPr>
        <w:shd w:val="clear"/>
        <w:spacing w:line="440" w:lineRule="exact"/>
        <w:ind w:firstLineChars="0"/>
        <w:outlineLvl w:val="3"/>
        <w:rPr>
          <w:rFonts w:hint="eastAsia" w:ascii="宋体" w:hAnsi="宋体" w:eastAsia="宋体" w:cs="宋体"/>
          <w:color w:val="auto"/>
          <w:sz w:val="28"/>
          <w:szCs w:val="28"/>
          <w:highlight w:val="none"/>
        </w:rPr>
      </w:pPr>
      <w:bookmarkStart w:id="3" w:name="_Toc198201373"/>
      <w:r>
        <w:rPr>
          <w:rFonts w:hint="eastAsia" w:ascii="宋体" w:hAnsi="宋体" w:eastAsia="宋体" w:cs="宋体"/>
          <w:color w:val="auto"/>
          <w:sz w:val="28"/>
          <w:szCs w:val="28"/>
          <w:highlight w:val="none"/>
        </w:rPr>
        <w:t>医院系统首页</w:t>
      </w:r>
    </w:p>
    <w:p w14:paraId="5CD505F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22A7586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1.审核情况：展示所选时间范围内医院清单审核各维度情况，包括完成审核与未完成审核清单数量、清单违规占比、修正前后评分对比以及各审核流审核进度可视化图;</w:t>
      </w:r>
    </w:p>
    <w:p w14:paraId="1DBBAD7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2.分组与付费情况：展示所选时间范围内医院清单分组与付费重要指标的统计值与同比变化情况;</w:t>
      </w:r>
    </w:p>
    <w:p w14:paraId="6993C47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3.效益分析：展示所选时间范围内医院经过审核质控流程控制后给医院带来的效益变化情况，包括效益差、效益占比等指标的可视化图;</w:t>
      </w:r>
    </w:p>
    <w:p w14:paraId="15A4964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4.综合分析：</w:t>
      </w:r>
    </w:p>
    <w:p w14:paraId="05983D9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4.1.展示所选时间范围内医院违反各类规则的清单总量可视化图；</w:t>
      </w:r>
    </w:p>
    <w:p w14:paraId="3E3D20E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4.2.展示所选时间范围内按清单模块与字段分类的违规清单总量可视化图；</w:t>
      </w:r>
    </w:p>
    <w:p w14:paraId="5AB41D55">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4.3.展示所选时间范围内按科室或病区维度统计的违规清单总量可视化图；</w:t>
      </w:r>
    </w:p>
    <w:p w14:paraId="5060D55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4.4.展示所选时间范围内按清单14个明细类目划分的费用占比可视化图表，支持科室与病区筛选查询。</w:t>
      </w:r>
    </w:p>
    <w:p w14:paraId="648F1FD2">
      <w:pPr>
        <w:widowControl/>
        <w:numPr>
          <w:ilvl w:val="0"/>
          <w:numId w:val="7"/>
        </w:numPr>
        <w:shd w:val="clear"/>
        <w:spacing w:line="440" w:lineRule="exact"/>
        <w:ind w:firstLineChars="0"/>
        <w:outlineLvl w:val="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质控审核</w:t>
      </w:r>
    </w:p>
    <w:p w14:paraId="11CD9C70">
      <w:pPr>
        <w:widowControl/>
        <w:numPr>
          <w:ilvl w:val="0"/>
          <w:numId w:val="8"/>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审核节点/审核流自定义配置</w:t>
      </w:r>
    </w:p>
    <w:p w14:paraId="68EBE5E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提供产品支持系统内置初审、复审、终审等最多5个节点审核流，根据医院管理进行自定义配置</w:t>
      </w:r>
    </w:p>
    <w:p w14:paraId="7510F504">
      <w:pPr>
        <w:widowControl/>
        <w:numPr>
          <w:ilvl w:val="0"/>
          <w:numId w:val="8"/>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清单审核</w:t>
      </w:r>
      <w:r>
        <w:rPr>
          <w:rFonts w:hint="eastAsia" w:ascii="宋体" w:hAnsi="宋体" w:eastAsia="宋体" w:cs="宋体"/>
          <w:color w:val="auto"/>
          <w:kern w:val="0"/>
          <w:sz w:val="28"/>
          <w:szCs w:val="28"/>
          <w:highlight w:val="none"/>
        </w:rPr>
        <w:tab/>
      </w:r>
    </w:p>
    <w:p w14:paraId="6E442BC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提供产品根据不同审核流进行清单质控审核，审核界面包括各类筛选条件、审核清单列表、质控违规结果、反馈意见等内容</w:t>
      </w:r>
    </w:p>
    <w:p w14:paraId="68D029F3">
      <w:pPr>
        <w:widowControl/>
        <w:numPr>
          <w:ilvl w:val="0"/>
          <w:numId w:val="7"/>
        </w:numPr>
        <w:shd w:val="clear"/>
        <w:spacing w:line="440" w:lineRule="exact"/>
        <w:ind w:firstLineChars="0"/>
        <w:outlineLvl w:val="3"/>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工作量统计</w:t>
      </w:r>
    </w:p>
    <w:bookmarkEnd w:id="3"/>
    <w:p w14:paraId="62FAC084">
      <w:pPr>
        <w:widowControl/>
        <w:shd w:val="clear" w:color="auto"/>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清单工作量统计：</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提供产品对系统内各审核账号的工作情况进行核定统计与分析，包括审核清单量、驳回反馈清单以及按清单模块划分的工作量统计指标，支持数据下载</w:t>
      </w:r>
    </w:p>
    <w:p w14:paraId="1EAA7604">
      <w:pPr>
        <w:widowControl/>
        <w:numPr>
          <w:ilvl w:val="0"/>
          <w:numId w:val="7"/>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▲效益分析</w:t>
      </w:r>
      <w:r>
        <w:rPr>
          <w:rFonts w:hint="eastAsia" w:ascii="宋体" w:hAnsi="宋体" w:eastAsia="宋体" w:cs="宋体"/>
          <w:color w:val="auto"/>
          <w:kern w:val="0"/>
          <w:sz w:val="28"/>
          <w:szCs w:val="28"/>
          <w:highlight w:val="none"/>
        </w:rPr>
        <w:tab/>
      </w:r>
    </w:p>
    <w:p w14:paraId="7F36512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清单效益分析：</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提供产品支持对清单审核流前后效益指标进行图表展示，包括清单总量、修正前后清单预结算费用以及效益相关指标内容。</w:t>
      </w:r>
    </w:p>
    <w:p w14:paraId="1037F3F9">
      <w:pPr>
        <w:widowControl/>
        <w:numPr>
          <w:ilvl w:val="0"/>
          <w:numId w:val="7"/>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违规分析</w:t>
      </w:r>
    </w:p>
    <w:p w14:paraId="3B18D452">
      <w:pPr>
        <w:widowControl/>
        <w:numPr>
          <w:ilvl w:val="0"/>
          <w:numId w:val="9"/>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医院总体</w:t>
      </w:r>
    </w:p>
    <w:p w14:paraId="401840B9">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产品支持以下功能：</w:t>
      </w:r>
    </w:p>
    <w:p w14:paraId="06EEA79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1.对全院清单质控的重点核心指标进行统计展示，包括清单总量、违规情况、平均违规及同比变化内容；</w:t>
      </w:r>
    </w:p>
    <w:p w14:paraId="4B9A5D2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2.对全院结算清单在不同科室的违规内容按违规类别进行可视化图表展现，包括违规清单数量、严重违规清单数、一般违规清单数、提示违规清单数等指标，支持数据下载；</w:t>
      </w:r>
    </w:p>
    <w:p w14:paraId="159A7BA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3.对全院结算清单不同违规规则进行图表展现，包括规则名称、规则级别、扣分、违规清单数等指标，支持数据下载；</w:t>
      </w:r>
    </w:p>
    <w:p w14:paraId="38CB9A5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4.对全院结算清单的违规内容按清单模块与字段进行可视化图表展示，便于医院了解院内清单经常违规的字段情况，支持数据下载。</w:t>
      </w:r>
    </w:p>
    <w:p w14:paraId="214DF563">
      <w:pPr>
        <w:widowControl/>
        <w:numPr>
          <w:ilvl w:val="0"/>
          <w:numId w:val="9"/>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6E993BE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477A8E4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1.对各科室清单质控的重点核心指标进行统计展示，包括清单总量、违规情况、平均违规及同比变化内容；</w:t>
      </w:r>
    </w:p>
    <w:p w14:paraId="1340CB9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2.对各科室结算清单的违规内容按医师和严重等级进行可视化图表展现，包括违规清单数量、严重违规清单数、一般违规清单数、提示违规清单数等指标，支持数据下载；</w:t>
      </w:r>
    </w:p>
    <w:p w14:paraId="62EFCC2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3.对科室结算清单不同违规规则进行图表展现，包括规则名称、规则级别、扣分、违规清单数等指标，支持数据下载；</w:t>
      </w:r>
    </w:p>
    <w:p w14:paraId="6B1F24C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4.对各科室结算清单的违规内容按清单模块与字段进行可视化图表展示，便于科室了解科室内清单经常违规的字段情况，支持数据下载。</w:t>
      </w:r>
    </w:p>
    <w:p w14:paraId="3CC1D722">
      <w:pPr>
        <w:widowControl/>
        <w:numPr>
          <w:ilvl w:val="0"/>
          <w:numId w:val="9"/>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DIP分组</w:t>
      </w:r>
    </w:p>
    <w:p w14:paraId="3416E57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产品支持以下功能：</w:t>
      </w:r>
    </w:p>
    <w:p w14:paraId="2D70154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1.对不同DIP组下的违规情况进行统计展示，辅助医院探索各类分组下的违规概况，并支持数据跳转。</w:t>
      </w:r>
    </w:p>
    <w:p w14:paraId="4BCEEEB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2.支持医保结算、非医保结算全量数据分析；</w:t>
      </w:r>
    </w:p>
    <w:p w14:paraId="13B052D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3.支持按结算时间、出院时间筛选。</w:t>
      </w:r>
    </w:p>
    <w:p w14:paraId="68337410">
      <w:pPr>
        <w:widowControl/>
        <w:numPr>
          <w:ilvl w:val="0"/>
          <w:numId w:val="7"/>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指标分析</w:t>
      </w:r>
    </w:p>
    <w:p w14:paraId="3C906425">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产品支持以下功能：</w:t>
      </w:r>
    </w:p>
    <w:p w14:paraId="0F57B59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1.对医院层面的清单总量、次均费用、平均住院天数、手术病例占比、病组数、入组率进行统计展示；</w:t>
      </w:r>
    </w:p>
    <w:p w14:paraId="4A330EF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2.对医院总体盈亏情况进行时间维度可视化展示分析，对筛选时间范围内科室盈亏情况进行可视化展示分析；</w:t>
      </w:r>
    </w:p>
    <w:p w14:paraId="718D760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3.对医院全量清单的入组结算指标进行统计展示，包括病组类型占比、病例类型占比；</w:t>
      </w:r>
    </w:p>
    <w:p w14:paraId="39113FD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4.按结算清单费用类别进行统计图表展示，支持数据下载；</w:t>
      </w:r>
    </w:p>
    <w:p w14:paraId="63279FD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5.按时间维度对院内清单重点指标进行展示，生成列表可下载。</w:t>
      </w:r>
    </w:p>
    <w:p w14:paraId="3CA2325B">
      <w:pPr>
        <w:widowControl/>
        <w:numPr>
          <w:ilvl w:val="0"/>
          <w:numId w:val="7"/>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数据查询</w:t>
      </w:r>
    </w:p>
    <w:p w14:paraId="38AB633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清单数据查询：</w:t>
      </w: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提供产品支持查询某个时间范围或各种筛选条件下的清单数据查询，支持单条清单详情查询，展示清单详情以及分组、质控、评分结果；支持其他菜单下钻至此的筛选查询。</w:t>
      </w:r>
    </w:p>
    <w:p w14:paraId="6C3BEEB2">
      <w:pPr>
        <w:widowControl/>
        <w:numPr>
          <w:ilvl w:val="0"/>
          <w:numId w:val="7"/>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数据上传</w:t>
      </w:r>
    </w:p>
    <w:p w14:paraId="41DF677D">
      <w:pPr>
        <w:widowControl/>
        <w:numPr>
          <w:ilvl w:val="0"/>
          <w:numId w:val="10"/>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结算清单上传</w:t>
      </w:r>
    </w:p>
    <w:p w14:paraId="7C2A08A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提供产品结合医院院内审核流程，调用医保结算清单相关接口实现清单的上传与质控服务，展示具体数据上传与质控情况，支持清单单条上传、批量上传、定时上传，支持按各种维度进行上传数据的筛选查询。</w:t>
      </w:r>
    </w:p>
    <w:p w14:paraId="553C8A72">
      <w:pPr>
        <w:widowControl/>
        <w:numPr>
          <w:ilvl w:val="0"/>
          <w:numId w:val="10"/>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DIP分组结果查询</w:t>
      </w:r>
    </w:p>
    <w:p w14:paraId="622C4A3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ab/>
      </w:r>
      <w:r>
        <w:rPr>
          <w:rFonts w:hint="eastAsia" w:ascii="宋体" w:hAnsi="宋体" w:eastAsia="宋体" w:cs="宋体"/>
          <w:color w:val="auto"/>
          <w:kern w:val="0"/>
          <w:sz w:val="28"/>
          <w:szCs w:val="28"/>
          <w:highlight w:val="none"/>
        </w:rPr>
        <w:t>提供产品支持调用医保结算清单DIP分组结果查询接口进行统计列表展示，可比对院内分组与医保分组是否一致。</w:t>
      </w:r>
    </w:p>
    <w:p w14:paraId="2A39B207">
      <w:pPr>
        <w:pStyle w:val="16"/>
        <w:keepNext/>
        <w:keepLines/>
        <w:numPr>
          <w:ilvl w:val="0"/>
          <w:numId w:val="1"/>
        </w:numPr>
        <w:shd w:val="clear"/>
        <w:spacing w:before="260" w:after="260" w:line="440" w:lineRule="exact"/>
        <w:ind w:firstLineChars="0"/>
        <w:outlineLvl w:val="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病案质控系统</w:t>
      </w:r>
    </w:p>
    <w:p w14:paraId="60B1C274">
      <w:pPr>
        <w:widowControl/>
        <w:numPr>
          <w:ilvl w:val="0"/>
          <w:numId w:val="11"/>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医院系统首页</w:t>
      </w:r>
    </w:p>
    <w:p w14:paraId="44B9AB0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57A1C8F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1.审核情况:展示所选时间范围内医院病案审核各维度情况，包括完成审核与未完成审核病案数量、病案违规占比、修正前后评分对比以及各审核流审核进度可视化图;</w:t>
      </w:r>
    </w:p>
    <w:p w14:paraId="1752885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2.综合能力分析:展示所选时间范围内医院病案分组重要指标的统计值与同比变化情况;</w:t>
      </w:r>
    </w:p>
    <w:p w14:paraId="4CB5D70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3.科室违规统计:展示所选时间范围内按科室或病区维度统计的违规病案总量可视化图表，支持数据下载;</w:t>
      </w:r>
    </w:p>
    <w:p w14:paraId="4936234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4.手术开展情况:对医院所有病案首页进行手术情况统计图表展示，包括手术占比、三四级手术占比、微创手术占比、并发症发生率、I类切口手术部位感染率;</w:t>
      </w:r>
    </w:p>
    <w:p w14:paraId="1073E909">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5.综合分析</w:t>
      </w:r>
    </w:p>
    <w:p w14:paraId="4CC9D44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5.1.展示所选时间范围内医院违反各类规则的病案总量可视化图；</w:t>
      </w:r>
    </w:p>
    <w:p w14:paraId="7B96D32B">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5.2.展示所选时间范围内按病案模块与字段分类的违规病案总量可视化图；</w:t>
      </w:r>
    </w:p>
    <w:p w14:paraId="5CC9B74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5.3.展示所选时间范围内各级别手术台次数以及对应主刀医生的术前术后天数等指标统计情况；</w:t>
      </w:r>
    </w:p>
    <w:p w14:paraId="6EDDD35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5.4.展示所选时间范围内按病案明细类目划分的费用占比可视化图表，支持科室与病区筛选查询；</w:t>
      </w:r>
    </w:p>
    <w:p w14:paraId="25FB4F2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5.5.展示所选时间范围内医院单病种开展情况。</w:t>
      </w:r>
    </w:p>
    <w:p w14:paraId="16F78CC3">
      <w:pPr>
        <w:widowControl/>
        <w:numPr>
          <w:ilvl w:val="0"/>
          <w:numId w:val="11"/>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质控审核</w:t>
      </w:r>
    </w:p>
    <w:p w14:paraId="031FCAE2">
      <w:pPr>
        <w:widowControl/>
        <w:numPr>
          <w:ilvl w:val="0"/>
          <w:numId w:val="12"/>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审核节点/审核流自定义配置</w:t>
      </w:r>
      <w:r>
        <w:rPr>
          <w:rFonts w:hint="eastAsia" w:ascii="宋体" w:hAnsi="宋体" w:eastAsia="宋体" w:cs="宋体"/>
          <w:color w:val="auto"/>
          <w:kern w:val="0"/>
          <w:sz w:val="28"/>
          <w:szCs w:val="28"/>
          <w:highlight w:val="none"/>
        </w:rPr>
        <w:tab/>
      </w:r>
    </w:p>
    <w:p w14:paraId="0841BB8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提供产品支持系统内置初审、复审、终审等最多5个节点审核流，根据医院管理进行自定义配置</w:t>
      </w:r>
    </w:p>
    <w:p w14:paraId="03CB2EAD">
      <w:pPr>
        <w:widowControl/>
        <w:numPr>
          <w:ilvl w:val="0"/>
          <w:numId w:val="12"/>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病案审核</w:t>
      </w:r>
      <w:r>
        <w:rPr>
          <w:rFonts w:hint="eastAsia" w:ascii="宋体" w:hAnsi="宋体" w:eastAsia="宋体" w:cs="宋体"/>
          <w:color w:val="auto"/>
          <w:kern w:val="0"/>
          <w:sz w:val="28"/>
          <w:szCs w:val="28"/>
          <w:highlight w:val="none"/>
        </w:rPr>
        <w:tab/>
      </w:r>
    </w:p>
    <w:p w14:paraId="5000DFE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提供产品支持根据不同审核流进行病案质控审核，审核界面包括各类筛选条件、审核病案列表、质控违规结果、反馈意见等内容。</w:t>
      </w:r>
    </w:p>
    <w:p w14:paraId="1D605C60">
      <w:pPr>
        <w:widowControl/>
        <w:numPr>
          <w:ilvl w:val="0"/>
          <w:numId w:val="11"/>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违规分析</w:t>
      </w:r>
    </w:p>
    <w:p w14:paraId="2B60A277">
      <w:pPr>
        <w:widowControl/>
        <w:numPr>
          <w:ilvl w:val="0"/>
          <w:numId w:val="13"/>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医院总体</w:t>
      </w:r>
    </w:p>
    <w:p w14:paraId="22E60C7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09CCF78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1.对全院病案质控的重点核心指标进行统计展示，包括病案总量、违规情况、平均违规及同比变化内容；</w:t>
      </w:r>
    </w:p>
    <w:p w14:paraId="6C86738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2.对全院病案在不同科室的违规内容按违规类别进行可视化图表展现，包括违规病案数量、严重违规病案数、一般违规病案数、提示违规病案数等指标，支持数据下载；</w:t>
      </w:r>
    </w:p>
    <w:p w14:paraId="44A4293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3.对全院病案不同违规规则进行图表展现，包括规则名称、规则级别、扣分违规病案数等指标，支持数据下载；</w:t>
      </w:r>
    </w:p>
    <w:p w14:paraId="43E4C07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4.对全院病案的违规内容按病案模块与字段进行可视化图表展示，便于医院了解院内病案经常违规的字段情况，支持数据下载。</w:t>
      </w:r>
    </w:p>
    <w:p w14:paraId="71146214">
      <w:pPr>
        <w:widowControl/>
        <w:numPr>
          <w:ilvl w:val="0"/>
          <w:numId w:val="13"/>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5548163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124CDA7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1.对各科室病案的重点核心指标进行统计展示，包括病案总量、违规情况、平均违规及同比变化内容；</w:t>
      </w:r>
    </w:p>
    <w:p w14:paraId="2FEF909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2.对各科室病案的违规内容按医师和严重等级进行可视化图表展现，包括违规病案数量、严重违规病案数、一般违规病案数、提示违规病案数等指标，支持数据下载；</w:t>
      </w:r>
    </w:p>
    <w:p w14:paraId="254A42A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3.对科室病案不同违规规则进行图表展现，包括规则名称、规则级别、扣分、违规病案数等指标，支持数据下载；</w:t>
      </w:r>
    </w:p>
    <w:p w14:paraId="103B558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4.对各科室病案的违规内容按病案模块与字段进行可视化图表展示，便于科室了解科室内病案经常违规的字段情况，支持数据下载。</w:t>
      </w:r>
    </w:p>
    <w:p w14:paraId="340121F9">
      <w:pPr>
        <w:widowControl/>
        <w:numPr>
          <w:ilvl w:val="0"/>
          <w:numId w:val="11"/>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指标分析</w:t>
      </w:r>
    </w:p>
    <w:p w14:paraId="23680C4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提供产品支持以下功能：</w:t>
      </w:r>
    </w:p>
    <w:p w14:paraId="6E540DE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1.对医院、科室、主诊医师下的病案总量、入组率、病组数、均费、平均住院天数、低风险组死亡率、日间手术占比等指标进行统计展示；</w:t>
      </w:r>
    </w:p>
    <w:p w14:paraId="1799493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2.对医院、科室、主诊医师下的病案首页进行手术情况统计图表展示，包括手术病例占比、三四级手术占比、微创手术占比、并发症发生率、I类切口手术部位感染率；</w:t>
      </w:r>
    </w:p>
    <w:p w14:paraId="1E5FCDE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3.展示所选时间范围内各级别手术台次数以及对应主刀医生的术前术后天数等指标统计情况；</w:t>
      </w:r>
    </w:p>
    <w:p w14:paraId="5FDEE15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4.展示所选时间范围内按病案明细类目划分的费用占比可视化图表，支持科室筛选查询；</w:t>
      </w:r>
    </w:p>
    <w:p w14:paraId="19F1C73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5.展示所选时间范围内医院单病种开展情况。</w:t>
      </w:r>
    </w:p>
    <w:p w14:paraId="43D5FC6C">
      <w:pPr>
        <w:widowControl/>
        <w:numPr>
          <w:ilvl w:val="0"/>
          <w:numId w:val="11"/>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数据查询</w:t>
      </w:r>
    </w:p>
    <w:p w14:paraId="5F7FA58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提供产品支持查询某个时间范围或各种筛选条件下的病案数据查询，支持单条病案详情查询，展示病案首页详情以及分组、质控、评分结果；支持其他菜单下钻至此的筛选查询。</w:t>
      </w:r>
    </w:p>
    <w:p w14:paraId="057F0BFE">
      <w:pPr>
        <w:widowControl/>
        <w:numPr>
          <w:ilvl w:val="0"/>
          <w:numId w:val="11"/>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数据上传</w:t>
      </w:r>
    </w:p>
    <w:p w14:paraId="549E479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提供产品结合医院审核流，查询可上传HQMS的病案数据列表（支持多条件筛选查询），支持数据下载，支持一键跳转HQMS上传网址。</w:t>
      </w:r>
    </w:p>
    <w:p w14:paraId="1D7CBB74">
      <w:pPr>
        <w:pStyle w:val="16"/>
        <w:keepNext/>
        <w:keepLines/>
        <w:numPr>
          <w:ilvl w:val="0"/>
          <w:numId w:val="1"/>
        </w:numPr>
        <w:shd w:val="clear"/>
        <w:spacing w:before="260" w:after="260" w:line="440" w:lineRule="exact"/>
        <w:ind w:firstLineChars="0"/>
        <w:outlineLvl w:val="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运营分析系统</w:t>
      </w:r>
    </w:p>
    <w:p w14:paraId="5F53AED7">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系统首页</w:t>
      </w:r>
    </w:p>
    <w:p w14:paraId="7F796A4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院长驾驶舱，相关权限账号可以查看本院所有数据情况，科室账号仅能看本科室数据（以下权限均需满足此要求）。可以查看的内容包括不限于入组情况整体监控、医院整体和各科室盈亏情况、DIP分值变化趋势、质量监管、结算监控、诊疗情况监控、监管评价指标概览、盈亏top5病组定位、病例类型及费用结构监控，指标如入组率、盈亏值、例均盈亏、有效主手术、CMI、时间消耗指数、费用消耗指数、取药住院病例数、分解住院病例数等。</w:t>
      </w:r>
    </w:p>
    <w:p w14:paraId="2F7F5A41">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质量评价</w:t>
      </w:r>
    </w:p>
    <w:p w14:paraId="2A4F6E89">
      <w:pPr>
        <w:widowControl/>
        <w:numPr>
          <w:ilvl w:val="0"/>
          <w:numId w:val="15"/>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医院总体</w:t>
      </w:r>
    </w:p>
    <w:p w14:paraId="7F8AB5F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各项医院服务质量评价指标，区分不同维度进行统计，根据账号的数据权限展示对应结果；质量评价指标类别包含功能定位、不同资源消耗程度下的病例分布、DIP评价指标、病例类型分布、医保账户支付构成、费用结构及费用占比等，指标包括不限于、分值区间病例数、高/低/正常倍率病例占比、统筹基金支出额、CMI、时间消耗指数、费用消耗指数、西药费/西药费占比/环比；需要支持对服务能力和服务效率进行定性分析；需要对重要指标进行可视化展示，如总分值及其同比环比、病种数、CMI、时间消耗指数、费用消耗指数，低风险病种死亡人数、死亡率及病例列表。</w:t>
      </w:r>
    </w:p>
    <w:p w14:paraId="7E213FF8">
      <w:pPr>
        <w:widowControl/>
        <w:numPr>
          <w:ilvl w:val="0"/>
          <w:numId w:val="15"/>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1956C71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医院科室维度的医院服务质量评价指标。指标类别和指标构成需同医院总体内容保持一致，可视化分析支持服务能力、服务效率、质量效能、科室病种、入组率及评价）、科室间效率对比和重点病例分析的内容。</w:t>
      </w:r>
    </w:p>
    <w:p w14:paraId="1E8D91BC">
      <w:pPr>
        <w:widowControl/>
        <w:numPr>
          <w:ilvl w:val="0"/>
          <w:numId w:val="15"/>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主治医师</w:t>
      </w:r>
    </w:p>
    <w:p w14:paraId="1B0B06DC">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提供产品支持医院主治医师维度的医院服务质量评价指标。指标类别和指标构成需同医院总体内容保持一致，需进行定性和可视化分析。</w:t>
      </w:r>
    </w:p>
    <w:p w14:paraId="1919CB15">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运营分析</w:t>
      </w:r>
    </w:p>
    <w:p w14:paraId="7CE7AF31">
      <w:pPr>
        <w:widowControl/>
        <w:numPr>
          <w:ilvl w:val="0"/>
          <w:numId w:val="16"/>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医院总体</w:t>
      </w:r>
    </w:p>
    <w:p w14:paraId="1E0F4D80">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各项医院医保结算运营分析指标，区分不同维度进行统计，根据账号的数据权限展示对应结果。支持查看指标概览，如总病例数、总盈亏、总分值等及其同比环比；运营分析指标类别应包含医院的超支结余计算结果、患者和医保付费结构、超支结余病例组成、费用结构等，指标包括不限于DIP总费用、盈亏金额、结余病例数、超支病例数、个人负担。需支持展示盈亏情况时间序列分析、DIP盈亏、科室盈亏的可视化分析结果。</w:t>
      </w:r>
    </w:p>
    <w:p w14:paraId="1014ABD0">
      <w:pPr>
        <w:widowControl/>
        <w:numPr>
          <w:ilvl w:val="0"/>
          <w:numId w:val="16"/>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388DABC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医院科室维度的医保结算运营分析指标。指标类别和指标构成需同医院总体内容保持一致；科室分析应到病例类型层级，支持下钻到医师详情和病例详情；支持查看指标概览，如总病例数、总盈亏、总分值等及其同比环比；可视化支持总体、例均盈亏趋势，费用结构及其同比环比分析等。</w:t>
      </w:r>
    </w:p>
    <w:p w14:paraId="6BF39D13">
      <w:pPr>
        <w:widowControl/>
        <w:numPr>
          <w:ilvl w:val="0"/>
          <w:numId w:val="16"/>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主治医师</w:t>
      </w:r>
    </w:p>
    <w:p w14:paraId="5E62B7D2">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提供产品支持主治医师维度的医保结算运营分析指标。指标类别和指标构成需同医院总体内容保持一致；主治医师分析应到病例类型层级。</w:t>
      </w:r>
    </w:p>
    <w:p w14:paraId="3970C6BC">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病组分析</w:t>
      </w:r>
    </w:p>
    <w:p w14:paraId="1E80142F">
      <w:pPr>
        <w:widowControl/>
        <w:numPr>
          <w:ilvl w:val="0"/>
          <w:numId w:val="17"/>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医院总体</w:t>
      </w:r>
    </w:p>
    <w:p w14:paraId="0AB1681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医院病组层级分析结果展示，指标类别应包含医院病组整体的医保支付、病组属性、盈亏、病例类型构成、诊疗效率、资源消耗、费用结构，指标包括不限于病例数、总费用、盈亏金额、时间/费用消耗指数、DIP类型、死亡率、西药均费等。支持下钻到同病种下的不同科室及不同医师，做对比分析；支持查看指标概览，如核心病种数、综合病种数等及其同比环比；支持分值区间可视化和列表分析。</w:t>
      </w:r>
    </w:p>
    <w:p w14:paraId="0F0A86FA">
      <w:pPr>
        <w:widowControl/>
        <w:numPr>
          <w:ilvl w:val="0"/>
          <w:numId w:val="17"/>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7E3F955D">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提供产品支持相同病组在医院不同科室的分析结果。指标类别和指标构成需同医院总体内容保持一致。</w:t>
      </w:r>
    </w:p>
    <w:p w14:paraId="1E1F7EA6">
      <w:pPr>
        <w:widowControl/>
        <w:numPr>
          <w:ilvl w:val="0"/>
          <w:numId w:val="17"/>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主治医师</w:t>
      </w:r>
    </w:p>
    <w:p w14:paraId="61502FF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提供产品支持相同病组在不同科室、不同医师交互下的分析结果。指标类别和指标构成需同医院总体内容保持一致。</w:t>
      </w:r>
    </w:p>
    <w:p w14:paraId="3B8F0982">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在院监控</w:t>
      </w:r>
    </w:p>
    <w:p w14:paraId="1C357035">
      <w:pPr>
        <w:widowControl/>
        <w:numPr>
          <w:ilvl w:val="0"/>
          <w:numId w:val="18"/>
        </w:numPr>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医院主体</w:t>
      </w:r>
    </w:p>
    <w:p w14:paraId="492D0FE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对医院在院病例进行事前、事中管理。</w:t>
      </w:r>
    </w:p>
    <w:p w14:paraId="4E729144">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1.在院病例整体监控，病例数、入组数、填写诊断和未填写诊断数等；</w:t>
      </w:r>
    </w:p>
    <w:p w14:paraId="7572CC4F">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2.重点病例费用监控，对存在结算风险的病例滚动显示；</w:t>
      </w:r>
    </w:p>
    <w:p w14:paraId="0E17F5C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3.未出院病例各科室和医生排名、重点病例组成分析等；</w:t>
      </w:r>
    </w:p>
    <w:p w14:paraId="558EE3EA">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4.在院病例预结算详情。</w:t>
      </w:r>
    </w:p>
    <w:p w14:paraId="7E11B261">
      <w:pPr>
        <w:widowControl/>
        <w:numPr>
          <w:ilvl w:val="0"/>
          <w:numId w:val="18"/>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4AE9FFA8">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医院各科室在院病例预结算详情、病例分布等指标分析。</w:t>
      </w:r>
    </w:p>
    <w:p w14:paraId="1F46C3C8">
      <w:pPr>
        <w:widowControl/>
        <w:numPr>
          <w:ilvl w:val="0"/>
          <w:numId w:val="18"/>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主治医师</w:t>
      </w:r>
    </w:p>
    <w:p w14:paraId="63D9A6D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医院各主治医师在院病例预结算详情、病例分布等指标分析。</w:t>
      </w:r>
    </w:p>
    <w:p w14:paraId="5AB05C6C">
      <w:pPr>
        <w:widowControl/>
        <w:numPr>
          <w:ilvl w:val="0"/>
          <w:numId w:val="18"/>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病种分析</w:t>
      </w:r>
    </w:p>
    <w:p w14:paraId="5293192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在院状态病例入组的病种维度分析，包含基本参数、预结算详情、病例分布等。</w:t>
      </w:r>
    </w:p>
    <w:p w14:paraId="502009B1">
      <w:pPr>
        <w:widowControl/>
        <w:numPr>
          <w:ilvl w:val="0"/>
          <w:numId w:val="18"/>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病例查询</w:t>
      </w:r>
    </w:p>
    <w:p w14:paraId="019760A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在院病例详情查询，提供就诊ID、所属科室、医生、预结算类型、基金类型等查询条件。</w:t>
      </w:r>
    </w:p>
    <w:p w14:paraId="6E3CEDAC">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▲监管考核</w:t>
      </w:r>
    </w:p>
    <w:p w14:paraId="7CB4C181">
      <w:pPr>
        <w:widowControl/>
        <w:numPr>
          <w:ilvl w:val="0"/>
          <w:numId w:val="19"/>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医院总体</w:t>
      </w:r>
    </w:p>
    <w:p w14:paraId="4FC6E5D6">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医院整体的指标考核及基金监管考核结果，包含每月度的时间序列分析。指标类别应包括医疗服务能力、质量和安全、医疗效率、运营指标、基金监管等的评价，指标包括不限于CMI、平均诊断/手术个数、手术患者占比、日间手术占比、低风险死亡率、15日再入院率、未入组病例数、时间/费用消耗指数、个人负担比例、药占比、耗占比、体检住院、取药住院。</w:t>
      </w:r>
    </w:p>
    <w:p w14:paraId="645C0B4B">
      <w:pPr>
        <w:widowControl/>
        <w:numPr>
          <w:ilvl w:val="0"/>
          <w:numId w:val="19"/>
        </w:numPr>
        <w:shd w:val="clear" w:color="auto"/>
        <w:snapToGrid w:val="0"/>
        <w:spacing w:line="440" w:lineRule="exact"/>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医院科室</w:t>
      </w:r>
    </w:p>
    <w:p w14:paraId="4FB0C15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提供产品支持全院及各科室的指标考核及基金监管考核结果，用于科室横向比较。指标类别和指标构成需同医院总体内容保持一致。</w:t>
      </w:r>
    </w:p>
    <w:p w14:paraId="0D5850DB">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▲AI病例分析</w:t>
      </w:r>
    </w:p>
    <w:p w14:paraId="3C6424E1">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提供产品支持AI智能分析每条病例的编码数据与其他字段不合规的情况，降低医院数据错误导致的损失。</w:t>
      </w:r>
    </w:p>
    <w:p w14:paraId="34D472EE">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分组模拟</w:t>
      </w:r>
    </w:p>
    <w:p w14:paraId="0570D68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提供产品支持自由模拟各类情况下的预入组结果和预结算结果，诊断手术均可增删。</w:t>
      </w:r>
    </w:p>
    <w:p w14:paraId="75ADD622">
      <w:pPr>
        <w:widowControl/>
        <w:numPr>
          <w:ilvl w:val="0"/>
          <w:numId w:val="14"/>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病例查询</w:t>
      </w:r>
    </w:p>
    <w:p w14:paraId="7E9CBF37">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提供产品支持每条病例的入组结果和数据分析结果，病例查看范围受账号的数据权限影响。</w:t>
      </w:r>
    </w:p>
    <w:p w14:paraId="490722A7">
      <w:pPr>
        <w:pStyle w:val="16"/>
        <w:keepNext/>
        <w:keepLines/>
        <w:numPr>
          <w:ilvl w:val="0"/>
          <w:numId w:val="1"/>
        </w:numPr>
        <w:shd w:val="clear"/>
        <w:spacing w:before="260" w:after="260" w:line="440" w:lineRule="exact"/>
        <w:ind w:firstLineChars="0"/>
        <w:outlineLvl w:val="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智能审核系统</w:t>
      </w:r>
    </w:p>
    <w:p w14:paraId="15E094B8">
      <w:pPr>
        <w:widowControl/>
        <w:numPr>
          <w:ilvl w:val="0"/>
          <w:numId w:val="20"/>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实时审核预警系统</w:t>
      </w:r>
    </w:p>
    <w:p w14:paraId="2E435E78">
      <w:pPr>
        <w:widowControl/>
        <w:numPr>
          <w:ilvl w:val="0"/>
          <w:numId w:val="21"/>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智审助手</w:t>
      </w:r>
    </w:p>
    <w:p w14:paraId="7D8C6620">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医护人员开立处方医嘱、填写患者信息等操作时，对其诊疗行为、患者费用和信息进行规则审核，若违反医保政策、医学知识库的规定，则预警提醒，并告知本次违规原因、违规明细和违规依据等信息，辅助医生、护士合理规避违规风险。</w:t>
      </w:r>
    </w:p>
    <w:p w14:paraId="51B63C8A">
      <w:pPr>
        <w:widowControl/>
        <w:numPr>
          <w:ilvl w:val="0"/>
          <w:numId w:val="21"/>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诊间审核</w:t>
      </w:r>
    </w:p>
    <w:p w14:paraId="132A5882">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门诊开具处方、住院医生开具医嘱、护士执行医嘱、转科审核、出院预结算等场景，即支持事前、事中审核，帮助医师护士准确定位可能导致的医保费用违规情况，医保科审核人员在病人办理出院结算前的最后把关</w:t>
      </w:r>
    </w:p>
    <w:p w14:paraId="64CD239D">
      <w:pPr>
        <w:widowControl/>
        <w:numPr>
          <w:ilvl w:val="0"/>
          <w:numId w:val="21"/>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违规反馈</w:t>
      </w:r>
    </w:p>
    <w:p w14:paraId="6935527C">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提供产品支持诊间审核违规提醒后，医生可对当前诊疗行为进行修改，或者按实际情况反馈不采纳违规提示的相关意见，反馈后可继续进行相关诊疗，以便申诉时追溯违规记录。</w:t>
      </w:r>
    </w:p>
    <w:p w14:paraId="3E5DD696">
      <w:pPr>
        <w:widowControl/>
        <w:numPr>
          <w:ilvl w:val="0"/>
          <w:numId w:val="21"/>
        </w:numPr>
        <w:shd w:val="clear" w:color="auto"/>
        <w:snapToGrid w:val="0"/>
        <w:spacing w:line="360" w:lineRule="auto"/>
        <w:ind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工作站融合内嵌</w:t>
      </w:r>
    </w:p>
    <w:p w14:paraId="42E92C72">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提供产品应支持以下功能：</w:t>
      </w:r>
    </w:p>
    <w:p w14:paraId="27DAE8D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与工作站融合，提供实时弹窗，减少医务人员在其他系统操作的负担。支持与门诊医生工作站、住院医生工作站、护士工作站融合，门诊工作站开具处方并提交保存，住院工作站开具医嘱、执行医嘱、转科等操作时，工作站自动调用诊间审核引擎对处方、医嘱、填写信息进行实时审核，发现违规或可疑违规信息后即时提醒或拦截；</w:t>
      </w:r>
    </w:p>
    <w:p w14:paraId="7C3F3ED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2.支持医院将病例信息组织成JSON字符串进行接口调用；</w:t>
      </w:r>
    </w:p>
    <w:p w14:paraId="77459196">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3.支持将违规的审核结果反馈HIS系统。</w:t>
      </w:r>
    </w:p>
    <w:p w14:paraId="2CEFF270">
      <w:pPr>
        <w:widowControl/>
        <w:numPr>
          <w:ilvl w:val="0"/>
          <w:numId w:val="20"/>
        </w:numPr>
        <w:shd w:val="clear"/>
        <w:spacing w:line="360" w:lineRule="auto"/>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实时监控系统</w:t>
      </w:r>
    </w:p>
    <w:p w14:paraId="5A6F0B16">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提供产品支持当日门诊、住院违规行为实时监控，为医院提供当日违规的概况和详情统计，使医保相关部门能清晰、实时了解当日诊疗及违规情况。</w:t>
      </w:r>
    </w:p>
    <w:p w14:paraId="703191EF">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1.支持门诊、住院两个业务场景下的违规概况及详情统计；</w:t>
      </w:r>
    </w:p>
    <w:p w14:paraId="6A475092">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2.支持事前、事中两种审核场景下的违规监控，并统计门诊开具处方、住院医生开具医嘱、护士执行医嘱、转科审核、出院预结算等场景相关指标；</w:t>
      </w:r>
    </w:p>
    <w:p w14:paraId="3C839582">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3.支持查看违规提醒统计，如违规提醒数、审核调用次数等；</w:t>
      </w:r>
    </w:p>
    <w:p w14:paraId="29D7C483">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4.支持重点违规维度定位，统计并展示违规前5的科室、开单医生、规则明细，方便医保科室重点沟通相关科室和医生，对明细进行重点管理；</w:t>
      </w:r>
    </w:p>
    <w:p w14:paraId="25902EA3">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5.支持对医生不采纳违规提醒的反馈结果分析，辅助医保科室分析医生违规原因；</w:t>
      </w:r>
    </w:p>
    <w:p w14:paraId="7714D94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6.支持实时查看当日各时间段违规提醒次数和审核次数的变化趋势图，实时跟踪违规发生率；</w:t>
      </w:r>
    </w:p>
    <w:p w14:paraId="11A9657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7.支持自动滚动播放当前产生的违规明细，并支持查看该病例对应的科室、医生、违规内容详情，支持筛选某类或某几类重点关注的规则，辅助医院对重点规则监控；</w:t>
      </w:r>
    </w:p>
    <w:p w14:paraId="03BF8FE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8.支持查看当日违规病例列表，可多条件查询定位，如科室、医生、患者，此外，支持历史违规记录的查询及数据导出到本地。</w:t>
      </w:r>
    </w:p>
    <w:p w14:paraId="11A405E6">
      <w:pPr>
        <w:widowControl/>
        <w:numPr>
          <w:ilvl w:val="0"/>
          <w:numId w:val="20"/>
        </w:numPr>
        <w:shd w:val="clear"/>
        <w:spacing w:line="360" w:lineRule="auto"/>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违规分析系统</w:t>
      </w:r>
    </w:p>
    <w:p w14:paraId="14809E4E">
      <w:pPr>
        <w:widowControl/>
        <w:numPr>
          <w:ilvl w:val="0"/>
          <w:numId w:val="22"/>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总体分析</w:t>
      </w:r>
    </w:p>
    <w:p w14:paraId="79A6F1B9">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提供产品应支持事后分析违规情况，从全院违规、科室、明细维度出发，为医保部门提供指标概览、重点违规定位、规则聚合统计的相关内容，辅助相关科室掌握违规概况。</w:t>
      </w:r>
    </w:p>
    <w:p w14:paraId="65D8FA3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1.支持门诊、在院、出院场景下的数据统计，按场景可进行各类时间、科室、险种的筛选；</w:t>
      </w:r>
    </w:p>
    <w:p w14:paraId="79A199DA">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2.支持全院违规情况统计，如违规人次占比、违规金额占比、违规次数占比、违规类别相关指标的统计计算，并计算同比；</w:t>
      </w:r>
    </w:p>
    <w:p w14:paraId="5A5EF87D">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3.支持展示违规前5的规则、科室和明细，并统计相关指标。支持跳转到详细分析和病例界面进一步分析。辅助医保科室对重点违规维度针对性管理。</w:t>
      </w:r>
    </w:p>
    <w:p w14:paraId="5B9B7648">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4.支持全部规则的违规统计，指标包括违反规则人次、金额、次数及其占比等指标；</w:t>
      </w:r>
    </w:p>
    <w:p w14:paraId="4DA213EA">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5.支持下钻分析，可跳转到更细的违规统计和病例详情；</w:t>
      </w:r>
    </w:p>
    <w:p w14:paraId="7A2BE299">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6.支持规则统计指标的排名，可查看指标排名靠前、靠后的规则；</w:t>
      </w:r>
    </w:p>
    <w:p w14:paraId="68E14F90">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7.支持统计图分析和数据导出，满足不同用户数据分析需要。</w:t>
      </w:r>
    </w:p>
    <w:p w14:paraId="41C62E5F">
      <w:pPr>
        <w:widowControl/>
        <w:numPr>
          <w:ilvl w:val="0"/>
          <w:numId w:val="22"/>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规则分析</w:t>
      </w:r>
    </w:p>
    <w:p w14:paraId="6365E9CC">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从规则及对应的明细出发，为医保部门提供进一步的违规分析，以便制定相应措施。</w:t>
      </w:r>
    </w:p>
    <w:p w14:paraId="2A7CB6A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1.支持门诊、在院、出院场景统计，按场景可进行各类时间、科室、险种、规则等筛选；</w:t>
      </w:r>
    </w:p>
    <w:p w14:paraId="5E7FD766">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2.支持违规统计指标概览；</w:t>
      </w:r>
    </w:p>
    <w:p w14:paraId="0C2F8632">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3.支持展示违规前10的规则明细可视化分析结果；</w:t>
      </w:r>
    </w:p>
    <w:p w14:paraId="635D5BCE">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4.支持全院违规内容统计相关违规指标；</w:t>
      </w:r>
    </w:p>
    <w:p w14:paraId="4DD540A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4.支持违规内容按统计指标排名；</w:t>
      </w:r>
    </w:p>
    <w:p w14:paraId="4ACCDAB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5.支持违规内容下钻分析，跳转到科室做横向比较；</w:t>
      </w:r>
    </w:p>
    <w:p w14:paraId="65BA8A8D">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6.支持数据导出。</w:t>
      </w:r>
    </w:p>
    <w:p w14:paraId="2F2FEDE7">
      <w:pPr>
        <w:widowControl/>
        <w:numPr>
          <w:ilvl w:val="0"/>
          <w:numId w:val="22"/>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科室统计</w:t>
      </w:r>
    </w:p>
    <w:p w14:paraId="738C40E3">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从科室维度统计违规情况，并做科室和医生的横向比较，辅助医保科室了解科室及医生的整体违规情况，以便采取相应方式干预。</w:t>
      </w:r>
    </w:p>
    <w:p w14:paraId="0C235F99">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1.支持门诊、在院、出院分场景统计，适应各场景配置筛选条件；</w:t>
      </w:r>
    </w:p>
    <w:p w14:paraId="49D5E7FA">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2.支持科室违规指标统计，并通过联动的方式显示该科室医生违规情况的横向比较；</w:t>
      </w:r>
    </w:p>
    <w:p w14:paraId="47A85430">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3.支持统计指标的排名，可查看科室、医生排名情况；</w:t>
      </w:r>
    </w:p>
    <w:p w14:paraId="5F544E7E">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4.支持下钻到具体的病例详情；</w:t>
      </w:r>
    </w:p>
    <w:p w14:paraId="497141CF">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5.支持重点违规科室及其医生横向比较的可视化分析。</w:t>
      </w:r>
    </w:p>
    <w:p w14:paraId="10F752EF">
      <w:pPr>
        <w:widowControl/>
        <w:numPr>
          <w:ilvl w:val="0"/>
          <w:numId w:val="22"/>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科室分析</w:t>
      </w:r>
    </w:p>
    <w:p w14:paraId="5A8FA6E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从科室的违规规则维度统计详细的违规情况，并做科室和医生的横向比较，辅助医保科室深度了解和分析各科室及医生的违规情况，应用于数据汇报、精细化监督管理等。</w:t>
      </w:r>
    </w:p>
    <w:p w14:paraId="7B9C83AD">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1.支持门诊、在院、出院分场景统计，适应各场景配置筛选条件；</w:t>
      </w:r>
    </w:p>
    <w:p w14:paraId="1980D6D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2.支持科室详细违规内容的相关指标统计，并通过联动的方式显示该科室医生违规情况的横向比较；</w:t>
      </w:r>
    </w:p>
    <w:p w14:paraId="21E9B0EA">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3.支持统计指标的排名，可查看科室、医生排名情况；</w:t>
      </w:r>
    </w:p>
    <w:p w14:paraId="474268A7">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4.支持下钻到具体的病例详情；</w:t>
      </w:r>
    </w:p>
    <w:p w14:paraId="2663FA1C">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5.支持重点违规科室及其医生横向比较的可视化分析。</w:t>
      </w:r>
    </w:p>
    <w:p w14:paraId="553C7A8D">
      <w:pPr>
        <w:widowControl/>
        <w:numPr>
          <w:ilvl w:val="0"/>
          <w:numId w:val="22"/>
        </w:numPr>
        <w:shd w:val="clear" w:color="auto"/>
        <w:snapToGrid w:val="0"/>
        <w:spacing w:line="360" w:lineRule="auto"/>
        <w:ind w:firstLine="480" w:firstLineChars="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患者分析</w:t>
      </w:r>
    </w:p>
    <w:p w14:paraId="047D8149">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患者层级的违规情况统计，辅助医保科室获取典型案例，为纠正违规行为提供数据依据。</w:t>
      </w:r>
    </w:p>
    <w:p w14:paraId="4D0B193A">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1.支持分门诊、在院、出院统计患者结果，通过就诊号、患者姓名、科室等条件快速定位；</w:t>
      </w:r>
    </w:p>
    <w:p w14:paraId="0092AD7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2.支持展示病例基本信息、违规情况等，可在本页面直接查看该病例的违规明细，可支持字段显示/隐藏设置；</w:t>
      </w:r>
    </w:p>
    <w:p w14:paraId="3917C97D">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3.支持查看患者详细信息，包括患者基本信息、违规信息、费用明细、诊断手术等详情；</w:t>
      </w:r>
    </w:p>
    <w:p w14:paraId="3219EBC6">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4.支持数据导出。</w:t>
      </w:r>
    </w:p>
    <w:p w14:paraId="124A7FB2">
      <w:pPr>
        <w:widowControl/>
        <w:numPr>
          <w:ilvl w:val="0"/>
          <w:numId w:val="22"/>
        </w:numPr>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▲明细分析</w:t>
      </w:r>
    </w:p>
    <w:p w14:paraId="5C8E60A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违规明细层级的详情统计，使医保科室重点关注违规频率高、涉及金额量大的明细，辅助相关科室重点关注，减少在以后医疗行为中发生的次数。</w:t>
      </w:r>
    </w:p>
    <w:p w14:paraId="1163CF3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1.支持分门诊、在院、出院统计明细违规情况，适应各场景配置筛选条件；</w:t>
      </w:r>
    </w:p>
    <w:p w14:paraId="0671B3A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2.支持展示合计概览，统计筛选内容的合计值；</w:t>
      </w:r>
    </w:p>
    <w:p w14:paraId="5E4BA29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3.支持查看各明细的违规次数、违规人次、违规科室数等指标；</w:t>
      </w:r>
    </w:p>
    <w:p w14:paraId="250B049B">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4.支持查看每条明细对应的违规记录，并可下钻到具体的患者明细详情；</w:t>
      </w:r>
    </w:p>
    <w:p w14:paraId="5BABDF2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5.支持数据导出。</w:t>
      </w:r>
    </w:p>
    <w:p w14:paraId="5F5CECD7">
      <w:pPr>
        <w:widowControl/>
        <w:numPr>
          <w:ilvl w:val="0"/>
          <w:numId w:val="20"/>
        </w:numPr>
        <w:shd w:val="clear"/>
        <w:spacing w:line="360" w:lineRule="auto"/>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规则管理</w:t>
      </w:r>
    </w:p>
    <w:p w14:paraId="1427D9D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根据国家、省医疗保障局制订的三目标准，结合医学知识库、药品说明书等知识建设审核规则库：</w:t>
      </w:r>
    </w:p>
    <w:p w14:paraId="5A4A6159">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1.医疗保障基金智能审核和监控规则库框架体系相关知识库；</w:t>
      </w:r>
    </w:p>
    <w:p w14:paraId="205D77D0">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2.医保政策用药限制规则知识库；</w:t>
      </w:r>
    </w:p>
    <w:p w14:paraId="654769C1">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3.医保物价限制规则知识库；</w:t>
      </w:r>
    </w:p>
    <w:p w14:paraId="458E1F85">
      <w:pPr>
        <w:widowControl/>
        <w:shd w:val="clear" w:color="auto"/>
        <w:snapToGrid w:val="0"/>
        <w:spacing w:line="360" w:lineRule="auto"/>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本地化规则知识库：（1）药品限制类规则，包含药品限工伤保险、限就医方式、限儿童、限性别、限适应症等（2）重复开药（3）药品禁忌审核（4）耗材与医疗项目不符（5）耗材限性别（6）医疗服务项目限制类规则，包含限适应症、限支付疗程、限频次、限儿童、限性别（7）诊疗项目关联匹配审核（8）无指征检查等。</w:t>
      </w:r>
      <w:bookmarkEnd w:id="0"/>
    </w:p>
    <w:p w14:paraId="06DA962D">
      <w:pPr>
        <w:pStyle w:val="16"/>
        <w:keepNext/>
        <w:keepLines/>
        <w:numPr>
          <w:ilvl w:val="0"/>
          <w:numId w:val="1"/>
        </w:numPr>
        <w:shd w:val="clear"/>
        <w:spacing w:before="260" w:after="260" w:line="440" w:lineRule="exact"/>
        <w:ind w:firstLineChars="0"/>
        <w:outlineLvl w:val="2"/>
        <w:rPr>
          <w:rFonts w:hint="eastAsia" w:ascii="宋体" w:hAnsi="宋体" w:eastAsia="宋体" w:cs="宋体"/>
          <w:color w:val="auto"/>
          <w:kern w:val="0"/>
          <w:sz w:val="28"/>
          <w:szCs w:val="28"/>
          <w:highlight w:val="none"/>
        </w:rPr>
      </w:pPr>
      <w:r>
        <w:rPr>
          <w:rFonts w:hint="eastAsia" w:ascii="宋体" w:hAnsi="宋体" w:eastAsia="宋体" w:cs="宋体"/>
          <w:i w:val="0"/>
          <w:iCs w:val="0"/>
          <w:color w:val="auto"/>
          <w:sz w:val="28"/>
          <w:szCs w:val="28"/>
          <w:highlight w:val="none"/>
          <w:u w:val="none"/>
          <w:lang w:val="en-US" w:eastAsia="zh-CN"/>
        </w:rPr>
        <w:t>网络安全服务</w:t>
      </w:r>
    </w:p>
    <w:p w14:paraId="361DE1EF">
      <w:pPr>
        <w:numPr>
          <w:ilvl w:val="0"/>
          <w:numId w:val="0"/>
        </w:numPr>
        <w:shd w:val="clear"/>
        <w:bidi w:val="0"/>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网络边界逻辑隔离与安全防护服务配套服务工具技术参数：</w:t>
      </w:r>
    </w:p>
    <w:p w14:paraId="16CAA1E1">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1、含防火墙模块、IPS模块、防病毒模块、应用识别管控模块等功能模块。</w:t>
      </w:r>
    </w:p>
    <w:p w14:paraId="571F2D4E">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2、支持8种的负载均衡算法，包括但不限于最小抖动、最小延迟、最小丢包率、轮询、加权轮询等。</w:t>
      </w:r>
    </w:p>
    <w:p w14:paraId="137EBDC4">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3、支持对HTTP/SMTP/POP3/FTP/IMAP等协议进行病毒防御,病毒特征库规模超过1200万。</w:t>
      </w:r>
    </w:p>
    <w:p w14:paraId="442C8F76">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▲4、支持对内网DNS请求进行云端查询，对访问高危域名的请求，给客户端返回禁止访问的页面（须提供具有CMA或CNAS标志的第三方检测机构报告并加盖服务工具原厂商公章）</w:t>
      </w:r>
    </w:p>
    <w:p w14:paraId="279FB6D6">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▲5、支持预定义指纹库、自定义指纹库，能够识别到内网的打印机、摄像头等资产（须提供具有CMA或CNAS标志的第三方检测机构报告并加盖服务工具原厂商公章）</w:t>
      </w:r>
    </w:p>
    <w:p w14:paraId="4C4319F6">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▲6、按照维度列出当前设备连接情况，并可一键生成安全策略。（须提供具有CMA或CNAS标志的第三方检测机构报告并加盖服务工具原厂商公章）</w:t>
      </w:r>
    </w:p>
    <w:p w14:paraId="47584A7D">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▲7、支持对ipv4和ipv6的登录请求进行弱口令检测，支持对TELNET、POP3、SMTP等协议进行弱口令检查，并上报安全事件。（须提供具有CMA或CNAS标志的第三方检测机构报告并加盖服务工具原厂商公章）</w:t>
      </w:r>
    </w:p>
    <w:p w14:paraId="0E2DF728">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8、支持口令防暴力破解，支持TELNET、POP3、SMTP、SSH等协议的，频繁登录失败操作，进行针对频率的阈值检查，判定为攻击后，对异常登录动作进行阻断。</w:t>
      </w:r>
    </w:p>
    <w:p w14:paraId="7D3611F9">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9、支持独立的入侵防护规则特征库，特征总数在7000条以上，能对常见漏洞进行安全防护。</w:t>
      </w:r>
    </w:p>
    <w:p w14:paraId="278D952F">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10、支持HTTP Flood，DNS Flood，ICMP  Flood、TCP  Flood、UDP  Flood、DNS Query Flood等攻击的攻击防护；包括但不限于Ping of death、Land-Base、Tear Drop、Winnuke、source-route，route-record、time-stamp等；支持预定义和自定义策略模板。</w:t>
      </w:r>
    </w:p>
    <w:p w14:paraId="409A0DB7">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支持客户端加密流量检测及服务器端加密流量检测两种模式</w:t>
      </w:r>
    </w:p>
    <w:p w14:paraId="2F450FF3">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11、支持客户端加密流量检测及服务器端加密流量检测两种模式。（须提供具有CMA或CNAS标志的第三方检测机构报告并加盖服务工具原厂商公章）</w:t>
      </w:r>
    </w:p>
    <w:p w14:paraId="41E65B0D">
      <w:pPr>
        <w:numPr>
          <w:ilvl w:val="0"/>
          <w:numId w:val="0"/>
        </w:numPr>
        <w:shd w:val="clear"/>
        <w:bidi w:val="0"/>
        <w:rPr>
          <w:rFonts w:hint="eastAsia" w:ascii="宋体" w:hAnsi="宋体" w:eastAsia="宋体" w:cs="宋体"/>
          <w:color w:val="auto"/>
          <w:sz w:val="28"/>
          <w:szCs w:val="28"/>
          <w:highlight w:val="none"/>
        </w:rPr>
      </w:pPr>
      <w:r>
        <w:rPr>
          <w:rFonts w:hint="eastAsia" w:ascii="宋体" w:hAnsi="宋体" w:eastAsia="宋体" w:cs="宋体"/>
          <w:i w:val="0"/>
          <w:iCs w:val="0"/>
          <w:color w:val="auto"/>
          <w:kern w:val="0"/>
          <w:sz w:val="28"/>
          <w:szCs w:val="28"/>
          <w:highlight w:val="none"/>
          <w:u w:val="none"/>
          <w:lang w:val="en-US" w:eastAsia="zh-CN" w:bidi="ar"/>
        </w:rPr>
        <w:t>▲12、支持基于接口的流量镜像，能够发送某接口的全部流量到旁路设备进行检测，能够支持不少于16组的接口进行流量镜像。（须提供具有CMA或CNAS标志的第三方检测机构报告并加盖服务工具原厂商公章）</w:t>
      </w:r>
    </w:p>
    <w:p w14:paraId="29A21B9B">
      <w:pPr>
        <w:pStyle w:val="16"/>
        <w:keepNext/>
        <w:keepLines/>
        <w:numPr>
          <w:ilvl w:val="0"/>
          <w:numId w:val="1"/>
        </w:numPr>
        <w:shd w:val="clear"/>
        <w:spacing w:before="260" w:after="260" w:line="440" w:lineRule="exact"/>
        <w:ind w:firstLineChars="0"/>
        <w:outlineLvl w:val="2"/>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其他要求</w:t>
      </w:r>
    </w:p>
    <w:p w14:paraId="47949BF8">
      <w:pPr>
        <w:widowControl/>
        <w:numPr>
          <w:ilvl w:val="0"/>
          <w:numId w:val="23"/>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系统对接</w:t>
      </w:r>
    </w:p>
    <w:p w14:paraId="3C5F1A2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本项目涉及3家二级医疗机构、2家一级医疗机构系统对接，投标人报价需包含系统对接涉及的接口费用。</w:t>
      </w:r>
    </w:p>
    <w:p w14:paraId="367A1005">
      <w:pPr>
        <w:widowControl/>
        <w:numPr>
          <w:ilvl w:val="0"/>
          <w:numId w:val="23"/>
        </w:numPr>
        <w:shd w:val="clear"/>
        <w:spacing w:line="440" w:lineRule="exact"/>
        <w:ind w:firstLineChars="0"/>
        <w:outlineLvl w:val="3"/>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服务器要求</w:t>
      </w:r>
    </w:p>
    <w:p w14:paraId="740F3D4E">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基础服务器（2台）：8核、内存32G、存储1T；</w:t>
      </w:r>
    </w:p>
    <w:p w14:paraId="31C749E3">
      <w:pPr>
        <w:widowControl/>
        <w:shd w:val="clear" w:color="auto"/>
        <w:snapToGrid w:val="0"/>
        <w:spacing w:line="440" w:lineRule="exact"/>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数据库服务器（1台）：8核、内存32G、存储1T（可扩展）；</w:t>
      </w:r>
    </w:p>
    <w:p w14:paraId="3F0B49EE">
      <w:pPr>
        <w:pStyle w:val="4"/>
        <w:numPr>
          <w:ilvl w:val="1"/>
          <w:numId w:val="0"/>
        </w:numPr>
        <w:shd w:val="clear"/>
        <w:spacing w:before="156" w:after="156"/>
        <w:rPr>
          <w:rFonts w:hint="eastAsia" w:ascii="宋体" w:hAnsi="宋体" w:eastAsia="宋体" w:cs="宋体"/>
          <w:color w:val="auto"/>
          <w:sz w:val="28"/>
          <w:szCs w:val="28"/>
          <w:highlight w:val="none"/>
        </w:rPr>
      </w:pPr>
      <w:r>
        <w:rPr>
          <w:rFonts w:hint="eastAsia" w:cs="宋体"/>
          <w:color w:val="auto"/>
          <w:sz w:val="28"/>
          <w:szCs w:val="28"/>
          <w:highlight w:val="none"/>
          <w:lang w:val="en-US" w:eastAsia="zh-CN"/>
        </w:rPr>
        <w:t>四、服务</w:t>
      </w:r>
      <w:r>
        <w:rPr>
          <w:rFonts w:hint="eastAsia" w:ascii="宋体" w:hAnsi="宋体" w:eastAsia="宋体" w:cs="宋体"/>
          <w:color w:val="auto"/>
          <w:sz w:val="28"/>
          <w:szCs w:val="28"/>
          <w:highlight w:val="none"/>
        </w:rPr>
        <w:t>要求</w:t>
      </w:r>
    </w:p>
    <w:p w14:paraId="6E616642">
      <w:pPr>
        <w:widowControl/>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rPr>
        <w:t>质保期：提供至少免费2年的原厂质保服务、升级，免费予以排除故障、修复。质保期自产品系统安装调试验收合格并交付使用之日起计算。</w:t>
      </w:r>
    </w:p>
    <w:p w14:paraId="32D60A47">
      <w:pPr>
        <w:widowControl/>
        <w:shd w:val="clear"/>
        <w:ind w:firstLine="480"/>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服务地点：采购人指定地点。</w:t>
      </w:r>
    </w:p>
    <w:p w14:paraId="79467F93">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服务要求：保障软件的正常运行，对软件中存在的缺陷进行优化，确保软件的正常使用。</w:t>
      </w:r>
    </w:p>
    <w:p w14:paraId="745905DF">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服务方式：</w:t>
      </w:r>
    </w:p>
    <w:p w14:paraId="287EC706">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（1）电话支持：电话7×24小时远程支持或软件技术问题解决与分发。</w:t>
      </w:r>
    </w:p>
    <w:p w14:paraId="219AE52B">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（2）远程技术支持服务：有条件进行远程，将通过远程工具第一时间解决故障问题，保证系统运行。</w:t>
      </w:r>
    </w:p>
    <w:p w14:paraId="568D0236">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故障维护：配合采购人解决系统运行过程中由于网络、服务器、计算机、操作系统等原因所产生的软件无法正常运行的情况，保障系统的正常运行，并在完成故障处理后出具产品维护报告，包含问题的原因、解决办法及建议。</w:t>
      </w:r>
    </w:p>
    <w:p w14:paraId="5B472A80">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（4）软件正确性维护：软件运行过程中新发现的软件错误，负责维护并及时改进，同时向采购人提供软件维护说明。</w:t>
      </w:r>
    </w:p>
    <w:p w14:paraId="3A3E6198">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（5）用户培训：负责软件更改后造成软件操作变化的使用培训，培训对象为采购人的医生、护士、技术工程师、业务科室的关键用户，同时向采购人提供新功能使用说明。</w:t>
      </w:r>
    </w:p>
    <w:p w14:paraId="77B2F3A3">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（6）系统建设建议：系统在运行过程中，不定期地向采购人提供科室软件建设建议方案。</w:t>
      </w:r>
    </w:p>
    <w:p w14:paraId="55A8A758">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（7）客户回应承诺：</w:t>
      </w:r>
    </w:p>
    <w:p w14:paraId="37E0F149">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在维护期内，如软件系统故障，需在接到通知后15分钟内予以响应，共同协商解决方案。若需要工程师前往现场，除约定到达时间外，一般要求在3小时到达采购人指定现场。工程师在到达现场后，经现场调查后，除约定时间外，一般要求12小时内排除故障。如采购人因需求修改要求工程师现场维护的，需双方协商，应在24小时内予以回应，给出具体解决方案和时间表，经双方协商后，遵照方案、时间表及本合同约定执行。</w:t>
      </w:r>
    </w:p>
    <w:p w14:paraId="4E115ADF">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（8）文档管理：提供和完善相关服务工作文档（软件更新的内容说明和常见问题的解决方法说明）。</w:t>
      </w:r>
    </w:p>
    <w:p w14:paraId="0E918EB9">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要求所投产品须与医院现有HIS、EMR系统进行无缝链接，兼容现有医生的使用习惯及流程应用，且在项目实施期间不影响现有HIS、EMR系统的使用，同时预留与其它业务系统的信息互联接口，方便扩展其它深度应用</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提供承诺函加盖公章</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w:t>
      </w:r>
    </w:p>
    <w:p w14:paraId="524AB0A4">
      <w:pPr>
        <w:shd w:val="clear"/>
        <w:ind w:firstLine="48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项目预算资金包括各种人工费用、物料费用、安装调试、对接医院现有信息系统、接口集成、培训、验收及保修期间所有备品备件及服务和实施过程中不可预见情况等全部发生的所有含税费用。</w:t>
      </w:r>
    </w:p>
    <w:p w14:paraId="70795FD4">
      <w:pPr>
        <w:widowControl/>
        <w:shd w:val="clear"/>
        <w:spacing w:line="240" w:lineRule="auto"/>
        <w:ind w:firstLine="0" w:firstLineChars="0"/>
        <w:jc w:val="left"/>
        <w:rPr>
          <w:rFonts w:hint="eastAsia" w:ascii="仿宋" w:hAnsi="仿宋" w:eastAsia="仿宋" w:cs="Times New Roman"/>
          <w:color w:val="auto"/>
          <w:kern w:val="0"/>
          <w:highlight w:val="none"/>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Times New Roman"/>
          <w:color w:val="auto"/>
          <w:kern w:val="0"/>
          <w:highlight w:val="none"/>
        </w:rPr>
        <w:br w:type="page"/>
      </w:r>
    </w:p>
    <w:p w14:paraId="05EC1DAD">
      <w:pPr>
        <w:pStyle w:val="2"/>
        <w:numPr>
          <w:ilvl w:val="0"/>
          <w:numId w:val="0"/>
        </w:numPr>
        <w:shd w:val="clear"/>
        <w:bidi w:val="0"/>
        <w:spacing w:line="360" w:lineRule="auto"/>
        <w:ind w:leftChars="0"/>
        <w:rPr>
          <w:rFonts w:hint="default" w:ascii="宋体" w:hAnsi="宋体" w:eastAsia="宋体" w:cs="宋体"/>
          <w:b/>
          <w:bCs/>
          <w:color w:val="auto"/>
          <w:sz w:val="28"/>
          <w:szCs w:val="28"/>
          <w:highlight w:val="none"/>
          <w:lang w:val="en-US" w:eastAsia="zh-CN"/>
        </w:rPr>
      </w:pPr>
      <w:bookmarkStart w:id="4" w:name="OLE_LINK1"/>
      <w:r>
        <w:rPr>
          <w:rFonts w:hint="eastAsia" w:cs="宋体"/>
          <w:b/>
          <w:bCs/>
          <w:color w:val="auto"/>
          <w:sz w:val="28"/>
          <w:szCs w:val="28"/>
          <w:highlight w:val="none"/>
          <w:lang w:val="en-US" w:eastAsia="zh-CN"/>
        </w:rPr>
        <w:t>采购包1：</w:t>
      </w:r>
      <w:r>
        <w:rPr>
          <w:rFonts w:hint="eastAsia" w:ascii="宋体" w:hAnsi="宋体" w:eastAsia="宋体" w:cs="宋体"/>
          <w:b/>
          <w:bCs/>
          <w:color w:val="auto"/>
          <w:sz w:val="28"/>
          <w:szCs w:val="28"/>
          <w:highlight w:val="none"/>
          <w:lang w:val="en-US" w:eastAsia="zh-CN"/>
        </w:rPr>
        <w:t>商务要求</w:t>
      </w:r>
    </w:p>
    <w:p w14:paraId="0A7BFB6A">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一、项目工期、地点</w:t>
      </w:r>
    </w:p>
    <w:p w14:paraId="1FE84C93">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snapToGrid/>
          <w:color w:val="auto"/>
          <w:kern w:val="2"/>
          <w:sz w:val="28"/>
          <w:szCs w:val="28"/>
          <w:highlight w:val="none"/>
          <w:lang w:eastAsia="zh-CN"/>
        </w:rPr>
        <w:t>项目工期：项目整体实施周期不超过12个月，其中硬件部署和软件基础平台部署需在合同签订后3个月内完成。</w:t>
      </w:r>
    </w:p>
    <w:p w14:paraId="78A27C4F">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服务地点：采购人指定地点（海南省）。</w:t>
      </w:r>
    </w:p>
    <w:p w14:paraId="124E038E">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二、项目组织与人员要求</w:t>
      </w:r>
    </w:p>
    <w:p w14:paraId="1C6B6F03">
      <w:pPr>
        <w:shd w:val="clear"/>
        <w:spacing w:before="259" w:line="360" w:lineRule="auto"/>
        <w:ind w:left="0" w:right="18" w:firstLine="57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4"/>
          <w:sz w:val="28"/>
          <w:szCs w:val="28"/>
          <w:highlight w:val="none"/>
          <w:lang w:eastAsia="zh-CN"/>
        </w:rPr>
        <w:t>投标人</w:t>
      </w:r>
      <w:r>
        <w:rPr>
          <w:rFonts w:hint="eastAsia" w:ascii="宋体" w:hAnsi="宋体" w:eastAsia="宋体" w:cs="宋体"/>
          <w:color w:val="auto"/>
          <w:spacing w:val="4"/>
          <w:sz w:val="28"/>
          <w:szCs w:val="28"/>
          <w:highlight w:val="none"/>
        </w:rPr>
        <w:t>应书面明确人员配置管理计划，包括组织结构、项目负责人</w:t>
      </w:r>
      <w:r>
        <w:rPr>
          <w:rFonts w:hint="eastAsia" w:ascii="宋体" w:hAnsi="宋体" w:eastAsia="宋体" w:cs="宋体"/>
          <w:color w:val="auto"/>
          <w:spacing w:val="3"/>
          <w:sz w:val="28"/>
          <w:szCs w:val="28"/>
          <w:highlight w:val="none"/>
        </w:rPr>
        <w:t>、组成</w:t>
      </w:r>
      <w:r>
        <w:rPr>
          <w:rFonts w:hint="eastAsia" w:ascii="宋体" w:hAnsi="宋体" w:eastAsia="宋体" w:cs="宋体"/>
          <w:color w:val="auto"/>
          <w:spacing w:val="-1"/>
          <w:sz w:val="28"/>
          <w:szCs w:val="28"/>
          <w:highlight w:val="none"/>
        </w:rPr>
        <w:t>人员的资历信息、项目经验及分工职责。</w:t>
      </w:r>
    </w:p>
    <w:p w14:paraId="2EDFB5FA">
      <w:pPr>
        <w:shd w:val="clear"/>
        <w:spacing w:before="32" w:line="360" w:lineRule="auto"/>
        <w:ind w:left="0" w:right="16" w:firstLine="55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1</w:t>
      </w:r>
      <w:r>
        <w:rPr>
          <w:rFonts w:hint="eastAsia" w:ascii="宋体" w:hAnsi="宋体" w:eastAsia="宋体" w:cs="宋体"/>
          <w:color w:val="auto"/>
          <w:spacing w:val="-39"/>
          <w:sz w:val="28"/>
          <w:szCs w:val="28"/>
          <w:highlight w:val="none"/>
        </w:rPr>
        <w:t xml:space="preserve"> </w:t>
      </w:r>
      <w:r>
        <w:rPr>
          <w:rFonts w:hint="eastAsia" w:ascii="宋体" w:hAnsi="宋体" w:cs="宋体"/>
          <w:color w:val="auto"/>
          <w:spacing w:val="-1"/>
          <w:sz w:val="28"/>
          <w:szCs w:val="28"/>
          <w:highlight w:val="none"/>
          <w:lang w:val="en-US" w:eastAsia="zh-CN"/>
        </w:rPr>
        <w:t>.</w:t>
      </w:r>
      <w:r>
        <w:rPr>
          <w:rFonts w:hint="eastAsia" w:ascii="宋体" w:hAnsi="宋体" w:eastAsia="宋体" w:cs="宋体"/>
          <w:color w:val="auto"/>
          <w:spacing w:val="-1"/>
          <w:sz w:val="28"/>
          <w:szCs w:val="28"/>
          <w:highlight w:val="none"/>
          <w:lang w:eastAsia="zh-CN"/>
        </w:rPr>
        <w:t>投标人</w:t>
      </w:r>
      <w:r>
        <w:rPr>
          <w:rFonts w:hint="eastAsia" w:ascii="宋体" w:hAnsi="宋体" w:eastAsia="宋体" w:cs="宋体"/>
          <w:color w:val="auto"/>
          <w:spacing w:val="-1"/>
          <w:sz w:val="28"/>
          <w:szCs w:val="28"/>
          <w:highlight w:val="none"/>
        </w:rPr>
        <w:t>应标时，须向</w:t>
      </w:r>
      <w:r>
        <w:rPr>
          <w:rFonts w:hint="eastAsia" w:ascii="宋体" w:hAnsi="宋体" w:eastAsia="宋体" w:cs="宋体"/>
          <w:color w:val="auto"/>
          <w:spacing w:val="-1"/>
          <w:sz w:val="28"/>
          <w:szCs w:val="28"/>
          <w:highlight w:val="none"/>
          <w:lang w:eastAsia="zh-CN"/>
        </w:rPr>
        <w:t>采购人</w:t>
      </w:r>
      <w:r>
        <w:rPr>
          <w:rFonts w:hint="eastAsia" w:ascii="宋体" w:hAnsi="宋体" w:eastAsia="宋体" w:cs="宋体"/>
          <w:color w:val="auto"/>
          <w:spacing w:val="-1"/>
          <w:sz w:val="28"/>
          <w:szCs w:val="28"/>
          <w:highlight w:val="none"/>
        </w:rPr>
        <w:t>提供拟派参</w:t>
      </w:r>
      <w:r>
        <w:rPr>
          <w:rFonts w:hint="eastAsia" w:ascii="宋体" w:hAnsi="宋体" w:eastAsia="宋体" w:cs="宋体"/>
          <w:color w:val="auto"/>
          <w:spacing w:val="-2"/>
          <w:sz w:val="28"/>
          <w:szCs w:val="28"/>
          <w:highlight w:val="none"/>
        </w:rPr>
        <w:t>加本项目的人员名单以及参加人</w:t>
      </w:r>
      <w:r>
        <w:rPr>
          <w:rFonts w:hint="eastAsia" w:ascii="宋体" w:hAnsi="宋体" w:eastAsia="宋体" w:cs="宋体"/>
          <w:color w:val="auto"/>
          <w:spacing w:val="4"/>
          <w:sz w:val="28"/>
          <w:szCs w:val="28"/>
          <w:highlight w:val="none"/>
        </w:rPr>
        <w:t>员的资料。</w:t>
      </w:r>
      <w:r>
        <w:rPr>
          <w:rFonts w:hint="eastAsia" w:ascii="宋体" w:hAnsi="宋体" w:eastAsia="宋体" w:cs="宋体"/>
          <w:color w:val="auto"/>
          <w:spacing w:val="4"/>
          <w:sz w:val="28"/>
          <w:szCs w:val="28"/>
          <w:highlight w:val="none"/>
          <w:lang w:eastAsia="zh-CN"/>
        </w:rPr>
        <w:t>投标人</w:t>
      </w:r>
      <w:r>
        <w:rPr>
          <w:rFonts w:hint="eastAsia" w:ascii="宋体" w:hAnsi="宋体" w:eastAsia="宋体" w:cs="宋体"/>
          <w:color w:val="auto"/>
          <w:spacing w:val="4"/>
          <w:sz w:val="28"/>
          <w:szCs w:val="28"/>
          <w:highlight w:val="none"/>
        </w:rPr>
        <w:t>须向</w:t>
      </w:r>
      <w:r>
        <w:rPr>
          <w:rFonts w:hint="eastAsia" w:ascii="宋体" w:hAnsi="宋体" w:eastAsia="宋体" w:cs="宋体"/>
          <w:color w:val="auto"/>
          <w:spacing w:val="4"/>
          <w:sz w:val="28"/>
          <w:szCs w:val="28"/>
          <w:highlight w:val="none"/>
          <w:lang w:eastAsia="zh-CN"/>
        </w:rPr>
        <w:t>采购人</w:t>
      </w:r>
      <w:r>
        <w:rPr>
          <w:rFonts w:hint="eastAsia" w:ascii="宋体" w:hAnsi="宋体" w:eastAsia="宋体" w:cs="宋体"/>
          <w:color w:val="auto"/>
          <w:spacing w:val="4"/>
          <w:sz w:val="28"/>
          <w:szCs w:val="28"/>
          <w:highlight w:val="none"/>
        </w:rPr>
        <w:t>保证人员组织的稳定性，在</w:t>
      </w:r>
      <w:r>
        <w:rPr>
          <w:rFonts w:hint="eastAsia" w:ascii="宋体" w:hAnsi="宋体" w:eastAsia="宋体" w:cs="宋体"/>
          <w:color w:val="auto"/>
          <w:spacing w:val="3"/>
          <w:sz w:val="28"/>
          <w:szCs w:val="28"/>
          <w:highlight w:val="none"/>
        </w:rPr>
        <w:t>本项目结束前，参加</w:t>
      </w:r>
      <w:r>
        <w:rPr>
          <w:rFonts w:hint="eastAsia" w:ascii="宋体" w:hAnsi="宋体" w:eastAsia="宋体" w:cs="宋体"/>
          <w:color w:val="auto"/>
          <w:spacing w:val="-1"/>
          <w:sz w:val="28"/>
          <w:szCs w:val="28"/>
          <w:highlight w:val="none"/>
        </w:rPr>
        <w:t>本项目的人员变动须取得</w:t>
      </w:r>
      <w:r>
        <w:rPr>
          <w:rFonts w:hint="eastAsia" w:ascii="宋体" w:hAnsi="宋体" w:eastAsia="宋体" w:cs="宋体"/>
          <w:color w:val="auto"/>
          <w:spacing w:val="-1"/>
          <w:sz w:val="28"/>
          <w:szCs w:val="28"/>
          <w:highlight w:val="none"/>
          <w:lang w:eastAsia="zh-CN"/>
        </w:rPr>
        <w:t>采购人</w:t>
      </w:r>
      <w:r>
        <w:rPr>
          <w:rFonts w:hint="eastAsia" w:ascii="宋体" w:hAnsi="宋体" w:eastAsia="宋体" w:cs="宋体"/>
          <w:color w:val="auto"/>
          <w:spacing w:val="-1"/>
          <w:sz w:val="28"/>
          <w:szCs w:val="28"/>
          <w:highlight w:val="none"/>
        </w:rPr>
        <w:t>同意。</w:t>
      </w:r>
    </w:p>
    <w:p w14:paraId="77C0F9B6">
      <w:pPr>
        <w:shd w:val="clear"/>
        <w:spacing w:before="37" w:line="360" w:lineRule="auto"/>
        <w:ind w:left="0" w:right="16" w:firstLine="556" w:firstLineChars="200"/>
        <w:rPr>
          <w:rFonts w:hint="eastAsia" w:ascii="宋体" w:hAnsi="宋体" w:eastAsia="宋体" w:cs="宋体"/>
          <w:color w:val="auto"/>
          <w:sz w:val="28"/>
          <w:szCs w:val="28"/>
          <w:highlight w:val="none"/>
        </w:rPr>
      </w:pPr>
      <w:r>
        <w:rPr>
          <w:rFonts w:hint="eastAsia" w:ascii="宋体" w:hAnsi="宋体" w:eastAsia="宋体" w:cs="宋体"/>
          <w:color w:val="auto"/>
          <w:spacing w:val="-1"/>
          <w:sz w:val="28"/>
          <w:szCs w:val="28"/>
          <w:highlight w:val="none"/>
        </w:rPr>
        <w:t>2</w:t>
      </w:r>
      <w:r>
        <w:rPr>
          <w:rFonts w:hint="eastAsia" w:ascii="宋体" w:hAnsi="宋体" w:eastAsia="宋体" w:cs="宋体"/>
          <w:color w:val="auto"/>
          <w:spacing w:val="-34"/>
          <w:sz w:val="28"/>
          <w:szCs w:val="28"/>
          <w:highlight w:val="none"/>
        </w:rPr>
        <w:t xml:space="preserve"> </w:t>
      </w:r>
      <w:r>
        <w:rPr>
          <w:rFonts w:hint="eastAsia" w:ascii="宋体" w:hAnsi="宋体" w:cs="宋体"/>
          <w:color w:val="auto"/>
          <w:spacing w:val="-1"/>
          <w:sz w:val="28"/>
          <w:szCs w:val="28"/>
          <w:highlight w:val="none"/>
          <w:lang w:val="en-US" w:eastAsia="zh-CN"/>
        </w:rPr>
        <w:t>.</w:t>
      </w:r>
      <w:r>
        <w:rPr>
          <w:rFonts w:hint="eastAsia" w:ascii="宋体" w:hAnsi="宋体" w:eastAsia="宋体" w:cs="宋体"/>
          <w:color w:val="auto"/>
          <w:spacing w:val="-1"/>
          <w:sz w:val="28"/>
          <w:szCs w:val="28"/>
          <w:highlight w:val="none"/>
          <w:lang w:eastAsia="zh-CN"/>
        </w:rPr>
        <w:t>投标人</w:t>
      </w:r>
      <w:r>
        <w:rPr>
          <w:rFonts w:hint="eastAsia" w:ascii="宋体" w:hAnsi="宋体" w:eastAsia="宋体" w:cs="宋体"/>
          <w:color w:val="auto"/>
          <w:spacing w:val="-1"/>
          <w:sz w:val="28"/>
          <w:szCs w:val="28"/>
          <w:highlight w:val="none"/>
        </w:rPr>
        <w:t>一旦中标须提供本项目的详细工作日程表和人员配备方案，明确</w:t>
      </w:r>
      <w:r>
        <w:rPr>
          <w:rFonts w:hint="eastAsia" w:ascii="宋体" w:hAnsi="宋体" w:eastAsia="宋体" w:cs="宋体"/>
          <w:color w:val="auto"/>
          <w:spacing w:val="4"/>
          <w:sz w:val="28"/>
          <w:szCs w:val="28"/>
          <w:highlight w:val="none"/>
        </w:rPr>
        <w:t>工作地点、起止时间，并经</w:t>
      </w:r>
      <w:r>
        <w:rPr>
          <w:rFonts w:hint="eastAsia" w:ascii="宋体" w:hAnsi="宋体" w:eastAsia="宋体" w:cs="宋体"/>
          <w:color w:val="auto"/>
          <w:spacing w:val="4"/>
          <w:sz w:val="28"/>
          <w:szCs w:val="28"/>
          <w:highlight w:val="none"/>
          <w:lang w:eastAsia="zh-CN"/>
        </w:rPr>
        <w:t>采购人</w:t>
      </w:r>
      <w:r>
        <w:rPr>
          <w:rFonts w:hint="eastAsia" w:ascii="宋体" w:hAnsi="宋体" w:eastAsia="宋体" w:cs="宋体"/>
          <w:color w:val="auto"/>
          <w:spacing w:val="4"/>
          <w:sz w:val="28"/>
          <w:szCs w:val="28"/>
          <w:highlight w:val="none"/>
        </w:rPr>
        <w:t>审核、批准。在项目实施过程中出现</w:t>
      </w:r>
      <w:r>
        <w:rPr>
          <w:rFonts w:hint="eastAsia" w:ascii="宋体" w:hAnsi="宋体" w:eastAsia="宋体" w:cs="宋体"/>
          <w:color w:val="auto"/>
          <w:spacing w:val="3"/>
          <w:sz w:val="28"/>
          <w:szCs w:val="28"/>
          <w:highlight w:val="none"/>
        </w:rPr>
        <w:t>资源、</w:t>
      </w:r>
      <w:r>
        <w:rPr>
          <w:rFonts w:hint="eastAsia" w:ascii="宋体" w:hAnsi="宋体" w:eastAsia="宋体" w:cs="宋体"/>
          <w:color w:val="auto"/>
          <w:sz w:val="28"/>
          <w:szCs w:val="28"/>
          <w:highlight w:val="none"/>
        </w:rPr>
        <w:t xml:space="preserve"> </w:t>
      </w:r>
      <w:r>
        <w:rPr>
          <w:rFonts w:hint="eastAsia" w:ascii="宋体" w:hAnsi="宋体" w:eastAsia="宋体" w:cs="宋体"/>
          <w:color w:val="auto"/>
          <w:spacing w:val="4"/>
          <w:sz w:val="28"/>
          <w:szCs w:val="28"/>
          <w:highlight w:val="none"/>
        </w:rPr>
        <w:t>进度、质量协调控制不力的情况，</w:t>
      </w:r>
      <w:r>
        <w:rPr>
          <w:rFonts w:hint="eastAsia" w:ascii="宋体" w:hAnsi="宋体" w:eastAsia="宋体" w:cs="宋体"/>
          <w:color w:val="auto"/>
          <w:spacing w:val="4"/>
          <w:sz w:val="28"/>
          <w:szCs w:val="28"/>
          <w:highlight w:val="none"/>
          <w:lang w:eastAsia="zh-CN"/>
        </w:rPr>
        <w:t>采购人</w:t>
      </w:r>
      <w:r>
        <w:rPr>
          <w:rFonts w:hint="eastAsia" w:ascii="宋体" w:hAnsi="宋体" w:eastAsia="宋体" w:cs="宋体"/>
          <w:color w:val="auto"/>
          <w:spacing w:val="4"/>
          <w:sz w:val="28"/>
          <w:szCs w:val="28"/>
          <w:highlight w:val="none"/>
        </w:rPr>
        <w:t>有权要求更换</w:t>
      </w:r>
      <w:r>
        <w:rPr>
          <w:rFonts w:hint="eastAsia" w:ascii="宋体" w:hAnsi="宋体" w:eastAsia="宋体" w:cs="宋体"/>
          <w:color w:val="auto"/>
          <w:spacing w:val="4"/>
          <w:sz w:val="28"/>
          <w:szCs w:val="28"/>
          <w:highlight w:val="none"/>
          <w:lang w:val="en-US" w:eastAsia="zh-CN"/>
        </w:rPr>
        <w:t>不合格的</w:t>
      </w:r>
      <w:r>
        <w:rPr>
          <w:rFonts w:hint="eastAsia" w:ascii="宋体" w:hAnsi="宋体" w:eastAsia="宋体" w:cs="宋体"/>
          <w:color w:val="auto"/>
          <w:spacing w:val="4"/>
          <w:sz w:val="28"/>
          <w:szCs w:val="28"/>
          <w:highlight w:val="none"/>
        </w:rPr>
        <w:t>相关项目</w:t>
      </w:r>
      <w:r>
        <w:rPr>
          <w:rFonts w:hint="eastAsia" w:ascii="宋体" w:hAnsi="宋体" w:eastAsia="宋体" w:cs="宋体"/>
          <w:color w:val="auto"/>
          <w:spacing w:val="3"/>
          <w:sz w:val="28"/>
          <w:szCs w:val="28"/>
          <w:highlight w:val="none"/>
        </w:rPr>
        <w:t>人员，中标人</w:t>
      </w:r>
      <w:r>
        <w:rPr>
          <w:rFonts w:hint="eastAsia" w:ascii="宋体" w:hAnsi="宋体" w:eastAsia="宋体" w:cs="宋体"/>
          <w:color w:val="auto"/>
          <w:spacing w:val="-1"/>
          <w:sz w:val="28"/>
          <w:szCs w:val="28"/>
          <w:highlight w:val="none"/>
        </w:rPr>
        <w:t>须予以配合，并确保不影响项目建设的进度和质量。</w:t>
      </w:r>
    </w:p>
    <w:p w14:paraId="420A8AFE">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三、信息安全要求</w:t>
      </w:r>
    </w:p>
    <w:p w14:paraId="5DCB39E9">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val="en-US" w:eastAsia="zh-CN"/>
        </w:rPr>
      </w:pPr>
      <w:r>
        <w:rPr>
          <w:rFonts w:hint="eastAsia" w:ascii="宋体" w:hAnsi="宋体" w:eastAsia="宋体" w:cs="宋体"/>
          <w:snapToGrid/>
          <w:color w:val="auto"/>
          <w:kern w:val="2"/>
          <w:sz w:val="28"/>
          <w:szCs w:val="28"/>
          <w:highlight w:val="none"/>
          <w:lang w:val="en-US" w:eastAsia="zh-CN"/>
        </w:rPr>
        <w:t>1</w:t>
      </w:r>
      <w:r>
        <w:rPr>
          <w:rFonts w:hint="eastAsia" w:ascii="宋体" w:hAnsi="宋体" w:cs="宋体"/>
          <w:snapToGrid/>
          <w:color w:val="auto"/>
          <w:kern w:val="2"/>
          <w:sz w:val="28"/>
          <w:szCs w:val="28"/>
          <w:highlight w:val="none"/>
          <w:lang w:val="en-US" w:eastAsia="zh-CN"/>
        </w:rPr>
        <w:t>.</w:t>
      </w:r>
      <w:r>
        <w:rPr>
          <w:rFonts w:hint="eastAsia" w:ascii="宋体" w:hAnsi="宋体" w:eastAsia="宋体" w:cs="宋体"/>
          <w:snapToGrid/>
          <w:color w:val="auto"/>
          <w:kern w:val="2"/>
          <w:sz w:val="28"/>
          <w:szCs w:val="28"/>
          <w:highlight w:val="none"/>
          <w:lang w:val="en-US" w:eastAsia="zh-CN"/>
        </w:rPr>
        <w:t>建设期和运维期提供安全保障服务，通过提供持续、动态的安全保障服 务能力，实现对平台等保安全、密码安全的常态化运营。安全保障服务需提供必要的网络安全专业人员、工具、 安全管理平台，构建完善的安全监测和防御体系，实现及时掌握疾控业务系统、 平台、数据、资源、网络的运行状态、安全状态，及时监测、分析、响应与处置安全事件。</w:t>
      </w:r>
    </w:p>
    <w:p w14:paraId="1E6FA142">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val="en-US" w:eastAsia="zh-CN"/>
        </w:rPr>
      </w:pPr>
      <w:r>
        <w:rPr>
          <w:rFonts w:hint="eastAsia" w:ascii="宋体" w:hAnsi="宋体" w:eastAsia="宋体" w:cs="宋体"/>
          <w:snapToGrid/>
          <w:color w:val="auto"/>
          <w:kern w:val="2"/>
          <w:sz w:val="28"/>
          <w:szCs w:val="28"/>
          <w:highlight w:val="none"/>
          <w:lang w:val="en-US" w:eastAsia="zh-CN"/>
        </w:rPr>
        <w:t>2</w:t>
      </w:r>
      <w:r>
        <w:rPr>
          <w:rFonts w:hint="eastAsia" w:ascii="宋体" w:hAnsi="宋体" w:cs="宋体"/>
          <w:snapToGrid/>
          <w:color w:val="auto"/>
          <w:kern w:val="2"/>
          <w:sz w:val="28"/>
          <w:szCs w:val="28"/>
          <w:highlight w:val="none"/>
          <w:lang w:val="en-US" w:eastAsia="zh-CN"/>
        </w:rPr>
        <w:t>.</w:t>
      </w:r>
      <w:r>
        <w:rPr>
          <w:rFonts w:hint="eastAsia" w:ascii="宋体" w:hAnsi="宋体" w:eastAsia="宋体" w:cs="宋体"/>
          <w:snapToGrid/>
          <w:color w:val="auto"/>
          <w:kern w:val="2"/>
          <w:sz w:val="28"/>
          <w:szCs w:val="28"/>
          <w:highlight w:val="none"/>
          <w:lang w:val="en-US" w:eastAsia="zh-CN"/>
        </w:rPr>
        <w:t>中标人需签订安全保密协议，未经采购人同意，中标人不得擅自留存、 使用、泄露或者向他人提供本次服务项目内的任何数据，因中标人在建设及运维期间的不当操作引起网络与信息安全事件，造成数据泄露、数据丢失等安全问题，建设单位有权对中标人进行追责。</w:t>
      </w:r>
    </w:p>
    <w:p w14:paraId="56FAF3AC">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val="en-US" w:eastAsia="zh-CN"/>
        </w:rPr>
      </w:pPr>
      <w:r>
        <w:rPr>
          <w:rFonts w:hint="eastAsia" w:ascii="宋体" w:hAnsi="宋体" w:eastAsia="宋体" w:cs="宋体"/>
          <w:snapToGrid/>
          <w:color w:val="auto"/>
          <w:kern w:val="2"/>
          <w:sz w:val="28"/>
          <w:szCs w:val="28"/>
          <w:highlight w:val="none"/>
          <w:lang w:val="en-US" w:eastAsia="zh-CN"/>
        </w:rPr>
        <w:t>3</w:t>
      </w:r>
      <w:r>
        <w:rPr>
          <w:rFonts w:hint="eastAsia" w:ascii="宋体" w:hAnsi="宋体" w:cs="宋体"/>
          <w:snapToGrid/>
          <w:color w:val="auto"/>
          <w:kern w:val="2"/>
          <w:sz w:val="28"/>
          <w:szCs w:val="28"/>
          <w:highlight w:val="none"/>
          <w:lang w:val="en-US" w:eastAsia="zh-CN"/>
        </w:rPr>
        <w:t>.</w:t>
      </w:r>
      <w:r>
        <w:rPr>
          <w:rFonts w:hint="eastAsia" w:ascii="宋体" w:hAnsi="宋体" w:eastAsia="宋体" w:cs="宋体"/>
          <w:snapToGrid/>
          <w:color w:val="auto"/>
          <w:kern w:val="2"/>
          <w:sz w:val="28"/>
          <w:szCs w:val="28"/>
          <w:highlight w:val="none"/>
          <w:lang w:val="en-US" w:eastAsia="zh-CN"/>
        </w:rPr>
        <w:t>中标人须配合第三方测评机构完成等保测评、商用密码应用安全性评估、 软件测评、网络安全测评等相关工作，并根据测评报告完成整改，直到通过各项测评。</w:t>
      </w:r>
    </w:p>
    <w:p w14:paraId="618E2614">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val="en-US" w:eastAsia="zh-CN"/>
        </w:rPr>
      </w:pPr>
      <w:r>
        <w:rPr>
          <w:rFonts w:hint="eastAsia" w:ascii="宋体" w:hAnsi="宋体" w:eastAsia="宋体" w:cs="宋体"/>
          <w:snapToGrid/>
          <w:color w:val="auto"/>
          <w:kern w:val="2"/>
          <w:sz w:val="28"/>
          <w:szCs w:val="28"/>
          <w:highlight w:val="none"/>
          <w:lang w:val="en-US" w:eastAsia="zh-CN"/>
        </w:rPr>
        <w:t>4</w:t>
      </w:r>
      <w:r>
        <w:rPr>
          <w:rFonts w:hint="eastAsia" w:ascii="宋体" w:hAnsi="宋体" w:cs="宋体"/>
          <w:snapToGrid/>
          <w:color w:val="auto"/>
          <w:kern w:val="2"/>
          <w:sz w:val="28"/>
          <w:szCs w:val="28"/>
          <w:highlight w:val="none"/>
          <w:lang w:val="en-US" w:eastAsia="zh-CN"/>
        </w:rPr>
        <w:t>.</w:t>
      </w:r>
      <w:r>
        <w:rPr>
          <w:rFonts w:hint="eastAsia" w:ascii="宋体" w:hAnsi="宋体" w:eastAsia="宋体" w:cs="宋体"/>
          <w:snapToGrid/>
          <w:color w:val="auto"/>
          <w:kern w:val="2"/>
          <w:sz w:val="28"/>
          <w:szCs w:val="28"/>
          <w:highlight w:val="none"/>
          <w:lang w:val="en-US" w:eastAsia="zh-CN"/>
        </w:rPr>
        <w:t>数据备份和恢复。建立有效的数据备份和恢复机制，对应用和数据进行备份，要求出现故障时可以自动进行故障转移和故障恢复，保障业务正常稳定运行。</w:t>
      </w:r>
    </w:p>
    <w:p w14:paraId="770DBF5A">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四、知识产权要求</w:t>
      </w:r>
    </w:p>
    <w:p w14:paraId="741A1218">
      <w:pPr>
        <w:widowControl w:val="0"/>
        <w:numPr>
          <w:ilvl w:val="0"/>
          <w:numId w:val="0"/>
        </w:numPr>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1</w:t>
      </w:r>
      <w:r>
        <w:rPr>
          <w:rFonts w:hint="eastAsia" w:ascii="宋体" w:hAnsi="宋体" w:eastAsia="宋体" w:cs="宋体"/>
          <w:snapToGrid/>
          <w:color w:val="auto"/>
          <w:kern w:val="2"/>
          <w:sz w:val="28"/>
          <w:szCs w:val="28"/>
          <w:highlight w:val="none"/>
          <w:lang w:eastAsia="zh-CN"/>
        </w:rPr>
        <w:t>）定制开发系统，投标人无论采用 “全新开发” 还是 “基于自有知识产权平台 / 产品进行二次开发” 的方式，为完成本项目所开发的全部信息系统（含系统功能、架构设计等）的所有权、软件著作权，均归采购人所有，投标人须在项目验收时，向采购人完整移交全部软件源代码（含可运行代码、注释文档等），确保源代码可独立编译、运行及后续迭代。投标人为实施项目而提供的资料及全部项目工作成果（包括项目计划、需求规格说明书、概要设计说明书、详细设计说明书、测试报告、安装部署手册、操作手册、培训方案、试运行报告、前台页面及软件源代码、项目验收文档等资料）的知识产权权利归采购人所有。投标人应协助采购人或相关业务部门申请软件著作证书等相关的知识产权证书。</w:t>
      </w:r>
    </w:p>
    <w:p w14:paraId="686983FB">
      <w:pPr>
        <w:widowControl w:val="0"/>
        <w:numPr>
          <w:ilvl w:val="0"/>
          <w:numId w:val="0"/>
        </w:numPr>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val="en-US" w:eastAsia="zh-CN" w:bidi="ar-SA"/>
        </w:rPr>
        <w:t>（2）</w:t>
      </w:r>
      <w:r>
        <w:rPr>
          <w:rFonts w:hint="eastAsia" w:ascii="宋体" w:hAnsi="宋体" w:eastAsia="宋体" w:cs="宋体"/>
          <w:snapToGrid/>
          <w:color w:val="auto"/>
          <w:kern w:val="2"/>
          <w:sz w:val="28"/>
          <w:szCs w:val="28"/>
          <w:highlight w:val="none"/>
          <w:lang w:eastAsia="zh-CN"/>
        </w:rPr>
        <w:t>投标人保证对其销售的产品/服务拥有完全的所有权/处置权或已取得相关授权，不侵犯任何第三方的专利、商标、著作权和其他合法权利，如因专利权、商标权或其它知识产权而引起法律和经济纠纷，由投标人承担所有相关责任的同时不得耽误本项目进度。</w:t>
      </w:r>
    </w:p>
    <w:p w14:paraId="3D34B691">
      <w:pPr>
        <w:widowControl w:val="0"/>
        <w:numPr>
          <w:ilvl w:val="0"/>
          <w:numId w:val="0"/>
        </w:numPr>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val="en-US" w:eastAsia="zh-CN" w:bidi="ar-SA"/>
        </w:rPr>
        <w:t>（3）</w:t>
      </w:r>
      <w:r>
        <w:rPr>
          <w:rFonts w:hint="eastAsia" w:ascii="宋体" w:hAnsi="宋体" w:eastAsia="宋体" w:cs="宋体"/>
          <w:snapToGrid/>
          <w:color w:val="auto"/>
          <w:kern w:val="2"/>
          <w:sz w:val="28"/>
          <w:szCs w:val="28"/>
          <w:highlight w:val="none"/>
          <w:lang w:eastAsia="zh-CN"/>
        </w:rPr>
        <w:t>投标人保证其提供的软件及服务不含有任何旨在破坏最终用户计算机信息系统和/或获取最终用户隐私信息的恶意代码。</w:t>
      </w:r>
    </w:p>
    <w:p w14:paraId="60AFCAAA">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五、验收要求</w:t>
      </w:r>
    </w:p>
    <w:p w14:paraId="6B2C2813">
      <w:pPr>
        <w:shd w:val="clear"/>
        <w:autoSpaceDE/>
        <w:autoSpaceDN/>
        <w:spacing w:before="0" w:line="360" w:lineRule="auto"/>
        <w:ind w:left="0" w:right="0" w:firstLine="480"/>
        <w:rPr>
          <w:rFonts w:hint="eastAsia" w:ascii="宋体" w:hAnsi="宋体" w:eastAsia="宋体" w:cs="宋体"/>
          <w:color w:val="auto"/>
          <w:spacing w:val="0"/>
          <w:sz w:val="28"/>
          <w:szCs w:val="28"/>
          <w:highlight w:val="none"/>
        </w:rPr>
      </w:pPr>
      <w:r>
        <w:rPr>
          <w:rFonts w:hint="eastAsia" w:ascii="宋体" w:hAnsi="宋体" w:eastAsia="宋体" w:cs="宋体"/>
          <w:color w:val="auto"/>
          <w:spacing w:val="0"/>
          <w:sz w:val="28"/>
          <w:szCs w:val="28"/>
          <w:highlight w:val="none"/>
        </w:rPr>
        <w:t xml:space="preserve">1 </w:t>
      </w:r>
      <w:r>
        <w:rPr>
          <w:rFonts w:hint="eastAsia" w:ascii="宋体" w:hAnsi="宋体" w:cs="宋体"/>
          <w:color w:val="auto"/>
          <w:spacing w:val="0"/>
          <w:sz w:val="28"/>
          <w:szCs w:val="28"/>
          <w:highlight w:val="none"/>
          <w:lang w:val="en-US" w:eastAsia="zh-CN"/>
        </w:rPr>
        <w:t>.</w:t>
      </w:r>
      <w:r>
        <w:rPr>
          <w:rFonts w:hint="eastAsia" w:ascii="宋体" w:hAnsi="宋体" w:eastAsia="宋体" w:cs="宋体"/>
          <w:color w:val="auto"/>
          <w:spacing w:val="0"/>
          <w:sz w:val="28"/>
          <w:szCs w:val="28"/>
          <w:highlight w:val="none"/>
        </w:rPr>
        <w:t>验收标准</w:t>
      </w:r>
    </w:p>
    <w:p w14:paraId="39FB7D00">
      <w:pPr>
        <w:shd w:val="clear"/>
        <w:autoSpaceDE/>
        <w:autoSpaceDN/>
        <w:spacing w:before="0" w:line="360" w:lineRule="auto"/>
        <w:ind w:left="0" w:right="0" w:firstLine="480"/>
        <w:rPr>
          <w:rFonts w:hint="eastAsia" w:ascii="宋体" w:hAnsi="宋体" w:eastAsia="宋体" w:cs="宋体"/>
          <w:color w:val="auto"/>
          <w:spacing w:val="0"/>
          <w:sz w:val="28"/>
          <w:szCs w:val="28"/>
          <w:highlight w:val="none"/>
        </w:rPr>
      </w:pPr>
      <w:r>
        <w:rPr>
          <w:rFonts w:hint="eastAsia" w:ascii="宋体" w:hAnsi="宋体" w:eastAsia="宋体" w:cs="宋体"/>
          <w:color w:val="auto"/>
          <w:spacing w:val="0"/>
          <w:sz w:val="28"/>
          <w:szCs w:val="28"/>
          <w:highlight w:val="none"/>
        </w:rPr>
        <w:t>按照项目初步设计方案、招标文件、投标文件、项目合同等相关要求进行验收。</w:t>
      </w:r>
    </w:p>
    <w:p w14:paraId="760BA81E">
      <w:pPr>
        <w:shd w:val="clear"/>
        <w:ind w:firstLine="480"/>
        <w:rPr>
          <w:rFonts w:hint="eastAsia" w:ascii="宋体" w:hAnsi="宋体" w:eastAsia="宋体" w:cs="宋体"/>
          <w:color w:val="auto"/>
          <w:spacing w:val="0"/>
          <w:sz w:val="28"/>
          <w:szCs w:val="28"/>
          <w:highlight w:val="none"/>
        </w:rPr>
      </w:pPr>
      <w:r>
        <w:rPr>
          <w:rFonts w:hint="eastAsia" w:ascii="宋体" w:hAnsi="宋体" w:eastAsia="宋体" w:cs="宋体"/>
          <w:color w:val="auto"/>
          <w:spacing w:val="0"/>
          <w:sz w:val="28"/>
          <w:szCs w:val="28"/>
          <w:highlight w:val="none"/>
        </w:rPr>
        <w:t xml:space="preserve">2 </w:t>
      </w:r>
      <w:r>
        <w:rPr>
          <w:rFonts w:hint="eastAsia" w:ascii="宋体" w:hAnsi="宋体" w:cs="宋体"/>
          <w:color w:val="auto"/>
          <w:spacing w:val="0"/>
          <w:sz w:val="28"/>
          <w:szCs w:val="28"/>
          <w:highlight w:val="none"/>
          <w:lang w:val="en-US" w:eastAsia="zh-CN"/>
        </w:rPr>
        <w:t>.</w:t>
      </w:r>
      <w:r>
        <w:rPr>
          <w:rFonts w:hint="eastAsia" w:ascii="宋体" w:hAnsi="宋体" w:eastAsia="宋体" w:cs="宋体"/>
          <w:color w:val="auto"/>
          <w:sz w:val="28"/>
          <w:szCs w:val="28"/>
          <w:highlight w:val="none"/>
        </w:rPr>
        <w:t>项目预算资金包括各种人工费用、物料费用、</w:t>
      </w:r>
      <w:r>
        <w:rPr>
          <w:rFonts w:hint="eastAsia" w:ascii="宋体" w:hAnsi="宋体" w:eastAsia="宋体" w:cs="宋体"/>
          <w:color w:val="auto"/>
          <w:spacing w:val="0"/>
          <w:sz w:val="28"/>
          <w:szCs w:val="28"/>
          <w:highlight w:val="none"/>
        </w:rPr>
        <w:t>产品的开发建设、安装、调试、集成、系统运行、检验工作，</w:t>
      </w:r>
      <w:r>
        <w:rPr>
          <w:rFonts w:hint="eastAsia" w:ascii="宋体" w:hAnsi="宋体" w:eastAsia="宋体" w:cs="宋体"/>
          <w:color w:val="auto"/>
          <w:sz w:val="28"/>
          <w:szCs w:val="28"/>
          <w:highlight w:val="none"/>
        </w:rPr>
        <w:t>对接医院现有信息系统、接口集成、培训、验收及保修期间所有备品备件及服务和实施过程中不可预见情况等全部发生的所有含税费用</w:t>
      </w:r>
      <w:r>
        <w:rPr>
          <w:rFonts w:hint="eastAsia" w:ascii="宋体" w:hAnsi="宋体" w:eastAsia="宋体" w:cs="宋体"/>
          <w:color w:val="auto"/>
          <w:spacing w:val="0"/>
          <w:sz w:val="28"/>
          <w:szCs w:val="28"/>
          <w:highlight w:val="none"/>
        </w:rPr>
        <w:t>均包含在投标总价中</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pacing w:val="0"/>
          <w:sz w:val="28"/>
          <w:szCs w:val="28"/>
          <w:highlight w:val="none"/>
        </w:rPr>
        <w:t>由投标人负责</w:t>
      </w:r>
      <w:r>
        <w:rPr>
          <w:rFonts w:hint="eastAsia" w:ascii="宋体" w:hAnsi="宋体" w:eastAsia="宋体" w:cs="宋体"/>
          <w:color w:val="auto"/>
          <w:sz w:val="28"/>
          <w:szCs w:val="28"/>
          <w:highlight w:val="none"/>
        </w:rPr>
        <w:t>。</w:t>
      </w:r>
    </w:p>
    <w:p w14:paraId="3116A8D0">
      <w:pPr>
        <w:shd w:val="clear"/>
        <w:autoSpaceDE/>
        <w:autoSpaceDN/>
        <w:spacing w:before="0" w:line="360" w:lineRule="auto"/>
        <w:ind w:left="0" w:right="0" w:firstLine="480"/>
        <w:rPr>
          <w:rFonts w:hint="eastAsia" w:ascii="宋体" w:hAnsi="宋体" w:eastAsia="宋体" w:cs="宋体"/>
          <w:color w:val="auto"/>
          <w:spacing w:val="0"/>
          <w:sz w:val="28"/>
          <w:szCs w:val="28"/>
          <w:highlight w:val="none"/>
        </w:rPr>
      </w:pPr>
      <w:r>
        <w:rPr>
          <w:rFonts w:hint="eastAsia" w:ascii="宋体" w:hAnsi="宋体" w:eastAsia="宋体" w:cs="宋体"/>
          <w:color w:val="auto"/>
          <w:spacing w:val="0"/>
          <w:sz w:val="28"/>
          <w:szCs w:val="28"/>
          <w:highlight w:val="none"/>
        </w:rPr>
        <w:t xml:space="preserve">3 </w:t>
      </w:r>
      <w:r>
        <w:rPr>
          <w:rFonts w:hint="eastAsia" w:ascii="宋体" w:hAnsi="宋体" w:cs="宋体"/>
          <w:color w:val="auto"/>
          <w:spacing w:val="0"/>
          <w:sz w:val="28"/>
          <w:szCs w:val="28"/>
          <w:highlight w:val="none"/>
          <w:lang w:val="en-US" w:eastAsia="zh-CN"/>
        </w:rPr>
        <w:t>.</w:t>
      </w:r>
      <w:r>
        <w:rPr>
          <w:rFonts w:hint="eastAsia" w:ascii="宋体" w:hAnsi="宋体" w:eastAsia="宋体" w:cs="宋体"/>
          <w:color w:val="auto"/>
          <w:spacing w:val="0"/>
          <w:sz w:val="28"/>
          <w:szCs w:val="28"/>
          <w:highlight w:val="none"/>
        </w:rPr>
        <w:t>上线试运行</w:t>
      </w:r>
    </w:p>
    <w:p w14:paraId="493ED0D4">
      <w:pPr>
        <w:shd w:val="clear"/>
        <w:autoSpaceDE/>
        <w:autoSpaceDN/>
        <w:spacing w:before="0" w:line="360" w:lineRule="auto"/>
        <w:ind w:left="0" w:right="0" w:firstLine="480"/>
        <w:rPr>
          <w:rFonts w:hint="eastAsia" w:ascii="宋体" w:hAnsi="宋体" w:eastAsia="宋体" w:cs="宋体"/>
          <w:color w:val="auto"/>
          <w:spacing w:val="0"/>
          <w:sz w:val="28"/>
          <w:szCs w:val="28"/>
          <w:highlight w:val="none"/>
        </w:rPr>
      </w:pPr>
      <w:r>
        <w:rPr>
          <w:rFonts w:hint="eastAsia" w:ascii="宋体" w:hAnsi="宋体" w:eastAsia="宋体" w:cs="宋体"/>
          <w:color w:val="auto"/>
          <w:spacing w:val="0"/>
          <w:sz w:val="28"/>
          <w:szCs w:val="28"/>
          <w:highlight w:val="none"/>
        </w:rPr>
        <w:t>项目</w:t>
      </w:r>
      <w:r>
        <w:rPr>
          <w:rFonts w:hint="eastAsia" w:ascii="宋体" w:hAnsi="宋体" w:eastAsia="宋体" w:cs="宋体"/>
          <w:color w:val="auto"/>
          <w:spacing w:val="0"/>
          <w:sz w:val="28"/>
          <w:szCs w:val="28"/>
          <w:highlight w:val="none"/>
          <w:lang w:eastAsia="zh-CN"/>
        </w:rPr>
        <w:t>预</w:t>
      </w:r>
      <w:r>
        <w:rPr>
          <w:rFonts w:hint="eastAsia" w:ascii="宋体" w:hAnsi="宋体" w:eastAsia="宋体" w:cs="宋体"/>
          <w:color w:val="auto"/>
          <w:spacing w:val="0"/>
          <w:sz w:val="28"/>
          <w:szCs w:val="28"/>
          <w:highlight w:val="none"/>
        </w:rPr>
        <w:t>验收合格后，次日进入项目试运行。试运行期间，若系统出现故障，中标人必须在售后服务要求的故障响应及处理时限要求内予以修复，由此产生的费用由中标人承担。试运行期满且无故障经监理单位同意后进入竣工验收阶段。</w:t>
      </w:r>
    </w:p>
    <w:p w14:paraId="77FF719A">
      <w:pPr>
        <w:shd w:val="clear"/>
        <w:autoSpaceDE/>
        <w:autoSpaceDN/>
        <w:spacing w:before="0" w:line="360" w:lineRule="auto"/>
        <w:ind w:left="0" w:right="0" w:firstLine="480"/>
        <w:rPr>
          <w:rFonts w:hint="eastAsia" w:ascii="宋体" w:hAnsi="宋体" w:eastAsia="宋体" w:cs="宋体"/>
          <w:color w:val="auto"/>
          <w:spacing w:val="0"/>
          <w:sz w:val="28"/>
          <w:szCs w:val="28"/>
          <w:highlight w:val="none"/>
        </w:rPr>
      </w:pPr>
      <w:r>
        <w:rPr>
          <w:rFonts w:hint="eastAsia" w:ascii="宋体" w:hAnsi="宋体" w:eastAsia="宋体" w:cs="宋体"/>
          <w:color w:val="auto"/>
          <w:spacing w:val="0"/>
          <w:sz w:val="28"/>
          <w:szCs w:val="28"/>
          <w:highlight w:val="none"/>
          <w:lang w:val="en-US" w:eastAsia="zh-CN"/>
        </w:rPr>
        <w:t>4</w:t>
      </w:r>
      <w:r>
        <w:rPr>
          <w:rFonts w:hint="eastAsia" w:ascii="宋体" w:hAnsi="宋体" w:eastAsia="宋体" w:cs="宋体"/>
          <w:color w:val="auto"/>
          <w:spacing w:val="0"/>
          <w:sz w:val="28"/>
          <w:szCs w:val="28"/>
          <w:highlight w:val="none"/>
        </w:rPr>
        <w:t xml:space="preserve"> </w:t>
      </w:r>
      <w:r>
        <w:rPr>
          <w:rFonts w:hint="eastAsia" w:ascii="宋体" w:hAnsi="宋体" w:cs="宋体"/>
          <w:color w:val="auto"/>
          <w:spacing w:val="0"/>
          <w:sz w:val="28"/>
          <w:szCs w:val="28"/>
          <w:highlight w:val="none"/>
          <w:lang w:val="en-US" w:eastAsia="zh-CN"/>
        </w:rPr>
        <w:t>.</w:t>
      </w:r>
      <w:r>
        <w:rPr>
          <w:rFonts w:hint="eastAsia" w:ascii="宋体" w:hAnsi="宋体" w:eastAsia="宋体" w:cs="宋体"/>
          <w:color w:val="auto"/>
          <w:spacing w:val="0"/>
          <w:sz w:val="28"/>
          <w:szCs w:val="28"/>
          <w:highlight w:val="none"/>
          <w:lang w:eastAsia="zh-CN"/>
        </w:rPr>
        <w:t>验收部门</w:t>
      </w:r>
      <w:r>
        <w:rPr>
          <w:rFonts w:hint="eastAsia" w:ascii="宋体" w:hAnsi="宋体" w:eastAsia="宋体" w:cs="宋体"/>
          <w:color w:val="auto"/>
          <w:spacing w:val="0"/>
          <w:sz w:val="28"/>
          <w:szCs w:val="28"/>
          <w:highlight w:val="none"/>
        </w:rPr>
        <w:t>竣工验收：</w:t>
      </w:r>
    </w:p>
    <w:p w14:paraId="609F2A68">
      <w:pPr>
        <w:shd w:val="clear"/>
        <w:autoSpaceDE/>
        <w:autoSpaceDN/>
        <w:spacing w:before="0" w:line="360" w:lineRule="auto"/>
        <w:ind w:left="0" w:right="0" w:firstLine="480"/>
        <w:rPr>
          <w:rFonts w:hint="eastAsia" w:ascii="宋体" w:hAnsi="宋体" w:eastAsia="宋体" w:cs="宋体"/>
          <w:color w:val="auto"/>
          <w:sz w:val="28"/>
          <w:szCs w:val="28"/>
          <w:highlight w:val="none"/>
        </w:rPr>
      </w:pPr>
      <w:r>
        <w:rPr>
          <w:rFonts w:hint="eastAsia" w:ascii="宋体" w:hAnsi="宋体" w:eastAsia="宋体" w:cs="宋体"/>
          <w:color w:val="auto"/>
          <w:spacing w:val="0"/>
          <w:sz w:val="28"/>
          <w:szCs w:val="28"/>
          <w:highlight w:val="none"/>
        </w:rPr>
        <w:t>项目</w:t>
      </w:r>
      <w:r>
        <w:rPr>
          <w:rFonts w:hint="eastAsia" w:ascii="宋体" w:hAnsi="宋体" w:eastAsia="宋体" w:cs="宋体"/>
          <w:color w:val="auto"/>
          <w:spacing w:val="0"/>
          <w:sz w:val="28"/>
          <w:szCs w:val="28"/>
          <w:highlight w:val="none"/>
          <w:lang w:eastAsia="zh-CN"/>
        </w:rPr>
        <w:t>预验收</w:t>
      </w:r>
      <w:r>
        <w:rPr>
          <w:rFonts w:hint="eastAsia" w:ascii="宋体" w:hAnsi="宋体" w:eastAsia="宋体" w:cs="宋体"/>
          <w:color w:val="auto"/>
          <w:spacing w:val="0"/>
          <w:sz w:val="28"/>
          <w:szCs w:val="28"/>
          <w:highlight w:val="none"/>
        </w:rPr>
        <w:t>完成且试运行满三个月并完成整个项目建设及测评后提请竣工验收，具体竣工验收时间以</w:t>
      </w:r>
      <w:r>
        <w:rPr>
          <w:rFonts w:hint="eastAsia" w:ascii="宋体" w:hAnsi="宋体" w:eastAsia="宋体" w:cs="宋体"/>
          <w:color w:val="auto"/>
          <w:spacing w:val="0"/>
          <w:sz w:val="28"/>
          <w:szCs w:val="28"/>
          <w:highlight w:val="none"/>
          <w:lang w:eastAsia="zh-CN"/>
        </w:rPr>
        <w:t>验收</w:t>
      </w:r>
      <w:r>
        <w:rPr>
          <w:rFonts w:hint="eastAsia" w:ascii="宋体" w:hAnsi="宋体" w:eastAsia="宋体" w:cs="宋体"/>
          <w:color w:val="auto"/>
          <w:spacing w:val="0"/>
          <w:sz w:val="28"/>
          <w:szCs w:val="28"/>
          <w:highlight w:val="none"/>
        </w:rPr>
        <w:t>部门通知的竣工验收评审时间为准，中标人须</w:t>
      </w:r>
      <w:r>
        <w:rPr>
          <w:rFonts w:hint="eastAsia" w:ascii="宋体" w:hAnsi="宋体" w:eastAsia="宋体" w:cs="宋体"/>
          <w:color w:val="auto"/>
          <w:spacing w:val="0"/>
          <w:sz w:val="28"/>
          <w:szCs w:val="28"/>
          <w:highlight w:val="none"/>
          <w:lang w:val="en-US" w:eastAsia="zh-CN"/>
        </w:rPr>
        <w:t>参</w:t>
      </w:r>
      <w:r>
        <w:rPr>
          <w:rFonts w:hint="eastAsia" w:ascii="宋体" w:hAnsi="宋体" w:eastAsia="宋体" w:cs="宋体"/>
          <w:color w:val="auto"/>
          <w:spacing w:val="0"/>
          <w:sz w:val="28"/>
          <w:szCs w:val="28"/>
          <w:highlight w:val="none"/>
        </w:rPr>
        <w:t>照《海南省省级政务信息化项目建设管理办法》</w:t>
      </w:r>
      <w:r>
        <w:rPr>
          <w:rFonts w:hint="eastAsia" w:ascii="宋体" w:hAnsi="宋体" w:eastAsia="宋体" w:cs="宋体"/>
          <w:color w:val="auto"/>
          <w:spacing w:val="0"/>
          <w:sz w:val="28"/>
          <w:szCs w:val="28"/>
          <w:highlight w:val="none"/>
          <w:lang w:val="en-US" w:eastAsia="zh-CN"/>
        </w:rPr>
        <w:t>和《海南省省级政务信息化项目建设管理实施细则》的</w:t>
      </w:r>
      <w:r>
        <w:rPr>
          <w:rFonts w:hint="eastAsia" w:ascii="宋体" w:hAnsi="宋体" w:eastAsia="宋体" w:cs="宋体"/>
          <w:color w:val="auto"/>
          <w:spacing w:val="0"/>
          <w:sz w:val="28"/>
          <w:szCs w:val="28"/>
          <w:highlight w:val="none"/>
        </w:rPr>
        <w:t>相关要求提前做好竣工验收准备工作，直至通过竣工验收为止。</w:t>
      </w:r>
    </w:p>
    <w:p w14:paraId="6509234E">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六、售后服务要求</w:t>
      </w:r>
    </w:p>
    <w:p w14:paraId="23CA27C8">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售后的服务质量和后续支持直接影响到系统的后续稳定运营的关键，也是对</w:t>
      </w:r>
      <w:r>
        <w:rPr>
          <w:rFonts w:hint="eastAsia" w:ascii="宋体" w:hAnsi="宋体" w:eastAsia="宋体" w:cs="宋体"/>
          <w:snapToGrid/>
          <w:color w:val="auto"/>
          <w:kern w:val="2"/>
          <w:sz w:val="28"/>
          <w:szCs w:val="28"/>
          <w:highlight w:val="none"/>
          <w:lang w:val="en-US" w:eastAsia="zh-CN"/>
        </w:rPr>
        <w:t>投标人</w:t>
      </w:r>
      <w:r>
        <w:rPr>
          <w:rFonts w:hint="eastAsia" w:ascii="宋体" w:hAnsi="宋体" w:eastAsia="宋体" w:cs="宋体"/>
          <w:snapToGrid/>
          <w:color w:val="auto"/>
          <w:kern w:val="2"/>
          <w:sz w:val="28"/>
          <w:szCs w:val="28"/>
          <w:highlight w:val="none"/>
          <w:lang w:eastAsia="zh-CN"/>
        </w:rPr>
        <w:t>实力、技术能力和服务能力的一种体现。对系统实施方的售后服务要求如下：</w:t>
      </w:r>
    </w:p>
    <w:p w14:paraId="4819F1E6">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（1）</w:t>
      </w:r>
      <w:r>
        <w:rPr>
          <w:rFonts w:hint="eastAsia" w:ascii="宋体" w:hAnsi="宋体" w:eastAsia="宋体" w:cs="宋体"/>
          <w:snapToGrid/>
          <w:color w:val="auto"/>
          <w:kern w:val="2"/>
          <w:sz w:val="28"/>
          <w:szCs w:val="28"/>
          <w:highlight w:val="none"/>
          <w:lang w:val="en-US" w:eastAsia="zh-CN"/>
        </w:rPr>
        <w:t>不少于</w:t>
      </w:r>
      <w:r>
        <w:rPr>
          <w:rFonts w:hint="eastAsia" w:ascii="宋体" w:hAnsi="宋体" w:cs="宋体"/>
          <w:snapToGrid/>
          <w:color w:val="auto"/>
          <w:kern w:val="2"/>
          <w:sz w:val="28"/>
          <w:szCs w:val="28"/>
          <w:highlight w:val="none"/>
          <w:lang w:val="en-US" w:eastAsia="zh-CN"/>
        </w:rPr>
        <w:t>2</w:t>
      </w:r>
      <w:r>
        <w:rPr>
          <w:rFonts w:hint="eastAsia" w:ascii="宋体" w:hAnsi="宋体" w:eastAsia="宋体" w:cs="宋体"/>
          <w:snapToGrid/>
          <w:color w:val="auto"/>
          <w:kern w:val="2"/>
          <w:sz w:val="28"/>
          <w:szCs w:val="28"/>
          <w:highlight w:val="none"/>
          <w:lang w:eastAsia="zh-CN"/>
        </w:rPr>
        <w:t>年免费服务</w:t>
      </w:r>
    </w:p>
    <w:p w14:paraId="3AF61F48">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项目自系统上线交付使用并通过项目终验开始提供</w:t>
      </w:r>
      <w:r>
        <w:rPr>
          <w:rFonts w:hint="eastAsia" w:ascii="宋体" w:hAnsi="宋体" w:eastAsia="宋体" w:cs="宋体"/>
          <w:snapToGrid/>
          <w:color w:val="auto"/>
          <w:kern w:val="2"/>
          <w:sz w:val="28"/>
          <w:szCs w:val="28"/>
          <w:highlight w:val="none"/>
          <w:lang w:val="en-US" w:eastAsia="zh-CN"/>
        </w:rPr>
        <w:t>不少于2</w:t>
      </w:r>
      <w:r>
        <w:rPr>
          <w:rFonts w:hint="eastAsia" w:ascii="宋体" w:hAnsi="宋体" w:eastAsia="宋体" w:cs="宋体"/>
          <w:snapToGrid/>
          <w:color w:val="auto"/>
          <w:kern w:val="2"/>
          <w:sz w:val="28"/>
          <w:szCs w:val="28"/>
          <w:highlight w:val="none"/>
          <w:lang w:eastAsia="zh-CN"/>
        </w:rPr>
        <w:t>年免费</w:t>
      </w:r>
      <w:r>
        <w:rPr>
          <w:rFonts w:hint="eastAsia" w:ascii="宋体" w:hAnsi="宋体" w:eastAsia="宋体" w:cs="宋体"/>
          <w:snapToGrid/>
          <w:color w:val="auto"/>
          <w:kern w:val="2"/>
          <w:sz w:val="28"/>
          <w:szCs w:val="28"/>
          <w:highlight w:val="none"/>
          <w:lang w:val="en-US" w:eastAsia="zh-CN"/>
        </w:rPr>
        <w:t>质保</w:t>
      </w:r>
      <w:r>
        <w:rPr>
          <w:rFonts w:hint="eastAsia" w:ascii="宋体" w:hAnsi="宋体" w:eastAsia="宋体" w:cs="宋体"/>
          <w:snapToGrid/>
          <w:color w:val="auto"/>
          <w:kern w:val="2"/>
          <w:sz w:val="28"/>
          <w:szCs w:val="28"/>
          <w:highlight w:val="none"/>
          <w:lang w:eastAsia="zh-CN"/>
        </w:rPr>
        <w:t>服务，在此期间内，需提供具有灵活、多样的通信手段，以及24小时的响应服务。如出现任何问题和故障，在正式服务周期内，由投标人为本项目软件系统和硬件设备提供质保服务和上门服务，维护服务不收取任何额外费用。</w:t>
      </w:r>
    </w:p>
    <w:p w14:paraId="36DC971D">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2</w:t>
      </w: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不少于</w:t>
      </w:r>
      <w:r>
        <w:rPr>
          <w:rFonts w:hint="eastAsia" w:ascii="宋体" w:hAnsi="宋体" w:cs="宋体"/>
          <w:snapToGrid/>
          <w:color w:val="auto"/>
          <w:kern w:val="2"/>
          <w:sz w:val="28"/>
          <w:szCs w:val="28"/>
          <w:highlight w:val="none"/>
          <w:lang w:val="en-US" w:eastAsia="zh-CN"/>
        </w:rPr>
        <w:t>3</w:t>
      </w:r>
      <w:r>
        <w:rPr>
          <w:rFonts w:hint="eastAsia" w:ascii="宋体" w:hAnsi="宋体" w:eastAsia="宋体" w:cs="宋体"/>
          <w:snapToGrid/>
          <w:color w:val="auto"/>
          <w:kern w:val="2"/>
          <w:sz w:val="28"/>
          <w:szCs w:val="28"/>
          <w:highlight w:val="none"/>
          <w:lang w:eastAsia="zh-CN"/>
        </w:rPr>
        <w:t>年</w:t>
      </w:r>
      <w:r>
        <w:rPr>
          <w:rFonts w:hint="eastAsia" w:ascii="宋体" w:hAnsi="宋体" w:eastAsia="宋体" w:cs="宋体"/>
          <w:snapToGrid/>
          <w:color w:val="auto"/>
          <w:kern w:val="2"/>
          <w:sz w:val="28"/>
          <w:szCs w:val="28"/>
          <w:highlight w:val="none"/>
          <w:lang w:val="en-US" w:eastAsia="zh-CN"/>
        </w:rPr>
        <w:t>运维</w:t>
      </w:r>
      <w:r>
        <w:rPr>
          <w:rFonts w:hint="eastAsia" w:ascii="宋体" w:hAnsi="宋体" w:eastAsia="宋体" w:cs="宋体"/>
          <w:snapToGrid/>
          <w:color w:val="auto"/>
          <w:kern w:val="2"/>
          <w:sz w:val="28"/>
          <w:szCs w:val="28"/>
          <w:highlight w:val="none"/>
          <w:lang w:eastAsia="zh-CN"/>
        </w:rPr>
        <w:t>服务</w:t>
      </w:r>
    </w:p>
    <w:p w14:paraId="7B59820A">
      <w:pPr>
        <w:pStyle w:val="8"/>
        <w:keepNext w:val="0"/>
        <w:keepLines w:val="0"/>
        <w:widowControl/>
        <w:suppressLineNumbers w:val="0"/>
        <w:shd w:val="clear"/>
        <w:spacing w:before="0" w:beforeAutospacing="1" w:after="0" w:afterAutospacing="1" w:line="600" w:lineRule="atLeast"/>
        <w:ind w:left="0" w:right="0" w:firstLine="420"/>
        <w:jc w:val="both"/>
        <w:rPr>
          <w:rFonts w:hint="eastAsia" w:ascii="宋体" w:hAnsi="宋体" w:eastAsia="宋体" w:cs="宋体"/>
          <w:i w:val="0"/>
          <w:iCs w:val="0"/>
          <w:caps w:val="0"/>
          <w:color w:val="auto"/>
          <w:spacing w:val="0"/>
          <w:sz w:val="28"/>
          <w:szCs w:val="28"/>
          <w:highlight w:val="none"/>
        </w:rPr>
      </w:pPr>
      <w:r>
        <w:rPr>
          <w:rFonts w:hint="eastAsia" w:ascii="宋体" w:hAnsi="宋体" w:eastAsia="宋体" w:cs="宋体"/>
          <w:i w:val="0"/>
          <w:iCs w:val="0"/>
          <w:caps w:val="0"/>
          <w:color w:val="auto"/>
          <w:spacing w:val="0"/>
          <w:sz w:val="28"/>
          <w:szCs w:val="28"/>
          <w:highlight w:val="none"/>
          <w:lang w:val="en-US" w:eastAsia="zh-CN"/>
        </w:rPr>
        <w:t>项目验收完成后需持续提供3年内免维护费的服务，并且协助各相关厂商提取对应数据</w:t>
      </w:r>
      <w:r>
        <w:rPr>
          <w:rFonts w:hint="eastAsia" w:ascii="宋体" w:hAnsi="宋体" w:eastAsia="宋体" w:cs="宋体"/>
          <w:i w:val="0"/>
          <w:iCs w:val="0"/>
          <w:caps w:val="0"/>
          <w:color w:val="auto"/>
          <w:spacing w:val="0"/>
          <w:sz w:val="28"/>
          <w:szCs w:val="28"/>
          <w:highlight w:val="none"/>
        </w:rPr>
        <w:t>。本项目不接受联合体投标，中标后不得转包或分包。投标方需承诺对医疗数据进行严格保密，签订保密协议。</w:t>
      </w:r>
    </w:p>
    <w:p w14:paraId="17D92DFF">
      <w:pPr>
        <w:pStyle w:val="8"/>
        <w:keepNext w:val="0"/>
        <w:keepLines w:val="0"/>
        <w:widowControl/>
        <w:suppressLineNumbers w:val="0"/>
        <w:shd w:val="clear"/>
        <w:spacing w:before="0" w:beforeAutospacing="1" w:after="0" w:afterAutospacing="1" w:line="600" w:lineRule="atLeast"/>
        <w:ind w:left="0" w:right="0" w:firstLine="420"/>
        <w:jc w:val="both"/>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3</w:t>
      </w:r>
      <w:r>
        <w:rPr>
          <w:rFonts w:hint="eastAsia" w:ascii="宋体" w:hAnsi="宋体" w:eastAsia="宋体" w:cs="宋体"/>
          <w:snapToGrid/>
          <w:color w:val="auto"/>
          <w:kern w:val="2"/>
          <w:sz w:val="28"/>
          <w:szCs w:val="28"/>
          <w:highlight w:val="none"/>
          <w:lang w:eastAsia="zh-CN"/>
        </w:rPr>
        <w:t>）软件产品服务期内免费升级</w:t>
      </w:r>
    </w:p>
    <w:p w14:paraId="6D80D8CA">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在服务期内，投标人提供研发的软件系统如果有最新版本，及时提供给采购人升级。</w:t>
      </w:r>
    </w:p>
    <w:p w14:paraId="065D2499">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val="en-US"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4</w:t>
      </w: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试运行保障</w:t>
      </w:r>
    </w:p>
    <w:p w14:paraId="4030B68A">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系统试运行期间投标人应指派专人在现场指导使用人员的操作，现场排除系统试运行过程中出现的任何故障。</w:t>
      </w:r>
    </w:p>
    <w:p w14:paraId="165C6160">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5</w:t>
      </w:r>
      <w:r>
        <w:rPr>
          <w:rFonts w:hint="eastAsia" w:ascii="宋体" w:hAnsi="宋体" w:eastAsia="宋体" w:cs="宋体"/>
          <w:snapToGrid/>
          <w:color w:val="auto"/>
          <w:kern w:val="2"/>
          <w:sz w:val="28"/>
          <w:szCs w:val="28"/>
          <w:highlight w:val="none"/>
          <w:lang w:eastAsia="zh-CN"/>
        </w:rPr>
        <w:t>）其他要求</w:t>
      </w:r>
    </w:p>
    <w:p w14:paraId="69173CF0">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投标人应提供特殊措施，无论由于哪一方产生的问题而使整体系统发生不正常情况时，在得到用户通知后，全力协助采购人尽快恢复系统正常运行。每次重大故障解决后的4小时内提交《重大故障报告》。</w:t>
      </w:r>
    </w:p>
    <w:p w14:paraId="6D8DFDCD">
      <w:pPr>
        <w:pStyle w:val="3"/>
        <w:shd w:val="clear"/>
        <w:bidi w:val="0"/>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b/>
          <w:bCs/>
          <w:color w:val="auto"/>
          <w:kern w:val="2"/>
          <w:sz w:val="28"/>
          <w:szCs w:val="28"/>
          <w:highlight w:val="none"/>
          <w:lang w:val="en-US" w:eastAsia="zh-CN" w:bidi="ar-SA"/>
        </w:rPr>
        <w:t xml:space="preserve">七、文档要求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kern w:val="2"/>
          <w:sz w:val="28"/>
          <w:szCs w:val="28"/>
          <w:highlight w:val="none"/>
          <w:lang w:val="en-US" w:eastAsia="zh-CN" w:bidi="ar-SA"/>
        </w:rPr>
        <w:t xml:space="preserve"> </w:t>
      </w:r>
    </w:p>
    <w:p w14:paraId="362BE4A2">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1 </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中标人对于项目各阶段有关本项目的内容提供电子和纸质两种介质的产出物，并保持版本一致，纸质的须经采购人和项目监理方签字认可。</w:t>
      </w:r>
    </w:p>
    <w:p w14:paraId="6292FD1B">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2 </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中标人提供的各类文档应确保内容完整、描述清晰、版本最新，并与深化详细设计方案保持一致，各类方案要求实现目标明确、工作措施得力、可行 性强、具有前瞻性。</w:t>
      </w:r>
    </w:p>
    <w:p w14:paraId="799F2294">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3 </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项目文档包括但不限于：</w:t>
      </w:r>
    </w:p>
    <w:p w14:paraId="276DF32F">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（1）项目验收申请表（含初步验收及竣工验收）；</w:t>
      </w:r>
    </w:p>
    <w:p w14:paraId="5E47AA0C">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（2）项目软件源代码；</w:t>
      </w:r>
    </w:p>
    <w:p w14:paraId="70C9713D">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（3）项目开发文档（详细设计、数据库设计、版本控制文档、接口文档、 部署文档、程序维护手册、用户操作手册、系统操作使用说明、系统管理员运 行维护手册等）；</w:t>
      </w:r>
    </w:p>
    <w:p w14:paraId="21FA2EC3">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（4）项目测试计划、测试用例及测试报告；</w:t>
      </w:r>
    </w:p>
    <w:p w14:paraId="4025622F">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（5）项目实施过程相关文档（项目计划书、质量控制计划、配置管理计划、 用户培训计划、质量总结报告、会议记录和开发进度月报等）；</w:t>
      </w:r>
    </w:p>
    <w:p w14:paraId="3559135A">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（6）第三方对接等相关工程规范文档。</w:t>
      </w:r>
    </w:p>
    <w:p w14:paraId="50C5D514">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八、培训要求</w:t>
      </w:r>
    </w:p>
    <w:p w14:paraId="6018DED0">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中标人须对采购人相关人员提供必要的现场操作培训，培训要求如下：</w:t>
      </w:r>
    </w:p>
    <w:p w14:paraId="6E64D2D8">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（1）对系统使用人员，指导内容包括系统安装、功能介绍、用例演示、故障排除等。</w:t>
      </w:r>
    </w:p>
    <w:p w14:paraId="18ED2F9E">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（2）对系统管理员，指导内容包括系统维护、用户管理、权限管理、业务流程定制等。</w:t>
      </w:r>
    </w:p>
    <w:p w14:paraId="2A985192">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（3）对技术人员，指导内容包括系统安装、配置、维护、灾备、恢复处理等，使其能够独立地管理、维护和配置整个系统；还应对技术人员进行产品的产品开发培训、技术开发培训。</w:t>
      </w:r>
    </w:p>
    <w:p w14:paraId="1AEE9EC3">
      <w:pPr>
        <w:shd w:val="clear"/>
        <w:autoSpaceDE/>
        <w:autoSpaceDN/>
        <w:bidi w:val="0"/>
        <w:spacing w:line="360" w:lineRule="auto"/>
        <w:ind w:firstLine="48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（4）在项目开发及运维期间，定期对采购人业务人员和技术人员开展专项培训，针对系统的功能修改做出及时有效的指导，确保系统得到正确有效的应用。</w:t>
      </w:r>
    </w:p>
    <w:p w14:paraId="49FF4C40">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九、支付方式</w:t>
      </w:r>
      <w:r>
        <w:rPr>
          <w:rFonts w:hint="eastAsia" w:ascii="宋体" w:hAnsi="宋体" w:eastAsia="宋体" w:cs="宋体"/>
          <w:color w:val="auto"/>
          <w:sz w:val="28"/>
          <w:szCs w:val="28"/>
          <w:highlight w:val="none"/>
        </w:rPr>
        <w:t>（以实际签订合同为准）</w:t>
      </w:r>
    </w:p>
    <w:p w14:paraId="0D0B06EB">
      <w:pPr>
        <w:shd w:val="clear"/>
        <w:bidi w:val="0"/>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本合同所涉及项目费用，采购人将按如下方式支付，即：</w:t>
      </w:r>
    </w:p>
    <w:p w14:paraId="1ACBBD4F">
      <w:pPr>
        <w:shd w:val="clea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1.预付款：本合同签订并待省财政资金下达后，采购人凭中标方开具的正式有效增值税普通发票向中标方支付合同金额的约</w:t>
      </w:r>
      <w:r>
        <w:rPr>
          <w:rFonts w:hint="eastAsia" w:ascii="宋体" w:hAnsi="宋体" w:cs="宋体"/>
          <w:color w:val="auto"/>
          <w:sz w:val="28"/>
          <w:szCs w:val="28"/>
          <w:highlight w:val="none"/>
          <w:lang w:val="en-US" w:eastAsia="zh-CN"/>
        </w:rPr>
        <w:t>30</w:t>
      </w:r>
      <w:r>
        <w:rPr>
          <w:rFonts w:hint="eastAsia" w:ascii="宋体" w:hAnsi="宋体" w:eastAsia="宋体" w:cs="宋体"/>
          <w:color w:val="auto"/>
          <w:sz w:val="28"/>
          <w:szCs w:val="28"/>
          <w:highlight w:val="none"/>
          <w:lang w:val="en-US" w:eastAsia="zh-CN"/>
        </w:rPr>
        <w:t>%；</w:t>
      </w:r>
    </w:p>
    <w:p w14:paraId="43E6B2F5">
      <w:pPr>
        <w:shd w:val="clea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2.预验收款：本合同项目应用系统开发、集成等工作并通过预验收合格，并待省财政资金下达， 采购人凭中标方开具的正式有效增值税普通发票向中标方支付合同金额的</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val="en-US" w:eastAsia="zh-CN"/>
        </w:rPr>
        <w:t>0 %；</w:t>
      </w:r>
    </w:p>
    <w:p w14:paraId="6BCCE90A">
      <w:pPr>
        <w:shd w:val="clear"/>
        <w:bidi w:val="0"/>
        <w:spacing w:line="360" w:lineRule="auto"/>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3.终验款：本合同项目通过终验合格并取得终验批复（或竣工验收专家意见）且待省财政资金下达后，采购人凭中标方开具的正式有效增值税普通发票向中标方支付尾款。</w:t>
      </w:r>
    </w:p>
    <w:p w14:paraId="7C8F3990">
      <w:pPr>
        <w:shd w:val="clear"/>
        <w:bidi w:val="0"/>
        <w:spacing w:line="360" w:lineRule="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注：</w:t>
      </w:r>
      <w:r>
        <w:rPr>
          <w:rFonts w:hint="eastAsia" w:ascii="宋体" w:hAnsi="宋体" w:eastAsia="宋体" w:cs="宋体"/>
          <w:color w:val="auto"/>
          <w:sz w:val="28"/>
          <w:szCs w:val="28"/>
          <w:highlight w:val="none"/>
        </w:rPr>
        <w:t>若</w:t>
      </w:r>
      <w:r>
        <w:rPr>
          <w:rFonts w:hint="eastAsia" w:ascii="宋体" w:hAnsi="宋体" w:eastAsia="宋体" w:cs="宋体"/>
          <w:color w:val="auto"/>
          <w:sz w:val="28"/>
          <w:szCs w:val="28"/>
          <w:highlight w:val="none"/>
          <w:lang w:eastAsia="zh-CN"/>
        </w:rPr>
        <w:t>中标方</w:t>
      </w:r>
      <w:r>
        <w:rPr>
          <w:rFonts w:hint="eastAsia" w:ascii="宋体" w:hAnsi="宋体" w:eastAsia="宋体" w:cs="宋体"/>
          <w:color w:val="auto"/>
          <w:sz w:val="28"/>
          <w:szCs w:val="28"/>
          <w:highlight w:val="none"/>
        </w:rPr>
        <w:t>未向</w:t>
      </w:r>
      <w:r>
        <w:rPr>
          <w:rFonts w:hint="eastAsia" w:ascii="宋体" w:hAnsi="宋体" w:eastAsia="宋体" w:cs="宋体"/>
          <w:color w:val="auto"/>
          <w:sz w:val="28"/>
          <w:szCs w:val="28"/>
          <w:highlight w:val="none"/>
          <w:lang w:eastAsia="zh-CN"/>
        </w:rPr>
        <w:t>采购人</w:t>
      </w:r>
      <w:r>
        <w:rPr>
          <w:rFonts w:hint="eastAsia" w:ascii="宋体" w:hAnsi="宋体" w:eastAsia="宋体" w:cs="宋体"/>
          <w:color w:val="auto"/>
          <w:sz w:val="28"/>
          <w:szCs w:val="28"/>
          <w:highlight w:val="none"/>
        </w:rPr>
        <w:t>交付正式有效的发票、开具的发票不符合相关规定的或因政府款项审批流程等原因导致</w:t>
      </w:r>
      <w:r>
        <w:rPr>
          <w:rFonts w:hint="eastAsia" w:ascii="宋体" w:hAnsi="宋体" w:eastAsia="宋体" w:cs="宋体"/>
          <w:color w:val="auto"/>
          <w:sz w:val="28"/>
          <w:szCs w:val="28"/>
          <w:highlight w:val="none"/>
          <w:lang w:eastAsia="zh-CN"/>
        </w:rPr>
        <w:t>采购人</w:t>
      </w:r>
      <w:r>
        <w:rPr>
          <w:rFonts w:hint="eastAsia" w:ascii="宋体" w:hAnsi="宋体" w:eastAsia="宋体" w:cs="宋体"/>
          <w:color w:val="auto"/>
          <w:sz w:val="28"/>
          <w:szCs w:val="28"/>
          <w:highlight w:val="none"/>
        </w:rPr>
        <w:t>延迟付款的，不视为</w:t>
      </w:r>
      <w:r>
        <w:rPr>
          <w:rFonts w:hint="eastAsia" w:ascii="宋体" w:hAnsi="宋体" w:eastAsia="宋体" w:cs="宋体"/>
          <w:color w:val="auto"/>
          <w:sz w:val="28"/>
          <w:szCs w:val="28"/>
          <w:highlight w:val="none"/>
          <w:lang w:eastAsia="zh-CN"/>
        </w:rPr>
        <w:t>采购人</w:t>
      </w:r>
      <w:r>
        <w:rPr>
          <w:rFonts w:hint="eastAsia" w:ascii="宋体" w:hAnsi="宋体" w:eastAsia="宋体" w:cs="宋体"/>
          <w:color w:val="auto"/>
          <w:sz w:val="28"/>
          <w:szCs w:val="28"/>
          <w:highlight w:val="none"/>
        </w:rPr>
        <w:t>违约。实际支付金额以财政年度拨付金额为准。</w:t>
      </w:r>
    </w:p>
    <w:p w14:paraId="2C1F7B2B">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十、保密要求</w:t>
      </w:r>
    </w:p>
    <w:p w14:paraId="2A8F629D">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在进行技术开发的过程中，将严格遵循保密原则，全过程中将采取严格的管理措施，确保所涉及到的任何用户保密信息，不会泄露给第三方单位或个人，不得利用这些信息损害用户利益。</w:t>
      </w:r>
    </w:p>
    <w:p w14:paraId="0FCF5E29">
      <w:pPr>
        <w:pStyle w:val="3"/>
        <w:shd w:val="clear"/>
        <w:bidi w:val="0"/>
        <w:spacing w:line="360" w:lineRule="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十一、其他要求</w:t>
      </w:r>
    </w:p>
    <w:p w14:paraId="68865642">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1</w:t>
      </w:r>
      <w:r>
        <w:rPr>
          <w:rFonts w:hint="eastAsia" w:ascii="宋体" w:hAnsi="宋体" w:eastAsia="宋体" w:cs="宋体"/>
          <w:snapToGrid/>
          <w:color w:val="auto"/>
          <w:kern w:val="2"/>
          <w:sz w:val="28"/>
          <w:szCs w:val="28"/>
          <w:highlight w:val="none"/>
          <w:lang w:eastAsia="zh-CN"/>
        </w:rPr>
        <w:t>）投标人应充分考虑各类场景施工人员资质符合行业监管部门要求，特别是安全生产方面的要求。</w:t>
      </w:r>
    </w:p>
    <w:p w14:paraId="02E65790">
      <w:pPr>
        <w:widowControl w:val="0"/>
        <w:shd w:val="clear"/>
        <w:kinsoku/>
        <w:autoSpaceDE/>
        <w:autoSpaceDN/>
        <w:adjustRightInd/>
        <w:snapToGrid/>
        <w:spacing w:line="360" w:lineRule="auto"/>
        <w:ind w:firstLine="560" w:firstLineChars="200"/>
        <w:jc w:val="both"/>
        <w:textAlignment w:val="auto"/>
        <w:rPr>
          <w:rFonts w:hint="eastAsia" w:ascii="宋体" w:hAnsi="宋体" w:eastAsia="宋体" w:cs="宋体"/>
          <w:snapToGrid/>
          <w:color w:val="auto"/>
          <w:kern w:val="2"/>
          <w:sz w:val="28"/>
          <w:szCs w:val="28"/>
          <w:highlight w:val="none"/>
          <w:lang w:eastAsia="zh-CN"/>
        </w:rPr>
      </w:pPr>
      <w:r>
        <w:rPr>
          <w:rFonts w:hint="eastAsia" w:ascii="宋体" w:hAnsi="宋体" w:eastAsia="宋体" w:cs="宋体"/>
          <w:snapToGrid/>
          <w:color w:val="auto"/>
          <w:kern w:val="2"/>
          <w:sz w:val="28"/>
          <w:szCs w:val="28"/>
          <w:highlight w:val="none"/>
          <w:lang w:eastAsia="zh-CN"/>
        </w:rPr>
        <w:t>（</w:t>
      </w:r>
      <w:r>
        <w:rPr>
          <w:rFonts w:hint="eastAsia" w:ascii="宋体" w:hAnsi="宋体" w:eastAsia="宋体" w:cs="宋体"/>
          <w:snapToGrid/>
          <w:color w:val="auto"/>
          <w:kern w:val="2"/>
          <w:sz w:val="28"/>
          <w:szCs w:val="28"/>
          <w:highlight w:val="none"/>
          <w:lang w:val="en-US" w:eastAsia="zh-CN"/>
        </w:rPr>
        <w:t>2</w:t>
      </w:r>
      <w:r>
        <w:rPr>
          <w:rFonts w:hint="eastAsia" w:ascii="宋体" w:hAnsi="宋体" w:eastAsia="宋体" w:cs="宋体"/>
          <w:snapToGrid/>
          <w:color w:val="auto"/>
          <w:kern w:val="2"/>
          <w:sz w:val="28"/>
          <w:szCs w:val="28"/>
          <w:highlight w:val="none"/>
          <w:lang w:eastAsia="zh-CN"/>
        </w:rPr>
        <w:t>）投标人必须根据所投产品的技术参数、资质资料编写投标文件。在中标结果公示期间，采购人有权对中标候选人所投产品的资质证书、技术承诺或提供的相关证明材料等进行</w:t>
      </w:r>
      <w:r>
        <w:rPr>
          <w:rFonts w:hint="eastAsia" w:ascii="宋体" w:hAnsi="宋体" w:eastAsia="宋体" w:cs="宋体"/>
          <w:snapToGrid/>
          <w:color w:val="auto"/>
          <w:kern w:val="2"/>
          <w:sz w:val="28"/>
          <w:szCs w:val="28"/>
          <w:highlight w:val="none"/>
          <w:lang w:val="en-US" w:eastAsia="zh-CN"/>
        </w:rPr>
        <w:t>现场/原件</w:t>
      </w:r>
      <w:r>
        <w:rPr>
          <w:rFonts w:hint="eastAsia" w:ascii="宋体" w:hAnsi="宋体" w:eastAsia="宋体" w:cs="宋体"/>
          <w:snapToGrid/>
          <w:color w:val="auto"/>
          <w:kern w:val="2"/>
          <w:sz w:val="28"/>
          <w:szCs w:val="28"/>
          <w:highlight w:val="none"/>
          <w:lang w:eastAsia="zh-CN"/>
        </w:rPr>
        <w:t>核查，如发现与其投标文件中的描述不一，代理机构将报政府采购主管部门严肃处理。</w:t>
      </w:r>
    </w:p>
    <w:bookmarkEnd w:id="4"/>
    <w:p w14:paraId="03E2E667">
      <w:pPr>
        <w:shd w:val="clear"/>
        <w:rPr>
          <w:rFonts w:hint="eastAsia"/>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GB2312">
    <w:altName w:val="仿宋"/>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A0DF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F5BA1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F5BA1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A033E"/>
    <w:multiLevelType w:val="singleLevel"/>
    <w:tmpl w:val="B7AA033E"/>
    <w:lvl w:ilvl="0" w:tentative="0">
      <w:start w:val="1"/>
      <w:numFmt w:val="decimal"/>
      <w:lvlText w:val="(%1)"/>
      <w:lvlJc w:val="left"/>
      <w:pPr>
        <w:ind w:left="425" w:hanging="425"/>
      </w:pPr>
      <w:rPr>
        <w:rFonts w:hint="default"/>
      </w:rPr>
    </w:lvl>
  </w:abstractNum>
  <w:abstractNum w:abstractNumId="1">
    <w:nsid w:val="DC134D31"/>
    <w:multiLevelType w:val="singleLevel"/>
    <w:tmpl w:val="DC134D31"/>
    <w:lvl w:ilvl="0" w:tentative="0">
      <w:start w:val="1"/>
      <w:numFmt w:val="decimal"/>
      <w:lvlText w:val="(%1)"/>
      <w:lvlJc w:val="left"/>
      <w:pPr>
        <w:ind w:left="425" w:hanging="425"/>
      </w:pPr>
      <w:rPr>
        <w:rFonts w:hint="default"/>
      </w:rPr>
    </w:lvl>
  </w:abstractNum>
  <w:abstractNum w:abstractNumId="2">
    <w:nsid w:val="FC4B76B2"/>
    <w:multiLevelType w:val="singleLevel"/>
    <w:tmpl w:val="FC4B76B2"/>
    <w:lvl w:ilvl="0" w:tentative="0">
      <w:start w:val="1"/>
      <w:numFmt w:val="decimal"/>
      <w:lvlText w:val="%1)"/>
      <w:lvlJc w:val="left"/>
      <w:pPr>
        <w:tabs>
          <w:tab w:val="left" w:pos="312"/>
        </w:tabs>
      </w:pPr>
    </w:lvl>
  </w:abstractNum>
  <w:abstractNum w:abstractNumId="3">
    <w:nsid w:val="068E175F"/>
    <w:multiLevelType w:val="singleLevel"/>
    <w:tmpl w:val="068E175F"/>
    <w:lvl w:ilvl="0" w:tentative="0">
      <w:start w:val="1"/>
      <w:numFmt w:val="decimal"/>
      <w:lvlText w:val="%1)"/>
      <w:lvlJc w:val="left"/>
      <w:pPr>
        <w:tabs>
          <w:tab w:val="left" w:pos="312"/>
        </w:tabs>
      </w:pPr>
    </w:lvl>
  </w:abstractNum>
  <w:abstractNum w:abstractNumId="4">
    <w:nsid w:val="098F6F7F"/>
    <w:multiLevelType w:val="singleLevel"/>
    <w:tmpl w:val="098F6F7F"/>
    <w:lvl w:ilvl="0" w:tentative="0">
      <w:start w:val="1"/>
      <w:numFmt w:val="decimal"/>
      <w:lvlText w:val="%1)"/>
      <w:lvlJc w:val="left"/>
      <w:pPr>
        <w:tabs>
          <w:tab w:val="left" w:pos="312"/>
        </w:tabs>
      </w:pPr>
    </w:lvl>
  </w:abstractNum>
  <w:abstractNum w:abstractNumId="5">
    <w:nsid w:val="11186F41"/>
    <w:multiLevelType w:val="singleLevel"/>
    <w:tmpl w:val="11186F41"/>
    <w:lvl w:ilvl="0" w:tentative="0">
      <w:start w:val="1"/>
      <w:numFmt w:val="decimal"/>
      <w:lvlText w:val="%1)"/>
      <w:lvlJc w:val="left"/>
      <w:pPr>
        <w:tabs>
          <w:tab w:val="left" w:pos="312"/>
        </w:tabs>
      </w:pPr>
    </w:lvl>
  </w:abstractNum>
  <w:abstractNum w:abstractNumId="6">
    <w:nsid w:val="26E9635A"/>
    <w:multiLevelType w:val="singleLevel"/>
    <w:tmpl w:val="26E9635A"/>
    <w:lvl w:ilvl="0" w:tentative="0">
      <w:start w:val="1"/>
      <w:numFmt w:val="decimal"/>
      <w:lvlText w:val="(%1)"/>
      <w:lvlJc w:val="left"/>
      <w:pPr>
        <w:ind w:left="425" w:hanging="425"/>
      </w:pPr>
      <w:rPr>
        <w:rFonts w:hint="default"/>
      </w:rPr>
    </w:lvl>
  </w:abstractNum>
  <w:abstractNum w:abstractNumId="7">
    <w:nsid w:val="27FC28B0"/>
    <w:multiLevelType w:val="singleLevel"/>
    <w:tmpl w:val="27FC28B0"/>
    <w:lvl w:ilvl="0" w:tentative="0">
      <w:start w:val="1"/>
      <w:numFmt w:val="decimal"/>
      <w:lvlText w:val="(%1)"/>
      <w:lvlJc w:val="left"/>
      <w:pPr>
        <w:ind w:left="425" w:hanging="425"/>
      </w:pPr>
      <w:rPr>
        <w:rFonts w:hint="default"/>
      </w:rPr>
    </w:lvl>
  </w:abstractNum>
  <w:abstractNum w:abstractNumId="8">
    <w:nsid w:val="2B371610"/>
    <w:multiLevelType w:val="singleLevel"/>
    <w:tmpl w:val="2B371610"/>
    <w:lvl w:ilvl="0" w:tentative="0">
      <w:start w:val="1"/>
      <w:numFmt w:val="decimal"/>
      <w:lvlText w:val="%1)"/>
      <w:lvlJc w:val="left"/>
      <w:pPr>
        <w:tabs>
          <w:tab w:val="left" w:pos="312"/>
        </w:tabs>
      </w:pPr>
    </w:lvl>
  </w:abstractNum>
  <w:abstractNum w:abstractNumId="9">
    <w:nsid w:val="2C3E74EB"/>
    <w:multiLevelType w:val="singleLevel"/>
    <w:tmpl w:val="2C3E74EB"/>
    <w:lvl w:ilvl="0" w:tentative="0">
      <w:start w:val="1"/>
      <w:numFmt w:val="decimal"/>
      <w:lvlText w:val="%1)"/>
      <w:lvlJc w:val="left"/>
      <w:pPr>
        <w:tabs>
          <w:tab w:val="left" w:pos="312"/>
        </w:tabs>
      </w:pPr>
    </w:lvl>
  </w:abstractNum>
  <w:abstractNum w:abstractNumId="10">
    <w:nsid w:val="3C6092D3"/>
    <w:multiLevelType w:val="multilevel"/>
    <w:tmpl w:val="3C6092D3"/>
    <w:lvl w:ilvl="0" w:tentative="0">
      <w:start w:val="1"/>
      <w:numFmt w:val="decimal"/>
      <w:lvlText w:val="%1."/>
      <w:lvlJc w:val="left"/>
      <w:pPr>
        <w:ind w:left="420" w:hanging="420"/>
      </w:pPr>
      <w:rPr>
        <w:rFonts w:hint="eastAsia"/>
      </w:rPr>
    </w:lvl>
    <w:lvl w:ilvl="1" w:tentative="0">
      <w:start w:val="1"/>
      <w:numFmt w:val="decimal"/>
      <w:isLgl/>
      <w:lvlText w:val="%1.%2"/>
      <w:lvlJc w:val="left"/>
      <w:pPr>
        <w:ind w:left="480" w:hanging="48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11">
    <w:nsid w:val="3CE13FA3"/>
    <w:multiLevelType w:val="singleLevel"/>
    <w:tmpl w:val="3CE13FA3"/>
    <w:lvl w:ilvl="0" w:tentative="0">
      <w:start w:val="1"/>
      <w:numFmt w:val="decimal"/>
      <w:lvlText w:val="(%1)"/>
      <w:lvlJc w:val="left"/>
      <w:pPr>
        <w:ind w:left="425" w:hanging="425"/>
      </w:pPr>
      <w:rPr>
        <w:rFonts w:hint="default"/>
      </w:rPr>
    </w:lvl>
  </w:abstractNum>
  <w:abstractNum w:abstractNumId="12">
    <w:nsid w:val="4B105B61"/>
    <w:multiLevelType w:val="singleLevel"/>
    <w:tmpl w:val="4B105B61"/>
    <w:lvl w:ilvl="0" w:tentative="0">
      <w:start w:val="1"/>
      <w:numFmt w:val="decimal"/>
      <w:lvlText w:val="%1)"/>
      <w:lvlJc w:val="left"/>
      <w:pPr>
        <w:tabs>
          <w:tab w:val="left" w:pos="312"/>
        </w:tabs>
      </w:pPr>
    </w:lvl>
  </w:abstractNum>
  <w:abstractNum w:abstractNumId="13">
    <w:nsid w:val="4D881ACF"/>
    <w:multiLevelType w:val="singleLevel"/>
    <w:tmpl w:val="4D881ACF"/>
    <w:lvl w:ilvl="0" w:tentative="0">
      <w:start w:val="1"/>
      <w:numFmt w:val="decimal"/>
      <w:lvlText w:val="%1)"/>
      <w:lvlJc w:val="left"/>
      <w:pPr>
        <w:tabs>
          <w:tab w:val="left" w:pos="312"/>
        </w:tabs>
      </w:pPr>
    </w:lvl>
  </w:abstractNum>
  <w:abstractNum w:abstractNumId="14">
    <w:nsid w:val="50603108"/>
    <w:multiLevelType w:val="singleLevel"/>
    <w:tmpl w:val="50603108"/>
    <w:lvl w:ilvl="0" w:tentative="0">
      <w:start w:val="1"/>
      <w:numFmt w:val="decimal"/>
      <w:lvlText w:val="%1)"/>
      <w:lvlJc w:val="left"/>
      <w:pPr>
        <w:tabs>
          <w:tab w:val="left" w:pos="312"/>
        </w:tabs>
      </w:pPr>
    </w:lvl>
  </w:abstractNum>
  <w:abstractNum w:abstractNumId="15">
    <w:nsid w:val="5319342F"/>
    <w:multiLevelType w:val="singleLevel"/>
    <w:tmpl w:val="5319342F"/>
    <w:lvl w:ilvl="0" w:tentative="0">
      <w:start w:val="1"/>
      <w:numFmt w:val="decimal"/>
      <w:lvlText w:val="%1)"/>
      <w:lvlJc w:val="left"/>
      <w:pPr>
        <w:tabs>
          <w:tab w:val="left" w:pos="312"/>
        </w:tabs>
      </w:pPr>
    </w:lvl>
  </w:abstractNum>
  <w:abstractNum w:abstractNumId="16">
    <w:nsid w:val="54550364"/>
    <w:multiLevelType w:val="singleLevel"/>
    <w:tmpl w:val="54550364"/>
    <w:lvl w:ilvl="0" w:tentative="0">
      <w:start w:val="1"/>
      <w:numFmt w:val="decimal"/>
      <w:lvlText w:val="%1)"/>
      <w:lvlJc w:val="left"/>
      <w:pPr>
        <w:tabs>
          <w:tab w:val="left" w:pos="312"/>
        </w:tabs>
      </w:pPr>
    </w:lvl>
  </w:abstractNum>
  <w:abstractNum w:abstractNumId="17">
    <w:nsid w:val="58376D25"/>
    <w:multiLevelType w:val="singleLevel"/>
    <w:tmpl w:val="58376D25"/>
    <w:lvl w:ilvl="0" w:tentative="0">
      <w:start w:val="1"/>
      <w:numFmt w:val="decimal"/>
      <w:lvlText w:val="%1)"/>
      <w:lvlJc w:val="left"/>
      <w:pPr>
        <w:tabs>
          <w:tab w:val="left" w:pos="312"/>
        </w:tabs>
      </w:pPr>
    </w:lvl>
  </w:abstractNum>
  <w:abstractNum w:abstractNumId="18">
    <w:nsid w:val="630B6389"/>
    <w:multiLevelType w:val="singleLevel"/>
    <w:tmpl w:val="630B6389"/>
    <w:lvl w:ilvl="0" w:tentative="0">
      <w:start w:val="1"/>
      <w:numFmt w:val="decimal"/>
      <w:lvlText w:val="(%1)"/>
      <w:lvlJc w:val="left"/>
      <w:pPr>
        <w:ind w:left="425" w:hanging="425"/>
      </w:pPr>
      <w:rPr>
        <w:rFonts w:hint="default"/>
      </w:rPr>
    </w:lvl>
  </w:abstractNum>
  <w:abstractNum w:abstractNumId="19">
    <w:nsid w:val="6C5D72AE"/>
    <w:multiLevelType w:val="singleLevel"/>
    <w:tmpl w:val="6C5D72AE"/>
    <w:lvl w:ilvl="0" w:tentative="0">
      <w:start w:val="1"/>
      <w:numFmt w:val="decimal"/>
      <w:lvlText w:val="(%1)"/>
      <w:lvlJc w:val="left"/>
      <w:pPr>
        <w:ind w:left="425" w:hanging="425"/>
      </w:pPr>
      <w:rPr>
        <w:rFonts w:hint="default"/>
      </w:rPr>
    </w:lvl>
  </w:abstractNum>
  <w:abstractNum w:abstractNumId="20">
    <w:nsid w:val="725321FF"/>
    <w:multiLevelType w:val="singleLevel"/>
    <w:tmpl w:val="725321FF"/>
    <w:lvl w:ilvl="0" w:tentative="0">
      <w:start w:val="1"/>
      <w:numFmt w:val="decimal"/>
      <w:lvlText w:val="%1)"/>
      <w:lvlJc w:val="left"/>
      <w:pPr>
        <w:tabs>
          <w:tab w:val="left" w:pos="312"/>
        </w:tabs>
      </w:pPr>
    </w:lvl>
  </w:abstractNum>
  <w:abstractNum w:abstractNumId="21">
    <w:nsid w:val="7EECC7C3"/>
    <w:multiLevelType w:val="singleLevel"/>
    <w:tmpl w:val="7EECC7C3"/>
    <w:lvl w:ilvl="0" w:tentative="0">
      <w:start w:val="1"/>
      <w:numFmt w:val="decimal"/>
      <w:lvlText w:val="(%1)"/>
      <w:lvlJc w:val="left"/>
      <w:pPr>
        <w:ind w:left="425" w:hanging="425"/>
      </w:pPr>
      <w:rPr>
        <w:rFonts w:hint="default"/>
      </w:rPr>
    </w:lvl>
  </w:abstractNum>
  <w:abstractNum w:abstractNumId="22">
    <w:nsid w:val="7F4F49A1"/>
    <w:multiLevelType w:val="singleLevel"/>
    <w:tmpl w:val="7F4F49A1"/>
    <w:lvl w:ilvl="0" w:tentative="0">
      <w:start w:val="1"/>
      <w:numFmt w:val="decimal"/>
      <w:lvlText w:val="%1)"/>
      <w:lvlJc w:val="left"/>
      <w:pPr>
        <w:tabs>
          <w:tab w:val="left" w:pos="312"/>
        </w:tabs>
      </w:pPr>
    </w:lvl>
  </w:abstractNum>
  <w:num w:numId="1">
    <w:abstractNumId w:val="10"/>
  </w:num>
  <w:num w:numId="2">
    <w:abstractNumId w:val="0"/>
  </w:num>
  <w:num w:numId="3">
    <w:abstractNumId w:val="1"/>
  </w:num>
  <w:num w:numId="4">
    <w:abstractNumId w:val="19"/>
  </w:num>
  <w:num w:numId="5">
    <w:abstractNumId w:val="2"/>
  </w:num>
  <w:num w:numId="6">
    <w:abstractNumId w:val="8"/>
  </w:num>
  <w:num w:numId="7">
    <w:abstractNumId w:val="21"/>
  </w:num>
  <w:num w:numId="8">
    <w:abstractNumId w:val="12"/>
  </w:num>
  <w:num w:numId="9">
    <w:abstractNumId w:val="15"/>
  </w:num>
  <w:num w:numId="10">
    <w:abstractNumId w:val="3"/>
  </w:num>
  <w:num w:numId="11">
    <w:abstractNumId w:val="18"/>
  </w:num>
  <w:num w:numId="12">
    <w:abstractNumId w:val="22"/>
  </w:num>
  <w:num w:numId="13">
    <w:abstractNumId w:val="16"/>
  </w:num>
  <w:num w:numId="14">
    <w:abstractNumId w:val="6"/>
  </w:num>
  <w:num w:numId="15">
    <w:abstractNumId w:val="5"/>
  </w:num>
  <w:num w:numId="16">
    <w:abstractNumId w:val="4"/>
  </w:num>
  <w:num w:numId="17">
    <w:abstractNumId w:val="9"/>
  </w:num>
  <w:num w:numId="18">
    <w:abstractNumId w:val="14"/>
  </w:num>
  <w:num w:numId="19">
    <w:abstractNumId w:val="13"/>
  </w:num>
  <w:num w:numId="20">
    <w:abstractNumId w:val="11"/>
  </w:num>
  <w:num w:numId="21">
    <w:abstractNumId w:val="17"/>
  </w:num>
  <w:num w:numId="22">
    <w:abstractNumId w:val="2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5119"/>
    <w:rsid w:val="01315B3F"/>
    <w:rsid w:val="01967DCC"/>
    <w:rsid w:val="046643CE"/>
    <w:rsid w:val="084C7436"/>
    <w:rsid w:val="08A52ED5"/>
    <w:rsid w:val="08BE2191"/>
    <w:rsid w:val="092D597A"/>
    <w:rsid w:val="0BF949DF"/>
    <w:rsid w:val="0CA060AB"/>
    <w:rsid w:val="0D7F264C"/>
    <w:rsid w:val="0E935F8A"/>
    <w:rsid w:val="10565AA0"/>
    <w:rsid w:val="114F1D45"/>
    <w:rsid w:val="120B2475"/>
    <w:rsid w:val="15741F45"/>
    <w:rsid w:val="16B130D9"/>
    <w:rsid w:val="19B47531"/>
    <w:rsid w:val="1A6D4E7D"/>
    <w:rsid w:val="1E9B2A6E"/>
    <w:rsid w:val="1F4472EA"/>
    <w:rsid w:val="20D14525"/>
    <w:rsid w:val="210B3EDB"/>
    <w:rsid w:val="21156DA3"/>
    <w:rsid w:val="22182DCD"/>
    <w:rsid w:val="23155E77"/>
    <w:rsid w:val="23690624"/>
    <w:rsid w:val="27EE395A"/>
    <w:rsid w:val="2A5306A1"/>
    <w:rsid w:val="2AF14141"/>
    <w:rsid w:val="2BD61589"/>
    <w:rsid w:val="2BDB4050"/>
    <w:rsid w:val="2C546C92"/>
    <w:rsid w:val="2FB0052D"/>
    <w:rsid w:val="31093867"/>
    <w:rsid w:val="316211B7"/>
    <w:rsid w:val="31772EC7"/>
    <w:rsid w:val="341F5C26"/>
    <w:rsid w:val="35AD335B"/>
    <w:rsid w:val="392616B9"/>
    <w:rsid w:val="3A5C534F"/>
    <w:rsid w:val="3AA95EED"/>
    <w:rsid w:val="3AB16D71"/>
    <w:rsid w:val="3C9E4B39"/>
    <w:rsid w:val="3CF224A0"/>
    <w:rsid w:val="41F00DC8"/>
    <w:rsid w:val="42CD37DD"/>
    <w:rsid w:val="42D97551"/>
    <w:rsid w:val="42F56341"/>
    <w:rsid w:val="449F6565"/>
    <w:rsid w:val="4A3B6D2F"/>
    <w:rsid w:val="4C926CF1"/>
    <w:rsid w:val="4E181B79"/>
    <w:rsid w:val="4FE90392"/>
    <w:rsid w:val="52126939"/>
    <w:rsid w:val="5362532D"/>
    <w:rsid w:val="53FA6CE3"/>
    <w:rsid w:val="58A24F8E"/>
    <w:rsid w:val="59876129"/>
    <w:rsid w:val="5A5E1864"/>
    <w:rsid w:val="5A70180B"/>
    <w:rsid w:val="5F086A5A"/>
    <w:rsid w:val="5FFC5323"/>
    <w:rsid w:val="60E16A9A"/>
    <w:rsid w:val="61A1664F"/>
    <w:rsid w:val="646A7413"/>
    <w:rsid w:val="651B533C"/>
    <w:rsid w:val="656306FF"/>
    <w:rsid w:val="6ACD532A"/>
    <w:rsid w:val="6AED777A"/>
    <w:rsid w:val="6C0E3C3C"/>
    <w:rsid w:val="6CE10C19"/>
    <w:rsid w:val="6D6B43AA"/>
    <w:rsid w:val="6DDD7632"/>
    <w:rsid w:val="71DF0F87"/>
    <w:rsid w:val="725620A9"/>
    <w:rsid w:val="72F43BFB"/>
    <w:rsid w:val="74033B6B"/>
    <w:rsid w:val="7A4D7DAD"/>
    <w:rsid w:val="7A5F4B85"/>
    <w:rsid w:val="7A7859B6"/>
    <w:rsid w:val="7E955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outlineLvl w:val="1"/>
    </w:pPr>
    <w:rPr>
      <w:rFonts w:hint="eastAsia" w:ascii="宋体" w:hAnsi="宋体" w:eastAsia="宋体" w:cs="宋体"/>
      <w:b/>
      <w:bCs/>
      <w:kern w:val="0"/>
      <w:sz w:val="28"/>
      <w:szCs w:val="36"/>
      <w:lang w:bidi="ar"/>
    </w:rPr>
  </w:style>
  <w:style w:type="paragraph" w:styleId="4">
    <w:name w:val="heading 3"/>
    <w:basedOn w:val="1"/>
    <w:next w:val="1"/>
    <w:unhideWhenUsed/>
    <w:qFormat/>
    <w:uiPriority w:val="0"/>
    <w:pPr>
      <w:spacing w:before="0" w:beforeAutospacing="1" w:after="0" w:afterAutospacing="1"/>
      <w:jc w:val="left"/>
      <w:outlineLvl w:val="2"/>
    </w:pPr>
    <w:rPr>
      <w:rFonts w:hint="eastAsia" w:ascii="宋体" w:hAnsi="宋体" w:eastAsia="宋体" w:cs="宋体"/>
      <w:b/>
      <w:bCs/>
      <w:kern w:val="0"/>
      <w:sz w:val="28"/>
      <w:szCs w:val="27"/>
      <w:lang w:bidi="ar"/>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Emphasis"/>
    <w:basedOn w:val="11"/>
    <w:qFormat/>
    <w:uiPriority w:val="0"/>
    <w:rPr>
      <w:i/>
    </w:rPr>
  </w:style>
  <w:style w:type="character" w:customStyle="1" w:styleId="14">
    <w:name w:val="font11"/>
    <w:basedOn w:val="11"/>
    <w:qFormat/>
    <w:uiPriority w:val="0"/>
    <w:rPr>
      <w:rFonts w:hint="eastAsia" w:ascii="宋体" w:hAnsi="宋体" w:eastAsia="宋体" w:cs="宋体"/>
      <w:color w:val="000000"/>
      <w:sz w:val="21"/>
      <w:szCs w:val="21"/>
      <w:u w:val="none"/>
    </w:rPr>
  </w:style>
  <w:style w:type="character" w:customStyle="1" w:styleId="15">
    <w:name w:val="font21"/>
    <w:basedOn w:val="11"/>
    <w:qFormat/>
    <w:uiPriority w:val="0"/>
    <w:rPr>
      <w:rFonts w:ascii="Segoe UI" w:hAnsi="Segoe UI" w:eastAsia="Segoe UI" w:cs="Segoe UI"/>
      <w:color w:val="000000"/>
      <w:sz w:val="21"/>
      <w:szCs w:val="21"/>
      <w:u w:val="none"/>
    </w:rPr>
  </w:style>
  <w:style w:type="paragraph" w:styleId="16">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606</Words>
  <Characters>628</Characters>
  <Lines>0</Lines>
  <Paragraphs>0</Paragraphs>
  <TotalTime>23</TotalTime>
  <ScaleCrop>false</ScaleCrop>
  <LinksUpToDate>false</LinksUpToDate>
  <CharactersWithSpaces>630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2025-10-09T22:26:00Z</dcterms:created>
  <dc:creator>HP</dc:creator>
  <cp:lastModifiedBy>橙子</cp:lastModifiedBy>
  <dcterms:modified xsi:type="dcterms:W3CDTF">2025-11-10T10:03:20Z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eyJoZGlkIjoiOTI0ZWI5YWZlZThhNTRhNzUwM2IwZGNhMTgxMWZjNWMiLCJ1c2VySWQiOiI4NDc2OTkyMTEifQ==</vt:lpwstr>
  </property>
  <property fmtid="{D5CDD505-2E9C-101B-9397-08002B2CF9AE}" pid="4" name="ICV">
    <vt:lpwstr>B54F2AC2442D41EB9E97959C39B1BAC0_13</vt:lpwstr>
  </property>
</Properties>
</file>