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东方市2025年医疗卫生强基工程建设项目(二次)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ZB2025-1001-1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东方市卫生健康委员会</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海南政邦招标代理有限公司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东方市卫生健康委员会</w:t>
      </w:r>
      <w:r>
        <w:rPr>
          <w:rFonts w:ascii="仿宋_GB2312" w:hAnsi="仿宋_GB2312" w:cs="仿宋_GB2312" w:eastAsia="仿宋_GB2312"/>
        </w:rPr>
        <w:t xml:space="preserve"> 委托， </w:t>
      </w:r>
      <w:r>
        <w:rPr>
          <w:rFonts w:ascii="仿宋_GB2312" w:hAnsi="仿宋_GB2312" w:cs="仿宋_GB2312" w:eastAsia="仿宋_GB2312"/>
        </w:rPr>
        <w:t>海南政邦招标代理有限公司</w:t>
      </w:r>
      <w:r>
        <w:rPr>
          <w:rFonts w:ascii="仿宋_GB2312" w:hAnsi="仿宋_GB2312" w:cs="仿宋_GB2312" w:eastAsia="仿宋_GB2312"/>
        </w:rPr>
        <w:t xml:space="preserve"> 对 </w:t>
      </w:r>
      <w:r>
        <w:rPr>
          <w:rFonts w:ascii="仿宋_GB2312" w:hAnsi="仿宋_GB2312" w:cs="仿宋_GB2312" w:eastAsia="仿宋_GB2312"/>
        </w:rPr>
        <w:t>东方市2025年医疗卫生强基工程建设项目(二次)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ZB2025-1001-1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东方市2025年医疗卫生强基工程建设项目(二次)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1,500,000.00元</w:t>
      </w:r>
      <w:r>
        <w:rPr>
          <w:rFonts w:ascii="仿宋_GB2312" w:hAnsi="仿宋_GB2312" w:cs="仿宋_GB2312" w:eastAsia="仿宋_GB2312"/>
        </w:rPr>
        <w:t>壹佰伍拾万元整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项目整体实施周期不超过12个月，其中硬件部署和软件基础平台部署需在合同签订后3个月内完成。</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https://ccgp-hainan.gov.cn/maincms-web/)。关于本项目采购文件的补遗、澄清及变更信息以上述网站公告为准，代理机构不再另行通知，采购文件与更正公告的内容相互矛盾时，以最后发出的更正公告内容为准。2、投标人须在海南政府采购网(https://ccgp-hainan.gov.cn/maincms-web/)中的海南省政府采购智慧云平台进行注册并完善信息，然后下载参与投标项目电子招标文件（数据包）及其他文件；3、注意事项：电子标采用全程电子化操作，供应商应详细阅读海南政府采购网的通知《海南省财政厅关于进一步推进政府采购全流程电子化的通知》，供应商使用交易系统遇到问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东方市卫生健康委员会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东方市八所镇东方大道南64号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0898-38950869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海南政邦招标代理有限公司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海口市西沙路15号星华佳园D1栋2102室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0898-68525258</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从投标截止之日起60日历天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1、收费标准及金额：按照中标（成交）金额，以收费标准参考《海南省物价局关于降低部分招标代理服务收费标准的通知》(琼价费管[2011]225号)文件下浮10%取费。2、采购代理服务费的交纳方式:银行转账、现金等。</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可兼投兼中</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采购标的对应的中小企业划分标准所属行业：采购包1：软件和信息技术服务业；具体标准详见工信部联企业〔2011〕300号《中小企业划型标准规定》2、是否为专门面向中小企业采购的项目：否。3、说明：非专门面向中小企业采购的项目，中小企业须出具《中小企业声明函》，对符合规定的小型、微型企业报价给予10%的扣除，用扣除后的价格参加评审，未出具《中小企业声明函》的投标人不得享受中小企业相关扶持政策。4、不面向中小企业的具有原因和情形：本项目如面向中小企业存在可能影响政府采购目标实现的情形。</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联系人：吴工</w:t>
      </w:r>
    </w:p>
    <w:p>
      <w:pPr>
        <w:pStyle w:val="null3"/>
        <w:jc w:val="left"/>
      </w:pPr>
      <w:r>
        <w:rPr>
          <w:rFonts w:ascii="仿宋_GB2312" w:hAnsi="仿宋_GB2312" w:cs="仿宋_GB2312" w:eastAsia="仿宋_GB2312"/>
        </w:rPr>
        <w:t>联系电话：0898-68525258</w:t>
      </w:r>
    </w:p>
    <w:p>
      <w:pPr>
        <w:pStyle w:val="null3"/>
        <w:jc w:val="left"/>
      </w:pPr>
      <w:r>
        <w:rPr>
          <w:rFonts w:ascii="仿宋_GB2312" w:hAnsi="仿宋_GB2312" w:cs="仿宋_GB2312" w:eastAsia="仿宋_GB2312"/>
        </w:rPr>
        <w:t>地址：海口市西沙路15号星华佳园D1栋2102室</w:t>
      </w:r>
    </w:p>
    <w:p>
      <w:pPr>
        <w:pStyle w:val="null3"/>
        <w:jc w:val="left"/>
      </w:pPr>
      <w:r>
        <w:rPr>
          <w:rFonts w:ascii="仿宋_GB2312" w:hAnsi="仿宋_GB2312" w:cs="仿宋_GB2312" w:eastAsia="仿宋_GB2312"/>
        </w:rPr>
        <w:t>邮编：570203</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8"/>
        </w:rPr>
        <w:t>1、项目名称：</w:t>
      </w:r>
      <w:r>
        <w:rPr>
          <w:rFonts w:ascii="仿宋_GB2312" w:hAnsi="仿宋_GB2312" w:cs="仿宋_GB2312" w:eastAsia="仿宋_GB2312"/>
          <w:sz w:val="28"/>
        </w:rPr>
        <w:t>东方市</w:t>
      </w:r>
      <w:r>
        <w:rPr>
          <w:rFonts w:ascii="仿宋_GB2312" w:hAnsi="仿宋_GB2312" w:cs="仿宋_GB2312" w:eastAsia="仿宋_GB2312"/>
          <w:sz w:val="28"/>
        </w:rPr>
        <w:t>2025年医疗卫生强基工程建设项目(二次)</w:t>
      </w:r>
    </w:p>
    <w:p>
      <w:pPr>
        <w:pStyle w:val="null3"/>
        <w:jc w:val="both"/>
      </w:pPr>
      <w:r>
        <w:rPr>
          <w:rFonts w:ascii="仿宋_GB2312" w:hAnsi="仿宋_GB2312" w:cs="仿宋_GB2312" w:eastAsia="仿宋_GB2312"/>
          <w:sz w:val="28"/>
        </w:rPr>
        <w:t>2、资金来源：财政资金</w:t>
      </w:r>
    </w:p>
    <w:p>
      <w:pPr>
        <w:pStyle w:val="null3"/>
        <w:jc w:val="both"/>
      </w:pPr>
      <w:r>
        <w:rPr>
          <w:rFonts w:ascii="仿宋_GB2312" w:hAnsi="仿宋_GB2312" w:cs="仿宋_GB2312" w:eastAsia="仿宋_GB2312"/>
          <w:sz w:val="28"/>
        </w:rPr>
        <w:t>3、预算金额及最高限价：¥</w:t>
      </w:r>
      <w:r>
        <w:rPr>
          <w:rFonts w:ascii="仿宋_GB2312" w:hAnsi="仿宋_GB2312" w:cs="仿宋_GB2312" w:eastAsia="仿宋_GB2312"/>
          <w:sz w:val="28"/>
        </w:rPr>
        <w:t>1,500,000.00</w:t>
      </w:r>
      <w:r>
        <w:rPr>
          <w:rFonts w:ascii="仿宋_GB2312" w:hAnsi="仿宋_GB2312" w:cs="仿宋_GB2312" w:eastAsia="仿宋_GB2312"/>
          <w:sz w:val="28"/>
        </w:rPr>
        <w:t>元</w:t>
      </w:r>
    </w:p>
    <w:p>
      <w:pPr>
        <w:pStyle w:val="null3"/>
        <w:jc w:val="left"/>
      </w:pPr>
      <w:r>
        <w:rPr>
          <w:rFonts w:ascii="仿宋_GB2312" w:hAnsi="仿宋_GB2312" w:cs="仿宋_GB2312" w:eastAsia="仿宋_GB2312"/>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93"/>
        <w:gridCol w:w="2263"/>
        <w:gridCol w:w="1366"/>
        <w:gridCol w:w="4084"/>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2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标包名称</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预算</w:t>
            </w:r>
          </w:p>
          <w:p>
            <w:pPr>
              <w:pStyle w:val="null3"/>
              <w:jc w:val="center"/>
            </w:pPr>
            <w:r>
              <w:rPr>
                <w:rFonts w:ascii="仿宋_GB2312" w:hAnsi="仿宋_GB2312" w:cs="仿宋_GB2312" w:eastAsia="仿宋_GB2312"/>
                <w:sz w:val="28"/>
              </w:rPr>
              <w:t>金额</w:t>
            </w:r>
          </w:p>
          <w:p>
            <w:pPr>
              <w:pStyle w:val="null3"/>
              <w:jc w:val="center"/>
            </w:pPr>
            <w:r>
              <w:rPr>
                <w:rFonts w:ascii="仿宋_GB2312" w:hAnsi="仿宋_GB2312" w:cs="仿宋_GB2312" w:eastAsia="仿宋_GB2312"/>
                <w:sz w:val="28"/>
              </w:rPr>
              <w:t>（万元）</w:t>
            </w:r>
          </w:p>
        </w:tc>
        <w:tc>
          <w:tcPr>
            <w:tcW w:type="dxa" w:w="4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建设内容</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1包</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区域</w:t>
            </w:r>
            <w:r>
              <w:rPr>
                <w:rFonts w:ascii="仿宋_GB2312" w:hAnsi="仿宋_GB2312" w:cs="仿宋_GB2312" w:eastAsia="仿宋_GB2312"/>
                <w:sz w:val="28"/>
              </w:rPr>
              <w:t>DIP医保控费系统</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150</w:t>
            </w:r>
          </w:p>
        </w:tc>
        <w:tc>
          <w:tcPr>
            <w:tcW w:type="dxa" w:w="4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建设区域</w:t>
            </w:r>
            <w:r>
              <w:rPr>
                <w:rFonts w:ascii="仿宋_GB2312" w:hAnsi="仿宋_GB2312" w:cs="仿宋_GB2312" w:eastAsia="仿宋_GB2312"/>
                <w:sz w:val="28"/>
              </w:rPr>
              <w:t>DIP</w:t>
            </w:r>
            <w:r>
              <w:rPr>
                <w:rFonts w:ascii="仿宋_GB2312" w:hAnsi="仿宋_GB2312" w:cs="仿宋_GB2312" w:eastAsia="仿宋_GB2312"/>
                <w:sz w:val="28"/>
              </w:rPr>
              <w:t>医保控费系统，为东方市人民医院、东方市中医院、东方市妇幼保健院、东方市第二人民医院部署管理系统与智能审核系统，实现医保结算清单质控、预分组、费用预警、资金分配及智能审核监控，提升医保基金使用效率与监管水平。</w:t>
            </w:r>
          </w:p>
        </w:tc>
      </w:tr>
    </w:tbl>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C16010000-软件开发服务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C16010000-软件开发服务</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标的名称：C16010000-软件开发服务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详见附件采购需求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4"/>
              </w:rPr>
              <w:t>详见附件采购需求</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实质性响应</w:t>
            </w:r>
          </w:p>
        </w:tc>
        <w:tc>
          <w:tcPr>
            <w:tcW w:type="dxa" w:w="3322"/>
          </w:tcPr>
          <w:p>
            <w:pPr>
              <w:pStyle w:val="null3"/>
              <w:jc w:val="left"/>
            </w:pPr>
            <w:r>
              <w:rPr>
                <w:rFonts w:ascii="仿宋_GB2312" w:hAnsi="仿宋_GB2312" w:cs="仿宋_GB2312" w:eastAsia="仿宋_GB2312"/>
              </w:rPr>
              <w:t>是否满足招标文件要求</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技术部分23.00分</w:t>
            </w:r>
          </w:p>
          <w:p>
            <w:pPr>
              <w:pStyle w:val="null3"/>
              <w:jc w:val="both"/>
            </w:pPr>
            <w:r>
              <w:rPr>
                <w:rFonts w:ascii="仿宋_GB2312" w:hAnsi="仿宋_GB2312" w:cs="仿宋_GB2312" w:eastAsia="仿宋_GB2312"/>
              </w:rPr>
              <w:t>商务部分67.00分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设计方案</w:t>
            </w:r>
          </w:p>
        </w:tc>
        <w:tc>
          <w:tcPr>
            <w:tcW w:type="dxa" w:w="2492"/>
          </w:tcPr>
          <w:p>
            <w:pPr>
              <w:pStyle w:val="null3"/>
              <w:jc w:val="both"/>
            </w:pPr>
            <w:r>
              <w:rPr>
                <w:rFonts w:ascii="仿宋_GB2312" w:hAnsi="仿宋_GB2312" w:cs="仿宋_GB2312" w:eastAsia="仿宋_GB2312"/>
              </w:rPr>
              <w:t>投标人提供设计方案，内容应至少包含：（1）项目需求理解；（2）整体设计；（3）功能模块；（4）系统对接。 1、根据方案的完整性进行评分，每具备上述列明的一项要素得0.5分，最多得2分； 2、根据投标人提供的方案，按以下标准对上述内容评审赋分： A、方案内容能根据实际情况制订，全面合理，逻辑清晰，各部分内容均有详细流程描述，方案明确可落地、完全满足项目需要，得3分； B、方案仅提供了大纲内容描述、各部分方案基本可落地实施，基本满足项目需要，得2分； C、方案内容简陋，部分内容描述不明确，仅部分方案内容可落地实施，得1分； D、凭空编造，内容粗糙空洞，不具有可实施性的，得0.5分。 注：仅有标题无内容或不提供方案不得分。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投标人提供实施方案，内容应至少包含：（1）实施团队及管理方案；（2）实施计划；（3）工程进度计划；（4）风险应急方案；（5）质量保障和风险控制措施。 1、根据方案的完整性进行评分，每具备上述列明的一项要素得0.4分，最多得2分； 2、根据投标人提供的方案，按以下标准对上述内容评审赋分： A、方案内容能根据实际情况制订，全面合理，逻辑清晰，各部分内容均有详细流程描述，方案明确可落地、完全满足项目需要，得3分； B、方案仅提供了大纲内容描述、各部分方案基本可落地实施，基本满足项目需要，得2分； C、方案内容简陋，部分内容描述不明确，仅部分方案内容可落地实施，得1分； D、凭空编造，内容粗糙空洞，不具有可实施性的，得0.5分。 注：仅有标题无内容或不提供方案不得分。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投标人提供售后服务方案，内容应至少包含：（1）售后服务承诺；（2）售后服务流程；（3）问题响应速度；（4）售后服务人员；（5）服务方式。 1、根据方案的完整性进行评分，每具备上述列明的一项要素得0.4分，最多得2分； 2、根据投标人提供的方案，按以下标准对上述内容评审赋分： A、方案内容能根据实际情况制订，全面合理，逻辑清晰，各部分内容均有详细流程描述，方案明确可落地、完全满足项目需要，得2分； B、方案仅提供了大纲内容描述、各部分方案基本可落地实施，基本满足项目需要，得1.5分； C、方案内容简陋，部分内容描述不明确，仅部分方案内容可落地实施，得1分； D、凭空编造，内容粗糙空洞，不具有可实施性的，得0.5分。 注：仅有标题无内容或不提供方案不得分。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培训服务方案</w:t>
            </w:r>
          </w:p>
        </w:tc>
        <w:tc>
          <w:tcPr>
            <w:tcW w:type="dxa" w:w="2492"/>
          </w:tcPr>
          <w:p>
            <w:pPr>
              <w:pStyle w:val="null3"/>
              <w:jc w:val="both"/>
            </w:pPr>
            <w:r>
              <w:rPr>
                <w:rFonts w:ascii="仿宋_GB2312" w:hAnsi="仿宋_GB2312" w:cs="仿宋_GB2312" w:eastAsia="仿宋_GB2312"/>
              </w:rPr>
              <w:t>投标人提供培训服务方案，内容应至少包含：（1）培训目标；（2）培训对象；（3）培训内容；（4）培训方式；（5）培训流程及预期培训效果。 1、根据方案的完整性进行评分，每具备上述列明的一项要素得0.4分，最多得2分； 2、根据投标人提供的方案，按以下标准对上述内容评审赋分： A、方案内容能根据实际情况制订，全面合理，逻辑清晰，各部分内容均有详细流程描述，方案明确可落地、完全满足项目需要，得2分； B、方案仅提供了大纲内容描述、各部分方案基本可落地实施，基本满足项目需要，得1.5分； C、方案内容简陋，部分内容描述不明确，仅部分方案内容可落地实施，得1分； D、凭空编造，内容粗糙空洞，不具有可实施性的，得0.5分。 注：仅有标题无内容或不提供方案不得分。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运维服务方案</w:t>
            </w:r>
          </w:p>
        </w:tc>
        <w:tc>
          <w:tcPr>
            <w:tcW w:type="dxa" w:w="2492"/>
          </w:tcPr>
          <w:p>
            <w:pPr>
              <w:pStyle w:val="null3"/>
              <w:jc w:val="both"/>
            </w:pPr>
            <w:r>
              <w:rPr>
                <w:rFonts w:ascii="仿宋_GB2312" w:hAnsi="仿宋_GB2312" w:cs="仿宋_GB2312" w:eastAsia="仿宋_GB2312"/>
              </w:rPr>
              <w:t>投标人提供运维服务方案，内容应至少包含：（1）运维计划、人员配置架构、职责分工、技术支持；（2）运维实施措施；（3）定期巡检方案；（4）运维保障措施。 1、根据方案的完整性进行评分，每具备上述列明的一项要素得0.5分，最多得2分； 2、根据投标人提供的方案，按以下标准对上述内容评审赋分： A、方案内容能根据实际情况制订，全面合理，逻辑清晰，各部分内容均有详细流程描述，方案明确可落地、完全满足项目需要，得3分； B、方案仅提供了大纲内容描述、各部分方案基本可落地实施，基本满足项目需要，得2分； C、方案内容简陋，部分内容描述不明确，仅部分方案内容可落地实施，得1分； D、凭空编造，内容粗糙空洞，不具有可实施性的，得0.5分。 注：仅有标题无内容或不提供方案不得分。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技术要求响应</w:t>
            </w:r>
          </w:p>
        </w:tc>
        <w:tc>
          <w:tcPr>
            <w:tcW w:type="dxa" w:w="2492"/>
          </w:tcPr>
          <w:p>
            <w:pPr>
              <w:pStyle w:val="null3"/>
              <w:jc w:val="both"/>
            </w:pPr>
            <w:r>
              <w:rPr>
                <w:rFonts w:ascii="仿宋_GB2312" w:hAnsi="仿宋_GB2312" w:cs="仿宋_GB2312" w:eastAsia="仿宋_GB2312"/>
              </w:rPr>
              <w:t>供应商须对采购需求的响应情况进行逐一响应，全部满足招标要求得34分，其中： 1.带“▲”的条款为主要技术指标，全部满足得11分，每负偏离一项扣1分；负偏离≥11项，视为已严重偏离采购目标，该项记为0分。 2.非“▲”的条款为一般技术指标，全部满足得23分，每负偏离一项扣0.5分，负偏离≥46项，视为已严重偏离采购目标，该项记为0分。 证明材料： 1、带“▲”的条款须提供相关证明材料否则视为不满足； 2、带“★”的条款为本项目实质性响应要求，须提供承诺函并加盖供应商公章，否则视为不满足且投标无效； 注：如采购需求中有明确要求提供证明资料的，以采购需求中的要求为准；如采购需求中未明确证明材料的，以投标人在《响应偏离表》中的响应情况填写内容为准，未填写的或参数不满足的都视为负偏离，投标人须对所投产品技术参数的真实性负责，提供虚假参数，伪造、变更或虚假响应者按废标处理，没收投标保证金并上报政府采购主管部门进行严肃处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投标人建设能力</w:t>
            </w:r>
          </w:p>
        </w:tc>
        <w:tc>
          <w:tcPr>
            <w:tcW w:type="dxa" w:w="2492"/>
          </w:tcPr>
          <w:p>
            <w:pPr>
              <w:pStyle w:val="null3"/>
              <w:jc w:val="both"/>
            </w:pPr>
            <w:r>
              <w:rPr>
                <w:rFonts w:ascii="仿宋_GB2312" w:hAnsi="仿宋_GB2312" w:cs="仿宋_GB2312" w:eastAsia="仿宋_GB2312"/>
              </w:rPr>
              <w:t>1、供应商具有信息系统建设和服务能力等级证书CS2(基本级)或以上，得2分。 2、供应商具有CMMI软件成熟度认证证书3级或以上，得2分；2级及以下得1分。 3、供应商具有GB/T 19001或ISO 9001质量管理体系认证证书，得2分。 4、供应商具有ISO/IEC 20000服务管理体系认证证书，得2分。 证明材料：提供有效期内证书复印件并加盖供应商公章，不提供不得分。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项目经理</w:t>
            </w:r>
          </w:p>
        </w:tc>
        <w:tc>
          <w:tcPr>
            <w:tcW w:type="dxa" w:w="2492"/>
          </w:tcPr>
          <w:p>
            <w:pPr>
              <w:pStyle w:val="null3"/>
              <w:jc w:val="both"/>
            </w:pPr>
            <w:r>
              <w:rPr>
                <w:rFonts w:ascii="仿宋_GB2312" w:hAnsi="仿宋_GB2312" w:cs="仿宋_GB2312" w:eastAsia="仿宋_GB2312"/>
              </w:rPr>
              <w:t>供应商拟派本项目的项目经理（1名）具备以下证书： （1）信息系统项目管理师证书； （2）信息安全工程师证书； （3）网络工程师证书； （4）信息系统运维管理工程师证书。 每具备1个证书得1分，满分4分。 证明材料：提供人员名单，身份证及有效期内证书复印件以及在投标单位2025年1月1日至今任意3个月社保证明并加盖供应商公章，未提供不得分。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项目团队</w:t>
            </w:r>
          </w:p>
        </w:tc>
        <w:tc>
          <w:tcPr>
            <w:tcW w:type="dxa" w:w="2492"/>
          </w:tcPr>
          <w:p>
            <w:pPr>
              <w:pStyle w:val="null3"/>
              <w:jc w:val="both"/>
            </w:pPr>
            <w:r>
              <w:rPr>
                <w:rFonts w:ascii="仿宋_GB2312" w:hAnsi="仿宋_GB2312" w:cs="仿宋_GB2312" w:eastAsia="仿宋_GB2312"/>
              </w:rPr>
              <w:t>供应商项目团队成员中（除项目经理之外）每具备以下一个证书得0.4分，满分2分，不提供不得分： （1）信息系统项目管理师证书；（2）系统架构设计师证书；（3）网络工程师证书；（4）系统规划与管理师证书；（5）软件设计师证书。 证明材料：提供人员名单，身份证及有效期内证书复印件以及在投标单位2025年1月1日至今任意3个月社保证明并加盖供应商公章，未提供不得分，同一人员具有多个证书的只参与一次评分，不同人员具有同类多个证书的只参与一次评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供应商2022年1月1日至今具有承担过类似项目业绩，每提供一个得1分，满分4分。 证明材料：提供2022年1月1日（以合同签订日期为准）以来合同复印件并加盖供应商公章。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软件著作权认证</w:t>
            </w:r>
          </w:p>
        </w:tc>
        <w:tc>
          <w:tcPr>
            <w:tcW w:type="dxa" w:w="2492"/>
          </w:tcPr>
          <w:p>
            <w:pPr>
              <w:pStyle w:val="null3"/>
              <w:jc w:val="both"/>
            </w:pPr>
            <w:r>
              <w:rPr>
                <w:rFonts w:ascii="仿宋_GB2312" w:hAnsi="仿宋_GB2312" w:cs="仿宋_GB2312" w:eastAsia="仿宋_GB2312"/>
              </w:rPr>
              <w:t>投标人或所投产品制造商具有本项目相关的软件著作权登记证书（“智能编码转换”类、“DIP分组服务”类、“DIP指标监测”类、”“DIP数据治理”类、“医保结算质控”类、“医保费用结构分析”类、“DIP医院盈亏分析”类、“智能运营分析”类、“医保数据监测”类、“医疗数据管理”类），每提供一类软件著作权得1.5分，同一类别具有多个证书的只参与一次评分，满分15分。 证明材料：提供有效的证书复印件并加盖投标人公章。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（1）C16010000-软件开发服务响应报价低于全部通过符合性审查供应商响应报价平均值50%的，即C16010000-软件开发服务响应报价&lt;全部通过符合性审查供应商响应报价平均值×50%。 （2）C16010000-软件开发服务响应报价低于通过符合性审查且报价次低供应商响应报价50%的，即C16010000-软件开发服务响应报价&lt;通过符合性审查且报价次低供应商响应报价×50%。 （3）C16010000-软件开发服务响应报价低于最高限价45%的，即C16010000-软件开发服务响应报价&lt;最高限价×45%。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投标文件格式要求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ZB2025-1001-1</w:t>
      </w:r>
    </w:p>
    <w:p>
      <w:pPr>
        <w:pStyle w:val="null3"/>
        <w:jc w:val="left"/>
      </w:pPr>
      <w:r>
        <w:rPr>
          <w:rFonts w:ascii="仿宋_GB2312" w:hAnsi="仿宋_GB2312" w:cs="仿宋_GB2312" w:eastAsia="仿宋_GB2312"/>
        </w:rPr>
        <w:t>项目名称：</w:t>
      </w:r>
      <w:r>
        <w:rPr>
          <w:rFonts w:ascii="仿宋_GB2312" w:hAnsi="仿宋_GB2312" w:cs="仿宋_GB2312" w:eastAsia="仿宋_GB2312"/>
        </w:rPr>
        <w:t>东方市2025年医疗卫生强基工程建设项目(二次)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区域DIP医保控费系统</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C16010000-软件开发服务</w:t>
            </w:r>
          </w:p>
        </w:tc>
        <w:tc>
          <w:tcPr>
            <w:tcW w:type="dxa" w:w="1038"/>
          </w:tcPr>
          <w:p>
            <w:pPr>
              <w:pStyle w:val="null3"/>
              <w:jc w:val="left"/>
            </w:pPr>
            <w:r>
              <w:rPr>
                <w:rFonts w:ascii="仿宋_GB2312" w:hAnsi="仿宋_GB2312" w:cs="仿宋_GB2312" w:eastAsia="仿宋_GB2312"/>
              </w:rPr>
              <w:t xml:space="preserve"> 1.00套</w:t>
            </w:r>
          </w:p>
        </w:tc>
        <w:tc>
          <w:tcPr>
            <w:tcW w:type="dxa" w:w="1038"/>
          </w:tcPr>
          <w:p>
            <w:pPr>
              <w:pStyle w:val="null3"/>
              <w:jc w:val="left"/>
            </w:pPr>
            <w:r>
              <w:rPr>
                <w:rFonts w:ascii="仿宋_GB2312" w:hAnsi="仿宋_GB2312" w:cs="仿宋_GB2312" w:eastAsia="仿宋_GB2312"/>
              </w:rPr>
              <w:t xml:space="preserve"> 1500000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详见附件：投标文件格式要求</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