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19DFB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color w:val="000000" w:themeColor="text1"/>
          <w:kern w:val="44"/>
          <w:sz w:val="48"/>
          <w:szCs w:val="20"/>
          <w14:textFill>
            <w14:solidFill>
              <w14:schemeClr w14:val="tx1"/>
            </w14:solidFill>
          </w14:textFill>
        </w:rPr>
      </w:pPr>
      <w:bookmarkStart w:id="0" w:name="_Toc129880039"/>
      <w:r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第八部分 采购需求</w:t>
      </w:r>
      <w:bookmarkEnd w:id="0"/>
    </w:p>
    <w:p w14:paraId="2E5685CB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货物需求一览表</w:t>
      </w:r>
    </w:p>
    <w:p w14:paraId="48578DE5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759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8"/>
        <w:gridCol w:w="3789"/>
        <w:gridCol w:w="1000"/>
        <w:gridCol w:w="1959"/>
      </w:tblGrid>
      <w:tr w14:paraId="4AA634B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848" w:type="dxa"/>
            <w:vAlign w:val="center"/>
          </w:tcPr>
          <w:p w14:paraId="61EB592A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3789" w:type="dxa"/>
            <w:vAlign w:val="center"/>
          </w:tcPr>
          <w:p w14:paraId="1CC88B55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货物名称</w:t>
            </w:r>
          </w:p>
        </w:tc>
        <w:tc>
          <w:tcPr>
            <w:tcW w:w="1000" w:type="dxa"/>
            <w:vAlign w:val="center"/>
          </w:tcPr>
          <w:p w14:paraId="54960502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959" w:type="dxa"/>
            <w:vAlign w:val="center"/>
          </w:tcPr>
          <w:p w14:paraId="1A4B025C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是否接受进口</w:t>
            </w:r>
          </w:p>
        </w:tc>
      </w:tr>
      <w:tr w14:paraId="0C4C1BA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848" w:type="dxa"/>
            <w:vAlign w:val="center"/>
          </w:tcPr>
          <w:p w14:paraId="65418AFA">
            <w:pPr>
              <w:jc w:val="center"/>
              <w:rPr>
                <w:rFonts w:asci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789" w:type="dxa"/>
            <w:vAlign w:val="center"/>
          </w:tcPr>
          <w:p w14:paraId="1E7D76A2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电感耦合等离子质谱仪</w:t>
            </w:r>
          </w:p>
        </w:tc>
        <w:tc>
          <w:tcPr>
            <w:tcW w:w="1000" w:type="dxa"/>
            <w:vAlign w:val="center"/>
          </w:tcPr>
          <w:p w14:paraId="4E3CE836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1959" w:type="dxa"/>
            <w:vAlign w:val="center"/>
          </w:tcPr>
          <w:p w14:paraId="11A544C6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</w:tbl>
    <w:p w14:paraId="5ECD803A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0CBD1182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4C5552EF">
      <w:pPr>
        <w:rPr>
          <w:rFonts w:ascii="Bookman Old Style" w:hAnsi="Bookman Old Style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000000" w:themeColor="text1"/>
          <w:sz w:val="24"/>
          <w14:textFill>
            <w14:solidFill>
              <w14:schemeClr w14:val="tx1"/>
            </w14:solidFill>
          </w14:textFill>
        </w:rPr>
        <w:t>不完整的投标将视为非响应性投标予以拒绝。</w:t>
      </w:r>
    </w:p>
    <w:p w14:paraId="005B8933">
      <w:pPr>
        <w:adjustRightInd w:val="0"/>
        <w:snapToGrid w:val="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2AB0BFE">
      <w:pPr>
        <w:adjustRightInd w:val="0"/>
        <w:snapToGrid w:val="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6F7FE66">
      <w:pPr>
        <w:adjustRightInd w:val="0"/>
        <w:snapToGrid w:val="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2E738DD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一、总则</w:t>
      </w:r>
    </w:p>
    <w:p w14:paraId="2B7D5DC3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、投标要求</w:t>
      </w:r>
    </w:p>
    <w:p w14:paraId="0382D5D7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投标人在准备投标书时，务必在所提供的商品的技术规格文件中，标明型号、商标名称、目录号。</w:t>
      </w:r>
    </w:p>
    <w:p w14:paraId="4D523DF8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67203B04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1.3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投标人提供的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产品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样本，必须是“原件”而非复印件，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图表、简图、电路图以及印刷电路板图等都应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清晰易读。买方有权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不付任何附加费用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复制这些资料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以供参考。</w:t>
      </w:r>
    </w:p>
    <w:p w14:paraId="5A85062E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3C4B0AF9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2、评标标准</w:t>
      </w:r>
    </w:p>
    <w:p w14:paraId="25F0BA64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除招标文件中指定的附件和专用工具外，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投标人应提供仪器设备的正常运行和常规保养所需的全套标准附件、专用工具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和消耗品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。投标人在投标书中需列出这些附件和工具的数量和单价的清单，这些附件和工具的报价的总值需计入投标价中。</w:t>
      </w:r>
    </w:p>
    <w:p w14:paraId="1F2B5031">
      <w:pPr>
        <w:spacing w:line="360" w:lineRule="auto"/>
        <w:ind w:left="554" w:hanging="554" w:hangingChars="231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2.2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对于标书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技术规范中已列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出的作为查询选件的附件、零配件、专用工具和消耗品，投标书中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BB034AD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60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11E1B8A0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1B749B8F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638070B9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3、工作条件</w:t>
      </w:r>
    </w:p>
    <w:p w14:paraId="517156C0">
      <w:pPr>
        <w:spacing w:after="312" w:afterLines="100" w:line="360" w:lineRule="auto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除非在技术规格中另有说明，所有仪器、设备和系统都应符合下列要求：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 w14:paraId="0419F306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3.1  适于在气温为摄氏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-40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℃～＋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和相对湿度为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90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％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的环境条件下运输和贮存。</w:t>
      </w:r>
    </w:p>
    <w:p w14:paraId="728CD68A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3.2  适于在电源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220V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sym w:font="Symbol" w:char="F0B1"/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％）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/50Hz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、气温摄氏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+1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℃～＋3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和相对湿度小于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0％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的环境条件下运行，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能够连续正常工作。</w:t>
      </w:r>
    </w:p>
    <w:p w14:paraId="200F502A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3.3  配置符合中国有关标准要求的插头，如果没有这样的插头，则需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提供适当的转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换插座。</w:t>
      </w:r>
    </w:p>
    <w:p w14:paraId="0683219F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FAD7360">
      <w:pPr>
        <w:rPr>
          <w:rFonts w:eastAsia="黑体"/>
          <w:b/>
          <w:bCs/>
          <w:color w:val="000000" w:themeColor="text1"/>
          <w:kern w:val="44"/>
          <w:sz w:val="24"/>
          <w14:textFill>
            <w14:solidFill>
              <w14:schemeClr w14:val="tx1"/>
            </w14:solidFill>
          </w14:textFill>
        </w:rPr>
      </w:pPr>
    </w:p>
    <w:p w14:paraId="6C3026EE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4、验收标准</w:t>
      </w:r>
    </w:p>
    <w:p w14:paraId="0E525873">
      <w:pPr>
        <w:spacing w:after="312" w:afterLines="100" w:line="360" w:lineRule="auto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除非在技术规格中另有说明，所有仪器、设备和系统按下列要求进行验收：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 w14:paraId="0817DB1E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4.1  仪器设备运抵安装现场后，买方将与卖方共同开箱验收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如卖方届时不派人来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则验收结果应以买方的验收报告为最终验收结果。验收时发现短缺、破损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买方有权要求卖方负责更换。</w:t>
      </w:r>
    </w:p>
    <w:p w14:paraId="163DCF3D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4.2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5C44199F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4.3  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验收由采购人、中标人及相关人员依国家有关标准、合同及有关附件要求进行，验收完毕由采购人及中标人在验收报告上签名。</w:t>
      </w:r>
    </w:p>
    <w:p w14:paraId="3B97C706"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48BAF7FD">
      <w:pPr>
        <w:adjustRightInd w:val="0"/>
        <w:snapToGrid w:val="0"/>
        <w:spacing w:line="360" w:lineRule="auto"/>
        <w:rPr>
          <w:rFonts w:hint="eastAsia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5、本采购需求书中标注“★”号技术条款的为实质性要求，不满足其投标将视为无效投标被拒绝。</w:t>
      </w:r>
    </w:p>
    <w:p w14:paraId="47C87156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6FB0D492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6、如在具体技术规格中有本总则不一致之处，以具体技术规格中的要求为准。</w:t>
      </w:r>
    </w:p>
    <w:p w14:paraId="6DD7C731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二、具体技术规格</w:t>
      </w:r>
    </w:p>
    <w:p w14:paraId="0A01A135">
      <w:pPr>
        <w:jc w:val="center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第1包 电感耦合等离子质谱仪</w:t>
      </w:r>
    </w:p>
    <w:p w14:paraId="7B923236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29D3828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（一）技术要求：</w:t>
      </w:r>
    </w:p>
    <w:p w14:paraId="548017CB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511DA89A">
      <w:pPr>
        <w:numPr>
          <w:ilvl w:val="0"/>
          <w:numId w:val="1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工作条件：</w:t>
      </w:r>
    </w:p>
    <w:p w14:paraId="79D9FE53">
      <w:pPr>
        <w:spacing w:line="360" w:lineRule="auto"/>
        <w:rPr>
          <w:rFonts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1.1环境温度：15~30℃</w:t>
      </w:r>
    </w:p>
    <w:p w14:paraId="3AFEA2F3">
      <w:pPr>
        <w:spacing w:line="360" w:lineRule="auto"/>
        <w:rPr>
          <w:rFonts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1.2环境湿度：20~80%</w:t>
      </w:r>
    </w:p>
    <w:p w14:paraId="55BE143A">
      <w:pPr>
        <w:spacing w:line="360" w:lineRule="auto"/>
        <w:rPr>
          <w:rFonts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1.3电源：200~240V，30A，50/60Hz</w:t>
      </w:r>
    </w:p>
    <w:p w14:paraId="781AC7A3">
      <w:pPr>
        <w:spacing w:line="360" w:lineRule="auto"/>
        <w:rPr>
          <w:rFonts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 w14:paraId="3669BEDD">
      <w:pPr>
        <w:numPr>
          <w:ilvl w:val="0"/>
          <w:numId w:val="1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设备用途：</w:t>
      </w:r>
    </w:p>
    <w:p w14:paraId="11CBE780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用于食品、环境、半导体、医药、核工业等广泛领域的各种样品的元素分析和同位素分析任务，更以其卓越的抗干扰能力可达到无视基体的分析能力，能解决镧系同量异位核素质谱重叠的问题，实现镧系元素的精确分析。</w:t>
      </w:r>
    </w:p>
    <w:p w14:paraId="567CCA5A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C6BC906">
      <w:pPr>
        <w:numPr>
          <w:ilvl w:val="0"/>
          <w:numId w:val="1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技术规格：</w:t>
      </w:r>
    </w:p>
    <w:p w14:paraId="1E0B94FE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雾化器：高精度、高效同心雾化器；</w:t>
      </w:r>
    </w:p>
    <w:p w14:paraId="3D5F9563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雾化室：应采用双通道设计，并配有半导体控温装置；</w:t>
      </w:r>
    </w:p>
    <w:p w14:paraId="16F2CAE3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3.3 高盐进样系统：仪器配置全自动在线稀释装置，稀释方式为气体自动稀释，避免使用溶剂稀释引入污染，最高可连续测定含盐量高于3%的样品；</w:t>
      </w:r>
    </w:p>
    <w:p w14:paraId="7B5E2AB9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#3.4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ICP发生器：数字式驱动的固态ICP发生器，工作频率27 MHz，最大功率1.6 kW；</w:t>
      </w:r>
    </w:p>
    <w:p w14:paraId="6699E740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#3.5 射频线圈采用主动式水冷方式进行冷却；</w:t>
      </w:r>
    </w:p>
    <w:p w14:paraId="39497FC1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#3.6 </w:t>
      </w:r>
      <w:r>
        <w:rPr>
          <w:color w:val="000000" w:themeColor="text1"/>
          <w:sz w:val="24"/>
          <w:lang w:val="en-GB"/>
          <w14:textFill>
            <w14:solidFill>
              <w14:schemeClr w14:val="tx1"/>
            </w14:solidFill>
          </w14:textFill>
        </w:rPr>
        <w:t>具备屏蔽矩/屏蔽片动能聚焦技术，同时实现物理接地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；</w:t>
      </w:r>
    </w:p>
    <w:p w14:paraId="53B6F278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#3.7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接口：采用由镍采样锥与截取锥组成的双锥设计，截取锥孔径＜0.5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mm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，避免质谱脏污；</w:t>
      </w:r>
    </w:p>
    <w:p w14:paraId="2C80B9E4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#3.8 离子透镜组：具备4级透镜系统，各级透镜可独立施加正电压或负电压，以实现精准的离子过滤、偏转和聚焦（提供软件电压设置截图证明）；</w:t>
      </w:r>
    </w:p>
    <w:p w14:paraId="61682091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3.9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蠕动泵：三通道设计，分别用于样品、内标、废液的输送，采用金属泵轴增加寿命；</w:t>
      </w:r>
    </w:p>
    <w:p w14:paraId="72B6321D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3.10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炬管：中心管与外观一体成形连接，提升精准度，石英材质；</w:t>
      </w:r>
    </w:p>
    <w:p w14:paraId="52AD81C3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炬管气体接口：等离子体气和辅助气接口均有防呆设计，避免错接气路；</w:t>
      </w:r>
    </w:p>
    <w:p w14:paraId="65580029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12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工作气体控制</w:t>
      </w:r>
    </w:p>
    <w:p w14:paraId="7C0B1B6E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3.12.1 仪器配置由可由仪器软件控制的高精度气体质量流量控制器MFC控制各个工作气体，可计算机控制的质量流量控制气体流路9个；</w:t>
      </w:r>
    </w:p>
    <w:p w14:paraId="51283270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" w:name="_Hlk201164011"/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3.12.2 进样系统气体控制：配置不少于5个MFC，用于精确控制等离子体气、辅助气、载气、稀释气、补偿气等；</w:t>
      </w:r>
    </w:p>
    <w:p w14:paraId="0E23C6A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3.12.3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碰撞反应池气体控制：配置不少于4个MFC，用于精确控制He、H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、NH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/He、O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等池气体。</w:t>
      </w:r>
    </w:p>
    <w:bookmarkEnd w:id="1"/>
    <w:p w14:paraId="0D89F2CE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13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一级四极杆质量分析器</w:t>
      </w:r>
      <w:bookmarkStart w:id="2" w:name="_Hlk75945188"/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（非四级杆离子偏转器或池内四级杆）</w:t>
      </w:r>
      <w:bookmarkEnd w:id="2"/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</w:p>
    <w:p w14:paraId="00348A67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★3.1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必须是与主四极杆质量分析器长度规格一致的四极杆，可以进行单质量数过滤，使非选定质量的离子无法进入碰撞反应池；</w:t>
      </w:r>
    </w:p>
    <w:p w14:paraId="7AAE426B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.2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驱动频率：2.8~3.0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MHz；</w:t>
      </w:r>
    </w:p>
    <w:p w14:paraId="0A36FB23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3.13.3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最大扫描质量＜280 amu，避免质谱峰形变；最小扫描质量大于1 amu，可扫描氦峰。</w:t>
      </w:r>
    </w:p>
    <w:p w14:paraId="7A4D1DBE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碰撞反应池：</w:t>
      </w:r>
    </w:p>
    <w:p w14:paraId="7B7AEC6B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3.14.1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具备八极杆或四极杆作为离子导杆；</w:t>
      </w:r>
    </w:p>
    <w:p w14:paraId="35CCC260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3.14.2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池气体性能：除常规使用的池气体外，还具备使用N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O、CH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F、CH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、N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等气体进行研究的能力；须提供使用N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O、CH</w:t>
      </w:r>
      <w:r>
        <w:rPr>
          <w:color w:val="000000" w:themeColor="text1"/>
          <w:sz w:val="24"/>
          <w:vertAlign w:val="subscript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F气体的公开发表文献各两篇证明仪器具有该能力；</w:t>
      </w:r>
    </w:p>
    <w:p w14:paraId="0B49C04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3.14.3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池工作模式：拥有不少于4种工作模式，标准模式（No Gas）、氦气碰撞模式（KED）、高能干扰消除模式、反应模式，不同模式切换时间小于10秒；</w:t>
      </w:r>
    </w:p>
    <w:p w14:paraId="27634B9A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#3.14.4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配置多极杆碰撞反应池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碰撞反应池驱动频率≥12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MHz。（需提供软件界面碰撞反应池驱动频率调谐至12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MHz或以上的截图证明）。</w:t>
      </w:r>
    </w:p>
    <w:p w14:paraId="27580F90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二级四极杆质量分析器：</w:t>
      </w:r>
    </w:p>
    <w:p w14:paraId="7859DF20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3.15.1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双曲面四极杆，可以进行单质量数过滤，使非目标质量元素无法进入检测器；</w:t>
      </w:r>
    </w:p>
    <w:p w14:paraId="2AD1CA55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3.15.2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驱动频率：2.8~3.0 MHz；</w:t>
      </w:r>
    </w:p>
    <w:p w14:paraId="4D4BF485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3.15.3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最大扫描质量＜280 amu，避免质谱峰形变；最小扫描质量大于1 amu，可扫描氦峰。</w:t>
      </w:r>
    </w:p>
    <w:p w14:paraId="75F083C1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3.16检测器：同时双通道模式的高速检测器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；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离子动态计数范围不小于0.1~8×10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9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cps，即不得少于10个数量级；</w:t>
      </w:r>
    </w:p>
    <w:p w14:paraId="26FB8378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3.17真空系统：具有3泵4级真空系统，采用性能泵系统，包括一个叉分式涡轮泵、第二个涡轮泵和一个外置机械泵（提供主机内部结构照片证明）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；</w:t>
      </w:r>
    </w:p>
    <w:p w14:paraId="19EF4BEB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3.18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具有色谱联机扩展能力，能和同品牌的液相、气相、离子色谱、毛细管电泳之中的至少3种联用。（提供同品牌液相、气相、离子色谱、毛细管电泳之中至少3种设备的样本作为证明）；</w:t>
      </w:r>
    </w:p>
    <w:p w14:paraId="121F602E">
      <w:pPr>
        <w:spacing w:line="360" w:lineRule="auto"/>
        <w:ind w:firstLine="0" w:firstLineChars="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3.19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电感耦合等离子质谱仪操作软件及应用软件：Windows11操作系统；全自动调谐及打印所有仪器工作参数报告功能；用户自定义报告格式功能。</w:t>
      </w:r>
    </w:p>
    <w:p w14:paraId="58B96E5F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3.20 性能指标</w:t>
      </w:r>
    </w:p>
    <w:p w14:paraId="5CCC0C0D">
      <w:pPr>
        <w:spacing w:line="360" w:lineRule="auto"/>
        <w:ind w:left="950" w:leftChars="250" w:hanging="425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3.20.1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灵敏度【cps/ppm】：低质量数：Li(7)≥200 M；中质量数：Y(89)或In(115)≥1000 M；高质量数：Tl(205)≥450 M </w:t>
      </w:r>
    </w:p>
    <w:p w14:paraId="1AF72AE3">
      <w:pPr>
        <w:spacing w:line="360" w:lineRule="auto"/>
        <w:ind w:left="950" w:leftChars="250" w:hanging="425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3.20.2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检测限【3*sigma，ppt】：Be(9)≤0.1 ppt；In(115) ≤0.05 ppt；U(238)≤0.05 ppt</w:t>
      </w:r>
    </w:p>
    <w:p w14:paraId="173509FA">
      <w:pPr>
        <w:spacing w:line="360" w:lineRule="auto"/>
        <w:ind w:left="950" w:leftChars="250" w:hanging="425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3.20.3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背景噪音 Be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9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&lt; 0.2 cps（在质量数9 amu，即元素Be测定实际背景）</w:t>
      </w:r>
    </w:p>
    <w:p w14:paraId="68CC888B">
      <w:pPr>
        <w:spacing w:line="360" w:lineRule="auto"/>
        <w:ind w:left="950" w:leftChars="250" w:hanging="425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#3.20.4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氧化物(CeO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+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/Ce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+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)：≤1.5%</w:t>
      </w:r>
    </w:p>
    <w:p w14:paraId="099F3CB4">
      <w:pPr>
        <w:spacing w:line="360" w:lineRule="auto"/>
        <w:ind w:left="950" w:leftChars="250" w:hanging="425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3.20.5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双电荷离子(Ce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2+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/Ce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+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)：≤3.0%</w:t>
      </w:r>
    </w:p>
    <w:p w14:paraId="3CE870B3">
      <w:pPr>
        <w:spacing w:line="360" w:lineRule="auto"/>
        <w:ind w:left="950" w:leftChars="250" w:hanging="425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3.20.6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短期稳定性(RSD)：≤2% (20 min)；长期稳定性(RSD)：≤2% (2 hrs)</w:t>
      </w:r>
    </w:p>
    <w:p w14:paraId="3C385C6B">
      <w:pPr>
        <w:spacing w:line="360" w:lineRule="auto"/>
        <w:ind w:left="525" w:leftChars="25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3.20.7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丰度灵敏度：</w:t>
      </w:r>
    </w:p>
    <w:p w14:paraId="593E4318">
      <w:pPr>
        <w:spacing w:line="360" w:lineRule="auto"/>
        <w:ind w:left="525" w:leftChars="250"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低质量端: ≤1×10</w:t>
      </w:r>
      <w:r>
        <w:rPr>
          <w:rFonts w:hint="eastAsia"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-10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（即＜0.001 ppm）</w:t>
      </w:r>
    </w:p>
    <w:p w14:paraId="44A0E1D6">
      <w:pPr>
        <w:spacing w:line="360" w:lineRule="auto"/>
        <w:ind w:left="525" w:leftChars="250"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高质量端: ≤1×10</w:t>
      </w:r>
      <w:r>
        <w:rPr>
          <w:rFonts w:hint="eastAsia"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 xml:space="preserve">-10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（即＜0.001 ppm）</w:t>
      </w:r>
    </w:p>
    <w:p w14:paraId="6B049AB8">
      <w:pPr>
        <w:spacing w:line="360" w:lineRule="auto"/>
        <w:ind w:left="525" w:leftChars="25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3.20.8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同位素比精度: &lt; 0.2%（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107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Ag/</w:t>
      </w:r>
      <w:r>
        <w:rPr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109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Ag）</w:t>
      </w:r>
    </w:p>
    <w:p w14:paraId="2AB065BA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#3.21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整体配置MS/MS模式性能指标：两个四极杆可独立设置不同的质量数或质量扫描范围，以实现母离子扫描与子离子扫描功能，用于深入研究碰撞反应池内的化学反应的反应过程及反应动力学，需提供相应的软件截图证明。</w:t>
      </w:r>
    </w:p>
    <w:p w14:paraId="4C3B652A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DA4D8DF">
      <w:pPr>
        <w:numPr>
          <w:ilvl w:val="0"/>
          <w:numId w:val="1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3" w:name="OLE_LINK3"/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产品配置要求</w:t>
      </w:r>
    </w:p>
    <w:bookmarkEnd w:id="3"/>
    <w:p w14:paraId="5820A9F8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电感耦合等离子质谱仪主机：包括石英进样系统，镍接口锥，9路气体质量流量计（含稀释气1路和有机加氧气各1路），数字控制固态射频发生器，离轴离子透镜，两个完整的双曲面四极杆，碰撞反应池，同时双通道模式检测器，机械泵和2套分子涡轮泵及其他必备工具和备件；</w:t>
      </w:r>
    </w:p>
    <w:p w14:paraId="78256974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在线氩气稀释系统雾化室和气路；</w:t>
      </w:r>
    </w:p>
    <w:p w14:paraId="4E4B8997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铂铱合金屏蔽炬系统1套，如无此配置可提供RF线圈5套替代；</w:t>
      </w:r>
    </w:p>
    <w:p w14:paraId="42EA48D6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碰撞反应气不锈钢管4根；</w:t>
      </w:r>
    </w:p>
    <w:p w14:paraId="30F9118F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电感耦合等离子质谱仪软件一套；</w:t>
      </w:r>
    </w:p>
    <w:p w14:paraId="5E23704B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电感耦合等离子质谱仪安装及验收的必备附件（包括验收溶液包；仪器专用的工具等）；</w:t>
      </w:r>
    </w:p>
    <w:p w14:paraId="1097C2D1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半导体制冷装置（用于冷却雾化室）一套；</w:t>
      </w:r>
    </w:p>
    <w:p w14:paraId="2919900A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多元素内标混合溶液一瓶（环境元素标液，100 mL，100 mg/L，包含：Al、Sb、As、Ba、Be、B、Cd、Ca、Cr、Co、Cu、Fe、Pb、Mg、Mn、Mo、Ni、K、Se、Si、Ag、Sr、Na、Tl、Ti、V、Zn）；以及以下各元素内标溶液（50 mL，1000 mg/L）各一瓶，包括Cs、Sr、U、Yb、Lu、Ce、Y、Eu、La、Th、Nb、Ta、Sc、Zr、Li、Pd、Pt、Au、Re。</w:t>
      </w:r>
    </w:p>
    <w:p w14:paraId="54B78761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多元素调谐溶液一瓶；</w:t>
      </w:r>
    </w:p>
    <w:p w14:paraId="1FD17379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循环冷却水系统1台；</w:t>
      </w:r>
    </w:p>
    <w:p w14:paraId="4147BDA0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不间断电源：供电时间≥2h；</w:t>
      </w:r>
    </w:p>
    <w:p w14:paraId="784286B4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采样锥垫片；</w:t>
      </w:r>
    </w:p>
    <w:p w14:paraId="2B369097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电脑工作站及激光打印机各一台。</w:t>
      </w:r>
    </w:p>
    <w:p w14:paraId="6755CB97">
      <w:pPr>
        <w:tabs>
          <w:tab w:val="left" w:pos="540"/>
        </w:tabs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61705EC8">
      <w:pPr>
        <w:tabs>
          <w:tab w:val="left" w:pos="540"/>
        </w:tabs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5. 技术文件：</w:t>
      </w:r>
    </w:p>
    <w:p w14:paraId="2EF11352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提供全套、完整的技术资料，包括详细的仪器中英文说明书、操作手册和仪器维护等有关资料及质量认证书。</w:t>
      </w:r>
    </w:p>
    <w:p w14:paraId="717F0382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0B68073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（二）质保及售后服务：</w:t>
      </w:r>
    </w:p>
    <w:p w14:paraId="646A76BE">
      <w:pPr>
        <w:spacing w:line="360" w:lineRule="auto"/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</w:t>
      </w: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1.设备安装、调试保证：仪器到达最终用户现场后，由用户在厂家建议下提供安装验收条件，中标人应即时派人员前往验收。在接到用户安装通知后</w:t>
      </w:r>
      <w:r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天内中标人需安排有经验的工程技术人员到用户现场安装、调试仪器，按验收指标逐项测试，直至达到验收要求。设备安装调试需在接到用户通知后</w:t>
      </w:r>
      <w:r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15</w:t>
      </w: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日内完成。安装验收期间，在用户所在地对用户进行仪器操作和日常维护的现场培训，包括仪器原理、使用方法和基本维护方法等。</w:t>
      </w:r>
    </w:p>
    <w:p w14:paraId="635A555A">
      <w:pPr>
        <w:spacing w:line="360" w:lineRule="auto"/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2技术培训：</w:t>
      </w:r>
    </w:p>
    <w:p w14:paraId="1B8940FA">
      <w:pPr>
        <w:spacing w:line="360" w:lineRule="auto"/>
        <w:ind w:firstLine="480" w:firstLineChars="200"/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2.1为保证中标人所提供的仪器设备安全、可靠运行，便于采购人的运行维护，必须对采购人培训合格的维护和管理人员。</w:t>
      </w:r>
    </w:p>
    <w:p w14:paraId="7B8E8425">
      <w:pPr>
        <w:spacing w:line="360" w:lineRule="auto"/>
        <w:ind w:firstLine="480" w:firstLineChars="200"/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2.2产品仪器公司应具有正规注册的办事处、维修站，建有零备件库。应有专门负责的维修工程师和专门的技术应用支持工程师，应拥有自己建立的培训中心和应用实验室。后期为采购人（1人次）提供技术培训，费用由中标人承担。</w:t>
      </w:r>
    </w:p>
    <w:p w14:paraId="25706AAA">
      <w:pPr>
        <w:spacing w:line="360" w:lineRule="auto"/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3保修期：验收合格后1年。保修期内免费维修并更换除消耗品以外的零部件，维修人员的路费、食宿等自理。保修期外，零配件按优惠价格提供。</w:t>
      </w:r>
    </w:p>
    <w:p w14:paraId="64B8D2E6">
      <w:pPr>
        <w:spacing w:line="360" w:lineRule="auto"/>
        <w:rPr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4维修响应时间：中标人收到采购人的维修通知后，应在24小时内对用户的服务要求做出响应。一般问题应在48小时内解决。若设备存在重大问题确须返厂维修，则中标人承担由此发生的一切费用，包括维修费、运费、保险费、装卸费等所有费用以及为看管和保护返修货物所需的其它必要费用。维修时长超过半个月可免费至中标人实验室进行样品检测。</w:t>
      </w:r>
    </w:p>
    <w:p w14:paraId="217FA4E9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8E652F1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（三） 订货数量：</w:t>
      </w:r>
    </w:p>
    <w:p w14:paraId="7708A849">
      <w:pPr>
        <w:spacing w:line="360" w:lineRule="auto"/>
        <w:ind w:firstLine="240" w:firstLineChars="1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1套</w:t>
      </w:r>
    </w:p>
    <w:p w14:paraId="222CF654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1F2A718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（四）交货日期和交货地点（项目现场）：</w:t>
      </w:r>
    </w:p>
    <w:p w14:paraId="45010E7F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*1. 交货期：</w:t>
      </w:r>
      <w:r>
        <w:rPr>
          <w:rFonts w:hint="eastAsia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合同生效后1个月内。</w:t>
      </w:r>
    </w:p>
    <w:p w14:paraId="5496029D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2. 交货地点：中国科学院福建物质结构研究所指定地点</w:t>
      </w:r>
      <w:r>
        <w:rPr>
          <w:rFonts w:hint="eastAsia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。</w:t>
      </w:r>
    </w:p>
    <w:p w14:paraId="19EF3121">
      <w:pPr>
        <w:spacing w:line="360" w:lineRule="auto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83C8EA4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（五）付款方式：</w:t>
      </w:r>
    </w:p>
    <w:p w14:paraId="1638E047">
      <w:pPr>
        <w:spacing w:line="360" w:lineRule="auto"/>
        <w:ind w:firstLine="480" w:firstLineChars="200"/>
        <w:rPr>
          <w:rFonts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100%凭用户代表签字并加盖单位公章后的验收报告支付。</w:t>
      </w:r>
    </w:p>
    <w:p w14:paraId="1F00CE33">
      <w:pPr>
        <w:spacing w:line="360" w:lineRule="auto"/>
        <w:ind w:firstLine="480" w:firstLineChars="200"/>
        <w:rPr>
          <w:rFonts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 w14:paraId="7CF33C29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（六）执行的相关标准</w:t>
      </w:r>
    </w:p>
    <w:p w14:paraId="1A57F598">
      <w:pPr>
        <w:spacing w:line="360" w:lineRule="auto"/>
        <w:rPr>
          <w:rFonts w:hint="eastAsia" w:ascii="inherit" w:hAnsi="inherit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inherit" w:hAnsi="inherit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 xml:space="preserve">   产品应满足相关国家标准及行业标准。</w:t>
      </w:r>
    </w:p>
    <w:p w14:paraId="3B759612">
      <w:pPr>
        <w:spacing w:line="360" w:lineRule="auto"/>
        <w:rPr>
          <w:rFonts w:hint="eastAsia" w:ascii="inherit" w:hAnsi="inherit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</w:p>
    <w:p w14:paraId="14F95B72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8"/>
    <w:multiLevelType w:val="multilevel"/>
    <w:tmpl w:val="00000008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A0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2025-06-23T07:01:45Z</dcterms:created>
  <dc:creator>yzjia</dc:creator>
  <cp:lastModifiedBy>godjiao</cp:lastModifiedBy>
  <dcterms:modified xsi:type="dcterms:W3CDTF">2025-06-23T07:01:48Z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eyJoZGlkIjoiZmQ1MjBlY2VkMDE4YjBhY2ZjYTRjODk0ZGRjODJmNzMiLCJ1c2VySWQiOiIyNDgyNzkwNjcifQ==</vt:lpwstr>
  </property>
  <property fmtid="{D5CDD505-2E9C-101B-9397-08002B2CF9AE}" pid="4" name="ICV">
    <vt:lpwstr>08800D32DE8D43F1A8806D951A8B5712_12</vt:lpwstr>
  </property>
</Properties>
</file>