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20" w:lineRule="atLeast"/>
        <w:ind w:firstLine="602" w:firstLineChars="200"/>
        <w:jc w:val="center"/>
        <w:textAlignment w:val="auto"/>
        <w:rPr>
          <w:rFonts w:hint="eastAsia" w:ascii="黑体" w:hAnsi="宋体" w:eastAsia="黑体"/>
          <w:b/>
          <w:sz w:val="30"/>
          <w:szCs w:val="30"/>
        </w:rPr>
      </w:pPr>
      <w:r>
        <w:rPr>
          <w:rFonts w:hint="default" w:ascii="黑体" w:hAnsi="宋体" w:eastAsia="黑体"/>
          <w:b/>
          <w:sz w:val="30"/>
          <w:szCs w:val="30"/>
          <w:lang w:val="en-US"/>
        </w:rPr>
        <w:t>接触池内进流格栅除污机更新改造工程采购及安装</w:t>
      </w:r>
      <w:r>
        <w:rPr>
          <w:rFonts w:hint="eastAsia" w:ascii="黑体" w:hAnsi="宋体" w:eastAsia="黑体"/>
          <w:b/>
          <w:sz w:val="30"/>
          <w:szCs w:val="30"/>
        </w:rPr>
        <w:t>内容及需求</w:t>
      </w:r>
    </w:p>
    <w:p>
      <w:pPr>
        <w:pStyle w:val="3"/>
      </w:pPr>
    </w:p>
    <w:p>
      <w:pPr>
        <w:widowControl/>
        <w:spacing w:line="360" w:lineRule="auto"/>
        <w:ind w:left="0" w:leftChars="0" w:firstLine="442" w:firstLineChars="200"/>
        <w:jc w:val="left"/>
        <w:rPr>
          <w:rFonts w:hint="eastAsia" w:ascii="Helvetica" w:hAnsi="Helvetica" w:cs="Helvetica"/>
          <w:b/>
          <w:bCs/>
          <w:color w:val="auto"/>
          <w:kern w:val="0"/>
          <w:szCs w:val="21"/>
          <w:highlight w:val="none"/>
        </w:rPr>
      </w:pPr>
      <w:r>
        <w:rPr>
          <w:rFonts w:hint="eastAsia" w:ascii="宋体" w:hAnsi="宋体" w:cs="宋体"/>
          <w:b/>
          <w:bCs/>
          <w:color w:val="auto"/>
          <w:kern w:val="0"/>
          <w:sz w:val="22"/>
          <w:szCs w:val="22"/>
          <w:highlight w:val="none"/>
          <w:lang w:val="zh-CN" w:eastAsia="zh-CN"/>
        </w:rPr>
        <w:t>★</w:t>
      </w:r>
      <w:r>
        <w:rPr>
          <w:rFonts w:hint="eastAsia" w:ascii="Helvetica" w:hAnsi="Helvetica" w:cs="Helvetica"/>
          <w:b/>
          <w:bCs/>
          <w:color w:val="auto"/>
          <w:kern w:val="0"/>
          <w:szCs w:val="21"/>
          <w:highlight w:val="none"/>
        </w:rPr>
        <w:t xml:space="preserve">一、 采购内容及预算 </w:t>
      </w:r>
    </w:p>
    <w:tbl>
      <w:tblPr>
        <w:tblStyle w:val="13"/>
        <w:tblW w:w="9077" w:type="dxa"/>
        <w:jc w:val="center"/>
        <w:tblLayout w:type="fixed"/>
        <w:tblCellMar>
          <w:top w:w="0" w:type="dxa"/>
          <w:left w:w="108" w:type="dxa"/>
          <w:bottom w:w="0" w:type="dxa"/>
          <w:right w:w="108" w:type="dxa"/>
        </w:tblCellMar>
      </w:tblPr>
      <w:tblGrid>
        <w:gridCol w:w="600"/>
        <w:gridCol w:w="600"/>
        <w:gridCol w:w="2065"/>
        <w:gridCol w:w="1985"/>
        <w:gridCol w:w="708"/>
        <w:gridCol w:w="711"/>
        <w:gridCol w:w="602"/>
        <w:gridCol w:w="1806"/>
      </w:tblGrid>
      <w:tr>
        <w:tblPrEx>
          <w:tblCellMar>
            <w:top w:w="0" w:type="dxa"/>
            <w:left w:w="108" w:type="dxa"/>
            <w:bottom w:w="0" w:type="dxa"/>
            <w:right w:w="108" w:type="dxa"/>
          </w:tblCellMar>
        </w:tblPrEx>
        <w:trPr>
          <w:trHeight w:val="430" w:hRule="atLeast"/>
          <w:jc w:val="center"/>
        </w:trPr>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bCs/>
                <w:color w:val="000000"/>
                <w:sz w:val="18"/>
                <w:szCs w:val="18"/>
              </w:rPr>
            </w:pPr>
            <w:r>
              <w:rPr>
                <w:rFonts w:hint="default" w:hAnsi="宋体"/>
                <w:bCs/>
                <w:color w:val="000000"/>
                <w:sz w:val="18"/>
                <w:szCs w:val="18"/>
              </w:rPr>
              <w:t>类别</w:t>
            </w:r>
          </w:p>
        </w:tc>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bCs/>
                <w:color w:val="000000"/>
                <w:sz w:val="18"/>
                <w:szCs w:val="18"/>
              </w:rPr>
            </w:pPr>
            <w:r>
              <w:rPr>
                <w:rFonts w:hint="default" w:hAnsi="宋体"/>
                <w:bCs/>
                <w:color w:val="000000"/>
                <w:sz w:val="18"/>
                <w:szCs w:val="18"/>
              </w:rPr>
              <w:t>序号</w:t>
            </w:r>
          </w:p>
        </w:tc>
        <w:tc>
          <w:tcPr>
            <w:tcW w:w="206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bCs/>
                <w:color w:val="000000"/>
                <w:sz w:val="18"/>
                <w:szCs w:val="18"/>
              </w:rPr>
            </w:pPr>
            <w:r>
              <w:rPr>
                <w:rFonts w:hint="default" w:hAnsi="宋体"/>
                <w:bCs/>
                <w:color w:val="000000"/>
                <w:sz w:val="18"/>
                <w:szCs w:val="18"/>
              </w:rPr>
              <w:t>名称</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bCs/>
                <w:color w:val="000000"/>
                <w:sz w:val="18"/>
                <w:szCs w:val="18"/>
              </w:rPr>
            </w:pPr>
            <w:r>
              <w:rPr>
                <w:rFonts w:hint="default" w:hAnsi="宋体"/>
                <w:bCs/>
                <w:color w:val="000000"/>
                <w:sz w:val="18"/>
                <w:szCs w:val="18"/>
              </w:rPr>
              <w:t>规格及型号</w:t>
            </w:r>
          </w:p>
        </w:tc>
        <w:tc>
          <w:tcPr>
            <w:tcW w:w="70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bCs/>
                <w:color w:val="000000"/>
                <w:sz w:val="18"/>
                <w:szCs w:val="18"/>
              </w:rPr>
            </w:pPr>
            <w:r>
              <w:rPr>
                <w:rFonts w:hint="default" w:hAnsi="宋体"/>
                <w:bCs/>
                <w:color w:val="000000"/>
                <w:sz w:val="18"/>
                <w:szCs w:val="18"/>
              </w:rPr>
              <w:t>材质</w:t>
            </w: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bCs/>
                <w:color w:val="000000"/>
                <w:sz w:val="18"/>
                <w:szCs w:val="18"/>
              </w:rPr>
            </w:pPr>
            <w:r>
              <w:rPr>
                <w:rFonts w:hint="default" w:hAnsi="宋体"/>
                <w:bCs/>
                <w:color w:val="000000"/>
                <w:sz w:val="18"/>
                <w:szCs w:val="18"/>
              </w:rPr>
              <w:t>单位</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bCs/>
                <w:color w:val="000000"/>
                <w:sz w:val="18"/>
                <w:szCs w:val="18"/>
              </w:rPr>
            </w:pPr>
            <w:r>
              <w:rPr>
                <w:rFonts w:hint="default" w:hAnsi="宋体"/>
                <w:bCs/>
                <w:color w:val="000000"/>
                <w:sz w:val="18"/>
                <w:szCs w:val="18"/>
              </w:rPr>
              <w:t>数量</w:t>
            </w:r>
          </w:p>
        </w:tc>
        <w:tc>
          <w:tcPr>
            <w:tcW w:w="180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bCs/>
                <w:color w:val="000000"/>
                <w:sz w:val="18"/>
                <w:szCs w:val="18"/>
              </w:rPr>
            </w:pPr>
            <w:r>
              <w:rPr>
                <w:rFonts w:hint="default" w:hAnsi="宋体"/>
                <w:bCs/>
                <w:color w:val="000000"/>
                <w:sz w:val="18"/>
                <w:szCs w:val="18"/>
              </w:rPr>
              <w:t>备注</w:t>
            </w:r>
          </w:p>
        </w:tc>
      </w:tr>
      <w:tr>
        <w:tblPrEx>
          <w:tblCellMar>
            <w:top w:w="0" w:type="dxa"/>
            <w:left w:w="108" w:type="dxa"/>
            <w:bottom w:w="0" w:type="dxa"/>
            <w:right w:w="108" w:type="dxa"/>
          </w:tblCellMar>
        </w:tblPrEx>
        <w:trPr>
          <w:trHeight w:val="620" w:hRule="atLeast"/>
          <w:jc w:val="center"/>
        </w:trPr>
        <w:tc>
          <w:tcPr>
            <w:tcW w:w="600" w:type="dxa"/>
            <w:vMerge w:val="restart"/>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一期</w:t>
            </w:r>
          </w:p>
        </w:tc>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1</w:t>
            </w:r>
          </w:p>
        </w:tc>
        <w:tc>
          <w:tcPr>
            <w:tcW w:w="206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内进流网板格栅机</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left"/>
              <w:rPr>
                <w:rFonts w:hint="default" w:hAnsi="宋体"/>
                <w:sz w:val="18"/>
                <w:szCs w:val="18"/>
              </w:rPr>
            </w:pPr>
            <w:r>
              <w:rPr>
                <w:rFonts w:hint="default" w:hAnsi="宋体"/>
                <w:sz w:val="18"/>
                <w:szCs w:val="18"/>
              </w:rPr>
              <w:t>1500型、N=0.75KW、渠宽1.5m、渠深1.85m、水深1.2m</w:t>
            </w:r>
          </w:p>
        </w:tc>
        <w:tc>
          <w:tcPr>
            <w:tcW w:w="70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成品</w:t>
            </w: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台套</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2</w:t>
            </w:r>
          </w:p>
        </w:tc>
        <w:tc>
          <w:tcPr>
            <w:tcW w:w="180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设备制造及安装参照图和说明含电气控制柜</w:t>
            </w:r>
          </w:p>
        </w:tc>
      </w:tr>
      <w:tr>
        <w:tblPrEx>
          <w:tblCellMar>
            <w:top w:w="0" w:type="dxa"/>
            <w:left w:w="108" w:type="dxa"/>
            <w:bottom w:w="0" w:type="dxa"/>
            <w:right w:w="108" w:type="dxa"/>
          </w:tblCellMar>
        </w:tblPrEx>
        <w:trPr>
          <w:trHeight w:val="660" w:hRule="atLeast"/>
          <w:jc w:val="center"/>
        </w:trPr>
        <w:tc>
          <w:tcPr>
            <w:tcW w:w="600"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widowControl/>
              <w:suppressLineNumbers w:val="0"/>
              <w:spacing w:before="0" w:beforeAutospacing="0" w:after="0" w:afterAutospacing="0"/>
              <w:ind w:left="0" w:right="0"/>
              <w:jc w:val="center"/>
              <w:rPr>
                <w:rFonts w:hint="default" w:hAnsi="宋体" w:eastAsia="等线"/>
                <w:kern w:val="2"/>
                <w:sz w:val="18"/>
                <w:szCs w:val="18"/>
              </w:rPr>
            </w:pPr>
          </w:p>
        </w:tc>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2</w:t>
            </w:r>
          </w:p>
        </w:tc>
        <w:tc>
          <w:tcPr>
            <w:tcW w:w="206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螺栓输送压榨机</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LYZ-300-5.5m、N=2.2KW</w:t>
            </w:r>
          </w:p>
        </w:tc>
        <w:tc>
          <w:tcPr>
            <w:tcW w:w="70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成品</w:t>
            </w: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台套</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1</w:t>
            </w:r>
          </w:p>
        </w:tc>
        <w:tc>
          <w:tcPr>
            <w:tcW w:w="180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设备制造的技术性能与格栅机相匹配</w:t>
            </w:r>
          </w:p>
        </w:tc>
      </w:tr>
      <w:tr>
        <w:tblPrEx>
          <w:tblCellMar>
            <w:top w:w="0" w:type="dxa"/>
            <w:left w:w="108" w:type="dxa"/>
            <w:bottom w:w="0" w:type="dxa"/>
            <w:right w:w="108" w:type="dxa"/>
          </w:tblCellMar>
        </w:tblPrEx>
        <w:trPr>
          <w:trHeight w:val="328" w:hRule="atLeast"/>
          <w:jc w:val="center"/>
        </w:trPr>
        <w:tc>
          <w:tcPr>
            <w:tcW w:w="600" w:type="dxa"/>
            <w:vMerge w:val="restart"/>
            <w:tcBorders>
              <w:top w:val="single" w:color="auto" w:sz="6" w:space="0"/>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配套附件</w:t>
            </w:r>
          </w:p>
        </w:tc>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3</w:t>
            </w:r>
          </w:p>
        </w:tc>
        <w:tc>
          <w:tcPr>
            <w:tcW w:w="206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漏渣斗管</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供货方自定</w:t>
            </w:r>
          </w:p>
        </w:tc>
        <w:tc>
          <w:tcPr>
            <w:tcW w:w="70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成品</w:t>
            </w: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件</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1</w:t>
            </w:r>
          </w:p>
        </w:tc>
        <w:tc>
          <w:tcPr>
            <w:tcW w:w="1806" w:type="dxa"/>
            <w:vMerge w:val="restart"/>
            <w:tcBorders>
              <w:top w:val="single" w:color="auto" w:sz="6" w:space="0"/>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含安装附件（材料质S304）</w:t>
            </w:r>
          </w:p>
        </w:tc>
      </w:tr>
      <w:tr>
        <w:tblPrEx>
          <w:tblCellMar>
            <w:top w:w="0" w:type="dxa"/>
            <w:left w:w="108" w:type="dxa"/>
            <w:bottom w:w="0" w:type="dxa"/>
            <w:right w:w="108" w:type="dxa"/>
          </w:tblCellMar>
        </w:tblPrEx>
        <w:trPr>
          <w:trHeight w:val="404" w:hRule="atLeast"/>
          <w:jc w:val="center"/>
        </w:trPr>
        <w:tc>
          <w:tcPr>
            <w:tcW w:w="600" w:type="dxa"/>
            <w:vMerge w:val="continue"/>
            <w:tcBorders>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4</w:t>
            </w:r>
          </w:p>
        </w:tc>
        <w:tc>
          <w:tcPr>
            <w:tcW w:w="206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螺栓输送压榨机漏水斗</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供货方自定</w:t>
            </w:r>
          </w:p>
        </w:tc>
        <w:tc>
          <w:tcPr>
            <w:tcW w:w="70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成品</w:t>
            </w: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件</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2</w:t>
            </w:r>
          </w:p>
        </w:tc>
        <w:tc>
          <w:tcPr>
            <w:tcW w:w="1806" w:type="dxa"/>
            <w:vMerge w:val="continue"/>
            <w:tcBorders>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r>
      <w:tr>
        <w:tblPrEx>
          <w:tblCellMar>
            <w:top w:w="0" w:type="dxa"/>
            <w:left w:w="108" w:type="dxa"/>
            <w:bottom w:w="0" w:type="dxa"/>
            <w:right w:w="108" w:type="dxa"/>
          </w:tblCellMar>
        </w:tblPrEx>
        <w:trPr>
          <w:trHeight w:val="368" w:hRule="atLeast"/>
          <w:jc w:val="center"/>
        </w:trPr>
        <w:tc>
          <w:tcPr>
            <w:tcW w:w="600" w:type="dxa"/>
            <w:vMerge w:val="restart"/>
            <w:tcBorders>
              <w:top w:val="single" w:color="auto" w:sz="6" w:space="0"/>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p>
            <w:pPr>
              <w:keepNext w:val="0"/>
              <w:keepLines w:val="0"/>
              <w:suppressLineNumbers w:val="0"/>
              <w:spacing w:before="0" w:beforeAutospacing="0" w:after="0" w:afterAutospacing="0"/>
              <w:ind w:left="0" w:right="0"/>
              <w:jc w:val="center"/>
              <w:rPr>
                <w:rFonts w:hint="default" w:hAnsi="宋体"/>
                <w:sz w:val="18"/>
                <w:szCs w:val="18"/>
              </w:rPr>
            </w:pPr>
          </w:p>
          <w:p>
            <w:pPr>
              <w:keepNext w:val="0"/>
              <w:keepLines w:val="0"/>
              <w:suppressLineNumbers w:val="0"/>
              <w:spacing w:before="0" w:beforeAutospacing="0" w:after="0" w:afterAutospacing="0"/>
              <w:ind w:left="0" w:right="0"/>
              <w:jc w:val="center"/>
              <w:rPr>
                <w:rFonts w:hint="default" w:hAnsi="宋体"/>
                <w:sz w:val="18"/>
                <w:szCs w:val="18"/>
              </w:rPr>
            </w:pPr>
          </w:p>
          <w:p>
            <w:pPr>
              <w:keepNext w:val="0"/>
              <w:keepLines w:val="0"/>
              <w:suppressLineNumbers w:val="0"/>
              <w:spacing w:before="0" w:beforeAutospacing="0" w:after="0" w:afterAutospacing="0"/>
              <w:ind w:left="0" w:right="0"/>
              <w:jc w:val="center"/>
              <w:rPr>
                <w:rFonts w:hint="default" w:hAnsi="宋体"/>
                <w:sz w:val="18"/>
                <w:szCs w:val="18"/>
              </w:rPr>
            </w:pPr>
          </w:p>
          <w:p>
            <w:pPr>
              <w:keepNext w:val="0"/>
              <w:keepLines w:val="0"/>
              <w:suppressLineNumbers w:val="0"/>
              <w:spacing w:before="0" w:beforeAutospacing="0" w:after="0" w:afterAutospacing="0"/>
              <w:ind w:left="0" w:right="0"/>
              <w:jc w:val="center"/>
              <w:rPr>
                <w:rFonts w:hint="default" w:hAnsi="宋体"/>
                <w:sz w:val="18"/>
                <w:szCs w:val="18"/>
              </w:rPr>
            </w:pPr>
          </w:p>
          <w:p>
            <w:pPr>
              <w:keepNext w:val="0"/>
              <w:keepLines w:val="0"/>
              <w:suppressLineNumbers w:val="0"/>
              <w:spacing w:before="0" w:beforeAutospacing="0" w:after="0" w:afterAutospacing="0"/>
              <w:ind w:left="0" w:right="0"/>
              <w:jc w:val="center"/>
              <w:rPr>
                <w:rFonts w:hint="default" w:hAnsi="宋体"/>
                <w:sz w:val="18"/>
                <w:szCs w:val="18"/>
              </w:rPr>
            </w:pPr>
          </w:p>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所属工作范围</w:t>
            </w:r>
          </w:p>
        </w:tc>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5</w:t>
            </w:r>
          </w:p>
        </w:tc>
        <w:tc>
          <w:tcPr>
            <w:tcW w:w="206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旧设备拆除</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0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台</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3</w:t>
            </w:r>
          </w:p>
        </w:tc>
        <w:tc>
          <w:tcPr>
            <w:tcW w:w="180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现场勘察</w:t>
            </w:r>
          </w:p>
        </w:tc>
      </w:tr>
      <w:tr>
        <w:tblPrEx>
          <w:tblCellMar>
            <w:top w:w="0" w:type="dxa"/>
            <w:left w:w="108" w:type="dxa"/>
            <w:bottom w:w="0" w:type="dxa"/>
            <w:right w:w="108" w:type="dxa"/>
          </w:tblCellMar>
        </w:tblPrEx>
        <w:trPr>
          <w:trHeight w:val="458" w:hRule="atLeast"/>
          <w:jc w:val="center"/>
        </w:trPr>
        <w:tc>
          <w:tcPr>
            <w:tcW w:w="600" w:type="dxa"/>
            <w:vMerge w:val="continue"/>
            <w:tcBorders>
              <w:left w:val="single" w:color="auto" w:sz="6" w:space="0"/>
              <w:right w:val="single" w:color="auto" w:sz="6" w:space="0"/>
            </w:tcBorders>
            <w:noWrap w:val="0"/>
            <w:vAlign w:val="center"/>
          </w:tcPr>
          <w:p>
            <w:pPr>
              <w:keepNext w:val="0"/>
              <w:keepLines w:val="0"/>
              <w:widowControl/>
              <w:suppressLineNumbers w:val="0"/>
              <w:spacing w:before="0" w:beforeAutospacing="0" w:after="0" w:afterAutospacing="0"/>
              <w:ind w:left="0" w:right="0"/>
              <w:jc w:val="left"/>
              <w:rPr>
                <w:rFonts w:hint="default" w:hAnsi="宋体" w:eastAsia="等线"/>
                <w:kern w:val="2"/>
                <w:sz w:val="18"/>
                <w:szCs w:val="18"/>
              </w:rPr>
            </w:pPr>
          </w:p>
        </w:tc>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6</w:t>
            </w:r>
          </w:p>
        </w:tc>
        <w:tc>
          <w:tcPr>
            <w:tcW w:w="206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left"/>
              <w:rPr>
                <w:rFonts w:hint="default" w:hAnsi="宋体"/>
                <w:sz w:val="18"/>
                <w:szCs w:val="18"/>
              </w:rPr>
            </w:pPr>
            <w:r>
              <w:rPr>
                <w:rFonts w:hint="default" w:hAnsi="宋体"/>
                <w:sz w:val="18"/>
                <w:szCs w:val="18"/>
              </w:rPr>
              <w:t>设备顶蓬拆除及恢复</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0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处</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1</w:t>
            </w:r>
          </w:p>
        </w:tc>
        <w:tc>
          <w:tcPr>
            <w:tcW w:w="180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现场勘察</w:t>
            </w:r>
          </w:p>
        </w:tc>
      </w:tr>
      <w:tr>
        <w:tblPrEx>
          <w:tblCellMar>
            <w:top w:w="0" w:type="dxa"/>
            <w:left w:w="108" w:type="dxa"/>
            <w:bottom w:w="0" w:type="dxa"/>
            <w:right w:w="108" w:type="dxa"/>
          </w:tblCellMar>
        </w:tblPrEx>
        <w:trPr>
          <w:trHeight w:val="440" w:hRule="atLeast"/>
          <w:jc w:val="center"/>
        </w:trPr>
        <w:tc>
          <w:tcPr>
            <w:tcW w:w="600" w:type="dxa"/>
            <w:vMerge w:val="continue"/>
            <w:tcBorders>
              <w:left w:val="single" w:color="auto" w:sz="6" w:space="0"/>
              <w:right w:val="single" w:color="auto" w:sz="6" w:space="0"/>
            </w:tcBorders>
            <w:noWrap w:val="0"/>
            <w:vAlign w:val="center"/>
          </w:tcPr>
          <w:p>
            <w:pPr>
              <w:keepNext w:val="0"/>
              <w:keepLines w:val="0"/>
              <w:widowControl/>
              <w:suppressLineNumbers w:val="0"/>
              <w:spacing w:before="0" w:beforeAutospacing="0" w:after="0" w:afterAutospacing="0"/>
              <w:ind w:left="0" w:right="0"/>
              <w:jc w:val="left"/>
              <w:rPr>
                <w:rFonts w:hint="default" w:hAnsi="宋体" w:eastAsia="等线"/>
                <w:kern w:val="2"/>
                <w:sz w:val="18"/>
                <w:szCs w:val="18"/>
              </w:rPr>
            </w:pPr>
          </w:p>
        </w:tc>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7</w:t>
            </w:r>
          </w:p>
        </w:tc>
        <w:tc>
          <w:tcPr>
            <w:tcW w:w="206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left"/>
              <w:rPr>
                <w:rFonts w:hint="default" w:hAnsi="宋体"/>
                <w:sz w:val="18"/>
                <w:szCs w:val="18"/>
              </w:rPr>
            </w:pPr>
            <w:r>
              <w:rPr>
                <w:rFonts w:hint="default" w:hAnsi="宋体"/>
                <w:sz w:val="18"/>
                <w:szCs w:val="18"/>
              </w:rPr>
              <w:t>混凝土顶板开孔</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1500*600</w:t>
            </w:r>
          </w:p>
        </w:tc>
        <w:tc>
          <w:tcPr>
            <w:tcW w:w="70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个</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2</w:t>
            </w:r>
          </w:p>
        </w:tc>
        <w:tc>
          <w:tcPr>
            <w:tcW w:w="180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供货方现场确定</w:t>
            </w:r>
          </w:p>
        </w:tc>
      </w:tr>
      <w:tr>
        <w:tblPrEx>
          <w:tblCellMar>
            <w:top w:w="0" w:type="dxa"/>
            <w:left w:w="108" w:type="dxa"/>
            <w:bottom w:w="0" w:type="dxa"/>
            <w:right w:w="108" w:type="dxa"/>
          </w:tblCellMar>
        </w:tblPrEx>
        <w:trPr>
          <w:trHeight w:val="462" w:hRule="atLeast"/>
          <w:jc w:val="center"/>
        </w:trPr>
        <w:tc>
          <w:tcPr>
            <w:tcW w:w="600" w:type="dxa"/>
            <w:vMerge w:val="continue"/>
            <w:tcBorders>
              <w:left w:val="single" w:color="auto" w:sz="6" w:space="0"/>
              <w:right w:val="single" w:color="auto" w:sz="6" w:space="0"/>
            </w:tcBorders>
            <w:noWrap w:val="0"/>
            <w:vAlign w:val="center"/>
          </w:tcPr>
          <w:p>
            <w:pPr>
              <w:keepNext w:val="0"/>
              <w:keepLines w:val="0"/>
              <w:widowControl/>
              <w:suppressLineNumbers w:val="0"/>
              <w:spacing w:before="0" w:beforeAutospacing="0" w:after="0" w:afterAutospacing="0"/>
              <w:ind w:left="0" w:right="0"/>
              <w:jc w:val="left"/>
              <w:rPr>
                <w:rFonts w:hint="default" w:hAnsi="宋体" w:eastAsia="等线"/>
                <w:kern w:val="2"/>
                <w:sz w:val="18"/>
                <w:szCs w:val="18"/>
              </w:rPr>
            </w:pPr>
          </w:p>
        </w:tc>
        <w:tc>
          <w:tcPr>
            <w:tcW w:w="600"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8</w:t>
            </w:r>
          </w:p>
        </w:tc>
        <w:tc>
          <w:tcPr>
            <w:tcW w:w="206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设备所需的电控柜的安装接电</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0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1</w:t>
            </w:r>
          </w:p>
        </w:tc>
        <w:tc>
          <w:tcPr>
            <w:tcW w:w="1806"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所需材料供货方自配自带</w:t>
            </w:r>
          </w:p>
        </w:tc>
      </w:tr>
      <w:tr>
        <w:tblPrEx>
          <w:tblCellMar>
            <w:top w:w="0" w:type="dxa"/>
            <w:left w:w="108" w:type="dxa"/>
            <w:bottom w:w="0" w:type="dxa"/>
            <w:right w:w="108" w:type="dxa"/>
          </w:tblCellMar>
        </w:tblPrEx>
        <w:trPr>
          <w:trHeight w:val="358" w:hRule="atLeast"/>
          <w:jc w:val="center"/>
        </w:trPr>
        <w:tc>
          <w:tcPr>
            <w:tcW w:w="600" w:type="dxa"/>
            <w:vMerge w:val="continue"/>
            <w:tcBorders>
              <w:left w:val="single" w:color="auto" w:sz="6" w:space="0"/>
              <w:right w:val="single" w:color="auto" w:sz="6" w:space="0"/>
            </w:tcBorders>
            <w:noWrap w:val="0"/>
            <w:vAlign w:val="center"/>
          </w:tcPr>
          <w:p>
            <w:pPr>
              <w:keepNext w:val="0"/>
              <w:keepLines w:val="0"/>
              <w:widowControl/>
              <w:suppressLineNumbers w:val="0"/>
              <w:spacing w:before="0" w:beforeAutospacing="0" w:after="0" w:afterAutospacing="0"/>
              <w:ind w:left="0" w:right="0"/>
              <w:jc w:val="left"/>
              <w:rPr>
                <w:rFonts w:hint="default" w:hAnsi="宋体" w:eastAsia="等线"/>
                <w:kern w:val="2"/>
                <w:sz w:val="18"/>
                <w:szCs w:val="18"/>
              </w:rPr>
            </w:pPr>
          </w:p>
        </w:tc>
        <w:tc>
          <w:tcPr>
            <w:tcW w:w="600" w:type="dxa"/>
            <w:vMerge w:val="restart"/>
            <w:tcBorders>
              <w:top w:val="single" w:color="auto" w:sz="6" w:space="0"/>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9</w:t>
            </w:r>
          </w:p>
        </w:tc>
        <w:tc>
          <w:tcPr>
            <w:tcW w:w="2065" w:type="dxa"/>
            <w:vMerge w:val="restart"/>
            <w:tcBorders>
              <w:top w:val="single" w:color="auto" w:sz="6" w:space="0"/>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中水冲洗主管更换改造</w:t>
            </w: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sz w:val="18"/>
                <w:szCs w:val="18"/>
              </w:rPr>
            </w:pPr>
            <w:r>
              <w:rPr>
                <w:rFonts w:hint="default"/>
                <w:sz w:val="18"/>
                <w:szCs w:val="18"/>
              </w:rPr>
              <w:t>DN50、钢管：壁厚4</w:t>
            </w:r>
          </w:p>
          <w:p>
            <w:pPr>
              <w:keepNext w:val="0"/>
              <w:keepLines w:val="0"/>
              <w:suppressLineNumbers w:val="0"/>
              <w:spacing w:before="0" w:beforeAutospacing="0" w:after="0" w:afterAutospacing="0"/>
              <w:ind w:left="0" w:right="0"/>
              <w:jc w:val="center"/>
              <w:rPr>
                <w:rFonts w:hint="default"/>
                <w:sz w:val="18"/>
                <w:szCs w:val="18"/>
              </w:rPr>
            </w:pPr>
          </w:p>
        </w:tc>
        <w:tc>
          <w:tcPr>
            <w:tcW w:w="708" w:type="dxa"/>
            <w:vMerge w:val="restart"/>
            <w:tcBorders>
              <w:top w:val="single" w:color="auto" w:sz="6" w:space="0"/>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材质S304</w:t>
            </w: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米</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10</w:t>
            </w:r>
          </w:p>
        </w:tc>
        <w:tc>
          <w:tcPr>
            <w:tcW w:w="1806" w:type="dxa"/>
            <w:vMerge w:val="restart"/>
            <w:tcBorders>
              <w:top w:val="single" w:color="auto" w:sz="6" w:space="0"/>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所需材料供方自配自带</w:t>
            </w:r>
          </w:p>
        </w:tc>
      </w:tr>
      <w:tr>
        <w:tblPrEx>
          <w:tblCellMar>
            <w:top w:w="0" w:type="dxa"/>
            <w:left w:w="108" w:type="dxa"/>
            <w:bottom w:w="0" w:type="dxa"/>
            <w:right w:w="108" w:type="dxa"/>
          </w:tblCellMar>
        </w:tblPrEx>
        <w:trPr>
          <w:trHeight w:val="408" w:hRule="atLeast"/>
          <w:jc w:val="center"/>
        </w:trPr>
        <w:tc>
          <w:tcPr>
            <w:tcW w:w="600" w:type="dxa"/>
            <w:tcBorders>
              <w:left w:val="single" w:color="auto" w:sz="6" w:space="0"/>
              <w:right w:val="single" w:color="auto" w:sz="6" w:space="0"/>
            </w:tcBorders>
            <w:noWrap w:val="0"/>
            <w:vAlign w:val="center"/>
          </w:tcPr>
          <w:p>
            <w:pPr>
              <w:keepNext w:val="0"/>
              <w:keepLines w:val="0"/>
              <w:widowControl/>
              <w:suppressLineNumbers w:val="0"/>
              <w:spacing w:before="0" w:beforeAutospacing="0" w:after="0" w:afterAutospacing="0"/>
              <w:ind w:left="0" w:right="0"/>
              <w:jc w:val="left"/>
              <w:rPr>
                <w:rFonts w:hint="default" w:hAnsi="宋体" w:eastAsia="等线"/>
                <w:kern w:val="2"/>
                <w:sz w:val="18"/>
                <w:szCs w:val="18"/>
              </w:rPr>
            </w:pPr>
          </w:p>
        </w:tc>
        <w:tc>
          <w:tcPr>
            <w:tcW w:w="600"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2065"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DN50、法兰1.0Mpa</w:t>
            </w:r>
          </w:p>
        </w:tc>
        <w:tc>
          <w:tcPr>
            <w:tcW w:w="708"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片</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2</w:t>
            </w:r>
          </w:p>
        </w:tc>
        <w:tc>
          <w:tcPr>
            <w:tcW w:w="1806"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r>
      <w:tr>
        <w:tblPrEx>
          <w:tblCellMar>
            <w:top w:w="0" w:type="dxa"/>
            <w:left w:w="108" w:type="dxa"/>
            <w:bottom w:w="0" w:type="dxa"/>
            <w:right w:w="108" w:type="dxa"/>
          </w:tblCellMar>
        </w:tblPrEx>
        <w:trPr>
          <w:trHeight w:val="441" w:hRule="atLeast"/>
          <w:jc w:val="center"/>
        </w:trPr>
        <w:tc>
          <w:tcPr>
            <w:tcW w:w="600" w:type="dxa"/>
            <w:tcBorders>
              <w:left w:val="single" w:color="auto" w:sz="6" w:space="0"/>
              <w:right w:val="single" w:color="auto" w:sz="6" w:space="0"/>
            </w:tcBorders>
            <w:noWrap w:val="0"/>
            <w:vAlign w:val="center"/>
          </w:tcPr>
          <w:p>
            <w:pPr>
              <w:keepNext w:val="0"/>
              <w:keepLines w:val="0"/>
              <w:widowControl/>
              <w:suppressLineNumbers w:val="0"/>
              <w:spacing w:before="0" w:beforeAutospacing="0" w:after="0" w:afterAutospacing="0"/>
              <w:ind w:left="0" w:right="0"/>
              <w:jc w:val="left"/>
              <w:rPr>
                <w:rFonts w:hint="default" w:hAnsi="宋体" w:eastAsia="等线"/>
                <w:kern w:val="2"/>
                <w:sz w:val="18"/>
                <w:szCs w:val="18"/>
              </w:rPr>
            </w:pPr>
          </w:p>
        </w:tc>
        <w:tc>
          <w:tcPr>
            <w:tcW w:w="600"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2065"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DN50、卧式止回阀</w:t>
            </w:r>
          </w:p>
        </w:tc>
        <w:tc>
          <w:tcPr>
            <w:tcW w:w="708"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只</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2</w:t>
            </w:r>
          </w:p>
        </w:tc>
        <w:tc>
          <w:tcPr>
            <w:tcW w:w="1806"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r>
      <w:tr>
        <w:tblPrEx>
          <w:tblCellMar>
            <w:top w:w="0" w:type="dxa"/>
            <w:left w:w="108" w:type="dxa"/>
            <w:bottom w:w="0" w:type="dxa"/>
            <w:right w:w="108" w:type="dxa"/>
          </w:tblCellMar>
        </w:tblPrEx>
        <w:trPr>
          <w:trHeight w:val="406" w:hRule="atLeast"/>
          <w:jc w:val="center"/>
        </w:trPr>
        <w:tc>
          <w:tcPr>
            <w:tcW w:w="600" w:type="dxa"/>
            <w:tcBorders>
              <w:left w:val="single" w:color="auto" w:sz="6" w:space="0"/>
              <w:right w:val="single" w:color="auto" w:sz="6" w:space="0"/>
            </w:tcBorders>
            <w:noWrap w:val="0"/>
            <w:vAlign w:val="center"/>
          </w:tcPr>
          <w:p>
            <w:pPr>
              <w:keepNext w:val="0"/>
              <w:keepLines w:val="0"/>
              <w:widowControl/>
              <w:suppressLineNumbers w:val="0"/>
              <w:spacing w:before="0" w:beforeAutospacing="0" w:after="0" w:afterAutospacing="0"/>
              <w:ind w:left="0" w:right="0"/>
              <w:jc w:val="left"/>
              <w:rPr>
                <w:rFonts w:hint="default" w:hAnsi="宋体" w:eastAsia="等线"/>
                <w:kern w:val="2"/>
                <w:sz w:val="18"/>
                <w:szCs w:val="18"/>
              </w:rPr>
            </w:pPr>
          </w:p>
        </w:tc>
        <w:tc>
          <w:tcPr>
            <w:tcW w:w="600"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2065"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DN50、焊接弯头90°</w:t>
            </w:r>
          </w:p>
        </w:tc>
        <w:tc>
          <w:tcPr>
            <w:tcW w:w="708"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只</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8</w:t>
            </w:r>
          </w:p>
        </w:tc>
        <w:tc>
          <w:tcPr>
            <w:tcW w:w="1806" w:type="dxa"/>
            <w:vMerge w:val="continue"/>
            <w:tcBorders>
              <w:left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r>
      <w:tr>
        <w:tblPrEx>
          <w:tblCellMar>
            <w:top w:w="0" w:type="dxa"/>
            <w:left w:w="108" w:type="dxa"/>
            <w:bottom w:w="0" w:type="dxa"/>
            <w:right w:w="108" w:type="dxa"/>
          </w:tblCellMar>
        </w:tblPrEx>
        <w:trPr>
          <w:trHeight w:val="412" w:hRule="atLeast"/>
          <w:jc w:val="center"/>
        </w:trPr>
        <w:tc>
          <w:tcPr>
            <w:tcW w:w="600" w:type="dxa"/>
            <w:tcBorders>
              <w:left w:val="single" w:color="auto" w:sz="6" w:space="0"/>
              <w:bottom w:val="single" w:color="auto" w:sz="6" w:space="0"/>
              <w:right w:val="single" w:color="auto" w:sz="6" w:space="0"/>
            </w:tcBorders>
            <w:noWrap w:val="0"/>
            <w:vAlign w:val="center"/>
          </w:tcPr>
          <w:p>
            <w:pPr>
              <w:keepNext w:val="0"/>
              <w:keepLines w:val="0"/>
              <w:widowControl/>
              <w:suppressLineNumbers w:val="0"/>
              <w:spacing w:before="0" w:beforeAutospacing="0" w:after="0" w:afterAutospacing="0"/>
              <w:ind w:left="0" w:right="0"/>
              <w:jc w:val="left"/>
              <w:rPr>
                <w:rFonts w:hint="default" w:hAnsi="宋体" w:eastAsia="等线"/>
                <w:kern w:val="2"/>
                <w:sz w:val="18"/>
                <w:szCs w:val="18"/>
              </w:rPr>
            </w:pPr>
          </w:p>
        </w:tc>
        <w:tc>
          <w:tcPr>
            <w:tcW w:w="600" w:type="dxa"/>
            <w:vMerge w:val="continue"/>
            <w:tcBorders>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2065" w:type="dxa"/>
            <w:vMerge w:val="continue"/>
            <w:tcBorders>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198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DN50、焊接三通</w:t>
            </w:r>
          </w:p>
        </w:tc>
        <w:tc>
          <w:tcPr>
            <w:tcW w:w="708" w:type="dxa"/>
            <w:vMerge w:val="continue"/>
            <w:tcBorders>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c>
          <w:tcPr>
            <w:tcW w:w="711"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只</w:t>
            </w:r>
          </w:p>
        </w:tc>
        <w:tc>
          <w:tcPr>
            <w:tcW w:w="602" w:type="dxa"/>
            <w:tcBorders>
              <w:top w:val="single" w:color="auto" w:sz="6" w:space="0"/>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r>
              <w:rPr>
                <w:rFonts w:hint="default" w:hAnsi="宋体"/>
                <w:sz w:val="18"/>
                <w:szCs w:val="18"/>
              </w:rPr>
              <w:t>2</w:t>
            </w:r>
          </w:p>
        </w:tc>
        <w:tc>
          <w:tcPr>
            <w:tcW w:w="1806" w:type="dxa"/>
            <w:vMerge w:val="continue"/>
            <w:tcBorders>
              <w:left w:val="single" w:color="auto" w:sz="6" w:space="0"/>
              <w:bottom w:val="single" w:color="auto" w:sz="6" w:space="0"/>
              <w:right w:val="single" w:color="auto" w:sz="6" w:space="0"/>
            </w:tcBorders>
            <w:noWrap w:val="0"/>
            <w:vAlign w:val="center"/>
          </w:tcPr>
          <w:p>
            <w:pPr>
              <w:keepNext w:val="0"/>
              <w:keepLines w:val="0"/>
              <w:suppressLineNumbers w:val="0"/>
              <w:spacing w:before="0" w:beforeAutospacing="0" w:after="0" w:afterAutospacing="0"/>
              <w:ind w:left="0" w:right="0"/>
              <w:jc w:val="center"/>
              <w:rPr>
                <w:rFonts w:hint="default" w:hAnsi="宋体"/>
                <w:sz w:val="18"/>
                <w:szCs w:val="18"/>
              </w:rPr>
            </w:pPr>
          </w:p>
        </w:tc>
      </w:tr>
    </w:tbl>
    <w:p>
      <w:pPr>
        <w:pStyle w:val="2"/>
        <w:rPr>
          <w:rFonts w:hint="eastAsia"/>
        </w:rPr>
      </w:pP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1、设备供货范围:</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（1）提供完整的内进流网板格栅机、螺栓输送压榨机必须成套配备所需附件、紧固件、支撑件、备品备件、保护器、专用工具包等;</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（2）所提供的设备必须是一个制造商的最终产品;</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（3）所有设备货到现场，经甲方开箱验收合格后方可安装。</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（4）供货方负责供货范围内所有设备及相关附件的供货、运输、吊卸、交货、保管、安装和单机及联合调试。所有设备质保期2年。</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5）本招标采购报价为综合价格，所有招标文件中列出的或隐含的为完成合同所需的一切责任和义务等费用都应包括在内，除合同另有规定外，应视为投标商为相关设备供货、运输、提供相关技术服务和培训、安装及调试、验收，及在质保期内保修设备招标人必须支付的费用，包括所有的税费和利润及可能的风险，不再有报</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价以外的任何附加费用。同时报价应包含涉及到的相关知识产权和专利费用。</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（6）本次招标范围的所有设备及配套系统，质保期为二年，投</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标方负责质保期内设的维修及更换，确保设备正常运行，达到使用标准。</w:t>
      </w:r>
    </w:p>
    <w:p>
      <w:pPr>
        <w:pStyle w:val="11"/>
        <w:shd w:val="clear" w:color="auto" w:fill="FFFFFF"/>
        <w:spacing w:before="0" w:beforeAutospacing="0" w:after="0" w:afterAutospacing="0" w:line="360" w:lineRule="auto"/>
        <w:ind w:left="0" w:leftChars="0" w:firstLine="442" w:firstLineChars="200"/>
        <w:jc w:val="both"/>
        <w:rPr>
          <w:rFonts w:hint="eastAsia" w:ascii="宋体" w:hAnsi="宋体" w:eastAsia="宋体" w:cs="宋体"/>
          <w:b/>
          <w:bCs/>
          <w:color w:val="auto"/>
          <w:sz w:val="21"/>
          <w:szCs w:val="21"/>
          <w:highlight w:val="none"/>
          <w:shd w:val="clear" w:color="auto" w:fill="FFFFFF"/>
          <w:lang w:val="en-US" w:eastAsia="zh-CN"/>
        </w:rPr>
      </w:pPr>
      <w:r>
        <w:rPr>
          <w:rFonts w:hint="eastAsia" w:ascii="宋体" w:hAnsi="宋体" w:cs="宋体"/>
          <w:b/>
          <w:bCs/>
          <w:color w:val="auto"/>
          <w:kern w:val="0"/>
          <w:sz w:val="22"/>
          <w:szCs w:val="22"/>
          <w:highlight w:val="none"/>
          <w:lang w:val="zh-CN" w:eastAsia="zh-CN"/>
        </w:rPr>
        <w:t>★</w:t>
      </w:r>
      <w:r>
        <w:rPr>
          <w:rFonts w:hint="eastAsia" w:ascii="宋体" w:hAnsi="宋体" w:eastAsia="宋体" w:cs="宋体"/>
          <w:b/>
          <w:bCs/>
          <w:color w:val="auto"/>
          <w:sz w:val="21"/>
          <w:szCs w:val="21"/>
          <w:highlight w:val="none"/>
          <w:shd w:val="clear" w:color="auto" w:fill="FFFFFF"/>
          <w:lang w:val="en-US" w:eastAsia="zh-CN"/>
        </w:rPr>
        <w:t>二、技术要求</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内进流网板格栅机</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内进流网板格栅系统技术描述：</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1、孔板式细格栅采用垂直式安装，内进水式孔板格栅。</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2、孔板式细格栅主要结构组成：</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过滤孔板、链轮链条、主体框架、冲刷及收集部件、格栅外壳、驱动电机等。</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3、内进流网板格栅过滤原理：</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未经过滤的污水从孔板格栅进口框架中间进入格栅内部，污水从格栅两侧穿过孔板流出，栅渣等物质被截留在孔板的内壁，当整个过滤孔板运行时把截留在内壁上物质向上提升至顶部，在顶部孔板外侧上面设有冲洗水棒，通过压力水对孔板进行冲洗，把截留的物质冲刷到设置在孔板内侧下面的输送压榨机内，然后通过输送压榨脱水处理。整个过滤过程是在连续的、自动的状态下进行的。</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4、内进流网板格栅的优点：</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（1）高强度的机械结构设计使格栅持续性运行更可靠、更有保证。</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（2）格栅的强制连续性过滤设计使栅渣等物质不会穿流到栅后，保证了更高的过滤效率。</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（3）滤板上截留的栅渣等物质通过喷嘴冲洗得到最佳的清理效果。</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（4）格栅渠以上部分采用基本密封结构，有效的控制了臭气的释放。</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5、内进流网板格栅主要指标及性能描述：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 主要参数：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一期</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 渠深：3000mm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 渠宽：1600mm</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630" w:firstLineChars="3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栅前水深：按2300mm计</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 过滤孔板孔径：1.5mm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 有效过滤孔板长度:1400mm （参考）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 单台水量：40000m³/d（以污堵率计）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 过栅流速：按0.6m/s计  （参考）</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注:内进流网板格栅机单台水量:40000m3/d以上，中标厂商在设备制造前须到甲方现场实地勘察，了解该池的工艺状况，进一步核准现状条件，在保证该机在正常满载和运行部分污物受到堵塞的状态下必须能满足单机的过流功能要求，同时，进水前置的导流溢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水槽不得出现外溢现象。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驱动电机功率：0.75KW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安装角度：90度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冲洗水接口：DN32，两支</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冲洗压力：≧0.8Mpa </w:t>
      </w:r>
    </w:p>
    <w:p>
      <w:pPr>
        <w:pStyle w:val="11"/>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 排渣高度：800mm</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6、性能描述 ： </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内进流式网板格栅</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内进式旋转滤网格栅的连续穿孔栅板平行于水流方向安装，并带有固定在网板上的垃圾提升装置。采用的设计进水方式确保使得所有污水均从格栅中间进入并从两侧排出，垃圾无法溢流到格栅后方主动链轮需固定在主动轴上，随着主动轴的转动，主动链轮带动固定在链条上的栅板持续循环运行，主动轴通过轴装式齿轮箱和电机驱动。当穿孔栅板上升到系统排渣区时，喷淋冲洗系统能够将栅板上的垃圾清洗干净。</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机架</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格栅框架是由不锈钢型材和钢板制成的长方形不锈钢结构,并足以应付所需的荷载要求。其设计强度能承受大于1.0m的动态水位差，及1.5m的静态水位差，特别是特殊情况下能保证格栅不变形和运行性能。框架结构两边均设计成适于安装可替换密封系统条的形式。侧板通过不锈钢横梁连接在一起。其中，横梁由不锈钢板加工制成，经机加工后能保持侧板间的准确距离。框架轨道系统中的竖直轨道材质为不锈钢，底部外侧轨道材质为不锈钢，底部内侧轨道材质为不锈钢。</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穿孔栅板</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穿孔网板采用304不锈钢材料制成，穿孔孔径为3mm (细格栅)，穿孔形式为直圆柱形，且两侧均与不锈钢链条连接，栅板能方便的独立单片更换。过滤孔板是由304不锈钢板精密加工后再由专用磨具压制成，为保证孔板能够承受足够强度的水力压力，孔板制作时其与框架的连接都做了加强的考虑，为保证网板与孔网板之间的密封性，两块网板呈关节状连接，既保证高密封性的同时也有足够的强度，又保证网板之间的密封永久无磨损。每个过滤板呈翻斗状（倒7字形式)，网板有规则排列的滤孔形网板，大大增加网板的穿孔率（含毛刷，单位面积增加冲孔率22%），同时有效增加单位面积过水率。网面具有自带抗压能力、截污能力、提渣的功能，当滤板运转的同时，栅渣被截留在网上并掉落在翻斗中被有效提升到格栅顶部，经高压冲洗喷头冲入接料槽中，由溜槽送出。过滤孔板运行是由驱动轴带动链轮链条来实现的。整个网板滤带面具有足够的过水通道，以保证过水面积和流量满足设计要求，污水通过栅隙流速小于0.8m/s。</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链条和链轮</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用于传动的牵引链采用SS304不锈钢制造，链条具有足够的断面尺寸，牵引链破断强度不小于最大牵引力的5倍。传动用的牵引链轮及导向装置，分别置于机架两侧的上部和下部。水下导向装置的形式，在结构上具有可靠的设施防止栅渣等污物的缠绕。导向装置是非链轮机构。</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外罩</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格栅超出渠道顶部分均由外罩封闭，所有外罩材质均为不锈钢304，侧盖板设有锁扣，每一侧板都能独立的迅速的拆卸下来，便于检修和观察。</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驱动装置</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内进流式网板格栅除污机的驱动装置位于机架上部，除传动装置外，其余均采用不锈钢材料制造。</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主传动轴采用304不锈钢材料制造，传动轴的设计具有足够的强度和刚度，以承受弯矩和扭矩同时作用的载荷，断裂荷载不小于66750N。滚链无需润滑。 </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驱动装置采用轴装式减速机，在机架前后二侧应设置螺旋式调节装置，以作调整传动链条张紧用。电机减速装置是传动效率高、低噪音、使用寿命长、运行平稳可靠的国际知名品牌，例如SEW、NorD、佛兰德等。驱动电机适用于电源380V、三相、50Hz，电动机的防护等级为IP55。</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冲洗系统</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在孔板格栅顶部设有两道冲洗棒及喷嘴，均用不锈钢材质制成，冲洗系统包括不锈钢电磁阀、不锈钢手动球阀和过滤器。冲洗泵采用国产知名优质品牌。</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中压冲洗系统用于细格栅长时间不间断冲洗，保证细格栅系统长期稳定运行。中压冲洗系统与格栅同时起停，能有效去除网板截留的绝大部分污物，喷管材料为不锈钢304，冲洗水泵出口压力不低于0.8MPa。</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中压冲洗泵：采用南方品牌，Q=12m³/h，H=91m，P=5.5kw。      </w:t>
      </w:r>
    </w:p>
    <w:p>
      <w:pPr>
        <w:pStyle w:val="11"/>
        <w:shd w:val="clear" w:color="auto" w:fill="FFFFFF"/>
        <w:spacing w:before="0" w:beforeAutospacing="0" w:after="0" w:afterAutospacing="0" w:line="360" w:lineRule="auto"/>
        <w:ind w:left="0" w:leftChars="0" w:firstLine="420" w:firstLineChars="200"/>
        <w:jc w:val="both"/>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主要部件材质</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1"/>
        <w:gridCol w:w="4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22" w:type="dxa"/>
            <w:gridSpan w:val="2"/>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jc w:val="center"/>
              <w:rPr>
                <w:rFonts w:hint="default"/>
                <w:sz w:val="21"/>
                <w:szCs w:val="21"/>
              </w:rPr>
            </w:pPr>
          </w:p>
          <w:p>
            <w:pPr>
              <w:keepNext w:val="0"/>
              <w:keepLines w:val="0"/>
              <w:suppressLineNumbers w:val="0"/>
              <w:spacing w:before="0" w:beforeAutospacing="0" w:after="0" w:afterAutospacing="0"/>
              <w:ind w:left="0" w:right="0"/>
              <w:jc w:val="center"/>
              <w:rPr>
                <w:rFonts w:hint="default" w:hAnsi="宋体"/>
                <w:kern w:val="2"/>
                <w:sz w:val="21"/>
                <w:szCs w:val="21"/>
              </w:rPr>
            </w:pPr>
            <w:r>
              <w:rPr>
                <w:rFonts w:hint="default"/>
                <w:sz w:val="21"/>
                <w:szCs w:val="21"/>
              </w:rPr>
              <w:t>内进流式网板格栅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机架</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网板</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孔板销</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牵引链条</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销轴、轴衬</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滚轮</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导向装置</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冲洗管路</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冲洗喷嘴</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紧固件、标准件</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6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kern w:val="2"/>
                <w:sz w:val="21"/>
                <w:szCs w:val="21"/>
              </w:rPr>
            </w:pPr>
            <w:r>
              <w:rPr>
                <w:rFonts w:hint="default"/>
                <w:sz w:val="21"/>
                <w:szCs w:val="21"/>
              </w:rPr>
              <w:t>水平溜槽</w:t>
            </w:r>
          </w:p>
        </w:tc>
        <w:tc>
          <w:tcPr>
            <w:tcW w:w="48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10" w:firstLineChars="100"/>
              <w:rPr>
                <w:rFonts w:hint="default" w:hAnsi="宋体"/>
                <w:color w:val="000000"/>
                <w:kern w:val="2"/>
                <w:sz w:val="21"/>
                <w:szCs w:val="21"/>
              </w:rPr>
            </w:pPr>
            <w:r>
              <w:rPr>
                <w:rFonts w:hint="default"/>
                <w:color w:val="000000"/>
                <w:sz w:val="21"/>
                <w:szCs w:val="21"/>
              </w:rPr>
              <w:t>不锈钢304</w:t>
            </w:r>
          </w:p>
        </w:tc>
      </w:tr>
    </w:tbl>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电气控制</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电气控制箱具有手动控制、自动控制两种控制模式。</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手动控制：由控制面板上的按钮控制孔板式格栅、水泵、压榨机的运行。</w:t>
      </w:r>
    </w:p>
    <w:p>
      <w:pPr>
        <w:spacing w:line="500" w:lineRule="exact"/>
        <w:ind w:left="244" w:leftChars="116"/>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自动控制：由公司中控系统（预留远程PLC接口）根据预先编制的程序或定时要求控</w:t>
      </w:r>
    </w:p>
    <w:p>
      <w:pPr>
        <w:spacing w:line="500" w:lineRule="exac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制孔板式格栅、水泵和压榨机的联动运行（本系统电气控制箱预留无源接点通讯接口）。</w:t>
      </w:r>
    </w:p>
    <w:p>
      <w:pPr>
        <w:spacing w:line="500" w:lineRule="exact"/>
        <w:ind w:left="244" w:leftChars="116" w:firstLine="210" w:firstLineChars="1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电气控制箱电源进线为三相五线制，额定电压为AC380V，控制电压为AC220V。</w:t>
      </w:r>
    </w:p>
    <w:p>
      <w:pPr>
        <w:spacing w:line="500" w:lineRule="exact"/>
        <w:ind w:left="244" w:leftChars="116" w:firstLine="210" w:firstLineChars="1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电气控制箱箱体采用不锈钢304材料制作，户外型，电气控制箱具有多种的常规保</w:t>
      </w:r>
    </w:p>
    <w:p>
      <w:pPr>
        <w:spacing w:line="500" w:lineRule="exac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护功能：短路保护、缺相保护、过载保护等。</w:t>
      </w:r>
    </w:p>
    <w:p>
      <w:pPr>
        <w:spacing w:line="500" w:lineRule="exact"/>
        <w:ind w:left="244" w:leftChars="116" w:firstLine="210" w:firstLineChars="1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电气控制箱面板上设有开停按钮、紧急停车按钮、开停故障指</w:t>
      </w:r>
    </w:p>
    <w:p>
      <w:pPr>
        <w:spacing w:line="500" w:lineRule="exac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示灯和手动/自动转换开关等。</w:t>
      </w:r>
    </w:p>
    <w:p>
      <w:pPr>
        <w:spacing w:line="500" w:lineRule="exact"/>
        <w:ind w:left="244" w:leftChars="116" w:firstLine="210" w:firstLineChars="1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电气控制箱能向中控室PLC控制系统提供如下信号：</w:t>
      </w:r>
    </w:p>
    <w:p>
      <w:pPr>
        <w:spacing w:line="500" w:lineRule="exact"/>
        <w:ind w:left="244" w:leftChars="116" w:firstLine="210" w:firstLineChars="1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每台设备的运行/停止信号（无源触点）</w:t>
      </w:r>
    </w:p>
    <w:p>
      <w:pPr>
        <w:spacing w:line="500" w:lineRule="exact"/>
        <w:ind w:left="244" w:leftChars="116" w:firstLine="210" w:firstLineChars="1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每台设备的正常/故障信号（无源触点）</w:t>
      </w:r>
    </w:p>
    <w:p>
      <w:pPr>
        <w:spacing w:line="500" w:lineRule="exact"/>
        <w:ind w:left="244" w:leftChars="116" w:firstLine="210" w:firstLineChars="1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每台设备的手动/自动状态信号（无源触点）</w:t>
      </w:r>
    </w:p>
    <w:p>
      <w:pPr>
        <w:spacing w:line="500" w:lineRule="exact"/>
        <w:ind w:left="244" w:leftChars="116" w:firstLine="210" w:firstLineChars="1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电气控制箱能接受由中控室PLC控制系统来的每台设备的开</w:t>
      </w:r>
    </w:p>
    <w:p>
      <w:pPr>
        <w:spacing w:line="500" w:lineRule="exact"/>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停命令（无源触点）。质量可靠，美观大方是我们挑选电气元件的标准，主要电气元件选用正泰或等同品牌电器配件。              </w:t>
      </w:r>
    </w:p>
    <w:p>
      <w:pPr>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工厂检验：   </w:t>
      </w:r>
    </w:p>
    <w:p>
      <w:pPr>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每台设备经检查试验合格，并附产品合格证和使用维护说明书方可出厂。在全部设备安装完毕，卖方进行现场测试，测试内容及测试结果满足标书的各项技术要求，并得到买方认可。</w:t>
      </w:r>
    </w:p>
    <w:p>
      <w:pPr>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运行过程中满足：电机电流不应超过额定电流。设备运行平稳、无卡滞现象。密封可靠。空载运行2小时后，轴承温升不应超过20℃。</w:t>
      </w:r>
    </w:p>
    <w:p>
      <w:pPr>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设备的安装：  </w:t>
      </w:r>
    </w:p>
    <w:p>
      <w:pPr>
        <w:pStyle w:val="4"/>
        <w:spacing w:line="300" w:lineRule="auto"/>
        <w:ind w:left="0" w:leftChars="0" w:firstLine="420" w:firstLineChars="200"/>
        <w:jc w:val="both"/>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中标厂商负责所有设备及货物的运输、吊卸、安装（含其他所</w:t>
      </w:r>
    </w:p>
    <w:p>
      <w:pPr>
        <w:pStyle w:val="4"/>
        <w:spacing w:line="300" w:lineRule="auto"/>
        <w:ind w:firstLine="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居工作范围）、调试、培训直至正常运行。</w:t>
      </w:r>
    </w:p>
    <w:p>
      <w:pPr>
        <w:pStyle w:val="4"/>
        <w:spacing w:line="300" w:lineRule="auto"/>
        <w:ind w:firstLine="422" w:firstLineChars="200"/>
        <w:rPr>
          <w:rFonts w:hint="eastAsia" w:ascii="宋体" w:hAnsi="宋体" w:eastAsia="宋体" w:cs="宋体"/>
          <w:b/>
          <w:bCs/>
          <w:color w:val="auto"/>
          <w:kern w:val="0"/>
          <w:sz w:val="21"/>
          <w:szCs w:val="21"/>
          <w:highlight w:val="none"/>
          <w:shd w:val="clear" w:color="auto" w:fill="FFFFFF"/>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SA"/>
        </w:rPr>
        <w:t>三、螺旋输送压榨一体机技术说明</w:t>
      </w:r>
    </w:p>
    <w:p>
      <w:pPr>
        <w:pStyle w:val="6"/>
        <w:spacing w:line="480" w:lineRule="exact"/>
        <w:ind w:left="99" w:leftChars="47" w:firstLine="210" w:firstLineChars="1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（1）设备范围：</w:t>
      </w:r>
    </w:p>
    <w:p>
      <w:pPr>
        <w:pStyle w:val="6"/>
        <w:spacing w:line="480" w:lineRule="exact"/>
        <w:ind w:left="99" w:leftChars="47" w:firstLine="411" w:firstLineChars="196"/>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装配完整的螺旋输送机及安装所需的零部件。包括：螺旋叶</w:t>
      </w:r>
    </w:p>
    <w:p>
      <w:pPr>
        <w:pStyle w:val="6"/>
        <w:spacing w:line="480" w:lineRule="exact"/>
        <w:ind w:left="99" w:leftChars="47"/>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片、轴头、螺旋槽、螺旋轴、盖板、进出料口、接渣斗、机架、驱动装置、所有连接附件。</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445"/>
        <w:gridCol w:w="2031"/>
        <w:gridCol w:w="926"/>
        <w:gridCol w:w="2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9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编号</w:t>
            </w:r>
          </w:p>
        </w:tc>
        <w:tc>
          <w:tcPr>
            <w:tcW w:w="24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名称</w:t>
            </w:r>
          </w:p>
        </w:tc>
        <w:tc>
          <w:tcPr>
            <w:tcW w:w="20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技术参数</w:t>
            </w:r>
          </w:p>
        </w:tc>
        <w:tc>
          <w:tcPr>
            <w:tcW w:w="92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数量</w:t>
            </w:r>
          </w:p>
        </w:tc>
        <w:tc>
          <w:tcPr>
            <w:tcW w:w="2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1</w:t>
            </w:r>
          </w:p>
        </w:tc>
        <w:tc>
          <w:tcPr>
            <w:tcW w:w="244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 xml:space="preserve"> 螺旋输送压机</w:t>
            </w:r>
          </w:p>
        </w:tc>
        <w:tc>
          <w:tcPr>
            <w:tcW w:w="203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LYZ-300×5500</w:t>
            </w:r>
          </w:p>
        </w:tc>
        <w:tc>
          <w:tcPr>
            <w:tcW w:w="92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1套</w:t>
            </w:r>
          </w:p>
        </w:tc>
        <w:tc>
          <w:tcPr>
            <w:tcW w:w="2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480" w:lineRule="exact"/>
              <w:ind w:left="0" w:right="0"/>
              <w:jc w:val="center"/>
              <w:rPr>
                <w:rFonts w:hint="default" w:hAnsi="宋体"/>
                <w:kern w:val="2"/>
                <w:sz w:val="24"/>
                <w:szCs w:val="24"/>
              </w:rPr>
            </w:pPr>
            <w:r>
              <w:rPr>
                <w:rFonts w:hint="default" w:hAnsi="宋体"/>
                <w:sz w:val="24"/>
              </w:rPr>
              <w:t>N=2.2kw</w:t>
            </w:r>
          </w:p>
        </w:tc>
      </w:tr>
    </w:tbl>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（2）设备设计、制造、检验、包装运输、安装过程的中所遵循的标准均为国标(GB)或部标(JB),目录如下:</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 JB/7670-95          螺旋输送机                </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JB2932-86           水处理设备制造技术条件</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JB/ZQ4000.2-86      切削加工件通用技术条件</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JB/ZQ4000.3-86      焊接件通用技术条件</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JB/Z5000.5-98       有色金属铸铁通用技术条件</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JB/Z4000.9-86       装配技术条件</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GB/ZQ4286-86        涂装通用技术条件</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GB/ZQ4000.10-86     包装技术通用技术条件</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GB3797-89           装有电子器件电控箱技术条件</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GB4720-84           低压电器电控箱</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GB/T4942.2-93       低压电器外壳防护等级</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GB8923-85           涂装前钢材表面锈蚀等级和除锈等级</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GB4979-85           防锈包装</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JB/ZQ4000.1-86      产品检验通用技术要求</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（3）主要技术参数</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设备型号:：LYZ-300×5500（参考）</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设备名称:螺旋输送压榨一体机</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螺旋直径:300mm </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螺旋输送长度:5500mm</w:t>
      </w:r>
      <w:r>
        <w:rPr>
          <w:rFonts w:hint="eastAsia" w:ascii="宋体" w:hAnsi="宋体" w:eastAsia="宋体" w:cs="宋体"/>
          <w:color w:val="auto"/>
          <w:kern w:val="0"/>
          <w:sz w:val="21"/>
          <w:szCs w:val="21"/>
          <w:highlight w:val="none"/>
          <w:shd w:val="clear" w:color="auto" w:fill="FFFFFF"/>
          <w:lang w:val="en-US" w:eastAsia="zh-CN" w:bidi="ar-SA"/>
        </w:rPr>
        <w:tab/>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进料斗:2个</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安装角度:0°</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电机功率:2.2kw</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电机防护等级:IP55</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电机绝缘等级:F级</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噪声:≤75Db(A)</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工作作制:24小时连续工作或间歇运行</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电源： 三相  380V  50HZ  </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（4）主要材质:   </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7"/>
        <w:gridCol w:w="4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52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jc w:val="center"/>
              <w:rPr>
                <w:rFonts w:hint="default"/>
                <w:color w:val="000000"/>
                <w:kern w:val="2"/>
                <w:sz w:val="24"/>
                <w:szCs w:val="24"/>
              </w:rPr>
            </w:pPr>
            <w:r>
              <w:rPr>
                <w:rFonts w:hint="default"/>
                <w:color w:val="000000"/>
                <w:sz w:val="24"/>
                <w:szCs w:val="24"/>
              </w:rPr>
              <w:t>螺旋输送压榨一体机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4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压榨螺旋体</w:t>
            </w:r>
          </w:p>
        </w:tc>
        <w:tc>
          <w:tcPr>
            <w:tcW w:w="41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4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螺旋轴</w:t>
            </w:r>
          </w:p>
        </w:tc>
        <w:tc>
          <w:tcPr>
            <w:tcW w:w="41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4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清污毛刷</w:t>
            </w:r>
          </w:p>
        </w:tc>
        <w:tc>
          <w:tcPr>
            <w:tcW w:w="41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4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螺旋输送压榨管</w:t>
            </w:r>
          </w:p>
        </w:tc>
        <w:tc>
          <w:tcPr>
            <w:tcW w:w="41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4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机架</w:t>
            </w:r>
          </w:p>
        </w:tc>
        <w:tc>
          <w:tcPr>
            <w:tcW w:w="41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4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进料斗、出渣管</w:t>
            </w:r>
          </w:p>
        </w:tc>
        <w:tc>
          <w:tcPr>
            <w:tcW w:w="41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4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所有连接附件、螺栓等紧固件</w:t>
            </w:r>
          </w:p>
        </w:tc>
        <w:tc>
          <w:tcPr>
            <w:tcW w:w="41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不锈钢304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44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减速机电机品牌</w:t>
            </w:r>
          </w:p>
        </w:tc>
        <w:tc>
          <w:tcPr>
            <w:tcW w:w="411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500" w:lineRule="exact"/>
              <w:ind w:left="244" w:leftChars="116" w:right="0" w:firstLine="240" w:firstLineChars="100"/>
              <w:rPr>
                <w:rFonts w:hint="default"/>
                <w:color w:val="000000"/>
                <w:kern w:val="2"/>
                <w:sz w:val="24"/>
                <w:szCs w:val="24"/>
              </w:rPr>
            </w:pPr>
            <w:r>
              <w:rPr>
                <w:rFonts w:hint="default"/>
                <w:color w:val="000000"/>
                <w:sz w:val="24"/>
                <w:szCs w:val="24"/>
              </w:rPr>
              <w:t>SEW或NorD</w:t>
            </w:r>
          </w:p>
        </w:tc>
      </w:tr>
    </w:tbl>
    <w:p>
      <w:pPr>
        <w:spacing w:line="480" w:lineRule="exact"/>
        <w:rPr>
          <w:rFonts w:hAnsi="宋体"/>
          <w:kern w:val="2"/>
          <w:sz w:val="24"/>
        </w:rPr>
      </w:pPr>
    </w:p>
    <w:p>
      <w:pPr>
        <w:spacing w:line="500" w:lineRule="exact"/>
        <w:ind w:firstLine="422" w:firstLineChars="200"/>
        <w:rPr>
          <w:rFonts w:hint="eastAsia" w:ascii="宋体" w:hAnsi="宋体" w:eastAsia="宋体" w:cs="宋体"/>
          <w:b/>
          <w:bCs/>
          <w:color w:val="auto"/>
          <w:kern w:val="0"/>
          <w:sz w:val="21"/>
          <w:szCs w:val="21"/>
          <w:highlight w:val="none"/>
          <w:shd w:val="clear" w:color="auto" w:fill="FFFFFF"/>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SA"/>
        </w:rPr>
        <w:t>四、主要构造与技术特点:</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 螺旋输送压榨机安装于内径流式细格栅的后面，用于栅渣输送。主要有通过螺旋叶片，沿管传送，直接排放至压榨机。</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 螺旋输送槽为无缝钢管制成，提高其刚度，除进料口敞开外，其余部分配有罩壳,外观大方，使物料不外溢，保持周围环境卫生。螺旋叶片有足够的强度和刚度，保证传输中不变形。 在螺旋输送槽的底部设有出水网板，采用耐磨的不锈钢材料制成，经久耐用。</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螺旋叶片采用专用模具热拉成形,成形后的叶片间距均匀统一。螺旋体叶片上装有不锈钢304毛刷，可使自清洁出水网板，并可避免一些因丝状物缠绕在中心轴上造成故障。 在流道中不设支承，不易堵塞和便于分段制造。</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压实管就像一个不锈钢网筒，它是采用不锈钢板卷制而成，筒身打有无数个小孔成网状，它既可以增加栅渣推移摩擦力，又能使滤液排出，从而来达到脱水的效果。外侧设有可调节的带压力门盖，以控制出渣含水率，进渣含水率≥90%，出渣含水率≤60%。</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驱动机构组装在螺旋输送机一端、与螺旋叶片直接连接。安装、维护方便、简单。</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螺旋输送机传动系统设有机械过载保护装置。电机减速机，主要传动的温升不大于45℃，噪声不超过70db（A）。</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输送机进料口设计与回转式格栅清污机排渣口相对应，完全满足栅渣落入输送机的要求。</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1.现场控制箱</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 xml:space="preserve"> 螺旋输送压榨一体机的操作方式为就地手动\远控切换控制,并预留与中心控制室的PLC接口。具有以下特点：</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(1)电控箱与回转式回转式格栅清污机共用。</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2.设备的可靠性及耐久性</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(1)设备无故障运行时间不少于2年，整机不少于20年。</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(2)设备每年检修一次，电器元件使用年限不少于3年，减速机轴承不低于40000小时，防护涂层不少于5年。</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3.设备的铭牌</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设备的铭牌为一金属铭牌板，用认可的方式固定在易见的明显位置，用中文把制造厂名及设备主要的工作性能（设备型号、输出功率、制造日期）等信息清楚地表明在上面。</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4.设备的检验</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(1)出厂检验</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焊缝质量检验。</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螺旋输送机空运转2小时后，轴承温升不大于20℃。</w:t>
      </w:r>
      <w:r>
        <w:rPr>
          <w:rFonts w:hint="eastAsia" w:ascii="宋体" w:hAnsi="宋体" w:eastAsia="宋体" w:cs="宋体"/>
          <w:color w:val="auto"/>
          <w:kern w:val="0"/>
          <w:sz w:val="21"/>
          <w:szCs w:val="21"/>
          <w:highlight w:val="none"/>
          <w:shd w:val="clear" w:color="auto" w:fill="FFFFFF"/>
          <w:lang w:val="en-US" w:eastAsia="zh-CN" w:bidi="ar-SA"/>
        </w:rPr>
        <w:tab/>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螺旋输送机空运行噪声小于70db（A）。</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(2)检验与调试</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空载和负载运行试验符合标准GB50270《连续输送设备安装工程施工及验收规范》。运行过程中满足：</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电机电流不超过额定电流。</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输送螺旋运行平稳、无卡滞现象。</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旋转部位润滑良好、密封可靠、无漏油现象。</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空载运行2小时后，轴承温升不超过20℃。</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5、 设备的安装</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中标厂商负责所有设备及货物的运输、吊卸、安装 （含其他所属工作范围）、调试、培训直至正常运行。</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6、配套附件说明:</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1、漏渣斗管:供货方参图并按现场实际位置实量而定制作，材质S304，安装固定由供货方现场确定;</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2、导流溢水板:供货方参图并按现场实际位置实量而定，材质S304,;安装固定由供货方现场确定，安装后的溢水槽的边角缝口应无明显的渗水现象，设备安装后的周边缝隙处采用不锈钢花纹板封口，厚3mm，现场确定安装。</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7、所属工作范围说明:</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1、旧设备和顶蓬拆除及恢复由供货方承担;</w:t>
      </w:r>
    </w:p>
    <w:p>
      <w:pPr>
        <w:spacing w:line="500" w:lineRule="exact"/>
        <w:ind w:firstLine="420" w:firstLineChars="200"/>
        <w:rPr>
          <w:rFonts w:hint="eastAsia" w:ascii="宋体" w:hAnsi="宋体" w:eastAsia="宋体" w:cs="宋体"/>
          <w:color w:val="auto"/>
          <w:kern w:val="0"/>
          <w:sz w:val="21"/>
          <w:szCs w:val="21"/>
          <w:highlight w:val="none"/>
          <w:shd w:val="clear" w:color="auto" w:fill="FFFFFF"/>
          <w:lang w:val="en-US" w:eastAsia="zh-CN" w:bidi="ar-SA"/>
        </w:rPr>
      </w:pPr>
      <w:r>
        <w:rPr>
          <w:rFonts w:hint="eastAsia" w:ascii="宋体" w:hAnsi="宋体" w:eastAsia="宋体" w:cs="宋体"/>
          <w:color w:val="auto"/>
          <w:kern w:val="0"/>
          <w:sz w:val="21"/>
          <w:szCs w:val="21"/>
          <w:highlight w:val="none"/>
          <w:shd w:val="clear" w:color="auto" w:fill="FFFFFF"/>
          <w:lang w:val="en-US" w:eastAsia="zh-CN" w:bidi="ar-SA"/>
        </w:rPr>
        <w:t>2、设备电气控制部分:动力电源和远程控制的电缆和采集相数均采用原有相数，由供货方接至设备所配套的主控箱和系统设备的连接，所需用的材料及附件均供货方按所需要求配定安装。</w:t>
      </w:r>
    </w:p>
    <w:p>
      <w:pPr>
        <w:spacing w:line="500" w:lineRule="exact"/>
        <w:ind w:firstLine="422" w:firstLineChars="200"/>
        <w:rPr>
          <w:rFonts w:hint="eastAsia" w:ascii="宋体" w:hAnsi="宋体" w:eastAsia="宋体" w:cs="宋体"/>
          <w:b/>
          <w:bCs/>
          <w:color w:val="auto"/>
          <w:kern w:val="0"/>
          <w:sz w:val="21"/>
          <w:szCs w:val="21"/>
          <w:highlight w:val="none"/>
          <w:shd w:val="clear" w:color="auto" w:fill="FFFFFF"/>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SA"/>
        </w:rPr>
        <w:t>五、设备制造及安装平面、立面图</w:t>
      </w:r>
    </w:p>
    <w:p>
      <w:pPr>
        <w:pStyle w:val="2"/>
        <w:rPr>
          <w:rFonts w:hint="eastAsia"/>
          <w:lang w:val="en-US" w:eastAsia="zh-CN"/>
        </w:rPr>
      </w:pPr>
      <w:r>
        <w:rPr>
          <w:rFonts w:hint="eastAsia"/>
          <w:lang w:val="en-US" w:eastAsia="zh-CN"/>
        </w:rPr>
        <w:drawing>
          <wp:inline distT="0" distB="0" distL="114300" distR="114300">
            <wp:extent cx="6029325" cy="2786380"/>
            <wp:effectExtent l="0" t="0" r="9525" b="13970"/>
            <wp:docPr id="3" name="图片 2" descr="接触池内进流格栅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接触池内进流格栅图片"/>
                    <pic:cNvPicPr>
                      <a:picLocks noChangeAspect="1"/>
                    </pic:cNvPicPr>
                  </pic:nvPicPr>
                  <pic:blipFill>
                    <a:blip r:embed="rId8"/>
                    <a:stretch>
                      <a:fillRect/>
                    </a:stretch>
                  </pic:blipFill>
                  <pic:spPr>
                    <a:xfrm>
                      <a:off x="0" y="0"/>
                      <a:ext cx="6029325" cy="2786380"/>
                    </a:xfrm>
                    <a:prstGeom prst="rect">
                      <a:avLst/>
                    </a:prstGeom>
                    <a:noFill/>
                    <a:ln>
                      <a:noFill/>
                    </a:ln>
                  </pic:spPr>
                </pic:pic>
              </a:graphicData>
            </a:graphic>
          </wp:inline>
        </w:drawing>
      </w:r>
    </w:p>
    <w:p>
      <w:pPr>
        <w:pStyle w:val="2"/>
        <w:rPr>
          <w:rFonts w:hint="eastAsia"/>
          <w:lang w:val="en-US" w:eastAsia="zh-CN"/>
        </w:rPr>
      </w:pPr>
    </w:p>
    <w:p>
      <w:pPr>
        <w:pStyle w:val="2"/>
        <w:numPr>
          <w:ilvl w:val="0"/>
          <w:numId w:val="0"/>
        </w:numPr>
        <w:ind w:firstLine="440" w:firstLineChars="200"/>
        <w:rPr>
          <w:rFonts w:hint="eastAsia"/>
          <w:b/>
          <w:bCs/>
          <w:lang w:val="en-US" w:eastAsia="zh-CN"/>
        </w:rPr>
      </w:pPr>
      <w:r>
        <w:rPr>
          <w:rFonts w:hint="eastAsia" w:ascii="宋体" w:hAnsi="宋体" w:cs="宋体"/>
          <w:b w:val="0"/>
          <w:bCs w:val="0"/>
          <w:color w:val="auto"/>
          <w:kern w:val="0"/>
          <w:sz w:val="22"/>
          <w:szCs w:val="22"/>
          <w:highlight w:val="none"/>
          <w:lang w:val="zh-CN" w:eastAsia="zh-CN"/>
        </w:rPr>
        <w:t>★</w:t>
      </w:r>
      <w:r>
        <w:rPr>
          <w:rFonts w:hint="eastAsia" w:ascii="Helvetica" w:hAnsi="Helvetica" w:eastAsia="宋体" w:cs="Helvetica"/>
          <w:b/>
          <w:bCs/>
          <w:color w:val="auto"/>
          <w:kern w:val="0"/>
          <w:sz w:val="21"/>
          <w:szCs w:val="21"/>
          <w:highlight w:val="none"/>
          <w:lang w:val="zh-CN" w:eastAsia="zh-CN" w:bidi="ar-SA"/>
        </w:rPr>
        <w:t>六、</w:t>
      </w:r>
      <w:r>
        <w:rPr>
          <w:rFonts w:hint="eastAsia" w:ascii="Helvetica" w:hAnsi="Helvetica" w:eastAsia="宋体" w:cs="Helvetica"/>
          <w:b/>
          <w:bCs/>
          <w:color w:val="auto"/>
          <w:kern w:val="0"/>
          <w:sz w:val="21"/>
          <w:szCs w:val="21"/>
          <w:highlight w:val="none"/>
          <w:lang w:val="en-US" w:eastAsia="zh-CN" w:bidi="ar-SA"/>
        </w:rPr>
        <w:t>其他</w:t>
      </w:r>
    </w:p>
    <w:p>
      <w:pPr>
        <w:pStyle w:val="2"/>
        <w:numPr>
          <w:ilvl w:val="0"/>
          <w:numId w:val="1"/>
        </w:numPr>
        <w:ind w:firstLine="420" w:firstLineChars="200"/>
        <w:rPr>
          <w:rFonts w:hint="eastAsia" w:ascii="Helvetica" w:hAnsi="Helvetica" w:eastAsia="宋体" w:cs="Helvetica"/>
          <w:color w:val="auto"/>
          <w:kern w:val="0"/>
          <w:sz w:val="21"/>
          <w:szCs w:val="21"/>
          <w:highlight w:val="none"/>
          <w:lang w:val="en-US" w:eastAsia="zh-CN" w:bidi="ar-SA"/>
        </w:rPr>
      </w:pPr>
      <w:r>
        <w:rPr>
          <w:rFonts w:hint="eastAsia" w:ascii="Helvetica" w:hAnsi="Helvetica" w:eastAsia="宋体" w:cs="Helvetica"/>
          <w:color w:val="auto"/>
          <w:kern w:val="0"/>
          <w:sz w:val="21"/>
          <w:szCs w:val="21"/>
          <w:highlight w:val="none"/>
          <w:lang w:val="en-US" w:eastAsia="zh-CN" w:bidi="ar-SA"/>
        </w:rPr>
        <w:t>投标人具有本行业相关的生产加工资质证件；</w:t>
      </w:r>
    </w:p>
    <w:p>
      <w:pPr>
        <w:pStyle w:val="2"/>
        <w:numPr>
          <w:ilvl w:val="0"/>
          <w:numId w:val="1"/>
        </w:numPr>
        <w:ind w:firstLine="420" w:firstLineChars="200"/>
        <w:rPr>
          <w:rFonts w:hint="eastAsia" w:ascii="Helvetica" w:hAnsi="Helvetica" w:eastAsia="宋体" w:cs="Helvetica"/>
          <w:color w:val="auto"/>
          <w:kern w:val="0"/>
          <w:sz w:val="21"/>
          <w:szCs w:val="21"/>
          <w:highlight w:val="none"/>
          <w:lang w:val="en-US" w:eastAsia="zh-CN" w:bidi="ar-SA"/>
        </w:rPr>
      </w:pPr>
      <w:r>
        <w:rPr>
          <w:rFonts w:hint="eastAsia" w:ascii="Helvetica" w:hAnsi="Helvetica" w:eastAsia="宋体" w:cs="Helvetica"/>
          <w:color w:val="auto"/>
          <w:kern w:val="0"/>
          <w:sz w:val="21"/>
          <w:szCs w:val="21"/>
          <w:highlight w:val="none"/>
          <w:lang w:val="en-US" w:eastAsia="zh-CN" w:bidi="ar-SA"/>
        </w:rPr>
        <w:t>投标人应具有质量管理体系，IS09001系统认证书。</w:t>
      </w:r>
    </w:p>
    <w:p>
      <w:pPr>
        <w:pStyle w:val="2"/>
        <w:numPr>
          <w:ilvl w:val="0"/>
          <w:numId w:val="1"/>
        </w:numPr>
        <w:ind w:firstLine="420" w:firstLineChars="200"/>
        <w:rPr>
          <w:rFonts w:hint="eastAsia" w:ascii="Helvetica" w:hAnsi="Helvetica" w:eastAsia="宋体" w:cs="Helvetica"/>
          <w:color w:val="auto"/>
          <w:kern w:val="0"/>
          <w:sz w:val="21"/>
          <w:szCs w:val="21"/>
          <w:highlight w:val="none"/>
          <w:lang w:val="en-US" w:eastAsia="zh-CN" w:bidi="ar-SA"/>
        </w:rPr>
      </w:pPr>
      <w:r>
        <w:rPr>
          <w:rFonts w:hint="eastAsia" w:ascii="Helvetica" w:hAnsi="Helvetica" w:eastAsia="宋体" w:cs="Helvetica"/>
          <w:color w:val="auto"/>
          <w:kern w:val="0"/>
          <w:sz w:val="21"/>
          <w:szCs w:val="21"/>
          <w:highlight w:val="none"/>
          <w:lang w:val="en-US" w:eastAsia="zh-CN" w:bidi="ar-SA"/>
        </w:rPr>
        <w:t>投标人应提供近五年来单项合同额在50万以上的格栅机设备采购和安装的工作业绩，提供近五年来无安全事故证明。</w:t>
      </w:r>
    </w:p>
    <w:p>
      <w:pPr>
        <w:pStyle w:val="2"/>
        <w:numPr>
          <w:ilvl w:val="0"/>
          <w:numId w:val="1"/>
        </w:numPr>
        <w:ind w:firstLine="420" w:firstLineChars="200"/>
        <w:rPr>
          <w:rFonts w:hint="eastAsia" w:ascii="Helvetica" w:hAnsi="Helvetica" w:eastAsia="宋体" w:cs="Helvetica"/>
          <w:color w:val="auto"/>
          <w:kern w:val="0"/>
          <w:sz w:val="21"/>
          <w:szCs w:val="21"/>
          <w:highlight w:val="none"/>
          <w:lang w:val="zh-CN" w:eastAsia="zh-CN" w:bidi="ar-SA"/>
        </w:rPr>
      </w:pPr>
      <w:r>
        <w:rPr>
          <w:rFonts w:hint="eastAsia" w:ascii="Helvetica" w:hAnsi="Helvetica" w:eastAsia="宋体" w:cs="Helvetica"/>
          <w:color w:val="auto"/>
          <w:kern w:val="0"/>
          <w:sz w:val="21"/>
          <w:szCs w:val="21"/>
          <w:highlight w:val="none"/>
          <w:lang w:val="en-US" w:eastAsia="zh-CN" w:bidi="ar-SA"/>
        </w:rPr>
        <w:t>投标人应具有良好的企业信誉和优良的售后服务能力。</w:t>
      </w:r>
    </w:p>
    <w:p>
      <w:pPr>
        <w:widowControl/>
        <w:spacing w:line="360" w:lineRule="auto"/>
        <w:ind w:left="0" w:leftChars="0" w:firstLine="440" w:firstLineChars="200"/>
        <w:jc w:val="left"/>
        <w:rPr>
          <w:rFonts w:hint="eastAsia" w:ascii="宋体" w:hAnsi="宋体" w:eastAsia="宋体" w:cs="宋体"/>
          <w:b/>
          <w:bCs/>
          <w:color w:val="auto"/>
          <w:szCs w:val="21"/>
          <w:highlight w:val="none"/>
          <w:lang w:eastAsia="zh-CN"/>
        </w:rPr>
      </w:pPr>
      <w:r>
        <w:rPr>
          <w:rFonts w:hint="eastAsia" w:ascii="宋体" w:hAnsi="宋体" w:cs="宋体"/>
          <w:b w:val="0"/>
          <w:bCs w:val="0"/>
          <w:color w:val="auto"/>
          <w:kern w:val="0"/>
          <w:sz w:val="22"/>
          <w:szCs w:val="22"/>
          <w:highlight w:val="none"/>
          <w:lang w:val="zh-CN" w:eastAsia="zh-CN"/>
        </w:rPr>
        <w:t>★</w:t>
      </w:r>
      <w:r>
        <w:rPr>
          <w:rFonts w:hint="eastAsia" w:ascii="宋体" w:hAnsi="宋体" w:cs="宋体"/>
          <w:b/>
          <w:bCs/>
          <w:color w:val="auto"/>
          <w:kern w:val="0"/>
          <w:sz w:val="22"/>
          <w:szCs w:val="22"/>
          <w:highlight w:val="none"/>
          <w:lang w:val="zh-CN" w:eastAsia="zh-CN"/>
        </w:rPr>
        <w:t>七</w:t>
      </w:r>
      <w:r>
        <w:rPr>
          <w:rFonts w:hint="eastAsia" w:ascii="Helvetica" w:hAnsi="Helvetica" w:cs="Helvetica"/>
          <w:b/>
          <w:bCs/>
          <w:color w:val="auto"/>
          <w:kern w:val="0"/>
          <w:szCs w:val="21"/>
          <w:highlight w:val="none"/>
          <w:lang w:val="en-US" w:eastAsia="zh-CN"/>
        </w:rPr>
        <w:t>、</w:t>
      </w:r>
      <w:r>
        <w:rPr>
          <w:rFonts w:hint="eastAsia" w:ascii="Helvetica" w:hAnsi="Helvetica" w:cs="Helvetica"/>
          <w:b/>
          <w:bCs/>
          <w:color w:val="auto"/>
          <w:kern w:val="0"/>
          <w:szCs w:val="21"/>
          <w:highlight w:val="none"/>
          <w:lang w:eastAsia="zh-CN"/>
        </w:rPr>
        <w:t>服务部分</w:t>
      </w:r>
    </w:p>
    <w:p>
      <w:pPr>
        <w:widowControl/>
        <w:spacing w:line="360" w:lineRule="auto"/>
        <w:ind w:left="0" w:leftChars="0" w:firstLine="420" w:firstLineChars="200"/>
        <w:jc w:val="left"/>
        <w:rPr>
          <w:rFonts w:hint="eastAsia" w:ascii="Helvetica" w:hAnsi="Helvetica" w:cs="Helvetica"/>
          <w:color w:val="auto"/>
          <w:kern w:val="0"/>
          <w:szCs w:val="21"/>
          <w:highlight w:val="none"/>
          <w:lang w:val="zh-CN" w:eastAsia="zh-CN"/>
        </w:rPr>
      </w:pPr>
      <w:r>
        <w:rPr>
          <w:rFonts w:hint="eastAsia" w:ascii="Helvetica" w:hAnsi="Helvetica" w:cs="Helvetica"/>
          <w:color w:val="auto"/>
          <w:kern w:val="0"/>
          <w:szCs w:val="21"/>
          <w:highlight w:val="none"/>
          <w:lang w:val="en-US" w:eastAsia="zh-CN"/>
        </w:rPr>
        <w:t>1.</w:t>
      </w:r>
      <w:r>
        <w:rPr>
          <w:rFonts w:hint="eastAsia" w:ascii="Helvetica" w:hAnsi="Helvetica" w:cs="Helvetica"/>
          <w:color w:val="auto"/>
          <w:kern w:val="0"/>
          <w:szCs w:val="21"/>
          <w:highlight w:val="none"/>
          <w:lang w:val="zh-CN" w:eastAsia="zh-CN"/>
        </w:rPr>
        <w:t>完工期：合同签订后</w:t>
      </w:r>
      <w:r>
        <w:rPr>
          <w:rFonts w:hint="eastAsia" w:ascii="Helvetica" w:hAnsi="Helvetica" w:cs="Helvetica"/>
          <w:color w:val="auto"/>
          <w:kern w:val="0"/>
          <w:szCs w:val="21"/>
          <w:highlight w:val="none"/>
          <w:lang w:val="en-US" w:eastAsia="zh-CN"/>
        </w:rPr>
        <w:t>6</w:t>
      </w:r>
      <w:r>
        <w:rPr>
          <w:rFonts w:hint="eastAsia" w:ascii="Helvetica" w:hAnsi="Helvetica" w:cs="Helvetica"/>
          <w:color w:val="auto"/>
          <w:kern w:val="0"/>
          <w:szCs w:val="21"/>
          <w:highlight w:val="none"/>
          <w:lang w:val="zh-CN" w:eastAsia="zh-CN"/>
        </w:rPr>
        <w:t>0日内必须完成供货及安装。</w:t>
      </w:r>
    </w:p>
    <w:p>
      <w:pPr>
        <w:widowControl/>
        <w:spacing w:line="360" w:lineRule="auto"/>
        <w:ind w:left="0" w:leftChars="0" w:firstLine="420" w:firstLineChars="200"/>
        <w:jc w:val="left"/>
        <w:rPr>
          <w:rFonts w:hint="eastAsia" w:ascii="Helvetica" w:hAnsi="Helvetica" w:cs="Helvetica"/>
          <w:color w:val="auto"/>
          <w:kern w:val="0"/>
          <w:szCs w:val="21"/>
          <w:highlight w:val="none"/>
          <w:lang w:val="zh-CN" w:eastAsia="zh-CN"/>
        </w:rPr>
      </w:pPr>
      <w:r>
        <w:rPr>
          <w:rFonts w:hint="eastAsia" w:ascii="Helvetica" w:hAnsi="Helvetica" w:cs="Helvetica"/>
          <w:color w:val="auto"/>
          <w:kern w:val="0"/>
          <w:szCs w:val="21"/>
          <w:highlight w:val="none"/>
          <w:lang w:val="en-US" w:eastAsia="zh-CN"/>
        </w:rPr>
        <w:t>2.</w:t>
      </w:r>
      <w:r>
        <w:rPr>
          <w:rFonts w:hint="eastAsia" w:ascii="Helvetica" w:hAnsi="Helvetica" w:cs="Helvetica"/>
          <w:color w:val="auto"/>
          <w:kern w:val="0"/>
          <w:szCs w:val="21"/>
          <w:highlight w:val="none"/>
          <w:lang w:val="zh-CN" w:eastAsia="zh-CN"/>
        </w:rPr>
        <w:t>交货地点：在丹阳市范围内，由采购方指定最终交货地点。</w:t>
      </w:r>
    </w:p>
    <w:p>
      <w:pPr>
        <w:widowControl/>
        <w:spacing w:line="360" w:lineRule="auto"/>
        <w:ind w:left="0" w:leftChars="0" w:firstLine="420" w:firstLineChars="200"/>
        <w:jc w:val="left"/>
        <w:rPr>
          <w:rFonts w:hint="eastAsia" w:ascii="Helvetica" w:hAnsi="Helvetica" w:cs="Helvetica"/>
          <w:color w:val="auto"/>
          <w:kern w:val="0"/>
          <w:szCs w:val="21"/>
          <w:highlight w:val="none"/>
          <w:lang w:val="zh-CN" w:eastAsia="zh-CN"/>
        </w:rPr>
      </w:pPr>
      <w:r>
        <w:rPr>
          <w:rFonts w:hint="eastAsia" w:ascii="Helvetica" w:hAnsi="Helvetica" w:cs="Helvetica"/>
          <w:color w:val="auto"/>
          <w:kern w:val="0"/>
          <w:szCs w:val="21"/>
          <w:highlight w:val="none"/>
          <w:lang w:val="en-US" w:eastAsia="zh-CN"/>
        </w:rPr>
        <w:t>3.</w:t>
      </w:r>
      <w:r>
        <w:rPr>
          <w:rFonts w:hint="eastAsia" w:ascii="Helvetica" w:hAnsi="Helvetica" w:cs="Helvetica"/>
          <w:color w:val="auto"/>
          <w:kern w:val="0"/>
          <w:szCs w:val="21"/>
          <w:highlight w:val="none"/>
          <w:lang w:val="zh-CN" w:eastAsia="zh-CN"/>
        </w:rPr>
        <w:t>采购预算或最高限价：</w:t>
      </w:r>
      <w:r>
        <w:rPr>
          <w:rFonts w:hint="eastAsia" w:ascii="Helvetica" w:hAnsi="Helvetica" w:cs="Helvetica"/>
          <w:color w:val="auto"/>
          <w:kern w:val="0"/>
          <w:szCs w:val="21"/>
          <w:highlight w:val="none"/>
          <w:lang w:val="en-US" w:eastAsia="zh-CN"/>
        </w:rPr>
        <w:t>750000</w:t>
      </w:r>
      <w:r>
        <w:rPr>
          <w:rFonts w:hint="eastAsia" w:ascii="Helvetica" w:hAnsi="Helvetica" w:cs="Helvetica"/>
          <w:color w:val="auto"/>
          <w:kern w:val="0"/>
          <w:szCs w:val="21"/>
          <w:highlight w:val="none"/>
          <w:lang w:val="zh-CN" w:eastAsia="zh-CN"/>
        </w:rPr>
        <w:t>.00元。</w:t>
      </w:r>
    </w:p>
    <w:p>
      <w:pPr>
        <w:widowControl/>
        <w:spacing w:line="360" w:lineRule="auto"/>
        <w:ind w:left="0" w:leftChars="0" w:firstLine="420" w:firstLineChars="200"/>
        <w:jc w:val="left"/>
        <w:rPr>
          <w:rFonts w:hint="eastAsia" w:ascii="Helvetica" w:hAnsi="Helvetica" w:cs="Helvetica"/>
          <w:color w:val="auto"/>
          <w:kern w:val="0"/>
          <w:szCs w:val="21"/>
          <w:highlight w:val="none"/>
          <w:lang w:val="zh-CN" w:eastAsia="zh-CN"/>
        </w:rPr>
      </w:pPr>
      <w:r>
        <w:rPr>
          <w:rFonts w:hint="eastAsia" w:ascii="Helvetica" w:hAnsi="Helvetica" w:cs="Helvetica"/>
          <w:color w:val="auto"/>
          <w:kern w:val="0"/>
          <w:szCs w:val="21"/>
          <w:highlight w:val="none"/>
          <w:lang w:val="en-US" w:eastAsia="zh-CN"/>
        </w:rPr>
        <w:t>4.</w:t>
      </w:r>
      <w:r>
        <w:rPr>
          <w:rFonts w:hint="eastAsia" w:ascii="Helvetica" w:hAnsi="Helvetica" w:cs="Helvetica"/>
          <w:color w:val="auto"/>
          <w:kern w:val="0"/>
          <w:szCs w:val="21"/>
          <w:highlight w:val="none"/>
          <w:lang w:val="zh-CN" w:eastAsia="zh-CN"/>
        </w:rPr>
        <w:t>付款方式：无预付款，货物到现场验收后付50%，安装完成后验收合格付至总价的90%，10%为质保金，一年之后付清。</w:t>
      </w:r>
    </w:p>
    <w:p>
      <w:pPr>
        <w:widowControl/>
        <w:spacing w:line="360" w:lineRule="auto"/>
        <w:ind w:left="0" w:leftChars="0" w:firstLine="420" w:firstLineChars="200"/>
        <w:jc w:val="left"/>
        <w:rPr>
          <w:rFonts w:hint="eastAsia" w:ascii="Helvetica" w:hAnsi="Helvetica" w:cs="Helvetica"/>
          <w:color w:val="auto"/>
          <w:kern w:val="0"/>
          <w:szCs w:val="21"/>
          <w:highlight w:val="none"/>
          <w:lang w:val="zh-CN" w:eastAsia="zh-CN"/>
        </w:rPr>
      </w:pPr>
      <w:r>
        <w:rPr>
          <w:rFonts w:hint="eastAsia" w:ascii="Helvetica" w:hAnsi="Helvetica" w:cs="Helvetica"/>
          <w:color w:val="auto"/>
          <w:kern w:val="0"/>
          <w:szCs w:val="21"/>
          <w:highlight w:val="none"/>
          <w:lang w:val="en-US" w:eastAsia="zh-CN"/>
        </w:rPr>
        <w:t>5.</w:t>
      </w:r>
      <w:r>
        <w:rPr>
          <w:rFonts w:hint="eastAsia" w:ascii="Helvetica" w:hAnsi="Helvetica" w:cs="Helvetica"/>
          <w:color w:val="auto"/>
          <w:kern w:val="0"/>
          <w:szCs w:val="21"/>
          <w:highlight w:val="none"/>
          <w:lang w:val="zh-CN" w:eastAsia="zh-CN"/>
        </w:rPr>
        <w:t>投标货币：投标文件中的所有设备单价和总价采用人民币报价，以元为单位标注。</w:t>
      </w:r>
    </w:p>
    <w:p>
      <w:pPr>
        <w:spacing w:line="360" w:lineRule="auto"/>
        <w:ind w:left="0" w:leftChars="0" w:firstLine="422" w:firstLineChars="200"/>
        <w:rPr>
          <w:rFonts w:hint="eastAsia" w:ascii="宋体" w:hAnsi="宋体" w:cs="宋体"/>
          <w:b/>
          <w:bCs w:val="0"/>
          <w:color w:val="auto"/>
          <w:kern w:val="28"/>
          <w:szCs w:val="21"/>
          <w:highlight w:val="none"/>
        </w:rPr>
      </w:pPr>
      <w:r>
        <w:rPr>
          <w:rFonts w:hint="eastAsia" w:ascii="宋体" w:hAnsi="宋体" w:cs="宋体"/>
          <w:b/>
          <w:bCs w:val="0"/>
          <w:color w:val="auto"/>
          <w:kern w:val="28"/>
          <w:szCs w:val="21"/>
          <w:highlight w:val="none"/>
        </w:rPr>
        <w:t>★</w:t>
      </w:r>
      <w:r>
        <w:rPr>
          <w:rFonts w:hint="eastAsia" w:ascii="宋体" w:hAnsi="宋体" w:cs="宋体"/>
          <w:b/>
          <w:bCs w:val="0"/>
          <w:color w:val="auto"/>
          <w:kern w:val="28"/>
          <w:szCs w:val="21"/>
          <w:highlight w:val="none"/>
          <w:lang w:val="en-US" w:eastAsia="zh-CN"/>
        </w:rPr>
        <w:t>八、</w:t>
      </w:r>
      <w:r>
        <w:rPr>
          <w:rFonts w:hint="eastAsia" w:ascii="宋体" w:hAnsi="宋体" w:cs="宋体"/>
          <w:b/>
          <w:bCs w:val="0"/>
          <w:color w:val="auto"/>
          <w:kern w:val="28"/>
          <w:szCs w:val="21"/>
          <w:highlight w:val="none"/>
        </w:rPr>
        <w:t>验收要求</w:t>
      </w:r>
    </w:p>
    <w:p>
      <w:pPr>
        <w:widowControl/>
        <w:spacing w:line="360" w:lineRule="auto"/>
        <w:ind w:left="0" w:leftChars="0" w:firstLine="420" w:firstLineChars="200"/>
        <w:jc w:val="left"/>
        <w:rPr>
          <w:rFonts w:hint="eastAsia" w:ascii="Helvetica" w:hAnsi="Helvetica" w:cs="Helvetica"/>
          <w:color w:val="auto"/>
          <w:kern w:val="0"/>
          <w:szCs w:val="21"/>
          <w:highlight w:val="none"/>
          <w:lang w:val="zh-CN" w:eastAsia="zh-CN"/>
        </w:rPr>
      </w:pPr>
      <w:r>
        <w:rPr>
          <w:rFonts w:hint="eastAsia" w:ascii="Helvetica" w:hAnsi="Helvetica" w:cs="Helvetica"/>
          <w:color w:val="auto"/>
          <w:kern w:val="0"/>
          <w:szCs w:val="21"/>
          <w:highlight w:val="none"/>
          <w:lang w:val="en-US" w:eastAsia="zh-CN"/>
        </w:rPr>
        <w:t>1.</w:t>
      </w:r>
      <w:r>
        <w:rPr>
          <w:rFonts w:hint="eastAsia" w:ascii="Helvetica" w:hAnsi="Helvetica" w:cs="Helvetica"/>
          <w:color w:val="auto"/>
          <w:kern w:val="0"/>
          <w:szCs w:val="21"/>
          <w:highlight w:val="none"/>
          <w:lang w:val="zh-CN" w:eastAsia="zh-CN"/>
        </w:rPr>
        <w:t>必须送达采购单位指定地点（本市），所有货物必须保证是全新的、合法渠道进货的合格物品，必须保证能正常使用。采购人根据《丹阳市政府采购项目验收管理暂行规定》组织验收，经采购人验收合格后，需填写政府采购验收回执；</w:t>
      </w:r>
    </w:p>
    <w:p>
      <w:pPr>
        <w:widowControl/>
        <w:spacing w:line="360" w:lineRule="auto"/>
        <w:ind w:left="0" w:leftChars="0" w:firstLine="420" w:firstLineChars="200"/>
        <w:jc w:val="left"/>
        <w:rPr>
          <w:rFonts w:hint="eastAsia" w:ascii="Helvetica" w:hAnsi="Helvetica" w:cs="Helvetica"/>
          <w:color w:val="auto"/>
          <w:kern w:val="0"/>
          <w:szCs w:val="21"/>
          <w:highlight w:val="none"/>
          <w:lang w:val="zh-CN" w:eastAsia="zh-CN"/>
        </w:rPr>
      </w:pPr>
      <w:r>
        <w:rPr>
          <w:rFonts w:hint="eastAsia" w:ascii="Helvetica" w:hAnsi="Helvetica" w:cs="Helvetica"/>
          <w:color w:val="auto"/>
          <w:kern w:val="0"/>
          <w:szCs w:val="21"/>
          <w:highlight w:val="none"/>
          <w:lang w:val="en-US" w:eastAsia="zh-CN"/>
        </w:rPr>
        <w:t>2.</w:t>
      </w:r>
      <w:r>
        <w:rPr>
          <w:rFonts w:hint="eastAsia" w:ascii="Helvetica" w:hAnsi="Helvetica" w:cs="Helvetica"/>
          <w:color w:val="auto"/>
          <w:kern w:val="0"/>
          <w:szCs w:val="21"/>
          <w:highlight w:val="none"/>
          <w:lang w:val="zh-CN" w:eastAsia="zh-CN"/>
        </w:rPr>
        <w:t>采购人对中标人提交的货物依据招标文件、供应商的投标文件、承诺及行业相关标准和国家有关质量标准进行现场初步验收，外观、说明书符合招标文件技术要求的，给予签收，初步验收不合格的不予签收。货到后，采购人需在五个工作日内验收。全部产品安装调试，交货结束之后，采购单位有权邀请相关检测部门对其进行检测，如检测结果不合格，采购单位有权做退货处理，由此造成的供需双方的各种损失均由供方全部承担；</w:t>
      </w:r>
    </w:p>
    <w:p>
      <w:pPr>
        <w:widowControl/>
        <w:spacing w:line="360" w:lineRule="auto"/>
        <w:ind w:left="0" w:leftChars="0" w:firstLine="420" w:firstLineChars="200"/>
        <w:jc w:val="left"/>
        <w:rPr>
          <w:rFonts w:hint="eastAsia" w:ascii="Helvetica" w:hAnsi="Helvetica" w:cs="Helvetica"/>
          <w:color w:val="auto"/>
          <w:kern w:val="0"/>
          <w:szCs w:val="21"/>
          <w:highlight w:val="none"/>
          <w:lang w:val="zh-CN" w:eastAsia="zh-CN"/>
        </w:rPr>
      </w:pPr>
      <w:r>
        <w:rPr>
          <w:rFonts w:hint="eastAsia" w:ascii="Helvetica" w:hAnsi="Helvetica" w:cs="Helvetica"/>
          <w:color w:val="auto"/>
          <w:kern w:val="0"/>
          <w:szCs w:val="21"/>
          <w:highlight w:val="none"/>
          <w:lang w:val="en-US" w:eastAsia="zh-CN"/>
        </w:rPr>
        <w:t>3.</w:t>
      </w:r>
      <w:r>
        <w:rPr>
          <w:rFonts w:hint="eastAsia" w:ascii="Helvetica" w:hAnsi="Helvetica" w:cs="Helvetica"/>
          <w:color w:val="auto"/>
          <w:kern w:val="0"/>
          <w:szCs w:val="21"/>
          <w:highlight w:val="none"/>
          <w:lang w:val="zh-CN" w:eastAsia="zh-CN"/>
        </w:rPr>
        <w:t>中标人交货前应对产品作出全面检查和对验收文件进行整理，并列出清单，作为采购人收货验收；</w:t>
      </w:r>
    </w:p>
    <w:p>
      <w:pPr>
        <w:widowControl/>
        <w:spacing w:line="360" w:lineRule="auto"/>
        <w:ind w:left="0" w:leftChars="0" w:firstLine="420" w:firstLineChars="200"/>
        <w:jc w:val="left"/>
        <w:rPr>
          <w:rFonts w:hint="eastAsia" w:ascii="Helvetica" w:hAnsi="Helvetica" w:cs="Helvetica"/>
          <w:color w:val="auto"/>
          <w:kern w:val="0"/>
          <w:szCs w:val="21"/>
          <w:highlight w:val="none"/>
          <w:lang w:val="zh-CN" w:eastAsia="zh-CN"/>
        </w:rPr>
      </w:pPr>
      <w:r>
        <w:rPr>
          <w:rFonts w:hint="eastAsia" w:ascii="Helvetica" w:hAnsi="Helvetica" w:cs="Helvetica"/>
          <w:color w:val="auto"/>
          <w:kern w:val="0"/>
          <w:szCs w:val="21"/>
          <w:highlight w:val="none"/>
          <w:lang w:val="en-US" w:eastAsia="zh-CN"/>
        </w:rPr>
        <w:t>4.</w:t>
      </w:r>
      <w:r>
        <w:rPr>
          <w:rFonts w:hint="eastAsia" w:ascii="Helvetica" w:hAnsi="Helvetica" w:cs="Helvetica"/>
          <w:color w:val="auto"/>
          <w:kern w:val="0"/>
          <w:szCs w:val="21"/>
          <w:highlight w:val="none"/>
          <w:lang w:val="zh-CN" w:eastAsia="zh-CN"/>
        </w:rPr>
        <w:t>验收时中标人必须在现场，验收完毕后作出验收结果报告。</w:t>
      </w:r>
    </w:p>
    <w:p>
      <w:pPr>
        <w:widowControl/>
        <w:spacing w:line="360" w:lineRule="auto"/>
        <w:ind w:left="0" w:leftChars="0" w:firstLine="422" w:firstLineChars="200"/>
        <w:jc w:val="left"/>
        <w:rPr>
          <w:rFonts w:hint="eastAsia" w:ascii="Helvetica" w:hAnsi="Helvetica" w:cs="Helvetica"/>
          <w:b/>
          <w:bCs/>
          <w:color w:val="auto"/>
          <w:kern w:val="0"/>
          <w:szCs w:val="21"/>
          <w:highlight w:val="none"/>
          <w:lang w:val="zh-CN" w:eastAsia="zh-CN"/>
        </w:rPr>
      </w:pPr>
      <w:r>
        <w:rPr>
          <w:rFonts w:hint="eastAsia" w:ascii="Helvetica" w:hAnsi="Helvetica" w:cs="Helvetica"/>
          <w:b/>
          <w:bCs/>
          <w:color w:val="auto"/>
          <w:kern w:val="0"/>
          <w:szCs w:val="21"/>
          <w:highlight w:val="none"/>
          <w:lang w:val="en-US" w:eastAsia="zh-CN"/>
        </w:rPr>
        <w:t>★九</w:t>
      </w:r>
      <w:r>
        <w:rPr>
          <w:rFonts w:hint="eastAsia" w:ascii="Helvetica" w:hAnsi="Helvetica" w:cs="Helvetica"/>
          <w:b/>
          <w:bCs/>
          <w:color w:val="auto"/>
          <w:kern w:val="0"/>
          <w:szCs w:val="21"/>
          <w:highlight w:val="none"/>
          <w:lang w:val="zh-CN" w:eastAsia="zh-CN"/>
        </w:rPr>
        <w:t>、知识产权</w:t>
      </w:r>
    </w:p>
    <w:p>
      <w:pPr>
        <w:widowControl/>
        <w:spacing w:line="360" w:lineRule="auto"/>
        <w:ind w:left="0" w:leftChars="0" w:firstLine="420" w:firstLineChars="200"/>
        <w:jc w:val="left"/>
        <w:rPr>
          <w:rFonts w:hint="eastAsia" w:ascii="Helvetica" w:hAnsi="Helvetica" w:cs="Helvetica"/>
          <w:color w:val="auto"/>
          <w:kern w:val="0"/>
          <w:szCs w:val="21"/>
          <w:highlight w:val="none"/>
          <w:lang w:val="en-US" w:eastAsia="zh-CN"/>
        </w:rPr>
      </w:pPr>
      <w:r>
        <w:rPr>
          <w:rFonts w:hint="eastAsia" w:ascii="Helvetica" w:hAnsi="Helvetica" w:cs="Helvetica"/>
          <w:color w:val="auto"/>
          <w:kern w:val="0"/>
          <w:szCs w:val="21"/>
          <w:highlight w:val="none"/>
          <w:lang w:val="zh-CN" w:eastAsia="zh-CN"/>
        </w:rPr>
        <w:t>供方应保证需方免除且供方承担由于需方在其本国使用本项目任何设备或任何一部分时而引起第三方提出的侵犯专利权、商标权或工业设计权的起诉、行动、行政程序索赔、请求等以及需方为此而产生的损失和损害、费用和支出（包括律师费）。</w:t>
      </w:r>
    </w:p>
    <w:p>
      <w:pPr>
        <w:spacing w:line="360" w:lineRule="auto"/>
        <w:ind w:firstLine="422" w:firstLineChars="200"/>
        <w:rPr>
          <w:rFonts w:ascii="宋体" w:hAnsi="宋体"/>
          <w:b/>
          <w:color w:val="auto"/>
          <w:szCs w:val="21"/>
          <w:highlight w:val="none"/>
        </w:rPr>
      </w:pPr>
      <w:r>
        <w:rPr>
          <w:rFonts w:hint="eastAsia" w:ascii="宋体" w:hAnsi="宋体"/>
          <w:b/>
          <w:color w:val="auto"/>
          <w:szCs w:val="21"/>
          <w:highlight w:val="none"/>
        </w:rPr>
        <w:t>注：对项目需求部分的询问、质疑请向采购人提出，询问、质疑有采购人负责解释。</w:t>
      </w:r>
    </w:p>
    <w:p>
      <w:pPr>
        <w:spacing w:line="360" w:lineRule="auto"/>
        <w:ind w:firstLine="442" w:firstLineChars="200"/>
        <w:rPr>
          <w:rFonts w:ascii="宋体" w:hAnsi="宋体" w:eastAsia="宋体"/>
          <w:color w:val="FF3300"/>
          <w:kern w:val="2"/>
          <w:sz w:val="21"/>
          <w:szCs w:val="21"/>
        </w:rPr>
      </w:pPr>
      <w:r>
        <w:rPr>
          <w:rFonts w:hint="eastAsia" w:ascii="宋体" w:hAnsi="宋体" w:cs="宋体"/>
          <w:b/>
          <w:bCs/>
          <w:color w:val="auto"/>
          <w:kern w:val="0"/>
          <w:sz w:val="22"/>
          <w:szCs w:val="22"/>
          <w:highlight w:val="none"/>
          <w:lang w:val="zh-CN" w:eastAsia="zh-CN"/>
        </w:rPr>
        <w:t>本部分标注“★”实质性要求，必须响应，不允许负偏离，否则作为无效投标处理，其余部分如有偏离，请备注偏离理由。</w:t>
      </w:r>
    </w:p>
    <w:p>
      <w:pPr>
        <w:pStyle w:val="4"/>
        <w:spacing w:line="360" w:lineRule="auto"/>
        <w:ind w:firstLine="708" w:firstLineChars="294"/>
        <w:rPr>
          <w:rFonts w:hint="eastAsia" w:asciiTheme="majorEastAsia" w:hAnsiTheme="majorEastAsia" w:eastAsiaTheme="majorEastAsia"/>
          <w:b/>
          <w:color w:val="auto"/>
          <w:kern w:val="2"/>
          <w:sz w:val="24"/>
          <w:szCs w:val="24"/>
          <w:highlight w:val="none"/>
          <w:lang w:eastAsia="zh-CN"/>
        </w:rPr>
      </w:pPr>
    </w:p>
    <w:p>
      <w:pPr>
        <w:pStyle w:val="4"/>
        <w:spacing w:line="360" w:lineRule="auto"/>
        <w:ind w:firstLine="826" w:firstLineChars="294"/>
        <w:jc w:val="right"/>
        <w:rPr>
          <w:rFonts w:hint="eastAsia" w:asciiTheme="majorEastAsia" w:hAnsiTheme="majorEastAsia" w:eastAsiaTheme="majorEastAsia"/>
          <w:b/>
          <w:color w:val="auto"/>
          <w:kern w:val="2"/>
          <w:sz w:val="28"/>
          <w:szCs w:val="28"/>
          <w:highlight w:val="none"/>
          <w:lang w:val="en-US" w:eastAsia="zh-CN"/>
        </w:rPr>
      </w:pPr>
      <w:r>
        <w:rPr>
          <w:rFonts w:hint="default" w:asciiTheme="majorEastAsia" w:hAnsiTheme="majorEastAsia" w:eastAsiaTheme="majorEastAsia"/>
          <w:b/>
          <w:color w:val="auto"/>
          <w:kern w:val="2"/>
          <w:sz w:val="28"/>
          <w:szCs w:val="28"/>
          <w:highlight w:val="none"/>
          <w:lang w:val="en-US" w:eastAsia="zh-CN"/>
        </w:rPr>
        <w:t>丹阳市石城污水处理有限公司</w:t>
      </w:r>
    </w:p>
    <w:p>
      <w:pPr>
        <w:pStyle w:val="4"/>
        <w:spacing w:line="360" w:lineRule="auto"/>
        <w:ind w:firstLine="826" w:firstLineChars="294"/>
        <w:jc w:val="right"/>
        <w:rPr>
          <w:rFonts w:hint="default" w:asciiTheme="majorEastAsia" w:hAnsiTheme="majorEastAsia" w:eastAsiaTheme="majorEastAsia"/>
          <w:b/>
          <w:color w:val="auto"/>
          <w:kern w:val="2"/>
          <w:sz w:val="28"/>
          <w:szCs w:val="28"/>
          <w:highlight w:val="none"/>
          <w:lang w:val="en-US" w:eastAsia="zh-CN"/>
        </w:rPr>
        <w:sectPr>
          <w:headerReference r:id="rId3" w:type="default"/>
          <w:footerReference r:id="rId4" w:type="default"/>
          <w:pgSz w:w="11906" w:h="16838"/>
          <w:pgMar w:top="1440" w:right="1797" w:bottom="1440" w:left="1797" w:header="851" w:footer="992" w:gutter="0"/>
          <w:pgNumType w:fmt="decimal"/>
          <w:cols w:space="720" w:num="1"/>
          <w:docGrid w:linePitch="312" w:charSpace="0"/>
        </w:sectPr>
      </w:pPr>
      <w:r>
        <w:rPr>
          <w:rFonts w:hint="eastAsia" w:asciiTheme="majorEastAsia" w:hAnsiTheme="majorEastAsia" w:eastAsiaTheme="majorEastAsia"/>
          <w:b/>
          <w:color w:val="auto"/>
          <w:kern w:val="2"/>
          <w:sz w:val="28"/>
          <w:szCs w:val="28"/>
          <w:highlight w:val="none"/>
          <w:lang w:val="en-US" w:eastAsia="zh-CN"/>
        </w:rPr>
        <w:t>202</w:t>
      </w:r>
      <w:r>
        <w:rPr>
          <w:rFonts w:hint="default" w:asciiTheme="majorEastAsia" w:hAnsiTheme="majorEastAsia" w:eastAsiaTheme="majorEastAsia"/>
          <w:b/>
          <w:color w:val="auto"/>
          <w:kern w:val="2"/>
          <w:sz w:val="28"/>
          <w:szCs w:val="28"/>
          <w:highlight w:val="none"/>
          <w:lang w:val="en-US" w:eastAsia="zh-CN"/>
        </w:rPr>
        <w:t>2</w:t>
      </w:r>
      <w:r>
        <w:rPr>
          <w:rFonts w:hint="eastAsia" w:asciiTheme="majorEastAsia" w:hAnsiTheme="majorEastAsia" w:eastAsiaTheme="majorEastAsia"/>
          <w:b/>
          <w:color w:val="auto"/>
          <w:kern w:val="2"/>
          <w:sz w:val="28"/>
          <w:szCs w:val="28"/>
          <w:highlight w:val="none"/>
          <w:lang w:val="en-US" w:eastAsia="zh-CN"/>
        </w:rPr>
        <w:t>年</w:t>
      </w:r>
      <w:r>
        <w:rPr>
          <w:rFonts w:hint="default" w:asciiTheme="majorEastAsia" w:hAnsiTheme="majorEastAsia" w:eastAsiaTheme="majorEastAsia"/>
          <w:b/>
          <w:color w:val="auto"/>
          <w:kern w:val="2"/>
          <w:sz w:val="28"/>
          <w:szCs w:val="28"/>
          <w:highlight w:val="none"/>
          <w:lang w:val="en-US" w:eastAsia="zh-CN"/>
        </w:rPr>
        <w:t>6</w:t>
      </w:r>
      <w:r>
        <w:rPr>
          <w:rFonts w:hint="eastAsia" w:asciiTheme="majorEastAsia" w:hAnsiTheme="majorEastAsia" w:eastAsiaTheme="majorEastAsia"/>
          <w:b/>
          <w:color w:val="auto"/>
          <w:kern w:val="2"/>
          <w:sz w:val="28"/>
          <w:szCs w:val="28"/>
          <w:highlight w:val="none"/>
          <w:lang w:val="en-US" w:eastAsia="zh-CN"/>
        </w:rPr>
        <w:t>月 日</w:t>
      </w:r>
    </w:p>
    <w:p>
      <w:pPr>
        <w:pStyle w:val="2"/>
        <w:ind w:left="0" w:leftChars="0" w:firstLine="0" w:firstLineChars="0"/>
        <w:jc w:val="both"/>
        <w:rPr>
          <w:rFonts w:hint="eastAsia" w:ascii="宋体" w:hAnsi="宋体" w:eastAsia="宋体" w:cs="Times New Roman"/>
          <w:color w:val="000000"/>
          <w:kern w:val="2"/>
          <w:sz w:val="21"/>
          <w:szCs w:val="21"/>
          <w:lang w:val="en-US" w:eastAsia="zh-CN" w:bidi="ar-SA"/>
        </w:rPr>
      </w:pPr>
    </w:p>
    <w:p>
      <w:pPr>
        <w:pStyle w:val="2"/>
        <w:jc w:val="right"/>
        <w:rPr>
          <w:rFonts w:hint="eastAsia"/>
          <w:sz w:val="21"/>
          <w:szCs w:val="21"/>
          <w:lang w:val="en-US" w:eastAsia="zh-CN"/>
        </w:rPr>
      </w:pP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50768587"/>
    </w:sdtPr>
    <w:sdtContent>
      <w:sdt>
        <w:sdtPr>
          <w:id w:val="-1669238322"/>
        </w:sdtPr>
        <w:sdtContent>
          <w:p>
            <w:pPr>
              <w:pStyle w:val="8"/>
              <w:ind w:firstLine="42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w:t>
            </w:r>
            <w:r>
              <w:rPr>
                <w:b/>
                <w:bCs/>
                <w:sz w:val="24"/>
                <w:szCs w:val="24"/>
              </w:rPr>
              <w:fldChar w:fldCharType="end"/>
            </w:r>
            <w:r>
              <w:rPr>
                <w:lang w:val="zh-CN"/>
              </w:rPr>
              <w:t xml:space="preserve"> </w:t>
            </w:r>
          </w:p>
        </w:sdtContent>
      </w:sdt>
    </w:sdtContent>
  </w:sdt>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lang w:val="zh-CN"/>
      </w:rPr>
      <w:fldChar w:fldCharType="begin"/>
    </w:r>
    <w:r>
      <w:rPr>
        <w:lang w:val="zh-CN"/>
      </w:rPr>
      <w:instrText xml:space="preserve"> PAGE   \* MERGEFORMAT </w:instrText>
    </w:r>
    <w:r>
      <w:rPr>
        <w:lang w:val="zh-CN"/>
      </w:rPr>
      <w:fldChar w:fldCharType="separate"/>
    </w:r>
    <w:r>
      <w:rPr>
        <w:lang w:val="zh-CN"/>
      </w:rPr>
      <w:t>8</w:t>
    </w:r>
    <w:r>
      <w:rPr>
        <w:lang w:val="zh-CN"/>
      </w:rPr>
      <w:fldChar w:fldCharType="end"/>
    </w:r>
  </w:p>
  <w:p>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auto"/>
      <w:rPr>
        <w:color w:val="aut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b/>
      </w:rPr>
    </w:pPr>
    <w:sdt>
      <w:sdtPr>
        <w:rPr>
          <w:rFonts w:ascii="仿宋" w:hAnsi="仿宋" w:eastAsia="仿宋"/>
          <w:b/>
          <w:color w:val="FF0000"/>
          <w:u w:val="single"/>
        </w:rPr>
        <w:alias w:val="标题"/>
        <w:id w:val="-1045985758"/>
        <w:placeholder>
          <w:docPart w:val="CCF7614AE29D4BFB85F9783799296794"/>
        </w:placeholder>
        <w15:dataBinding w:prefixMappings="xmlns:ns0='http://schemas.openxmlformats.org/package/2006/metadata/core-properties' xmlns:ns1='http://purl.org/dc/elements/1.1/'" w:xpath="/ns0:coreProperties[1]/ns1:title[1]" w:storeItemID="{6C3C8BC8-F283-45AE-878A-BAB7291924A1}"/>
        <w:text/>
      </w:sdtPr>
      <w:sdtEndPr>
        <w:rPr>
          <w:rFonts w:ascii="仿宋" w:hAnsi="仿宋" w:eastAsia="仿宋"/>
          <w:b/>
          <w:color w:val="FF0000"/>
          <w:u w:val="single"/>
        </w:rPr>
      </w:sdtEndPr>
      <w:sdtContent>
        <w:bookmarkStart w:id="0" w:name="_GoBack"/>
        <w:bookmarkEnd w:id="0"/>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715120"/>
    <w:multiLevelType w:val="singleLevel"/>
    <w:tmpl w:val="A6715120"/>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yYzBmYWU1NzdiMWExODBmYTUwNzY3ZmEwZjVjYzQifQ=="/>
  </w:docVars>
  <w:rsids>
    <w:rsidRoot w:val="39333F05"/>
    <w:rsid w:val="000A6980"/>
    <w:rsid w:val="0015135D"/>
    <w:rsid w:val="005D1009"/>
    <w:rsid w:val="00720218"/>
    <w:rsid w:val="009503A6"/>
    <w:rsid w:val="009C2F32"/>
    <w:rsid w:val="009D224D"/>
    <w:rsid w:val="00C044B1"/>
    <w:rsid w:val="00C15653"/>
    <w:rsid w:val="00C7694F"/>
    <w:rsid w:val="00CB77E2"/>
    <w:rsid w:val="00CE0ABB"/>
    <w:rsid w:val="00D4421E"/>
    <w:rsid w:val="00FF27B6"/>
    <w:rsid w:val="046525E3"/>
    <w:rsid w:val="067E4D5D"/>
    <w:rsid w:val="153460F9"/>
    <w:rsid w:val="1AF03807"/>
    <w:rsid w:val="256C0888"/>
    <w:rsid w:val="26AC7853"/>
    <w:rsid w:val="34C230F6"/>
    <w:rsid w:val="35F77ACC"/>
    <w:rsid w:val="39333F05"/>
    <w:rsid w:val="3B9A3BAC"/>
    <w:rsid w:val="3C3367FF"/>
    <w:rsid w:val="3EC155CB"/>
    <w:rsid w:val="3EEC5702"/>
    <w:rsid w:val="53921455"/>
    <w:rsid w:val="5FE46E6E"/>
    <w:rsid w:val="5FFC0D9D"/>
    <w:rsid w:val="60910B91"/>
    <w:rsid w:val="66A26DA1"/>
    <w:rsid w:val="67511A3F"/>
    <w:rsid w:val="6A066659"/>
    <w:rsid w:val="6A462BB7"/>
    <w:rsid w:val="78BC388B"/>
    <w:rsid w:val="7C1B4B1C"/>
    <w:rsid w:val="7EEF4C11"/>
    <w:rsid w:val="7FF550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4"/>
    <w:link w:val="17"/>
    <w:qFormat/>
    <w:uiPriority w:val="0"/>
    <w:pPr>
      <w:keepNext/>
      <w:keepLines/>
      <w:spacing w:before="260" w:after="260" w:line="416" w:lineRule="auto"/>
      <w:jc w:val="center"/>
      <w:outlineLvl w:val="1"/>
    </w:pPr>
    <w:rPr>
      <w:rFonts w:ascii="幼圆" w:hAnsi="Arial" w:eastAsia="楷体_GB2312"/>
      <w:b/>
      <w:kern w:val="0"/>
      <w:sz w:val="24"/>
      <w:szCs w:val="20"/>
    </w:rPr>
  </w:style>
  <w:style w:type="character" w:default="1" w:styleId="15">
    <w:name w:val="Default Paragraph Font"/>
    <w:semiHidden/>
    <w:unhideWhenUsed/>
    <w:qFormat/>
    <w:uiPriority w:val="1"/>
  </w:style>
  <w:style w:type="table" w:default="1" w:styleId="1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Calibri"/>
      <w:sz w:val="20"/>
      <w:szCs w:val="20"/>
    </w:rPr>
    <w:tblPr>
      <w:tblCellMar>
        <w:top w:w="0" w:type="dxa"/>
        <w:left w:w="108" w:type="dxa"/>
        <w:bottom w:w="0" w:type="dxa"/>
        <w:right w:w="108" w:type="dxa"/>
      </w:tblCellMar>
    </w:tblPr>
  </w:style>
  <w:style w:type="paragraph" w:styleId="2">
    <w:name w:val="Body Text Indent"/>
    <w:basedOn w:val="1"/>
    <w:qFormat/>
    <w:uiPriority w:val="0"/>
    <w:pPr>
      <w:ind w:firstLine="645"/>
    </w:pPr>
    <w:rPr>
      <w:rFonts w:ascii="楷体_GB2312" w:eastAsia="楷体_GB2312"/>
      <w:kern w:val="0"/>
      <w:sz w:val="32"/>
      <w:szCs w:val="20"/>
    </w:rPr>
  </w:style>
  <w:style w:type="paragraph" w:styleId="4">
    <w:name w:val="Normal Indent"/>
    <w:basedOn w:val="1"/>
    <w:qFormat/>
    <w:uiPriority w:val="0"/>
    <w:pPr>
      <w:ind w:firstLine="420"/>
    </w:pPr>
    <w:rPr>
      <w:kern w:val="0"/>
      <w:sz w:val="20"/>
      <w:szCs w:val="20"/>
    </w:rPr>
  </w:style>
  <w:style w:type="paragraph" w:styleId="5">
    <w:name w:val="Body Text"/>
    <w:basedOn w:val="1"/>
    <w:next w:val="1"/>
    <w:qFormat/>
    <w:uiPriority w:val="1"/>
    <w:pPr>
      <w:spacing w:after="120"/>
    </w:pPr>
  </w:style>
  <w:style w:type="paragraph" w:styleId="6">
    <w:name w:val="Date"/>
    <w:basedOn w:val="1"/>
    <w:next w:val="1"/>
    <w:qFormat/>
    <w:uiPriority w:val="0"/>
    <w:pPr>
      <w:ind w:left="100" w:leftChars="2500"/>
    </w:pPr>
  </w:style>
  <w:style w:type="paragraph" w:styleId="7">
    <w:name w:val="Balloon Text"/>
    <w:basedOn w:val="1"/>
    <w:link w:val="16"/>
    <w:qFormat/>
    <w:uiPriority w:val="0"/>
    <w:rPr>
      <w:sz w:val="18"/>
      <w:szCs w:val="18"/>
    </w:rPr>
  </w:style>
  <w:style w:type="paragraph" w:styleId="8">
    <w:name w:val="footer"/>
    <w:basedOn w:val="1"/>
    <w:link w:val="19"/>
    <w:qFormat/>
    <w:uiPriority w:val="0"/>
    <w:pPr>
      <w:tabs>
        <w:tab w:val="center" w:pos="4153"/>
        <w:tab w:val="right" w:pos="8306"/>
      </w:tabs>
      <w:snapToGrid w:val="0"/>
      <w:jc w:val="left"/>
    </w:pPr>
    <w:rPr>
      <w:sz w:val="18"/>
      <w:szCs w:val="18"/>
    </w:rPr>
  </w:style>
  <w:style w:type="paragraph" w:styleId="9">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0"/>
    <w:qFormat/>
    <w:uiPriority w:val="0"/>
    <w:pPr>
      <w:spacing w:line="400" w:lineRule="exact"/>
      <w:ind w:firstLine="200" w:firstLineChars="200"/>
      <w:jc w:val="left"/>
      <w:outlineLvl w:val="1"/>
    </w:pPr>
    <w:rPr>
      <w:rFonts w:ascii="Cambria" w:hAnsi="Cambria" w:eastAsia="黑体"/>
      <w:b/>
      <w:bCs/>
      <w:kern w:val="28"/>
      <w:szCs w:val="32"/>
    </w:rPr>
  </w:style>
  <w:style w:type="paragraph" w:styleId="11">
    <w:name w:val="Normal (Web)"/>
    <w:basedOn w:val="1"/>
    <w:qFormat/>
    <w:uiPriority w:val="0"/>
    <w:rPr>
      <w:sz w:val="24"/>
    </w:rPr>
  </w:style>
  <w:style w:type="paragraph" w:styleId="12">
    <w:name w:val="Body Text First Indent 2"/>
    <w:basedOn w:val="2"/>
    <w:unhideWhenUsed/>
    <w:qFormat/>
    <w:uiPriority w:val="0"/>
    <w:pPr>
      <w:ind w:firstLine="420" w:firstLineChars="200"/>
    </w:pPr>
    <w:rPr>
      <w:kern w:val="2"/>
      <w:sz w:val="21"/>
      <w:lang w:val="en-US" w:eastAsia="zh-CN"/>
    </w:rPr>
  </w:style>
  <w:style w:type="table" w:styleId="14">
    <w:name w:val="Table Grid"/>
    <w:basedOn w:val="13"/>
    <w:qFormat/>
    <w:uiPriority w:val="5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6">
    <w:name w:val="批注框文本 Char"/>
    <w:basedOn w:val="15"/>
    <w:link w:val="7"/>
    <w:qFormat/>
    <w:uiPriority w:val="0"/>
    <w:rPr>
      <w:rFonts w:ascii="Times New Roman" w:hAnsi="Times New Roman"/>
      <w:kern w:val="2"/>
      <w:sz w:val="18"/>
      <w:szCs w:val="18"/>
    </w:rPr>
  </w:style>
  <w:style w:type="character" w:customStyle="1" w:styleId="17">
    <w:name w:val="标题 2 Char"/>
    <w:link w:val="3"/>
    <w:qFormat/>
    <w:uiPriority w:val="0"/>
    <w:rPr>
      <w:rFonts w:ascii="幼圆" w:hAnsi="Arial" w:eastAsia="楷体_GB2312"/>
      <w:b/>
      <w:sz w:val="24"/>
    </w:rPr>
  </w:style>
  <w:style w:type="character" w:customStyle="1" w:styleId="18">
    <w:name w:val="页眉 Char"/>
    <w:basedOn w:val="15"/>
    <w:link w:val="9"/>
    <w:qFormat/>
    <w:uiPriority w:val="0"/>
    <w:rPr>
      <w:rFonts w:ascii="Times New Roman" w:hAnsi="Times New Roman"/>
      <w:kern w:val="2"/>
      <w:sz w:val="18"/>
      <w:szCs w:val="18"/>
    </w:rPr>
  </w:style>
  <w:style w:type="character" w:customStyle="1" w:styleId="19">
    <w:name w:val="页脚 Char"/>
    <w:basedOn w:val="15"/>
    <w:link w:val="8"/>
    <w:qFormat/>
    <w:uiPriority w:val="0"/>
    <w:rPr>
      <w:rFonts w:ascii="Times New Roman" w:hAnsi="Times New Roman"/>
      <w:kern w:val="2"/>
      <w:sz w:val="18"/>
      <w:szCs w:val="18"/>
    </w:rPr>
  </w:style>
  <w:style w:type="character" w:customStyle="1" w:styleId="20">
    <w:name w:val="副标题 Char"/>
    <w:basedOn w:val="15"/>
    <w:link w:val="10"/>
    <w:qFormat/>
    <w:uiPriority w:val="0"/>
    <w:rPr>
      <w:rFonts w:ascii="Cambria" w:hAnsi="Cambria" w:eastAsia="黑体"/>
      <w:b/>
      <w:bCs/>
      <w:kern w:val="28"/>
      <w:sz w:val="21"/>
      <w:szCs w:val="32"/>
    </w:rPr>
  </w:style>
  <w:style w:type="paragraph" w:customStyle="1" w:styleId="21">
    <w:name w:val="_Style 8"/>
    <w:basedOn w:val="1"/>
    <w:next w:val="22"/>
    <w:qFormat/>
    <w:uiPriority w:val="34"/>
    <w:pPr>
      <w:spacing w:line="240" w:lineRule="auto"/>
      <w:ind w:firstLine="420"/>
    </w:pPr>
    <w:rPr>
      <w:rFonts w:cs="Times New Roman"/>
      <w:szCs w:val="22"/>
    </w:rPr>
  </w:style>
  <w:style w:type="paragraph" w:styleId="22">
    <w:name w:val="List Paragraph"/>
    <w:basedOn w:val="1"/>
    <w:qFormat/>
    <w:uiPriority w:val="99"/>
    <w:pPr>
      <w:spacing w:line="240" w:lineRule="auto"/>
      <w:ind w:firstLine="420"/>
    </w:pPr>
    <w:rPr>
      <w:rFonts w:cs="Times New Roman"/>
      <w:szCs w:val="24"/>
    </w:rPr>
  </w:style>
  <w:style w:type="paragraph" w:customStyle="1" w:styleId="23">
    <w:name w:val="*正文"/>
    <w:basedOn w:val="1"/>
    <w:qFormat/>
    <w:uiPriority w:val="0"/>
    <w:pPr>
      <w:spacing w:line="360" w:lineRule="auto"/>
      <w:ind w:firstLine="200" w:firstLineChars="200"/>
      <w:jc w:val="left"/>
    </w:pPr>
    <w:rPr>
      <w:rFonts w:ascii="宋体" w:hAnsi="宋体" w:eastAsia="仿宋"/>
      <w:kern w:val="0"/>
      <w:sz w:val="24"/>
    </w:rPr>
  </w:style>
  <w:style w:type="paragraph" w:customStyle="1" w:styleId="24">
    <w:name w:val="ListBullet2"/>
    <w:basedOn w:val="1"/>
    <w:qFormat/>
    <w:uiPriority w:val="0"/>
    <w:pPr>
      <w:tabs>
        <w:tab w:val="left" w:pos="360"/>
        <w:tab w:val="decimal" w:pos="780"/>
      </w:tabs>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11</Pages>
  <Words>6182</Words>
  <Characters>6752</Characters>
  <Lines>60</Lines>
  <Paragraphs>16</Paragraphs>
  <TotalTime>2</TotalTime>
  <ScaleCrop>false</ScaleCrop>
  <LinksUpToDate>false</LinksUpToDate>
  <CharactersWithSpaces>7080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2019-08-01T09:07:00Z</dcterms:created>
  <dc:creator>Administrator</dc:creator>
  <cp:lastModifiedBy>赤道</cp:lastModifiedBy>
  <cp:lastPrinted>2022-05-31T08:06:00Z</cp:lastPrinted>
  <dcterms:modified xsi:type="dcterms:W3CDTF">2022-06-01T06:37:46Z</dcterms:modified>
  <dc:title>东方红桥、尹公桥及丹凤朝阳广场周边道路改造工程                                                    正大采标（2021）公字第01号</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32F01E325A16493DBAED66BC45BCC97C</vt:lpwstr>
  </property>
</Properties>
</file>