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A8AFFB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kern w:val="44"/>
          <w:sz w:val="48"/>
          <w:szCs w:val="20"/>
        </w:rPr>
      </w:pPr>
      <w:bookmarkStart w:id="0" w:name="_Toc129880039"/>
      <w:r>
        <w:rPr>
          <w:rFonts w:hint="eastAsia" w:ascii="宋体" w:hAnsi="宋体"/>
          <w:b/>
          <w:sz w:val="30"/>
          <w:szCs w:val="30"/>
        </w:rPr>
        <w:t>第八部分 采购需求</w:t>
      </w:r>
      <w:bookmarkEnd w:id="0"/>
    </w:p>
    <w:p w14:paraId="6D84C094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货物需求一览表</w:t>
      </w:r>
    </w:p>
    <w:p w14:paraId="0DA55991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4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435F02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209DD250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733A2FFE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5A52204D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5DA5DDB7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是否接受进口</w:t>
            </w:r>
          </w:p>
        </w:tc>
      </w:tr>
      <w:tr w14:paraId="4FD264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49944190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402F7E84">
            <w:pPr>
              <w:jc w:val="center"/>
              <w:rPr>
                <w:rFonts w:hint="eastAsia"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</w:rPr>
              <w:t>智能水环境检测分析系统</w:t>
            </w:r>
          </w:p>
        </w:tc>
        <w:tc>
          <w:tcPr>
            <w:tcW w:w="1329" w:type="dxa"/>
            <w:noWrap w:val="0"/>
            <w:vAlign w:val="center"/>
          </w:tcPr>
          <w:p w14:paraId="1AD29255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 w14:paraId="222DC256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否</w:t>
            </w:r>
          </w:p>
        </w:tc>
      </w:tr>
    </w:tbl>
    <w:p w14:paraId="541FAD63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BDAC794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6BF319B6"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026EF1DD">
      <w:pPr>
        <w:adjustRightInd w:val="0"/>
        <w:snapToGrid w:val="0"/>
        <w:rPr>
          <w:rFonts w:hint="eastAsia" w:ascii="宋体" w:hAnsi="宋体"/>
          <w:szCs w:val="21"/>
        </w:rPr>
      </w:pPr>
    </w:p>
    <w:p w14:paraId="78A44A01">
      <w:pPr>
        <w:adjustRightInd w:val="0"/>
        <w:snapToGrid w:val="0"/>
        <w:rPr>
          <w:rFonts w:hint="eastAsia" w:ascii="宋体" w:hAnsi="宋体"/>
          <w:szCs w:val="21"/>
        </w:rPr>
      </w:pPr>
    </w:p>
    <w:p w14:paraId="4AEAB65F">
      <w:pPr>
        <w:adjustRightInd w:val="0"/>
        <w:snapToGrid w:val="0"/>
        <w:rPr>
          <w:rFonts w:hint="eastAsia" w:ascii="宋体" w:hAnsi="宋体"/>
          <w:szCs w:val="21"/>
        </w:rPr>
      </w:pPr>
    </w:p>
    <w:p w14:paraId="25DB4BEB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28"/>
          <w:szCs w:val="28"/>
        </w:rPr>
        <w:t>一、总则</w:t>
      </w:r>
    </w:p>
    <w:p w14:paraId="0FF3E634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1</w:t>
      </w:r>
      <w:r>
        <w:rPr>
          <w:rFonts w:hint="eastAsia" w:ascii="宋体" w:hAnsi="宋体"/>
          <w:b/>
          <w:sz w:val="28"/>
          <w:szCs w:val="28"/>
        </w:rPr>
        <w:t>、投标要求</w:t>
      </w:r>
    </w:p>
    <w:p w14:paraId="7210987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754640A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75CE7F58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64D9A2A4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5379561C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2、评标标准</w:t>
      </w:r>
    </w:p>
    <w:p w14:paraId="03AD51AF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320AC00D">
      <w:pPr>
        <w:spacing w:line="360" w:lineRule="auto"/>
        <w:ind w:left="554" w:hanging="554" w:hangingChars="231"/>
        <w:rPr>
          <w:rFonts w:hint="eastAsia"/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6CB5575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B832572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7C94304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38CAE26C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3、工作条件</w:t>
      </w:r>
    </w:p>
    <w:p w14:paraId="52B771C7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5622A047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5151D69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34D5334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758ED95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05B13752">
      <w:pPr>
        <w:rPr>
          <w:rFonts w:hint="eastAsia" w:eastAsia="黑体"/>
          <w:b/>
          <w:bCs/>
          <w:kern w:val="44"/>
          <w:sz w:val="24"/>
        </w:rPr>
      </w:pPr>
    </w:p>
    <w:p w14:paraId="44EEBE85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4、验收标准</w:t>
      </w:r>
    </w:p>
    <w:p w14:paraId="2DD69115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18C1F4C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63295AF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749EC9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5A03E326"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 w14:paraId="08B8181B">
      <w:pPr>
        <w:adjustRightInd w:val="0"/>
        <w:snapToGrid w:val="0"/>
        <w:spacing w:line="360" w:lineRule="auto"/>
        <w:rPr>
          <w:rFonts w:hint="eastAsia" w:hAnsi="宋体"/>
          <w:b/>
          <w:sz w:val="24"/>
        </w:rPr>
      </w:pPr>
      <w:r>
        <w:rPr>
          <w:rFonts w:hint="eastAsia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625A71F4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</w:p>
    <w:p w14:paraId="45B4B0CA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6、如在具体规格要求中有本总则不一致之处，以具体规格中的要求为准。</w:t>
      </w:r>
    </w:p>
    <w:p w14:paraId="19258C09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二、具体规格要求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0"/>
        <w:gridCol w:w="1605"/>
        <w:gridCol w:w="1842"/>
        <w:gridCol w:w="3649"/>
      </w:tblGrid>
      <w:tr w14:paraId="0DFF0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79" w:type="pct"/>
            <w:tcBorders>
              <w:top w:val="single" w:color="auto" w:sz="4" w:space="0"/>
            </w:tcBorders>
            <w:noWrap w:val="0"/>
            <w:vAlign w:val="center"/>
          </w:tcPr>
          <w:p w14:paraId="4A4D629F">
            <w:pPr>
              <w:pStyle w:val="3"/>
              <w:spacing w:beforeAutospacing="0" w:afterAutospacing="0"/>
              <w:jc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货物</w:t>
            </w:r>
            <w:r>
              <w:rPr>
                <w:rFonts w:ascii="宋体" w:hAnsi="宋体" w:eastAsia="宋体"/>
              </w:rPr>
              <w:t>名称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7CECAA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智能水环境检测分析系统</w:t>
            </w:r>
          </w:p>
        </w:tc>
      </w:tr>
      <w:tr w14:paraId="2D732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1179" w:type="pct"/>
            <w:tcBorders>
              <w:top w:val="single" w:color="auto" w:sz="4" w:space="0"/>
            </w:tcBorders>
            <w:noWrap w:val="0"/>
            <w:vAlign w:val="center"/>
          </w:tcPr>
          <w:p w14:paraId="0DDFC2B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项目需求与用途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</w:tcBorders>
            <w:noWrap w:val="0"/>
            <w:vAlign w:val="top"/>
          </w:tcPr>
          <w:p w14:paraId="451F507C">
            <w:pPr>
              <w:spacing w:before="156" w:beforeLines="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智能水环境检测分析系统由智能水质分析工作站、扩展多参数水质分析仪、土壤与植物真空抽提系统、水环境云智能监测分析平台等四大部分组成。该系统设备通过野外实时采样、实验室智能分析、预警分析和动态调控，可为干旱区水资源动态循环与高效利用提供技术和数据支撑。通过智能水环境检测系统与多源数据融合技术，探索降水、地表水、地下水在干旱区的转化规律，揭示水循环的非线性特征及其对气候变化和人类活动的响应。</w:t>
            </w:r>
          </w:p>
        </w:tc>
      </w:tr>
      <w:tr w14:paraId="06D07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79" w:type="pct"/>
            <w:noWrap w:val="0"/>
            <w:vAlign w:val="center"/>
          </w:tcPr>
          <w:p w14:paraId="4DB1E8A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预算金额（万元）</w:t>
            </w:r>
          </w:p>
        </w:tc>
        <w:tc>
          <w:tcPr>
            <w:tcW w:w="3821" w:type="pct"/>
            <w:gridSpan w:val="3"/>
            <w:noWrap w:val="0"/>
            <w:vAlign w:val="center"/>
          </w:tcPr>
          <w:p w14:paraId="11003A6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¥</w:t>
            </w:r>
            <w:r>
              <w:rPr>
                <w:rFonts w:hint="eastAsia" w:ascii="宋体" w:hAnsi="宋体"/>
                <w:sz w:val="24"/>
                <w:u w:val="single"/>
              </w:rPr>
              <w:t>169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</w:rPr>
              <w:t>万元</w:t>
            </w:r>
          </w:p>
        </w:tc>
      </w:tr>
      <w:tr w14:paraId="64056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79" w:type="pct"/>
            <w:noWrap w:val="0"/>
            <w:vAlign w:val="center"/>
          </w:tcPr>
          <w:p w14:paraId="4ED4CE8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采购数量</w:t>
            </w:r>
          </w:p>
        </w:tc>
        <w:tc>
          <w:tcPr>
            <w:tcW w:w="864" w:type="pct"/>
            <w:noWrap w:val="0"/>
            <w:vAlign w:val="center"/>
          </w:tcPr>
          <w:p w14:paraId="5FAC83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992" w:type="pct"/>
            <w:noWrap w:val="0"/>
            <w:vAlign w:val="center"/>
          </w:tcPr>
          <w:p w14:paraId="59228F4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交货期</w:t>
            </w:r>
          </w:p>
        </w:tc>
        <w:tc>
          <w:tcPr>
            <w:tcW w:w="1965" w:type="pct"/>
            <w:noWrap w:val="0"/>
            <w:vAlign w:val="center"/>
          </w:tcPr>
          <w:p w14:paraId="7B82BFD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招标完成，合同签订后</w:t>
            </w:r>
            <w:r>
              <w:rPr>
                <w:rFonts w:ascii="宋体" w:hAnsi="宋体"/>
                <w:sz w:val="24"/>
                <w:u w:val="single"/>
              </w:rPr>
              <w:t xml:space="preserve"> 2 </w:t>
            </w:r>
            <w:r>
              <w:rPr>
                <w:rFonts w:ascii="宋体" w:hAnsi="宋体"/>
                <w:sz w:val="24"/>
              </w:rPr>
              <w:t>个月</w:t>
            </w:r>
          </w:p>
        </w:tc>
      </w:tr>
      <w:tr w14:paraId="6923C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179" w:type="pct"/>
            <w:tcBorders>
              <w:right w:val="single" w:color="auto" w:sz="4" w:space="0"/>
            </w:tcBorders>
            <w:noWrap w:val="0"/>
            <w:vAlign w:val="center"/>
          </w:tcPr>
          <w:p w14:paraId="58119FA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拟采购项目的</w:t>
            </w:r>
          </w:p>
          <w:p w14:paraId="47A786D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配置要求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623C6C2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智能水环境检测分析系统：智能水质分析站1台、便携水质分析仪（扩展测量）1台、土壤与植物水分提取装置1台、水环境云智能监测分析平台1套</w:t>
            </w:r>
          </w:p>
        </w:tc>
      </w:tr>
      <w:tr w14:paraId="16DDA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exact"/>
        </w:trPr>
        <w:tc>
          <w:tcPr>
            <w:tcW w:w="117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320C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拟采购项目的</w:t>
            </w:r>
          </w:p>
          <w:p w14:paraId="06FACD1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技术指标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34160CB6">
            <w:pPr>
              <w:pStyle w:val="3"/>
              <w:spacing w:beforeAutospacing="0" w:afterAutospacing="0"/>
              <w:jc w:val="both"/>
              <w:rPr>
                <w:rFonts w:ascii="宋体" w:hAnsi="宋体" w:eastAsia="宋体"/>
              </w:rPr>
            </w:pPr>
          </w:p>
        </w:tc>
      </w:tr>
      <w:tr w14:paraId="772EB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17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4564">
            <w:pPr>
              <w:pStyle w:val="3"/>
              <w:spacing w:beforeAutospacing="0" w:afterAutospacing="0"/>
              <w:jc w:val="both"/>
              <w:rPr>
                <w:rFonts w:ascii="宋体" w:hAnsi="宋体" w:eastAsia="宋体"/>
              </w:rPr>
            </w:pPr>
          </w:p>
        </w:tc>
        <w:tc>
          <w:tcPr>
            <w:tcW w:w="3821" w:type="pct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DA0B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1、智能水质分析站</w:t>
            </w:r>
          </w:p>
          <w:p w14:paraId="2F2F241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1.1、功能用途：主要应用于水质、土壤、植物检测，可对水中以及土壤溶解液中的浊度、pH、氯离子、铁离子、电导率、氨氮、硝酸盐、亚硝酸盐、磷酸盐，总氮和总磷等技术指标进行全自动定量分析。</w:t>
            </w:r>
          </w:p>
          <w:p w14:paraId="75BC7EF3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#1.2、分析原理: 同时具备分光光度法、电极法、浊度散射法检测功能。</w:t>
            </w:r>
          </w:p>
          <w:p w14:paraId="4BC041D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1.3、比色分析</w:t>
            </w:r>
          </w:p>
          <w:p w14:paraId="7788A43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#1.3.1、直读式技术，无流通池，比色皿中直接进行比色；（提供直读式检测技术图片证明）。</w:t>
            </w:r>
          </w:p>
          <w:p w14:paraId="72C5FB1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1.3.2、比色皿中反应，比色皿中比色，比色皿可重复使用；</w:t>
            </w:r>
          </w:p>
          <w:p w14:paraId="1AFA09E0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1.3.3、检测多个参数只需软件设定，方法间自动转换，无需更换模块；</w:t>
            </w:r>
          </w:p>
          <w:p w14:paraId="54D2253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1.3.4、分析速度最快100次/小时；</w:t>
            </w:r>
          </w:p>
          <w:p w14:paraId="7E64662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1.3.5、废液传感系统：匹配废液传感系统，高密封性，废液满后自动报警；</w:t>
            </w:r>
          </w:p>
          <w:p w14:paraId="4A3B6EB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1.3.6、自动配制标准曲线，在比色皿中实现标准点的自动配制；</w:t>
            </w:r>
          </w:p>
          <w:p w14:paraId="0E965D61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1.3.7、最大稀释倍数为100倍，最大稀释体积为1mL。</w:t>
            </w:r>
          </w:p>
          <w:p w14:paraId="56E7936F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1.3.8、可自由取放样品架和试剂架，方便样品和试剂添加；</w:t>
            </w:r>
          </w:p>
          <w:p w14:paraId="7649EA3F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1.3.9、试剂位：不少于10个；</w:t>
            </w:r>
          </w:p>
          <w:p w14:paraId="1A1FFB0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1.3.10、样本位：不少于50个（提供样本位图片证明）；</w:t>
            </w:r>
          </w:p>
          <w:p w14:paraId="3055957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1.3.11、样品量：样品管容量≥50 mL，反应位单次加样品量1.0-600μL；</w:t>
            </w:r>
          </w:p>
          <w:p w14:paraId="6A406FF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 xml:space="preserve">1.3.12、试剂量：试剂管容量≥100 mL，反应位单次加试剂量1.0-600μL； </w:t>
            </w:r>
          </w:p>
          <w:p w14:paraId="36E0B43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#1.3.13、有独立的样品针，试剂针，搅拌杆（提供图片证明）；</w:t>
            </w:r>
          </w:p>
          <w:p w14:paraId="2B566EA4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#1.3.14、可容纳≥45个比色皿；</w:t>
            </w:r>
          </w:p>
          <w:p w14:paraId="15A7835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1.3.15、比色皿可一次或多次重复使用；</w:t>
            </w:r>
          </w:p>
          <w:p w14:paraId="3E3758E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1.3.16、恒温反应温度：室温～50℃可调；</w:t>
            </w:r>
          </w:p>
          <w:p w14:paraId="0566F8B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1.3.17、恒温精确至±0.1℃；</w:t>
            </w:r>
          </w:p>
          <w:p w14:paraId="6C32E9A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1.3.18、每次使用前比色皿自动清洗、干燥，光学测试通过后再次使用，保证光学纯度；</w:t>
            </w:r>
          </w:p>
          <w:p w14:paraId="3FD6E97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1.3.19、自动绕开测试失败的比色皿；</w:t>
            </w:r>
          </w:p>
          <w:p w14:paraId="43F2354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1.3.20、可连续无人操作，无需操作人员干预。</w:t>
            </w:r>
          </w:p>
          <w:p w14:paraId="616AE172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1.3.21、24位高精度数字检测器；</w:t>
            </w:r>
          </w:p>
          <w:p w14:paraId="3B6E2B5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1.3.22、线性范围：0-3.5Abs；</w:t>
            </w:r>
          </w:p>
          <w:p w14:paraId="34E88E7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#1.3.23、滤光片：不少于8个测量滤光片，1个参比滤光片；（提供软件检测波长图片证明）。</w:t>
            </w:r>
          </w:p>
          <w:p w14:paraId="53ADF28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1.3.24、波长范围：380-880 nm；</w:t>
            </w:r>
          </w:p>
          <w:p w14:paraId="209DB32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1.3.25、光源：12V/20W，卤素灯。</w:t>
            </w:r>
          </w:p>
          <w:p w14:paraId="58789370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1.4、pH、电导率检测（电极法）</w:t>
            </w:r>
          </w:p>
          <w:p w14:paraId="6337216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1.4.1、采用pH电极和电导率电极进行全自动检测，pH测量范围：1～14，电导率测量范围：0～20000μS/cm；</w:t>
            </w:r>
          </w:p>
          <w:p w14:paraId="4C39602F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1.4.2、分析速度最快200次/小时；</w:t>
            </w:r>
          </w:p>
          <w:p w14:paraId="5649148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#1.4.3、具备电极自动清洗、自动吹干、自动检测功能；（提供电极清洗位图片证明）；</w:t>
            </w:r>
          </w:p>
          <w:p w14:paraId="4C6DB9A1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1.4.4、样品和比色分析共用样品架，样品管容量不少于50 mL；</w:t>
            </w:r>
          </w:p>
          <w:p w14:paraId="64B26B7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1.5、浊度检测（散射法）</w:t>
            </w:r>
          </w:p>
          <w:p w14:paraId="051F1722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1.5.1、采用浊度计进行全自动检测，测量范围：0.1-400FTU；</w:t>
            </w:r>
          </w:p>
          <w:p w14:paraId="50D7D68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1.5.2、分析速度最快200次/小时；</w:t>
            </w:r>
          </w:p>
          <w:p w14:paraId="2F924F8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#1.5.3、具备样本自动转移、自动混匀、自动检测功能（提供浊度检测位图片证明）。</w:t>
            </w:r>
          </w:p>
          <w:p w14:paraId="707CAFB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1.5.4、样本位：不少于50个；</w:t>
            </w:r>
          </w:p>
          <w:p w14:paraId="65BA7E3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 xml:space="preserve">1.5.5、测量暗室固定采用标准浊度管，样品管容量不少于30 mL； </w:t>
            </w:r>
          </w:p>
          <w:p w14:paraId="7AE719F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1.6、分析软件</w:t>
            </w:r>
          </w:p>
          <w:p w14:paraId="5C9A231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1.6.1、原厂配套软件，分析控制软件应支持中文Windows</w:t>
            </w:r>
            <w:r>
              <w:rPr>
                <w:rFonts w:ascii="宋体" w:hAnsi="宋体" w:eastAsia="宋体" w:cs="Calibri"/>
                <w:kern w:val="2"/>
              </w:rPr>
              <w:t>®</w:t>
            </w:r>
            <w:r>
              <w:rPr>
                <w:rFonts w:ascii="宋体" w:hAnsi="宋体" w:eastAsia="宋体" w:cs="仿宋"/>
                <w:kern w:val="2"/>
              </w:rPr>
              <w:t xml:space="preserve"> 7/8操作系统及以上版本操作系统；并可跟LIMS连接；</w:t>
            </w:r>
          </w:p>
          <w:p w14:paraId="56FDB2B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1.6.2、中/英文操作软件，必须提供中文软件操作界面，方便实验人员操作；</w:t>
            </w:r>
          </w:p>
          <w:p w14:paraId="683A4FE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1.6.3、软件自动控制仪器分析，无须人工干预；</w:t>
            </w:r>
          </w:p>
          <w:p w14:paraId="64CD5563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1.6.4、能监控每一分析运行过程，可任意时刻设置多个方法待运行；</w:t>
            </w:r>
          </w:p>
          <w:p w14:paraId="2701C6E0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#1.6.5、内置调试软件，用户可自行校准取样、放样位置。（提供软件图片证明）。</w:t>
            </w:r>
          </w:p>
          <w:p w14:paraId="7ADAF5C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便携水质分析仪（扩展测量）</w:t>
            </w:r>
          </w:p>
          <w:p w14:paraId="77354EB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可快速检测水质中</w:t>
            </w:r>
            <w:r>
              <w:rPr>
                <w:rFonts w:hint="eastAsia" w:ascii="宋体" w:hAnsi="宋体" w:eastAsia="宋体" w:cs="仿宋"/>
                <w:kern w:val="2"/>
              </w:rPr>
              <w:t>最多100项参数（可根据需要选择合适试剂），包括</w:t>
            </w:r>
            <w:r>
              <w:rPr>
                <w:rFonts w:ascii="宋体" w:hAnsi="宋体" w:eastAsia="宋体" w:cs="仿宋"/>
                <w:kern w:val="2"/>
              </w:rPr>
              <w:t>COD、氨氮、总磷、总氮、硝酸盐氮、亚硝酸盐氮、余氯、总氯、六价铬、浊度、铁、色度、硫酸盐、磷酸盐、二氧化氯、总铬、表面活性剂、氰化物、氟化物、硫化物、钙硬度、镁硬度、总硬度、高锰酸盐指数、偏硅酸、挥发酚、铜、镍、锌、镉、悬浮物、锰、甲醛、铅、有效氯、尿素、氰尿酸、臭氧、亚氯酸盐、活性氧、COD(低)、COD(CH)、氨氮(H)、总磷(H)、余氯(H)、总氯(H)、硼、银、铝、总铁、锑、钴、铍、钡、过氧乙酸、游离性余氯、化合性余氯、苯胺、氯酸盐、钼酸盐、过氧化氢、高锰酸盐指数(滴)、(重)碳酸盐、氯化物(滴)、氯离子(滴)、肉眼可见物、臭和味、溶解氧e、电导率e、溶解性总固体e、盐度e、温度e、PH值e、氧化还原电位e、COD(Mn)、氨氮(水杨酸)、色度(稀释法) 、钙离子、镁离子、尿素氮、碘、有效碘、溴、有效溴、碱度(酚酞)、碱度(甲基橙)、总碱度(滴)、酸度(酚酞)、酸度(甲基橙)、耗氧量、可溶解性总磷、可溶解性总氮、硫酸根、活性氧(低)、钙硬度(低)、镁硬度(低)、总硬度(低)、钙硬度(滴)、镁硬度(滴)、总硬度(滴)。</w:t>
            </w:r>
          </w:p>
          <w:p w14:paraId="39C32DB0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#</w:t>
            </w:r>
            <w:r>
              <w:rPr>
                <w:rFonts w:ascii="宋体" w:hAnsi="宋体" w:eastAsia="宋体" w:cs="仿宋"/>
                <w:kern w:val="2"/>
              </w:rPr>
              <w:t>2.2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可拓展检测二甲基酮肟等参数。（提供相关参数系统界面和耗材测试包实拍照片）</w:t>
            </w:r>
          </w:p>
          <w:p w14:paraId="5B59D81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2.3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具备380nm、430nm、510nm、540nm、590nm、610nm、630nm等波长的LED光源。</w:t>
            </w:r>
          </w:p>
          <w:p w14:paraId="3EB957B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2.4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主机箱体内置锂电池，无外接电源情况下，持续工作时间不少于5小时。</w:t>
            </w:r>
          </w:p>
          <w:p w14:paraId="1EF6225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2.5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主机应具备直流、交流两种供电方式，且应具备一键切换功能。</w:t>
            </w:r>
          </w:p>
          <w:p w14:paraId="36B3872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2.6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主机应具备USB数据传输口，可与移动设备互联。</w:t>
            </w:r>
          </w:p>
          <w:p w14:paraId="1FFEDA42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2.7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主机至少包括3种比色方式：比色瓶、比色管、比色皿等。</w:t>
            </w:r>
          </w:p>
          <w:p w14:paraId="5877D11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#2.8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主机管比色方式为多光源瞬时扫描比色，为降低机械故障率，要求非机械旋转。（提供比色方式的证书</w:t>
            </w:r>
            <w:r>
              <w:rPr>
                <w:rFonts w:hint="eastAsia" w:ascii="宋体" w:hAnsi="宋体" w:eastAsia="宋体" w:cs="仿宋"/>
                <w:kern w:val="2"/>
              </w:rPr>
              <w:t>材料</w:t>
            </w:r>
            <w:r>
              <w:rPr>
                <w:rFonts w:ascii="宋体" w:hAnsi="宋体" w:eastAsia="宋体" w:cs="仿宋"/>
                <w:kern w:val="2"/>
              </w:rPr>
              <w:t>）</w:t>
            </w:r>
          </w:p>
          <w:p w14:paraId="3163A5F1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2.9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具备双温区独立消解功能，每个温区可自由设置消解温度和时间。</w:t>
            </w:r>
          </w:p>
          <w:p w14:paraId="7658D24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2.10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主机内置热敏打印机，打印信息应包含记录编号、检测项目、检测结果、检测时间、检验员等基本信息。</w:t>
            </w:r>
          </w:p>
          <w:p w14:paraId="583CAD6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2.11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主机内置储物区，可存放电源、消解器防爆盖等物品。</w:t>
            </w:r>
          </w:p>
          <w:p w14:paraId="7AE891AF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2.12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主机自带比色器皿放置架，且放置位置数量不少于4个。</w:t>
            </w:r>
          </w:p>
          <w:p w14:paraId="720D82D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#2.13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主机内置消解管冷却系统（提供相关证书）</w:t>
            </w:r>
          </w:p>
          <w:p w14:paraId="328DFC5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2.14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主机内置消解管放置架，且放置位置数量不少于8个。</w:t>
            </w:r>
          </w:p>
          <w:p w14:paraId="043F476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2.15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彩色触摸屏操作，为方便操作，屏幕尺寸不小于5英寸。</w:t>
            </w:r>
          </w:p>
          <w:p w14:paraId="4F4B26B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2.16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 xml:space="preserve">数据显示界面应包含浓度、吸光度、透过率等基本信息。 </w:t>
            </w:r>
          </w:p>
          <w:p w14:paraId="120EEC5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2.17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具备数据管理系统，可实现检测数据的存储、打印、删除等功能操作界面具备分析测量、数据处理、自建曲线、维护、帮助初始化等功能。</w:t>
            </w:r>
          </w:p>
          <w:p w14:paraId="48268D1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#2.18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分析测量具有稀释因子、空白、样品测量、自定义曲线、反应时间、倒计时、定时等功能。（提供仪器操作界面高清实拍照片和相关软件著作权证书）</w:t>
            </w:r>
          </w:p>
          <w:p w14:paraId="7F1403C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2.19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操作系统内置常规检测参数的基本操作流程图。</w:t>
            </w:r>
          </w:p>
          <w:p w14:paraId="5F4B12E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2.20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为便于工作携带，主机箱体尺寸不应大于480*360*230mm。</w:t>
            </w:r>
          </w:p>
          <w:p w14:paraId="1B4DC679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2.21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主机箱体应具备防水性，且防水等级不低于IP67。</w:t>
            </w:r>
          </w:p>
          <w:p w14:paraId="31B99161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2.22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主机箱体应具备防挤抗压性。</w:t>
            </w:r>
          </w:p>
          <w:p w14:paraId="664EAC7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2.23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为充分散热，主机散热孔应不少于3处。</w:t>
            </w:r>
          </w:p>
          <w:p w14:paraId="3F5E241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2.24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所投产品制造商具备ISO9001质量管理体系认证证书、ISO14001环境管理体系认证证书。</w:t>
            </w:r>
          </w:p>
          <w:p w14:paraId="43FD3C2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土壤与植物水分提取装置</w:t>
            </w:r>
          </w:p>
          <w:p w14:paraId="54DC9E7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3.1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工作原理：全自动超低压低温冷凝方法</w:t>
            </w:r>
          </w:p>
          <w:p w14:paraId="65D80EA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3.2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提取速度：&gt;110 样品/24 小时</w:t>
            </w:r>
          </w:p>
          <w:p w14:paraId="0D64E764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3.3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可同时提取样品数：14 个</w:t>
            </w:r>
          </w:p>
          <w:p w14:paraId="17EC5C0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3.4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系统真空度：&lt;1000 Pa</w:t>
            </w:r>
          </w:p>
          <w:p w14:paraId="0A4B9AF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3.5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系统漏率：&lt;1 Pa/s</w:t>
            </w:r>
          </w:p>
          <w:p w14:paraId="5296C40D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3.6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抽提率：&gt;98%</w:t>
            </w:r>
          </w:p>
          <w:p w14:paraId="31B87DF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3.7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回收率：99%-102%</w:t>
            </w:r>
          </w:p>
          <w:p w14:paraId="15CE6D92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3.8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制冷：无需液氮，压缩机与冷阱结合，最低制冷温度达-95°C</w:t>
            </w:r>
          </w:p>
          <w:p w14:paraId="3289BE6F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3.9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制热：电加热，温度可设置，最高温度可达 195°C</w:t>
            </w:r>
          </w:p>
          <w:p w14:paraId="0A1D276D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3.10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显示与操作：触摸式人机友好交互界面</w:t>
            </w:r>
          </w:p>
          <w:p w14:paraId="51CA75D4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3.11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自动保护：温度过高或超出设定值温度，加热系统自动关闭</w:t>
            </w:r>
          </w:p>
          <w:p w14:paraId="2C108870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3.12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自动报警：制冷系统故障提示并报警与真空泄漏故障报警</w:t>
            </w:r>
          </w:p>
          <w:p w14:paraId="74A22E1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ascii="宋体" w:hAnsi="宋体" w:eastAsia="宋体" w:cs="仿宋"/>
                <w:kern w:val="2"/>
              </w:rPr>
              <w:t>4</w:t>
            </w:r>
            <w:r>
              <w:rPr>
                <w:rFonts w:hint="eastAsia" w:ascii="宋体" w:hAnsi="宋体" w:eastAsia="宋体" w:cs="仿宋"/>
                <w:kern w:val="2"/>
              </w:rPr>
              <w:t>、</w:t>
            </w:r>
            <w:r>
              <w:rPr>
                <w:rFonts w:ascii="宋体" w:hAnsi="宋体" w:eastAsia="宋体" w:cs="仿宋"/>
                <w:kern w:val="2"/>
              </w:rPr>
              <w:t>水环境云智能监测分析平台</w:t>
            </w:r>
          </w:p>
          <w:p w14:paraId="178AFF4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 xml:space="preserve">4.1、工作温度范围：-40 至 70℃ </w:t>
            </w:r>
          </w:p>
          <w:p w14:paraId="03C3D9F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4.2、最大扫描速率：1000 Hz</w:t>
            </w:r>
          </w:p>
          <w:p w14:paraId="7EB30A3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4.3、模拟输入：16 路单端或 8 路差分</w:t>
            </w:r>
          </w:p>
          <w:p w14:paraId="34ED7BA1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4.4、模拟电压精度：±（测量值的 0.04%+偏移）@0~40℃</w:t>
            </w:r>
          </w:p>
          <w:p w14:paraId="569AA77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4.5、数据存储：4MB SRAM+72MB 闪存，可扩展至16G</w:t>
            </w:r>
          </w:p>
          <w:p w14:paraId="3568866D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4.6、输入限制：±5V</w:t>
            </w:r>
          </w:p>
          <w:p w14:paraId="7BB0629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#4.7、测量原理：全光谱吸收法</w:t>
            </w:r>
          </w:p>
          <w:p w14:paraId="165D18E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#4.8、测量要素：COD、色度、TOC、浊度、BOD、TP、TN、NHN、硝酸盐、亚硝酸盐</w:t>
            </w:r>
            <w:r>
              <w:rPr>
                <w:rFonts w:hint="eastAsia" w:ascii="宋体" w:hAnsi="宋体" w:eastAsia="宋体" w:cs="仿宋"/>
                <w:kern w:val="2"/>
              </w:rPr>
              <w:tab/>
            </w:r>
          </w:p>
          <w:p w14:paraId="62400A5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4.9、COD：量程范围：0～200mg/L equiv. KHP，精度：±5%F.S.分辨率：0.1mg/L</w:t>
            </w:r>
          </w:p>
          <w:p w14:paraId="3CD4701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4.10、色度：量程范围：0～500Hazen，精度：±5%F.S.分辨率：0.1 Hazen</w:t>
            </w:r>
          </w:p>
          <w:p w14:paraId="402C267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4.11、TOC：量程范围：0～150mg/L，精度：±5%F.S.分辨率：0.1mg/L</w:t>
            </w:r>
          </w:p>
          <w:p w14:paraId="5A737232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4.12、浊度：量程范围：0～400NTU，精度：±5%F.S.分辨率：0.1NTU</w:t>
            </w:r>
          </w:p>
          <w:p w14:paraId="43A366C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4.13、BOD：量程范围：0～150mg/L，精度：±5%F.S.分辨率：0.1mg/L</w:t>
            </w:r>
          </w:p>
          <w:p w14:paraId="228C0504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4.14、TP：量程范围：0～15mg/L，精度±5%F.S.分辨率：0.1mg/L</w:t>
            </w:r>
          </w:p>
          <w:p w14:paraId="3342246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4.15、TN：量程范围：0～100mg/L，精度±5%F.S.分辨率：0.1mg/L</w:t>
            </w:r>
          </w:p>
          <w:p w14:paraId="4AE5C87E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4.16、NHN：量程范围：0～80mg/L，精度±5%F.S.分辨率：0.1mg/L</w:t>
            </w:r>
          </w:p>
          <w:p w14:paraId="651B7513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4.17、硝酸盐：量程范围：0～15mg/L，精度</w:t>
            </w:r>
            <w:r>
              <w:rPr>
                <w:rFonts w:hint="eastAsia" w:ascii="宋体" w:hAnsi="宋体" w:eastAsia="宋体" w:cs="仿宋"/>
                <w:kern w:val="2"/>
              </w:rPr>
              <w:tab/>
            </w:r>
            <w:r>
              <w:rPr>
                <w:rFonts w:hint="eastAsia" w:ascii="宋体" w:hAnsi="宋体" w:eastAsia="宋体" w:cs="仿宋"/>
                <w:kern w:val="2"/>
              </w:rPr>
              <w:t>±5%F.S.分辨率：0.01mg/L</w:t>
            </w:r>
          </w:p>
          <w:p w14:paraId="7AB57EE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4.18、亚硝酸盐：量程范围：0～10mg/L，精度±5%F.S.分辨率：0.01mg/L</w:t>
            </w:r>
          </w:p>
          <w:p w14:paraId="4987B50D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4.19、校准方式：光谱校准</w:t>
            </w:r>
          </w:p>
          <w:p w14:paraId="6B5B64B3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4.20、输出方式：RS-485</w:t>
            </w:r>
          </w:p>
          <w:p w14:paraId="62B11CE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4.21、标配常规水质要素：溶解氧(荧光法）、电导率/盐度、PH、浊度、温度</w:t>
            </w:r>
          </w:p>
          <w:p w14:paraId="14C72F42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4.22、兼容协议：Modbus</w:t>
            </w:r>
          </w:p>
          <w:p w14:paraId="1763C4E5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4.23、清洁模式：自清洁</w:t>
            </w:r>
          </w:p>
          <w:p w14:paraId="29B51037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 xml:space="preserve">4.24、溶氧传感器：荧光法电极 ，量程：0～20.00mg/L(0～200%饱和度，25℃) ，精度：±2% </w:t>
            </w:r>
          </w:p>
          <w:p w14:paraId="43B7DDF8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 xml:space="preserve">4.25、电导率传感器：量程：0～5000 uS/cm（常规），量程：0～200 mS/cm（电磁式电极，免维护），精度：±1.5% </w:t>
            </w:r>
          </w:p>
          <w:p w14:paraId="7C5A2B9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4.26、PH传感器：玻璃电极法，量程：0～14.00，内置温度补偿，精度：±0.1</w:t>
            </w:r>
          </w:p>
          <w:p w14:paraId="3D7F22EC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4.27、在线浊度传感器：量程：0~4000.0 NTU，精度：±5%</w:t>
            </w:r>
          </w:p>
          <w:p w14:paraId="62964A8A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4.28、平台用途：基于云计算、物联网和大数据技术的管理工具，通过数据可视化的方式帮助用户有效地监控、管理和优化数据中心的运营；实现了站点监测数据的传输、存储、展示、分析及应用，同时可通过系统平台对站点信息进行维护和管理</w:t>
            </w:r>
          </w:p>
          <w:p w14:paraId="12F4C761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4.29、平台功能：利用传感器技术、信号传输技术，以及网络技术和软件技术从宏观、微观相结合的全方位角度，记录监测设备历史数据和现有的数据，分析预警数据，以便辅助决策，提升设备安全管理保障水平。</w:t>
            </w:r>
          </w:p>
          <w:p w14:paraId="3F61B05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4.30、平台提供全面的大数据可视化分析能力，支持多种数据源和数据格式。</w:t>
            </w:r>
          </w:p>
          <w:p w14:paraId="2D471D9B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4.31、平台具备强大的数据处理能力和快速响应速度，满足不同业务需求。</w:t>
            </w:r>
          </w:p>
          <w:p w14:paraId="6935BDB6">
            <w:pPr>
              <w:pStyle w:val="3"/>
              <w:spacing w:beforeAutospacing="0" w:afterAutospacing="0"/>
              <w:rPr>
                <w:rFonts w:hint="eastAsia" w:ascii="宋体" w:hAnsi="宋体" w:eastAsia="宋体" w:cs="仿宋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4.32、平台提供丰富的可视化组件和图表类型，支持自定义和交互式操作。</w:t>
            </w:r>
          </w:p>
          <w:p w14:paraId="5CB6092D">
            <w:pPr>
              <w:pStyle w:val="3"/>
              <w:adjustRightInd w:val="0"/>
              <w:spacing w:before="0" w:beforeAutospacing="0" w:after="0" w:afterAutospacing="0"/>
              <w:jc w:val="both"/>
              <w:rPr>
                <w:rFonts w:ascii="宋体" w:hAnsi="宋体" w:eastAsia="宋体" w:cs="Times New Roman"/>
                <w:kern w:val="2"/>
              </w:rPr>
            </w:pPr>
            <w:r>
              <w:rPr>
                <w:rFonts w:hint="eastAsia" w:ascii="宋体" w:hAnsi="宋体" w:eastAsia="宋体" w:cs="仿宋"/>
                <w:kern w:val="2"/>
              </w:rPr>
              <w:t>4.33、平台基于B/S模式的基础架构，前端界面与后端服务分离，具有严格的用户身份认证机制，明确各个组件之间的通信方式和数据流动路径。</w:t>
            </w:r>
          </w:p>
        </w:tc>
      </w:tr>
      <w:tr w14:paraId="60232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2" w:hRule="atLeast"/>
        </w:trPr>
        <w:tc>
          <w:tcPr>
            <w:tcW w:w="1179" w:type="pc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2A79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服务需求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B704B50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1、供应商免费安排工程师上门安装、调试，免费为用户进行操作及维护培训。 </w:t>
            </w:r>
          </w:p>
          <w:p w14:paraId="1F503AE5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2、质保期3年，质保期内免费维修或更换部件，维修2次仍无法正常使用应整体更换。质保期后，供应商以优惠价格负责后续维修保养，提供全周期技术支持。</w:t>
            </w:r>
          </w:p>
          <w:p w14:paraId="17D24B1A">
            <w:pPr>
              <w:autoSpaceDE w:val="0"/>
              <w:autoSpaceDN w:val="0"/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3、供应商应在接到售后服务要求后4小时内响应、24小时内安排技术员解决或提供解决方案。出现重大紧急故障，应在接到通知后48小时内赶赴现场排除故障。</w:t>
            </w:r>
          </w:p>
        </w:tc>
      </w:tr>
      <w:tr w14:paraId="423CA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179" w:type="pct"/>
            <w:noWrap w:val="0"/>
            <w:vAlign w:val="center"/>
          </w:tcPr>
          <w:p w14:paraId="6CB16A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其他说明事项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7AC5AF5B">
            <w:pPr>
              <w:jc w:val="center"/>
              <w:rPr>
                <w:rFonts w:hint="eastAsia" w:ascii="宋体" w:hAnsi="宋体"/>
                <w:kern w:val="0"/>
                <w:sz w:val="24"/>
                <w:lang w:bidi="ar"/>
              </w:rPr>
            </w:pPr>
            <w:r>
              <w:rPr>
                <w:rFonts w:ascii="宋体" w:hAnsi="宋体"/>
                <w:kern w:val="0"/>
                <w:sz w:val="24"/>
                <w:lang w:bidi="ar"/>
              </w:rPr>
              <w:t>付款方式：</w:t>
            </w:r>
            <w:r>
              <w:rPr>
                <w:rFonts w:hint="eastAsia" w:ascii="宋体" w:hAnsi="宋体"/>
                <w:kern w:val="0"/>
                <w:sz w:val="24"/>
                <w:lang w:bidi="ar"/>
              </w:rPr>
              <w:t>预付30%，项目完成验收付70%。</w:t>
            </w:r>
          </w:p>
        </w:tc>
      </w:tr>
    </w:tbl>
    <w:p w14:paraId="490D2C86">
      <w:pPr>
        <w:widowControl/>
        <w:spacing w:line="360" w:lineRule="atLeast"/>
        <w:rPr>
          <w:rFonts w:hint="eastAsia" w:ascii="宋体" w:hAnsi="宋体"/>
          <w:b/>
          <w:sz w:val="30"/>
          <w:szCs w:val="30"/>
        </w:rPr>
      </w:pPr>
    </w:p>
    <w:p w14:paraId="44F744E3">
      <w:bookmarkStart w:id="1" w:name="_GoBack"/>
      <w:bookmarkEnd w:id="1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0C31AD"/>
    <w:rsid w:val="560C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/>
      <w:szCs w:val="20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2025-09-08T09:32:00Z</dcterms:created>
  <dc:creator>顾嘉宁</dc:creator>
  <cp:lastModifiedBy>顾嘉宁</cp:lastModifiedBy>
  <dcterms:modified xsi:type="dcterms:W3CDTF">2025-09-08T09:33:31Z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4F5E1F4AFC6F4B1798FC359ECBF2F768_11</vt:lpwstr>
  </property>
  <property fmtid="{D5CDD505-2E9C-101B-9397-08002B2CF9AE}" pid="4" name="KSOTemplateDocerSaveRecord">
    <vt:lpwstr>eyJoZGlkIjoiM2FjYTIzZGUxMzUyYzc4ODFmYzlkNjk5ZTYzODY2NmIiLCJ1c2VySWQiOiIxNjYzMDExNDYwIn0=</vt:lpwstr>
  </property>
</Properties>
</file>