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DDF794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hAnsi="Times New Roman" w:eastAsia="黑体" w:cs="Times New Roman"/>
          <w:b/>
          <w:kern w:val="44"/>
          <w:sz w:val="48"/>
          <w:szCs w:val="20"/>
        </w:rPr>
      </w:pPr>
      <w:bookmarkStart w:id="0" w:name="_Toc129880039"/>
      <w:r>
        <w:rPr>
          <w:rFonts w:hint="eastAsia" w:ascii="宋体" w:hAnsi="宋体" w:eastAsia="宋体" w:cs="Times New Roman"/>
          <w:b/>
          <w:sz w:val="30"/>
          <w:szCs w:val="30"/>
        </w:rPr>
        <w:t>第八部分 采购需求</w:t>
      </w:r>
      <w:bookmarkEnd w:id="0"/>
    </w:p>
    <w:p w14:paraId="379165C2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货物需求一览表</w:t>
      </w:r>
    </w:p>
    <w:p w14:paraId="1AE1E2BF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tbl>
      <w:tblPr>
        <w:tblStyle w:val="4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73CCF8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 w14:paraId="2BC13FEB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 w14:paraId="5D5C9FE9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 w14:paraId="77AC09AE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 w14:paraId="7DC4EF85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是否接受进口</w:t>
            </w:r>
          </w:p>
        </w:tc>
      </w:tr>
      <w:tr w14:paraId="06DCF1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 w14:paraId="1E43AC07">
            <w:pPr>
              <w:jc w:val="center"/>
              <w:rPr>
                <w:rFonts w:hint="eastAsia" w:ascii="宋体" w:hAnsi="Times New Roman" w:eastAsia="宋体" w:cs="Times New Roman"/>
                <w:sz w:val="24"/>
              </w:rPr>
            </w:pPr>
            <w:r>
              <w:rPr>
                <w:rFonts w:hint="eastAsia" w:ascii="宋体" w:hAnsi="Times New Roman" w:eastAsia="宋体" w:cs="Times New Roman"/>
                <w:sz w:val="24"/>
              </w:rPr>
              <w:t>1</w:t>
            </w:r>
          </w:p>
        </w:tc>
        <w:tc>
          <w:tcPr>
            <w:tcW w:w="2357" w:type="dxa"/>
            <w:noWrap w:val="0"/>
            <w:vAlign w:val="center"/>
          </w:tcPr>
          <w:p w14:paraId="207E1186">
            <w:pPr>
              <w:jc w:val="center"/>
              <w:rPr>
                <w:rFonts w:hint="eastAsia" w:ascii="Bookman Old Style" w:hAnsi="Bookman Old Style" w:eastAsia="宋体" w:cs="Times New Roman"/>
                <w:sz w:val="24"/>
              </w:rPr>
            </w:pPr>
            <w:r>
              <w:rPr>
                <w:rFonts w:hint="eastAsia" w:ascii="Bookman Old Style" w:hAnsi="Bookman Old Style" w:eastAsia="宋体" w:cs="Times New Roman"/>
                <w:sz w:val="24"/>
              </w:rPr>
              <w:t>在线氨氮分析仪</w:t>
            </w:r>
          </w:p>
        </w:tc>
        <w:tc>
          <w:tcPr>
            <w:tcW w:w="1329" w:type="dxa"/>
            <w:noWrap w:val="0"/>
            <w:vAlign w:val="center"/>
          </w:tcPr>
          <w:p w14:paraId="7AD2703D">
            <w:pPr>
              <w:jc w:val="center"/>
              <w:rPr>
                <w:rFonts w:hint="eastAsia"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3套</w:t>
            </w:r>
          </w:p>
        </w:tc>
        <w:tc>
          <w:tcPr>
            <w:tcW w:w="2470" w:type="dxa"/>
            <w:noWrap w:val="0"/>
            <w:vAlign w:val="center"/>
          </w:tcPr>
          <w:p w14:paraId="752E90A0">
            <w:pPr>
              <w:jc w:val="center"/>
              <w:rPr>
                <w:rFonts w:hint="eastAsia"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否</w:t>
            </w:r>
          </w:p>
        </w:tc>
      </w:tr>
    </w:tbl>
    <w:p w14:paraId="7561F048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p w14:paraId="11DEF78C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p w14:paraId="183F0856">
      <w:pPr>
        <w:rPr>
          <w:rFonts w:hint="eastAsia" w:ascii="Bookman Old Style" w:hAnsi="Bookman Old Style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注：投标人须对上述投标内容中完整的一包进行投标，</w:t>
      </w:r>
      <w:r>
        <w:rPr>
          <w:rFonts w:hint="eastAsia" w:ascii="Bookman Old Style" w:hAnsi="Bookman Old Style" w:eastAsia="宋体" w:cs="Times New Roman"/>
          <w:sz w:val="24"/>
        </w:rPr>
        <w:t>不完整的投标将视为非响应性投标予以拒绝。</w:t>
      </w:r>
    </w:p>
    <w:p w14:paraId="372DDDA7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32E0FBF5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074D641E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6B5CCE16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30"/>
          <w:szCs w:val="30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</w:rPr>
        <w:t>一、总则</w:t>
      </w:r>
    </w:p>
    <w:p w14:paraId="713048C1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28"/>
          <w:szCs w:val="28"/>
        </w:rPr>
        <w:t>1</w:t>
      </w:r>
      <w:r>
        <w:rPr>
          <w:rFonts w:hint="eastAsia" w:ascii="宋体" w:hAnsi="宋体" w:eastAsia="宋体" w:cs="Times New Roman"/>
          <w:b/>
          <w:sz w:val="28"/>
          <w:szCs w:val="28"/>
        </w:rPr>
        <w:t>、投标要求</w:t>
      </w:r>
    </w:p>
    <w:p w14:paraId="3FE1F7E2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 xml:space="preserve">1.1 </w:t>
      </w:r>
      <w:r>
        <w:rPr>
          <w:rFonts w:hint="eastAsia" w:ascii="宋体" w:hAnsi="宋体" w:eastAsia="宋体" w:cs="Times New Roman"/>
          <w:sz w:val="24"/>
        </w:rPr>
        <w:t xml:space="preserve"> 投标人在准备投标书时，务必在所提供的商品的技术规格文件中，标明型号、商标名称、目录号。</w:t>
      </w:r>
    </w:p>
    <w:p w14:paraId="3A28CE28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664E8EEF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1.3  </w:t>
      </w:r>
      <w:r>
        <w:rPr>
          <w:rFonts w:hint="eastAsia" w:ascii="Times New Roman" w:hAnsi="Times New Roman" w:eastAsia="宋体" w:cs="Times New Roman"/>
          <w:sz w:val="24"/>
        </w:rPr>
        <w:t>投标人提供的</w:t>
      </w:r>
      <w:r>
        <w:rPr>
          <w:rFonts w:hint="eastAsia" w:ascii="宋体" w:hAnsi="Times New Roman" w:eastAsia="宋体" w:cs="Times New Roman"/>
          <w:sz w:val="24"/>
        </w:rPr>
        <w:t>产品</w:t>
      </w:r>
      <w:r>
        <w:rPr>
          <w:rFonts w:hint="eastAsia" w:ascii="Times New Roman" w:hAnsi="Times New Roman" w:eastAsia="宋体" w:cs="Times New Roman"/>
          <w:sz w:val="24"/>
        </w:rPr>
        <w:t>样本，必须是“原件”而非复印件，</w:t>
      </w:r>
      <w:r>
        <w:rPr>
          <w:rFonts w:hint="eastAsia" w:ascii="宋体" w:hAnsi="Times New Roman" w:eastAsia="宋体" w:cs="Times New Roman"/>
          <w:sz w:val="24"/>
        </w:rPr>
        <w:t>图表、简图、电路图以及印刷电路板图等都应</w:t>
      </w:r>
      <w:r>
        <w:rPr>
          <w:rFonts w:hint="eastAsia" w:ascii="Times New Roman" w:hAnsi="Times New Roman" w:eastAsia="宋体" w:cs="Times New Roman"/>
          <w:sz w:val="24"/>
        </w:rPr>
        <w:t>清晰易读。买方有权</w:t>
      </w:r>
      <w:r>
        <w:rPr>
          <w:rFonts w:hint="eastAsia" w:ascii="宋体" w:hAnsi="Times New Roman" w:eastAsia="宋体" w:cs="Times New Roman"/>
          <w:sz w:val="24"/>
        </w:rPr>
        <w:t>不付任何附加费用</w:t>
      </w:r>
      <w:r>
        <w:rPr>
          <w:rFonts w:hint="eastAsia" w:ascii="Times New Roman" w:hAnsi="Times New Roman" w:eastAsia="宋体" w:cs="Times New Roman"/>
          <w:sz w:val="24"/>
        </w:rPr>
        <w:t>复制这些资料</w:t>
      </w:r>
      <w:r>
        <w:rPr>
          <w:rFonts w:hint="eastAsia" w:ascii="宋体" w:hAnsi="Times New Roman" w:eastAsia="宋体" w:cs="Times New Roman"/>
          <w:sz w:val="24"/>
        </w:rPr>
        <w:t>以供参考。</w:t>
      </w:r>
    </w:p>
    <w:p w14:paraId="04656E73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hint="eastAsia" w:ascii="宋体" w:hAnsi="Times New Roman" w:eastAsia="宋体" w:cs="Times New Roman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77BB8947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2、评标标准</w:t>
      </w:r>
    </w:p>
    <w:p w14:paraId="404C0646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>2.</w:t>
      </w:r>
      <w:r>
        <w:rPr>
          <w:rFonts w:hint="eastAsia" w:ascii="宋体" w:hAnsi="宋体" w:eastAsia="宋体" w:cs="Times New Roman"/>
          <w:sz w:val="24"/>
        </w:rPr>
        <w:t xml:space="preserve">1  </w:t>
      </w:r>
      <w:r>
        <w:rPr>
          <w:rFonts w:hint="eastAsia" w:ascii="Times New Roman" w:hAnsi="Times New Roman" w:eastAsia="宋体" w:cs="Times New Roman"/>
          <w:sz w:val="24"/>
        </w:rPr>
        <w:t>除招标文件中指定的附件和专用工具外，</w:t>
      </w:r>
      <w:r>
        <w:rPr>
          <w:rFonts w:hint="eastAsia" w:ascii="宋体" w:hAnsi="Times New Roman" w:eastAsia="宋体" w:cs="Times New Roman"/>
          <w:sz w:val="24"/>
        </w:rPr>
        <w:t>投标人应提供仪器设备的正常运行和常规保养所需的全套标准附件、专用工具</w:t>
      </w:r>
      <w:r>
        <w:rPr>
          <w:rFonts w:hint="eastAsia" w:ascii="Times New Roman" w:hAnsi="Times New Roman" w:eastAsia="宋体" w:cs="Times New Roman"/>
          <w:sz w:val="24"/>
        </w:rPr>
        <w:t>和消耗品</w:t>
      </w:r>
      <w:r>
        <w:rPr>
          <w:rFonts w:hint="eastAsia" w:ascii="宋体" w:hAnsi="Times New Roman" w:eastAsia="宋体" w:cs="Times New Roman"/>
          <w:sz w:val="24"/>
        </w:rPr>
        <w:t>。投标人在投标书中需列出这些附件和工具的数量和单价的清单，这些附件和工具的报价的总值需计入投标价中。</w:t>
      </w:r>
    </w:p>
    <w:p w14:paraId="54D5446E">
      <w:pPr>
        <w:spacing w:line="360" w:lineRule="auto"/>
        <w:ind w:left="554" w:hanging="554" w:hangingChars="231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2.2  </w:t>
      </w:r>
      <w:r>
        <w:rPr>
          <w:rFonts w:hint="eastAsia" w:ascii="Times New Roman" w:hAnsi="Times New Roman" w:eastAsia="宋体" w:cs="Times New Roman"/>
          <w:sz w:val="24"/>
        </w:rPr>
        <w:t>对于标书</w:t>
      </w:r>
      <w:r>
        <w:rPr>
          <w:rFonts w:hint="eastAsia" w:ascii="宋体" w:hAnsi="Times New Roman" w:eastAsia="宋体" w:cs="Times New Roman"/>
          <w:sz w:val="24"/>
        </w:rPr>
        <w:t>技术规范中已列</w:t>
      </w:r>
      <w:r>
        <w:rPr>
          <w:rFonts w:hint="eastAsia" w:ascii="Times New Roman" w:hAnsi="Times New Roman" w:eastAsia="宋体" w:cs="Times New Roman"/>
          <w:sz w:val="24"/>
        </w:rPr>
        <w:t>出的作为查询选件的附件、零配件、专用工具和消耗品，投标书中</w:t>
      </w:r>
      <w:r>
        <w:rPr>
          <w:rFonts w:hint="eastAsia" w:ascii="宋体" w:hAnsi="Times New Roman" w:eastAsia="宋体" w:cs="Times New Roman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7744F5E5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2.3  为便于用户进行接收仪器的准备工作，卖方应在合同生效后</w:t>
      </w:r>
      <w:r>
        <w:rPr>
          <w:rFonts w:hint="eastAsia" w:ascii="宋体" w:hAnsi="宋体" w:eastAsia="宋体" w:cs="Times New Roman"/>
          <w:b/>
          <w:sz w:val="24"/>
        </w:rPr>
        <w:t>60</w:t>
      </w:r>
      <w:r>
        <w:rPr>
          <w:rFonts w:hint="eastAsia" w:ascii="宋体" w:hAnsi="宋体" w:eastAsia="宋体" w:cs="Times New Roman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4879E5BD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2</w:t>
      </w:r>
      <w:r>
        <w:rPr>
          <w:rFonts w:ascii="宋体" w:hAnsi="宋体" w:eastAsia="宋体" w:cs="Times New Roman"/>
          <w:sz w:val="24"/>
        </w:rPr>
        <w:t>.</w:t>
      </w:r>
      <w:r>
        <w:rPr>
          <w:rFonts w:hint="eastAsia" w:ascii="宋体" w:hAnsi="宋体" w:eastAsia="宋体" w:cs="Times New Roman"/>
          <w:sz w:val="24"/>
        </w:rPr>
        <w:t>4</w:t>
      </w:r>
      <w:r>
        <w:rPr>
          <w:rFonts w:ascii="宋体" w:hAnsi="宋体" w:eastAsia="宋体" w:cs="Times New Roman"/>
          <w:sz w:val="24"/>
        </w:rPr>
        <w:t xml:space="preserve"> </w:t>
      </w:r>
      <w:r>
        <w:rPr>
          <w:rFonts w:hint="eastAsia" w:ascii="宋体" w:hAnsi="宋体" w:eastAsia="宋体" w:cs="Times New Roman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7F9C74A6">
      <w:pPr>
        <w:spacing w:line="360" w:lineRule="auto"/>
        <w:ind w:left="554" w:hanging="554" w:hangingChars="231"/>
        <w:rPr>
          <w:rFonts w:ascii="宋体" w:hAnsi="宋体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>2.</w:t>
      </w:r>
      <w:r>
        <w:rPr>
          <w:rFonts w:hint="eastAsia" w:ascii="宋体" w:hAnsi="宋体" w:eastAsia="宋体" w:cs="Times New Roman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53275FA5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3、工作条件</w:t>
      </w:r>
    </w:p>
    <w:p w14:paraId="54DC21EF">
      <w:pPr>
        <w:spacing w:after="312" w:afterLines="100" w:line="360" w:lineRule="auto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除非在技术规格中另有说明，所有仪器、设备和系统都应符合下列要求：</w:t>
      </w:r>
      <w:r>
        <w:rPr>
          <w:rFonts w:ascii="宋体" w:hAnsi="宋体" w:eastAsia="宋体" w:cs="Times New Roman"/>
          <w:sz w:val="24"/>
        </w:rPr>
        <w:t xml:space="preserve"> </w:t>
      </w:r>
    </w:p>
    <w:p w14:paraId="24EBCA9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3.1  适于在气温为摄氏</w:t>
      </w:r>
      <w:r>
        <w:rPr>
          <w:rFonts w:ascii="宋体" w:hAnsi="宋体" w:eastAsia="宋体" w:cs="Times New Roman"/>
          <w:b/>
          <w:sz w:val="24"/>
        </w:rPr>
        <w:t>-40</w:t>
      </w:r>
      <w:r>
        <w:rPr>
          <w:rFonts w:hint="eastAsia" w:ascii="宋体" w:hAnsi="宋体" w:eastAsia="宋体" w:cs="Times New Roman"/>
          <w:b/>
          <w:sz w:val="24"/>
        </w:rPr>
        <w:t>℃～＋</w:t>
      </w:r>
      <w:r>
        <w:rPr>
          <w:rFonts w:ascii="宋体" w:hAnsi="宋体" w:eastAsia="宋体" w:cs="Times New Roman"/>
          <w:b/>
          <w:sz w:val="24"/>
        </w:rPr>
        <w:t>50</w:t>
      </w:r>
      <w:r>
        <w:rPr>
          <w:rFonts w:hint="eastAsia" w:ascii="宋体" w:hAnsi="宋体" w:eastAsia="宋体" w:cs="Times New Roman"/>
          <w:b/>
          <w:sz w:val="24"/>
        </w:rPr>
        <w:t>℃</w:t>
      </w:r>
      <w:r>
        <w:rPr>
          <w:rFonts w:hint="eastAsia" w:ascii="宋体" w:hAnsi="宋体" w:eastAsia="宋体" w:cs="Times New Roman"/>
          <w:sz w:val="24"/>
        </w:rPr>
        <w:t>和相对湿度为</w:t>
      </w:r>
      <w:r>
        <w:rPr>
          <w:rFonts w:ascii="宋体" w:hAnsi="宋体" w:eastAsia="宋体" w:cs="Times New Roman"/>
          <w:b/>
          <w:sz w:val="24"/>
        </w:rPr>
        <w:t>90</w:t>
      </w:r>
      <w:r>
        <w:rPr>
          <w:rFonts w:hint="eastAsia" w:ascii="宋体" w:hAnsi="宋体" w:eastAsia="宋体" w:cs="Times New Roman"/>
          <w:b/>
          <w:sz w:val="24"/>
        </w:rPr>
        <w:t>％</w:t>
      </w:r>
      <w:r>
        <w:rPr>
          <w:rFonts w:hint="eastAsia" w:ascii="宋体" w:hAnsi="宋体" w:eastAsia="宋体" w:cs="Times New Roman"/>
          <w:sz w:val="24"/>
        </w:rPr>
        <w:t>的环境条件下运输和贮存。</w:t>
      </w:r>
    </w:p>
    <w:p w14:paraId="38DC76B1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3.2  适于在电源</w:t>
      </w:r>
      <w:r>
        <w:rPr>
          <w:rFonts w:ascii="宋体" w:hAnsi="宋体" w:eastAsia="宋体" w:cs="Times New Roman"/>
          <w:b/>
          <w:sz w:val="24"/>
        </w:rPr>
        <w:t>220V</w:t>
      </w:r>
      <w:r>
        <w:rPr>
          <w:rFonts w:hint="eastAsia" w:ascii="宋体" w:hAnsi="宋体" w:eastAsia="宋体" w:cs="Times New Roman"/>
          <w:b/>
          <w:sz w:val="24"/>
        </w:rPr>
        <w:t>（</w:t>
      </w:r>
      <w:r>
        <w:rPr>
          <w:rFonts w:ascii="宋体" w:hAnsi="宋体" w:eastAsia="宋体" w:cs="Times New Roman"/>
          <w:b/>
          <w:sz w:val="24"/>
        </w:rPr>
        <w:sym w:font="Symbol" w:char="F0B1"/>
      </w:r>
      <w:r>
        <w:rPr>
          <w:rFonts w:ascii="宋体" w:hAnsi="宋体" w:eastAsia="宋体" w:cs="Times New Roman"/>
          <w:b/>
          <w:sz w:val="24"/>
        </w:rPr>
        <w:t>10</w:t>
      </w:r>
      <w:r>
        <w:rPr>
          <w:rFonts w:hint="eastAsia" w:ascii="宋体" w:hAnsi="宋体" w:eastAsia="宋体" w:cs="Times New Roman"/>
          <w:b/>
          <w:sz w:val="24"/>
        </w:rPr>
        <w:t>％）</w:t>
      </w:r>
      <w:r>
        <w:rPr>
          <w:rFonts w:ascii="宋体" w:hAnsi="宋体" w:eastAsia="宋体" w:cs="Times New Roman"/>
          <w:b/>
          <w:sz w:val="24"/>
        </w:rPr>
        <w:t>/50Hz</w:t>
      </w:r>
      <w:r>
        <w:rPr>
          <w:rFonts w:hint="eastAsia" w:ascii="宋体" w:hAnsi="宋体" w:eastAsia="宋体" w:cs="Times New Roman"/>
          <w:sz w:val="24"/>
        </w:rPr>
        <w:t>、气温摄氏</w:t>
      </w:r>
      <w:r>
        <w:rPr>
          <w:rFonts w:hint="eastAsia" w:ascii="宋体" w:hAnsi="宋体" w:eastAsia="宋体" w:cs="Times New Roman"/>
          <w:b/>
          <w:sz w:val="24"/>
        </w:rPr>
        <w:t>+1</w:t>
      </w:r>
      <w:r>
        <w:rPr>
          <w:rFonts w:ascii="宋体" w:hAnsi="宋体" w:eastAsia="宋体" w:cs="Times New Roman"/>
          <w:b/>
          <w:sz w:val="24"/>
        </w:rPr>
        <w:t>5</w:t>
      </w:r>
      <w:r>
        <w:rPr>
          <w:rFonts w:hint="eastAsia" w:ascii="宋体" w:hAnsi="宋体" w:eastAsia="宋体" w:cs="Times New Roman"/>
          <w:b/>
          <w:sz w:val="24"/>
        </w:rPr>
        <w:t>℃～＋3</w:t>
      </w:r>
      <w:r>
        <w:rPr>
          <w:rFonts w:ascii="宋体" w:hAnsi="宋体" w:eastAsia="宋体" w:cs="Times New Roman"/>
          <w:b/>
          <w:sz w:val="24"/>
        </w:rPr>
        <w:t>0</w:t>
      </w:r>
      <w:r>
        <w:rPr>
          <w:rFonts w:hint="eastAsia" w:ascii="宋体" w:hAnsi="宋体" w:eastAsia="宋体" w:cs="Times New Roman"/>
          <w:b/>
          <w:sz w:val="24"/>
        </w:rPr>
        <w:t>℃</w:t>
      </w:r>
      <w:r>
        <w:rPr>
          <w:rFonts w:hint="eastAsia" w:ascii="宋体" w:hAnsi="宋体" w:eastAsia="宋体" w:cs="Times New Roman"/>
          <w:sz w:val="24"/>
        </w:rPr>
        <w:t>和相对湿度小于</w:t>
      </w:r>
      <w:r>
        <w:rPr>
          <w:rFonts w:ascii="宋体" w:hAnsi="宋体" w:eastAsia="宋体" w:cs="Times New Roman"/>
          <w:b/>
          <w:sz w:val="24"/>
        </w:rPr>
        <w:t>8</w:t>
      </w:r>
      <w:r>
        <w:rPr>
          <w:rFonts w:hint="eastAsia" w:ascii="宋体" w:hAnsi="宋体" w:eastAsia="宋体" w:cs="Times New Roman"/>
          <w:b/>
          <w:sz w:val="24"/>
        </w:rPr>
        <w:t>0％</w:t>
      </w:r>
      <w:r>
        <w:rPr>
          <w:rFonts w:hint="eastAsia" w:ascii="宋体" w:hAnsi="宋体" w:eastAsia="宋体" w:cs="Times New Roman"/>
          <w:sz w:val="24"/>
        </w:rPr>
        <w:t>的环境条件下运行。</w:t>
      </w:r>
      <w:r>
        <w:rPr>
          <w:rFonts w:hint="eastAsia" w:ascii="宋体" w:hAnsi="宋体" w:eastAsia="宋体" w:cs="Times New Roman"/>
          <w:b/>
          <w:sz w:val="24"/>
        </w:rPr>
        <w:t>能够连续正常工作。</w:t>
      </w:r>
    </w:p>
    <w:p w14:paraId="78106214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3.3  配置符合中国有关标准要求的插头，如果没有这样的插头，则需</w:t>
      </w:r>
      <w:r>
        <w:rPr>
          <w:rFonts w:hint="eastAsia" w:ascii="宋体" w:hAnsi="Times New Roman" w:eastAsia="宋体" w:cs="Times New Roman"/>
          <w:sz w:val="24"/>
        </w:rPr>
        <w:t>提供适当的转</w:t>
      </w:r>
      <w:r>
        <w:rPr>
          <w:rFonts w:hint="eastAsia" w:ascii="宋体" w:hAnsi="宋体" w:eastAsia="宋体" w:cs="Times New Roman"/>
          <w:sz w:val="24"/>
        </w:rPr>
        <w:t>换插座。</w:t>
      </w:r>
    </w:p>
    <w:p w14:paraId="67C81CDD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51ECD762">
      <w:pPr>
        <w:rPr>
          <w:rFonts w:hint="eastAsia" w:ascii="Times New Roman" w:hAnsi="Times New Roman" w:eastAsia="黑体" w:cs="Times New Roman"/>
          <w:b/>
          <w:bCs/>
          <w:kern w:val="44"/>
          <w:sz w:val="24"/>
        </w:rPr>
      </w:pPr>
    </w:p>
    <w:p w14:paraId="33A726CB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4、验收标准</w:t>
      </w:r>
    </w:p>
    <w:p w14:paraId="5731C3DB">
      <w:pPr>
        <w:spacing w:after="312" w:afterLines="100" w:line="360" w:lineRule="auto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除非另有说明，所有仪器、设备和系统按下列要求进行验收：</w:t>
      </w:r>
      <w:r>
        <w:rPr>
          <w:rFonts w:ascii="宋体" w:hAnsi="宋体" w:eastAsia="宋体" w:cs="Times New Roman"/>
          <w:sz w:val="24"/>
        </w:rPr>
        <w:t xml:space="preserve"> </w:t>
      </w:r>
    </w:p>
    <w:p w14:paraId="120A0E92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4.1  仪器设备运抵安装现场后，买方将与卖方共同开箱验收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如卖方届时不派人来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则验收结果应以买方的验收报告为最终验收结果。验收时发现短缺、破损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买方有权要求卖方负责更换。</w:t>
      </w:r>
    </w:p>
    <w:p w14:paraId="1D1D53E2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4.2  </w:t>
      </w:r>
      <w:r>
        <w:rPr>
          <w:rFonts w:hint="eastAsia" w:ascii="Times New Roman" w:hAnsi="Times New Roman" w:eastAsia="宋体" w:cs="Times New Roman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1073ABD3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4.3  </w:t>
      </w:r>
      <w:r>
        <w:rPr>
          <w:rFonts w:ascii="宋体" w:hAnsi="宋体" w:eastAsia="宋体" w:cs="Times New Roman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677BD428">
      <w:pPr>
        <w:pStyle w:val="2"/>
        <w:spacing w:line="360" w:lineRule="auto"/>
        <w:ind w:left="410" w:hanging="410" w:hangingChars="170"/>
        <w:rPr>
          <w:rFonts w:hint="eastAsia" w:hAnsi="宋体" w:eastAsia="宋体" w:cs="Times New Roman"/>
          <w:b/>
          <w:sz w:val="24"/>
          <w:szCs w:val="24"/>
        </w:rPr>
      </w:pPr>
    </w:p>
    <w:p w14:paraId="18A4AD38">
      <w:pPr>
        <w:adjustRightInd w:val="0"/>
        <w:snapToGrid w:val="0"/>
        <w:spacing w:line="360" w:lineRule="auto"/>
        <w:rPr>
          <w:rFonts w:hint="eastAsia" w:ascii="Times New Roman" w:hAnsi="宋体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</w:rPr>
        <w:t>5、本采购需求书中标注“</w:t>
      </w:r>
      <w:r>
        <w:rPr>
          <w:rFonts w:hint="eastAsia" w:ascii="宋体" w:hAnsi="宋体" w:eastAsia="宋体" w:cs="仿宋"/>
          <w:b/>
          <w:bCs/>
          <w:sz w:val="24"/>
        </w:rPr>
        <w:t>*</w:t>
      </w:r>
      <w:r>
        <w:rPr>
          <w:rFonts w:hint="eastAsia" w:ascii="Times New Roman" w:hAnsi="Times New Roman" w:eastAsia="宋体" w:cs="Times New Roman"/>
          <w:b/>
          <w:bCs/>
          <w:sz w:val="24"/>
        </w:rPr>
        <w:t>”号技术条款的为实质性要求，不满足其投标将视为无效投标被拒绝。</w:t>
      </w:r>
    </w:p>
    <w:p w14:paraId="3C07D686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4"/>
        </w:rPr>
      </w:pPr>
    </w:p>
    <w:p w14:paraId="6D96E815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6、如在具体规格要求中有本总则不一致之处，以具体规格中的要求为准。</w:t>
      </w:r>
    </w:p>
    <w:p w14:paraId="593941AD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28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</w:rPr>
        <w:t>二、具体规格要求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0"/>
        <w:gridCol w:w="1605"/>
        <w:gridCol w:w="1842"/>
        <w:gridCol w:w="3649"/>
      </w:tblGrid>
      <w:tr w14:paraId="61FC9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atLeast"/>
        </w:trPr>
        <w:tc>
          <w:tcPr>
            <w:tcW w:w="1179" w:type="pct"/>
            <w:tcBorders>
              <w:top w:val="single" w:color="auto" w:sz="4" w:space="0"/>
            </w:tcBorders>
            <w:noWrap w:val="0"/>
            <w:vAlign w:val="center"/>
          </w:tcPr>
          <w:p w14:paraId="111B47CA">
            <w:pPr>
              <w:pStyle w:val="3"/>
              <w:spacing w:beforeAutospacing="0" w:afterAutospacing="0"/>
              <w:jc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货物</w:t>
            </w:r>
            <w:r>
              <w:rPr>
                <w:rFonts w:ascii="宋体" w:hAnsi="宋体" w:eastAsia="宋体"/>
              </w:rPr>
              <w:t>名称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066943C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在线氨氮分析仪</w:t>
            </w:r>
          </w:p>
        </w:tc>
      </w:tr>
      <w:tr w14:paraId="3D1BB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1179" w:type="pct"/>
            <w:tcBorders>
              <w:top w:val="single" w:color="auto" w:sz="4" w:space="0"/>
            </w:tcBorders>
            <w:noWrap w:val="0"/>
            <w:vAlign w:val="center"/>
          </w:tcPr>
          <w:p w14:paraId="7E223BF3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项目需求与用途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</w:tcBorders>
            <w:noWrap w:val="0"/>
            <w:vAlign w:val="top"/>
          </w:tcPr>
          <w:p w14:paraId="48C5B572">
            <w:pPr>
              <w:spacing w:before="156" w:beforeLines="50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在线氨氮分析仪是石蜡切片实验室中用于组织样本脱水、透明和浸蜡的关键设备，结合实验室已有石蜡切片机、数字病理扫描系统，可实现植物组织解剖切片制作的全流程自动化。组织脱水机可用于乔灌木、草本、苔藓不同部位解剖特征定量分析的前期处理，取代传统手工的脱水，节省时间、减少工作量、避免试剂污染。处理程序自动化、操作方便、安全可靠、性能优良、是病理科和科研必备的仪器。</w:t>
            </w:r>
          </w:p>
        </w:tc>
      </w:tr>
      <w:tr w14:paraId="1853A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79" w:type="pct"/>
            <w:noWrap w:val="0"/>
            <w:vAlign w:val="center"/>
          </w:tcPr>
          <w:p w14:paraId="6990B7D7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预算金额（万元）</w:t>
            </w:r>
          </w:p>
        </w:tc>
        <w:tc>
          <w:tcPr>
            <w:tcW w:w="3821" w:type="pct"/>
            <w:gridSpan w:val="3"/>
            <w:noWrap w:val="0"/>
            <w:vAlign w:val="center"/>
          </w:tcPr>
          <w:p w14:paraId="034A1774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¥</w:t>
            </w:r>
            <w:r>
              <w:rPr>
                <w:rFonts w:ascii="宋体" w:hAnsi="宋体" w:eastAsia="宋体" w:cs="Times New Roman"/>
                <w:sz w:val="24"/>
                <w:u w:val="single"/>
              </w:rPr>
              <w:t xml:space="preserve">11.56 </w:t>
            </w:r>
            <w:r>
              <w:rPr>
                <w:rFonts w:ascii="宋体" w:hAnsi="宋体" w:eastAsia="宋体" w:cs="Times New Roman"/>
                <w:sz w:val="24"/>
              </w:rPr>
              <w:t>万元</w:t>
            </w:r>
          </w:p>
        </w:tc>
      </w:tr>
      <w:tr w14:paraId="44F0D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179" w:type="pct"/>
            <w:noWrap w:val="0"/>
            <w:vAlign w:val="center"/>
          </w:tcPr>
          <w:p w14:paraId="7F95722C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采购数量</w:t>
            </w:r>
          </w:p>
        </w:tc>
        <w:tc>
          <w:tcPr>
            <w:tcW w:w="864" w:type="pct"/>
            <w:noWrap w:val="0"/>
            <w:vAlign w:val="center"/>
          </w:tcPr>
          <w:p w14:paraId="638D4863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3套</w:t>
            </w:r>
          </w:p>
        </w:tc>
        <w:tc>
          <w:tcPr>
            <w:tcW w:w="992" w:type="pct"/>
            <w:noWrap w:val="0"/>
            <w:vAlign w:val="center"/>
          </w:tcPr>
          <w:p w14:paraId="231FD1E2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交货期</w:t>
            </w:r>
          </w:p>
        </w:tc>
        <w:tc>
          <w:tcPr>
            <w:tcW w:w="1965" w:type="pct"/>
            <w:noWrap w:val="0"/>
            <w:vAlign w:val="center"/>
          </w:tcPr>
          <w:p w14:paraId="46375BE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招标完成，合同签订后</w:t>
            </w:r>
            <w:r>
              <w:rPr>
                <w:rFonts w:ascii="宋体" w:hAnsi="宋体" w:eastAsia="宋体" w:cs="Times New Roman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u w:val="single"/>
              </w:rPr>
              <w:t>6</w:t>
            </w:r>
            <w:r>
              <w:rPr>
                <w:rFonts w:ascii="宋体" w:hAnsi="宋体" w:eastAsia="宋体" w:cs="Times New Roman"/>
                <w:sz w:val="24"/>
                <w:u w:val="single"/>
              </w:rPr>
              <w:t xml:space="preserve"> </w:t>
            </w:r>
            <w:r>
              <w:rPr>
                <w:rFonts w:ascii="宋体" w:hAnsi="宋体" w:eastAsia="宋体" w:cs="Times New Roman"/>
                <w:sz w:val="24"/>
              </w:rPr>
              <w:t>个月</w:t>
            </w:r>
          </w:p>
        </w:tc>
      </w:tr>
      <w:tr w14:paraId="28C6E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</w:trPr>
        <w:tc>
          <w:tcPr>
            <w:tcW w:w="1179" w:type="pct"/>
            <w:tcBorders>
              <w:right w:val="single" w:color="auto" w:sz="4" w:space="0"/>
            </w:tcBorders>
            <w:noWrap w:val="0"/>
            <w:vAlign w:val="center"/>
          </w:tcPr>
          <w:p w14:paraId="1909EEA6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拟采购项目的</w:t>
            </w:r>
          </w:p>
          <w:p w14:paraId="15C8EB99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配置要求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F5FB047">
            <w:pPr>
              <w:jc w:val="left"/>
              <w:rPr>
                <w:rFonts w:ascii="宋体" w:hAnsi="宋体" w:eastAsia="宋体" w:cs="Times New Roman"/>
                <w:sz w:val="24"/>
              </w:rPr>
            </w:pPr>
            <w:bookmarkStart w:id="1" w:name="OLE_LINK3"/>
            <w:r>
              <w:rPr>
                <w:rFonts w:hint="eastAsia" w:ascii="宋体" w:hAnsi="宋体" w:eastAsia="宋体" w:cs="Times New Roman"/>
                <w:sz w:val="24"/>
              </w:rPr>
              <w:t>测量范围：测试量程：0～10mg/L(可扩展)</w:t>
            </w:r>
          </w:p>
          <w:p w14:paraId="344E6EE5">
            <w:pPr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方法标准：符合《水质氨氮的测定水杨酸分光光度法》（HJ 536-2009）或《纳氏试剂分光光度法》（HJ 535-2009）。</w:t>
            </w:r>
          </w:p>
          <w:p w14:paraId="66A5384C">
            <w:pPr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精度要求：检出下限：0.002mg/L，分 辨 率：0.0001mg/L</w:t>
            </w:r>
          </w:p>
          <w:p w14:paraId="483377B6">
            <w:pPr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维护周期：最小测量周期:25分钟</w:t>
            </w:r>
            <w:bookmarkEnd w:id="1"/>
          </w:p>
        </w:tc>
      </w:tr>
      <w:tr w14:paraId="3BE27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exact"/>
        </w:trPr>
        <w:tc>
          <w:tcPr>
            <w:tcW w:w="117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9535B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拟采购项目的</w:t>
            </w:r>
          </w:p>
          <w:p w14:paraId="77C06F70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技术指标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 w14:paraId="69004A79">
            <w:pPr>
              <w:pStyle w:val="3"/>
              <w:spacing w:beforeAutospacing="0" w:afterAutospacing="0"/>
              <w:jc w:val="both"/>
              <w:rPr>
                <w:rFonts w:ascii="宋体" w:hAnsi="宋体" w:eastAsia="宋体"/>
              </w:rPr>
            </w:pPr>
          </w:p>
        </w:tc>
      </w:tr>
      <w:tr w14:paraId="69E9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17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F8EEC">
            <w:pPr>
              <w:pStyle w:val="3"/>
              <w:spacing w:beforeAutospacing="0" w:afterAutospacing="0"/>
              <w:jc w:val="both"/>
              <w:rPr>
                <w:rFonts w:ascii="宋体" w:hAnsi="宋体" w:eastAsia="宋体"/>
              </w:rPr>
            </w:pPr>
          </w:p>
        </w:tc>
        <w:tc>
          <w:tcPr>
            <w:tcW w:w="3821" w:type="pct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51F15">
            <w:pPr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测试方法：水杨酸分光光度法;</w:t>
            </w:r>
          </w:p>
          <w:p w14:paraId="2CF27FDD">
            <w:pPr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#测试量程：0～10mg/L(可扩展)</w:t>
            </w:r>
          </w:p>
          <w:p w14:paraId="3A90AF07">
            <w:pPr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#检出下限：0.002mg/L</w:t>
            </w:r>
          </w:p>
          <w:p w14:paraId="7B49A030">
            <w:pPr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#分 辨 率：0.0001mg/L</w:t>
            </w:r>
          </w:p>
          <w:p w14:paraId="7BEB9934">
            <w:pPr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#准 确 度：5%FS</w:t>
            </w:r>
          </w:p>
          <w:p w14:paraId="3D540CDC">
            <w:pPr>
              <w:jc w:val="left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#重 现 性: 5%FS</w:t>
            </w:r>
          </w:p>
          <w:p w14:paraId="16D98892">
            <w:pPr>
              <w:pStyle w:val="3"/>
              <w:adjustRightInd w:val="0"/>
              <w:spacing w:beforeAutospacing="0" w:afterAutospacing="0"/>
              <w:jc w:val="both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Times New Roman"/>
                <w:kern w:val="2"/>
              </w:rPr>
              <w:t>最小测量周期:25分钟</w:t>
            </w:r>
          </w:p>
        </w:tc>
      </w:tr>
      <w:tr w14:paraId="13FBD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2" w:hRule="atLeast"/>
        </w:trPr>
        <w:tc>
          <w:tcPr>
            <w:tcW w:w="1179" w:type="pc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06D4D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服务需求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14F1C17">
            <w:pPr>
              <w:autoSpaceDE w:val="0"/>
              <w:autoSpaceDN w:val="0"/>
              <w:adjustRightInd w:val="0"/>
              <w:snapToGrid w:val="0"/>
              <w:spacing w:before="62" w:beforeLines="20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 xml:space="preserve">1、供应商免费安排工程师上门安装、调试，免费为用户进行操作及维护培训。 </w:t>
            </w:r>
          </w:p>
          <w:p w14:paraId="0F02B460">
            <w:pPr>
              <w:autoSpaceDE w:val="0"/>
              <w:autoSpaceDN w:val="0"/>
              <w:adjustRightInd w:val="0"/>
              <w:snapToGrid w:val="0"/>
              <w:spacing w:before="62" w:beforeLines="20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2、质保期  1  年，质保期内免费维修或更换部件，维修2次仍无法正常使用应整体更换。质保期后，供应商以优惠价格负责后续维修保养，提供全周期技术支持。</w:t>
            </w:r>
          </w:p>
          <w:p w14:paraId="7CB8AA6F">
            <w:pPr>
              <w:autoSpaceDE w:val="0"/>
              <w:autoSpaceDN w:val="0"/>
              <w:adjustRightInd w:val="0"/>
              <w:snapToGrid w:val="0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3、供应商应在接到售后服务要求后4小时内响应、24小时内安排技术人员解决或提供解决方案。出现重大紧急故障，应在接到通知后48小时内赶赴现场排除故障。</w:t>
            </w:r>
          </w:p>
        </w:tc>
      </w:tr>
      <w:tr w14:paraId="03573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179" w:type="pct"/>
            <w:noWrap w:val="0"/>
            <w:vAlign w:val="center"/>
          </w:tcPr>
          <w:p w14:paraId="75CDBF9F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其他说明事项</w:t>
            </w:r>
          </w:p>
        </w:tc>
        <w:tc>
          <w:tcPr>
            <w:tcW w:w="3821" w:type="pct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4014EB04">
            <w:pPr>
              <w:jc w:val="center"/>
              <w:rPr>
                <w:rFonts w:hint="eastAsia" w:ascii="宋体" w:hAnsi="宋体" w:eastAsia="宋体" w:cs="Times New Roman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lang w:bidi="ar"/>
              </w:rPr>
              <w:t>甲方收到全部货物并技术验收合格后凭发票于30日内全额付款。</w:t>
            </w:r>
          </w:p>
        </w:tc>
      </w:tr>
    </w:tbl>
    <w:p w14:paraId="3EC18147">
      <w:pPr>
        <w:widowControl/>
        <w:spacing w:line="360" w:lineRule="atLeast"/>
        <w:rPr>
          <w:rFonts w:hint="eastAsia" w:ascii="宋体" w:hAnsi="宋体" w:eastAsia="宋体" w:cs="Times New Roman"/>
          <w:b/>
          <w:sz w:val="30"/>
          <w:szCs w:val="30"/>
        </w:rPr>
      </w:pPr>
    </w:p>
    <w:p w14:paraId="70EB534A">
      <w:bookmarkStart w:id="2" w:name="_GoBack"/>
      <w:bookmarkEnd w:id="2"/>
    </w:p>
    <w:sectPr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445339"/>
    <w:rsid w:val="2044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qFormat/>
    <w:uiPriority w:val="99"/>
    <w:pPr>
      <w:widowControl w:val="0"/>
      <w:jc w:val="both"/>
    </w:pPr>
    <w:rPr>
      <w:rFonts w:ascii="宋体" w:hAnsi="Courier New" w:eastAsia="宋体" w:cs="Times New Roman"/>
      <w:kern w:val="2"/>
      <w:sz w:val="21"/>
      <w:szCs w:val="20"/>
      <w:lang w:val="en-US" w:eastAsia="zh-CN" w:bidi="ar-SA"/>
    </w:rPr>
  </w:style>
  <w:style w:type="paragraph" w:styleId="3">
    <w:name w:val="Normal (Web)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2025-11-28T08:31:00Z</dcterms:created>
  <dc:creator>顾嘉宁</dc:creator>
  <cp:lastModifiedBy>顾嘉宁</cp:lastModifiedBy>
  <dcterms:modified xsi:type="dcterms:W3CDTF">2025-11-28T08:32:12Z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A7073D830037419897C73C9A05A59C3C_11</vt:lpwstr>
  </property>
  <property fmtid="{D5CDD505-2E9C-101B-9397-08002B2CF9AE}" pid="4" name="KSOTemplateDocerSaveRecord">
    <vt:lpwstr>eyJoZGlkIjoiZjUyMjZiYjQwOTljOWFlMTY1NjA4M2M4Nzk1M2ZiZTAiLCJ1c2VySWQiOiIxNjYzMDExNDYwIn0=</vt:lpwstr>
  </property>
</Properties>
</file>