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rFonts w:ascii="宋体" w:hAnsi="宋体" w:eastAsia="宋体" w:cs="宋体"/>
          <w:color w:val="auto"/>
          <w:sz w:val="36"/>
          <w:szCs w:val="36"/>
          <w:highlight w:val="none"/>
        </w:rPr>
      </w:pPr>
      <w:bookmarkStart w:id="0" w:name="_Toc14351"/>
      <w:bookmarkStart w:id="1" w:name="_Toc22994"/>
      <w:r>
        <w:rPr>
          <w:rFonts w:hint="eastAsia" w:ascii="宋体" w:hAnsi="宋体" w:eastAsia="宋体" w:cs="宋体"/>
          <w:color w:val="auto"/>
          <w:spacing w:val="-1"/>
          <w:sz w:val="36"/>
          <w:szCs w:val="36"/>
          <w:highlight w:val="none"/>
          <w:lang w:val="en-US" w:eastAsia="zh-CN"/>
        </w:rPr>
        <w:t>四标段</w:t>
      </w:r>
      <w:bookmarkStart w:id="14" w:name="_GoBack"/>
      <w:bookmarkEnd w:id="14"/>
      <w:r>
        <w:rPr>
          <w:rFonts w:ascii="宋体" w:hAnsi="宋体" w:eastAsia="宋体" w:cs="宋体"/>
          <w:color w:val="auto"/>
          <w:sz w:val="36"/>
          <w:szCs w:val="36"/>
          <w:highlight w:val="none"/>
        </w:rPr>
        <w:t>采购需求</w:t>
      </w:r>
      <w:bookmarkEnd w:id="0"/>
      <w:bookmarkEnd w:id="1"/>
    </w:p>
    <w:p>
      <w:pPr>
        <w:spacing w:before="79" w:line="360" w:lineRule="auto"/>
        <w:ind w:left="39" w:right="35" w:firstLine="483"/>
        <w:rPr>
          <w:rFonts w:ascii="宋体" w:hAnsi="宋体" w:eastAsia="宋体" w:cs="宋体"/>
          <w:color w:val="auto"/>
          <w:spacing w:val="2"/>
          <w:sz w:val="24"/>
          <w:szCs w:val="24"/>
          <w:highlight w:val="none"/>
        </w:rPr>
      </w:pPr>
    </w:p>
    <w:p>
      <w:pPr>
        <w:spacing w:before="79" w:line="360" w:lineRule="auto"/>
        <w:ind w:right="35"/>
        <w:rPr>
          <w:rFonts w:ascii="宋体" w:hAnsi="宋体" w:eastAsia="宋体" w:cs="宋体"/>
          <w:color w:val="auto"/>
          <w:spacing w:val="2"/>
          <w:sz w:val="24"/>
          <w:szCs w:val="24"/>
          <w:highlight w:val="none"/>
        </w:rPr>
      </w:pPr>
      <w:bookmarkStart w:id="2" w:name="_Toc27348"/>
      <w:r>
        <w:rPr>
          <w:rFonts w:ascii="宋体" w:hAnsi="宋体" w:eastAsia="宋体" w:cs="宋体"/>
          <w:color w:val="auto"/>
          <w:spacing w:val="2"/>
          <w:sz w:val="24"/>
          <w:szCs w:val="24"/>
          <w:highlight w:val="none"/>
        </w:rPr>
        <w:t>一.项目概况</w:t>
      </w:r>
      <w:bookmarkEnd w:id="2"/>
    </w:p>
    <w:p>
      <w:pPr>
        <w:spacing w:before="79" w:line="360" w:lineRule="auto"/>
        <w:ind w:left="39" w:right="35" w:firstLine="483"/>
        <w:rPr>
          <w:rFonts w:hint="default" w:ascii="宋体" w:hAnsi="宋体" w:eastAsia="宋体" w:cs="宋体"/>
          <w:color w:val="auto"/>
          <w:spacing w:val="2"/>
          <w:sz w:val="24"/>
          <w:szCs w:val="24"/>
          <w:highlight w:val="none"/>
          <w:lang w:val="en-US" w:eastAsia="zh-CN"/>
        </w:rPr>
      </w:pPr>
      <w:bookmarkStart w:id="3" w:name="_Toc8208"/>
      <w:r>
        <w:rPr>
          <w:rFonts w:hint="eastAsia" w:ascii="宋体" w:hAnsi="宋体" w:eastAsia="宋体" w:cs="宋体"/>
          <w:color w:val="auto"/>
          <w:spacing w:val="2"/>
          <w:sz w:val="24"/>
          <w:szCs w:val="24"/>
          <w:highlight w:val="none"/>
        </w:rPr>
        <w:t>1、项目预算：</w:t>
      </w:r>
      <w:bookmarkEnd w:id="3"/>
      <w:bookmarkStart w:id="4" w:name="_Toc4275"/>
      <w:r>
        <w:rPr>
          <w:rFonts w:hint="eastAsia" w:ascii="宋体" w:hAnsi="宋体" w:eastAsia="宋体" w:cs="宋体"/>
          <w:color w:val="auto"/>
          <w:spacing w:val="2"/>
          <w:sz w:val="24"/>
          <w:szCs w:val="24"/>
          <w:highlight w:val="none"/>
          <w:lang w:val="en-US" w:eastAsia="zh-CN"/>
        </w:rPr>
        <w:t>总预算</w:t>
      </w:r>
      <w:r>
        <w:rPr>
          <w:rFonts w:hint="eastAsia" w:ascii="宋体" w:hAnsi="宋体" w:eastAsia="宋体" w:cs="宋体"/>
          <w:color w:val="auto"/>
          <w:spacing w:val="2"/>
          <w:sz w:val="24"/>
          <w:szCs w:val="24"/>
          <w:highlight w:val="none"/>
        </w:rPr>
        <w:t>1209286元</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2"/>
          <w:sz w:val="24"/>
          <w:szCs w:val="24"/>
          <w:highlight w:val="none"/>
          <w:lang w:val="en-US" w:eastAsia="zh-CN"/>
        </w:rPr>
        <w:t>四标段预算225300元。</w:t>
      </w:r>
    </w:p>
    <w:p>
      <w:pPr>
        <w:spacing w:before="79" w:line="360" w:lineRule="auto"/>
        <w:ind w:left="39" w:right="35" w:firstLine="483"/>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rPr>
        <w:t>2、项目内容：</w:t>
      </w:r>
      <w:bookmarkEnd w:id="4"/>
      <w:bookmarkStart w:id="5" w:name="_Toc2112"/>
      <w:r>
        <w:rPr>
          <w:rFonts w:hint="eastAsia" w:ascii="宋体" w:hAnsi="宋体" w:eastAsia="宋体" w:cs="宋体"/>
          <w:color w:val="auto"/>
          <w:spacing w:val="2"/>
          <w:sz w:val="24"/>
          <w:szCs w:val="24"/>
          <w:highlight w:val="none"/>
          <w:lang w:eastAsia="zh-CN"/>
        </w:rPr>
        <w:t>镇江市消防救援支队目录外器材采购项目四标段</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3、供货期：</w:t>
      </w:r>
      <w:bookmarkEnd w:id="5"/>
      <w:r>
        <w:rPr>
          <w:rFonts w:hint="eastAsia" w:ascii="宋体" w:hAnsi="宋体" w:eastAsia="宋体" w:cs="宋体"/>
          <w:color w:val="auto"/>
          <w:spacing w:val="2"/>
          <w:sz w:val="24"/>
          <w:szCs w:val="24"/>
          <w:highlight w:val="none"/>
        </w:rPr>
        <w:t>采购合同签订后60日内完成供货。</w:t>
      </w:r>
    </w:p>
    <w:p>
      <w:pPr>
        <w:spacing w:before="79" w:line="360" w:lineRule="auto"/>
        <w:ind w:left="39" w:right="35" w:firstLine="483"/>
        <w:rPr>
          <w:rFonts w:ascii="宋体" w:hAnsi="宋体" w:eastAsia="宋体" w:cs="宋体"/>
          <w:color w:val="auto"/>
          <w:spacing w:val="2"/>
          <w:sz w:val="24"/>
          <w:szCs w:val="24"/>
          <w:highlight w:val="none"/>
        </w:rPr>
      </w:pPr>
      <w:bookmarkStart w:id="6" w:name="_Toc27889"/>
      <w:r>
        <w:rPr>
          <w:rFonts w:hint="eastAsia" w:ascii="宋体" w:hAnsi="宋体" w:eastAsia="宋体" w:cs="宋体"/>
          <w:color w:val="auto"/>
          <w:spacing w:val="2"/>
          <w:sz w:val="24"/>
          <w:szCs w:val="24"/>
          <w:highlight w:val="none"/>
        </w:rPr>
        <w:t>4、交货地点：采购人指定地点。</w:t>
      </w:r>
      <w:bookmarkEnd w:id="6"/>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5、交货方式： 以具体签署的采购合同中货物方式为准，交货时甲乙双方均要有人在场负责清点移交。</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6 、本项目标的所属行业：工业。</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7、本项目不接受联合体投标。</w:t>
      </w:r>
    </w:p>
    <w:p>
      <w:pPr>
        <w:spacing w:before="79" w:line="360" w:lineRule="auto"/>
        <w:ind w:left="39" w:right="35" w:firstLine="483"/>
        <w:rPr>
          <w:rFonts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8、本项目不接受进口产品投标。</w:t>
      </w:r>
    </w:p>
    <w:p>
      <w:pPr>
        <w:spacing w:before="79" w:line="360" w:lineRule="auto"/>
        <w:ind w:right="35"/>
        <w:rPr>
          <w:rFonts w:ascii="宋体" w:hAnsi="宋体" w:eastAsia="宋体" w:cs="宋体"/>
          <w:color w:val="auto"/>
          <w:spacing w:val="2"/>
          <w:sz w:val="24"/>
          <w:szCs w:val="24"/>
          <w:highlight w:val="none"/>
        </w:rPr>
      </w:pPr>
      <w:bookmarkStart w:id="7" w:name="_Toc1759"/>
      <w:r>
        <w:rPr>
          <w:rFonts w:ascii="宋体" w:hAnsi="宋体" w:eastAsia="宋体" w:cs="宋体"/>
          <w:color w:val="auto"/>
          <w:spacing w:val="2"/>
          <w:sz w:val="24"/>
          <w:szCs w:val="24"/>
          <w:highlight w:val="none"/>
        </w:rPr>
        <w:t>二.采购标的汇总表</w:t>
      </w:r>
      <w:bookmarkEnd w:id="7"/>
    </w:p>
    <w:p>
      <w:pPr>
        <w:spacing w:before="79" w:line="360" w:lineRule="auto"/>
        <w:ind w:left="39" w:right="35" w:firstLine="483"/>
        <w:rPr>
          <w:rFonts w:ascii="宋体" w:hAnsi="宋体" w:eastAsia="宋体" w:cs="宋体"/>
          <w:color w:val="auto"/>
          <w:spacing w:val="-4"/>
          <w:sz w:val="24"/>
          <w:szCs w:val="24"/>
          <w:highlight w:val="none"/>
        </w:rPr>
      </w:pPr>
      <w:bookmarkStart w:id="8" w:name="_Toc19522"/>
      <w:r>
        <w:rPr>
          <w:rFonts w:ascii="宋体" w:hAnsi="宋体" w:eastAsia="宋体" w:cs="宋体"/>
          <w:color w:val="auto"/>
          <w:spacing w:val="2"/>
          <w:sz w:val="24"/>
          <w:szCs w:val="24"/>
          <w:highlight w:val="none"/>
        </w:rPr>
        <w:t>(一)  采购</w:t>
      </w:r>
      <w:bookmarkEnd w:id="8"/>
      <w:r>
        <w:rPr>
          <w:rFonts w:hint="eastAsia" w:ascii="宋体" w:hAnsi="宋体" w:eastAsia="宋体" w:cs="宋体"/>
          <w:color w:val="auto"/>
          <w:spacing w:val="2"/>
          <w:sz w:val="24"/>
          <w:szCs w:val="24"/>
          <w:highlight w:val="none"/>
        </w:rPr>
        <w:t>清单及要求</w:t>
      </w:r>
      <w:bookmarkStart w:id="9" w:name="_Toc16642"/>
    </w:p>
    <w:p>
      <w:pPr>
        <w:spacing w:before="1" w:line="360" w:lineRule="auto"/>
        <w:ind w:left="56"/>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val="en-US" w:eastAsia="zh-CN"/>
        </w:rPr>
        <w:t>1</w:t>
      </w: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rPr>
        <w:t>四标段（灭火类）：最高限价：22.53万，投标报价超过标段及标段下的单项限价的，按照无效投标处理。</w:t>
      </w:r>
    </w:p>
    <w:tbl>
      <w:tblPr>
        <w:tblStyle w:val="7"/>
        <w:tblW w:w="9597"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top w:w="0" w:type="dxa"/>
          <w:left w:w="0" w:type="dxa"/>
          <w:bottom w:w="0" w:type="dxa"/>
          <w:right w:w="0" w:type="dxa"/>
        </w:tblCellMar>
      </w:tblPr>
      <w:tblGrid>
        <w:gridCol w:w="599"/>
        <w:gridCol w:w="1129"/>
        <w:gridCol w:w="613"/>
        <w:gridCol w:w="628"/>
        <w:gridCol w:w="754"/>
        <w:gridCol w:w="4843"/>
        <w:gridCol w:w="1031"/>
      </w:tblGrid>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tcBorders>
              <w:top w:val="single" w:color="000000" w:sz="2" w:space="0"/>
              <w:left w:val="single" w:color="000000" w:sz="6" w:space="0"/>
              <w:bottom w:val="single" w:color="000000" w:sz="2" w:space="0"/>
              <w:right w:val="single" w:color="000000" w:sz="6" w:space="0"/>
            </w:tcBorders>
            <w:vAlign w:val="center"/>
          </w:tcPr>
          <w:p>
            <w:pPr>
              <w:spacing w:line="360" w:lineRule="auto"/>
              <w:jc w:val="center"/>
              <w:rPr>
                <w:color w:val="auto"/>
                <w:sz w:val="18"/>
                <w:szCs w:val="18"/>
                <w:highlight w:val="none"/>
              </w:rPr>
            </w:pPr>
          </w:p>
          <w:p>
            <w:pPr>
              <w:spacing w:before="78" w:line="360" w:lineRule="auto"/>
              <w:ind w:left="144"/>
              <w:jc w:val="center"/>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序</w:t>
            </w:r>
            <w:r>
              <w:rPr>
                <w:rFonts w:ascii="宋体" w:hAnsi="宋体" w:eastAsia="宋体" w:cs="宋体"/>
                <w:color w:val="auto"/>
                <w:spacing w:val="-1"/>
                <w:sz w:val="18"/>
                <w:szCs w:val="18"/>
                <w:highlight w:val="none"/>
              </w:rPr>
              <w:t>号</w:t>
            </w:r>
          </w:p>
        </w:tc>
        <w:tc>
          <w:tcPr>
            <w:tcW w:w="1129"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472"/>
              <w:jc w:val="center"/>
              <w:rPr>
                <w:rFonts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器材</w:t>
            </w:r>
            <w:r>
              <w:rPr>
                <w:rFonts w:ascii="宋体" w:hAnsi="宋体" w:eastAsia="宋体" w:cs="宋体"/>
                <w:color w:val="auto"/>
                <w:spacing w:val="-1"/>
                <w:sz w:val="18"/>
                <w:szCs w:val="18"/>
                <w:highlight w:val="none"/>
              </w:rPr>
              <w:t>名称</w:t>
            </w:r>
          </w:p>
        </w:tc>
        <w:tc>
          <w:tcPr>
            <w:tcW w:w="613" w:type="dxa"/>
            <w:tcBorders>
              <w:top w:val="single" w:color="808080" w:sz="2" w:space="0"/>
              <w:bottom w:val="single" w:color="808080" w:sz="2" w:space="0"/>
            </w:tcBorders>
            <w:vAlign w:val="center"/>
          </w:tcPr>
          <w:p>
            <w:pPr>
              <w:spacing w:before="127" w:line="360" w:lineRule="auto"/>
              <w:ind w:left="212"/>
              <w:jc w:val="center"/>
              <w:rPr>
                <w:rFonts w:ascii="宋体" w:hAnsi="宋体" w:eastAsia="宋体" w:cs="宋体"/>
                <w:color w:val="auto"/>
                <w:sz w:val="18"/>
                <w:szCs w:val="18"/>
                <w:highlight w:val="none"/>
              </w:rPr>
            </w:pPr>
            <w:r>
              <w:rPr>
                <w:rFonts w:hint="eastAsia" w:ascii="宋体" w:hAnsi="宋体" w:eastAsia="宋体" w:cs="宋体"/>
                <w:color w:val="auto"/>
                <w:sz w:val="18"/>
                <w:szCs w:val="18"/>
                <w:highlight w:val="none"/>
              </w:rPr>
              <w:t>数量</w:t>
            </w:r>
          </w:p>
        </w:tc>
        <w:tc>
          <w:tcPr>
            <w:tcW w:w="628"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ind w:left="146"/>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单价（万元）</w:t>
            </w:r>
          </w:p>
        </w:tc>
        <w:tc>
          <w:tcPr>
            <w:tcW w:w="754" w:type="dxa"/>
            <w:tcBorders>
              <w:top w:val="single" w:color="808080" w:sz="2" w:space="0"/>
              <w:bottom w:val="single" w:color="808080" w:sz="2" w:space="0"/>
            </w:tcBorders>
            <w:vAlign w:val="center"/>
          </w:tcPr>
          <w:p>
            <w:pPr>
              <w:spacing w:line="360" w:lineRule="auto"/>
              <w:jc w:val="center"/>
              <w:rPr>
                <w:color w:val="auto"/>
                <w:sz w:val="18"/>
                <w:szCs w:val="18"/>
                <w:highlight w:val="none"/>
              </w:rPr>
            </w:pPr>
          </w:p>
          <w:p>
            <w:pPr>
              <w:spacing w:before="78" w:line="360" w:lineRule="auto"/>
              <w:jc w:val="center"/>
              <w:rPr>
                <w:rFonts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小计(万元）</w:t>
            </w:r>
          </w:p>
        </w:tc>
        <w:tc>
          <w:tcPr>
            <w:tcW w:w="4843"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参数</w:t>
            </w:r>
          </w:p>
        </w:tc>
        <w:tc>
          <w:tcPr>
            <w:tcW w:w="1031" w:type="dxa"/>
            <w:tcBorders>
              <w:top w:val="single" w:color="808080" w:sz="2" w:space="0"/>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备注</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1</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中倍数泡沫发生器</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9</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0.5</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1、结构组成：把手、带阀门的进水管、圆筒、喷嘴。</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2、主要应用场景：用于扑救生产存放石油化工、机械制造工业等建筑物内及仓库火灾。</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战保5</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▲3、总体性能符合GB25202-2010《泡沫枪》的标准要求并提供省级或省级以上检测机构出具的检测报告。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 xml:space="preserve">▲5、额定流量≥8L/S； </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▲6、发泡倍数N：20≤N≤200；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▲7、50%析液时间：≥5min；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▲8、射程≥15m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9、泡沫混合比：≥6%</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10、铝合金卡式雄接口，口径：65mm；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11、提供使用说明书，含装备简介、使用注意事项及维护保养等内容。</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2</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移动泡沫钩管</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9</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0.3</w:t>
            </w:r>
          </w:p>
        </w:tc>
        <w:tc>
          <w:tcPr>
            <w:tcW w:w="754" w:type="dxa"/>
            <w:vMerge w:val="restart"/>
            <w:tcBorders>
              <w:top w:val="single" w:color="808080" w:sz="2" w:space="0"/>
            </w:tcBorders>
            <w:vAlign w:val="center"/>
          </w:tcPr>
          <w:p>
            <w:pPr>
              <w:spacing w:before="78" w:line="360" w:lineRule="auto"/>
              <w:jc w:val="center"/>
              <w:rPr>
                <w:rFonts w:hint="default" w:ascii="宋体" w:hAnsi="宋体" w:eastAsia="宋体" w:cs="宋体"/>
                <w:color w:val="auto"/>
                <w:spacing w:val="-3"/>
                <w:sz w:val="18"/>
                <w:szCs w:val="18"/>
                <w:highlight w:val="none"/>
                <w:lang w:val="en-US" w:eastAsia="zh-CN"/>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1、采用五节变径，由上部的弯形喷管、中间部分的整流管、下部的空气泡沫产生器以及进口处的65mm公口组成。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2、主要应用场景：用以产生和喷射空气泡沫，扑救没有固定泡沫灭火装置地下、半地下和小型油罐的油类和汽油火灾。</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战保3</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句容2</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丹徒2</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▲3、符合GB25202-2010《泡沫枪》标准要求提供省级或省级以上检测机构出具的检测报告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▲4、不锈钢或同等材质；五节变径；进液口：快口公口、口径 65mm；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▲5、长度≥3m；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▲6、发泡倍数≥6 倍，主体材质为不锈钢。</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7、工作压力：≥0.5Mpa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▲8、流量≥16L/s</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10、具有永久性标志及产品数据标识；</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95"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11、空气泡沫产生器发泡效果好，后座力小，操控方便。枪头喷射泡沫稳定，工作时可牢固钩住油罐上端。整体具有良好的耐腐蚀、耐高温性能。所有铸件外表面无明显的结疤、气泡、砂眼等缺陷。</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12、与泡沫液或泡沫混合液直接接触的零部件、枪筒采用耐腐蚀材料制作。各部件选材科学、连接牢固。</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935"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3</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pq8泡沫枪</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13</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0.06</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 由喷嘴、启闭柄、密封圈控制开关、手轮、枪筒、吸管、吸管接头、枪体、管牙接口组成。</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2、主要应用场景：用于扑救甲、乙、丙类液体火灾或喷射水用于扑救一般固体火灾。</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润州4</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丹阳4</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战保5</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▲3、总体性能符合GB25202-2010《泡沫枪》的标准要求并提供省级或省级以上检测机构出具的检测报告。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00"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▲4、混合液量≥8L/秒</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▲5、泡沫射程≥28M，自带泡沫吸管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6、带卡式雄接口，公称直径65MM</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8"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四、检验报告中无法体现的参数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8" w:hRule="atLeast"/>
          <w:jc w:val="center"/>
        </w:trPr>
        <w:tc>
          <w:tcPr>
            <w:tcW w:w="599" w:type="dxa"/>
            <w:vMerge w:val="restart"/>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4</w:t>
            </w:r>
          </w:p>
        </w:tc>
        <w:tc>
          <w:tcPr>
            <w:tcW w:w="1129" w:type="dxa"/>
            <w:vMerge w:val="restart"/>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pq8泡沫枪</w:t>
            </w:r>
          </w:p>
        </w:tc>
        <w:tc>
          <w:tcPr>
            <w:tcW w:w="613" w:type="dxa"/>
            <w:vMerge w:val="restart"/>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9</w:t>
            </w:r>
          </w:p>
        </w:tc>
        <w:tc>
          <w:tcPr>
            <w:tcW w:w="628" w:type="dxa"/>
            <w:vMerge w:val="restart"/>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0.15</w:t>
            </w:r>
          </w:p>
        </w:tc>
        <w:tc>
          <w:tcPr>
            <w:tcW w:w="754" w:type="dxa"/>
            <w:vMerge w:val="restart"/>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1、结构组成：尼龙手柄，球阀开关，带吸液管。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2、主要应用场景：用于扑救液体类火灾。</w:t>
            </w:r>
          </w:p>
        </w:tc>
        <w:tc>
          <w:tcPr>
            <w:tcW w:w="1031" w:type="dxa"/>
            <w:vMerge w:val="restart"/>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句容5</w:t>
            </w:r>
          </w:p>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丹徒4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▲3、符合 GB25202-2010《泡沫枪》标准要求并提供省级或省级以上检测机构出具的检测报告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▲4、额定流量≥8L/s。</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▲5、射程≥24m。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6、双把手设计，人体学手枪握把便于把握喷射方向，稳定水枪，马蹄形开关手把，便于启闭水流，方便携带。</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▲7、设计有可调式吸液嘴，转动调节圈能获得 0.5%-3%的 4 个档位吸液量变化。</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▲8、枪体采用防腐铝合金，表面阳极氧化层防止化学腐蚀和机械破坏。</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8"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无</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49"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5</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PQ16空气泡沫枪</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4</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0.1</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1、结构组成：带开关手柄、后座力小、射程远、可旋转接口。</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2、主要应用场景：以泡沫混合液作为灭火剂的喷射管枪。</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润州4</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4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▲3、总体性能符合GB25202-2010《泡沫枪》的标准要求并提供省级或省级以上检测机构出具的检测报告。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49"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三、检验报告中可体现的参数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1、与泡沫液或泡沫混合液直接接触的零部件采用不锈钢材料或整体表面防腐处理；</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▲2、密封性试验压力为 0.88Mpa，保持≥ 5min，各连接部位无渗透现象；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3、按规定的条件进行耐水压强度试验，实验压力1.2MPa，保持≥5min，水枪不应出现裂纹、断裂或影响使用的残余变形；</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4、工作压力：≤0.8MPa；</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▲5、额定流量：16×(1±8%)L/S</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▲6、发泡倍数：5≤N＜20</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▲7、25%稀液时间：≥2min</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▲9、射程：≥28M；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10、泡沫混合比：6%～7%</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49"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1、铝合金卡式雄接口，口径：65mm；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2、配置1根吸液管。</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3、提供中文使用说明书，含装备简介、使用注意事项及维护保养等内容。</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6</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多联可变（车载）泡沫发生器</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1</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7.8</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采用并联式三联炮口设计,缓释放灭火机理覆盖灭火，具有发泡倍数高、成膜效果好、抗烧时间长等特点。适用于石油化工、油库罐区、飞机场等大面积场所的火灾扑救或覆盖保护，结合举高喷射消防车可快速扑救大型油罐。采用高性能耐腐蚀材料制成，外型美观光滑，具有强度高、重量轻、按装方便、操作简单、机动性强、存放空间小等特点。</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新区1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▲1、符合GB20031-2005《泡沫灭火系统及部件通用技术条件》标准要求并提供省级或省级以上检测机构出具的检测报告。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43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▲1、泡沫混合液流量≥40L/S；</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▲2、射程≥15米；</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▲3、质量≤18KG；</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4、主构件泡沫发生器数量≥3个（卡式），单筒口径≥50mm;</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▲5、主要构件铝合金材质，且不低于6061标准，接口硬质氧化处理；</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6、预留连接口径DN80。</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▲1、发泡倍数≥70倍；</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2.原厂附件：增配法兰盘一个（卡式接口母口）和绿波夜间指示坐标仪，方便夜间拆卸和目标指示；</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3.发泡筒、发泡网、螺丝采用304或以上不锈钢制造，泡沫发泡设置稳流装置，保证流量稳定，发泡均匀；</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4.关键部位设置高性能丁青橡胶保护套，耐腐蚀抗老化；</w:t>
            </w:r>
          </w:p>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5.可变口径，能自由组合、脱卸，各炮头可单独或并联使用，可根据实战需求增减炮头数量。</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restart"/>
            <w:tcBorders>
              <w:top w:val="single" w:color="000000" w:sz="2" w:space="0"/>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hint="eastAsia" w:ascii="宋体" w:hAnsi="宋体" w:eastAsia="宋体" w:cs="宋体"/>
                <w:color w:val="auto"/>
                <w:spacing w:val="-2"/>
                <w:sz w:val="18"/>
                <w:szCs w:val="18"/>
                <w:highlight w:val="none"/>
              </w:rPr>
              <w:t>7</w:t>
            </w:r>
          </w:p>
        </w:tc>
        <w:tc>
          <w:tcPr>
            <w:tcW w:w="1129"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泡沫液输转泵</w:t>
            </w:r>
          </w:p>
        </w:tc>
        <w:tc>
          <w:tcPr>
            <w:tcW w:w="613" w:type="dxa"/>
            <w:vMerge w:val="restart"/>
            <w:tcBorders>
              <w:top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r>
              <w:rPr>
                <w:rFonts w:ascii="宋体" w:hAnsi="宋体" w:eastAsia="宋体" w:cs="宋体"/>
                <w:color w:val="auto"/>
                <w:spacing w:val="-2"/>
                <w:sz w:val="18"/>
                <w:szCs w:val="18"/>
                <w:highlight w:val="none"/>
              </w:rPr>
              <w:t>1</w:t>
            </w:r>
          </w:p>
        </w:tc>
        <w:tc>
          <w:tcPr>
            <w:tcW w:w="628" w:type="dxa"/>
            <w:vMerge w:val="restart"/>
            <w:tcBorders>
              <w:top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5</w:t>
            </w:r>
          </w:p>
        </w:tc>
        <w:tc>
          <w:tcPr>
            <w:tcW w:w="754"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一、基本描述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1、结构组成：泵体采用不锈钢材料生产制造，自带汽油发动机驱动；质量轻、流量大、运转稳定噪音小、移动灵活、使用方便。</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2、主要应用场景:主要用于消防泡沫液添加和输转，也可以用于其他粘稠液体的输转。</w:t>
            </w:r>
          </w:p>
        </w:tc>
        <w:tc>
          <w:tcPr>
            <w:tcW w:w="1031" w:type="dxa"/>
            <w:vMerge w:val="restart"/>
            <w:tcBorders>
              <w:top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战保1</w:t>
            </w: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767"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二、标准规范及检验报告</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▲3、整机提供国家级检验中心出具的产品检测报告。</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1268" w:hRule="atLeast"/>
          <w:jc w:val="center"/>
        </w:trPr>
        <w:tc>
          <w:tcPr>
            <w:tcW w:w="599" w:type="dxa"/>
            <w:vMerge w:val="continue"/>
            <w:tcBorders>
              <w:left w:val="single" w:color="000000" w:sz="6"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三、检验报告内参数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4、启动方式：手动和电启动，采用皮带轮柔性连接，无需添加润滑剂，具有一定的自吸功能。</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5、发动机：单缸、风冷、四冲程</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6、启动方式:手/电两用</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▲7、发动机功率 ≥4.5Kw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8、泵的型式 旋片专用泵</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▲9、自吸深度 ≥5M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▲10、容积效率 ≥85%</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▲11、额定流量 ≥200L/Min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12、额定压力 ≥0.3Mpa</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13、吸入口径:50mm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14、排出口径:50mm</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 xml:space="preserve">▲15、粘度 ≤1500CT </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16、泵体 不锈钢齿轮泵</w:t>
            </w:r>
          </w:p>
        </w:tc>
        <w:tc>
          <w:tcPr>
            <w:tcW w:w="1031" w:type="dxa"/>
            <w:vMerge w:val="continue"/>
            <w:vAlign w:val="center"/>
          </w:tcPr>
          <w:p>
            <w:pPr>
              <w:spacing w:before="78" w:line="360" w:lineRule="auto"/>
              <w:jc w:val="center"/>
              <w:rPr>
                <w:rFonts w:ascii="宋体" w:hAnsi="宋体" w:eastAsia="宋体" w:cs="宋体"/>
                <w:color w:val="auto"/>
                <w:spacing w:val="-3"/>
                <w:sz w:val="18"/>
                <w:szCs w:val="18"/>
                <w:highlight w:val="none"/>
              </w:rPr>
            </w:pPr>
          </w:p>
        </w:tc>
      </w:tr>
      <w:tr>
        <w:tblPrEx>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CellMar>
            <w:top w:w="0" w:type="dxa"/>
            <w:left w:w="0" w:type="dxa"/>
            <w:bottom w:w="0" w:type="dxa"/>
            <w:right w:w="0" w:type="dxa"/>
          </w:tblCellMar>
        </w:tblPrEx>
        <w:trPr>
          <w:trHeight w:val="655" w:hRule="atLeast"/>
          <w:jc w:val="center"/>
        </w:trPr>
        <w:tc>
          <w:tcPr>
            <w:tcW w:w="599" w:type="dxa"/>
            <w:vMerge w:val="continue"/>
            <w:tcBorders>
              <w:left w:val="single" w:color="000000" w:sz="6" w:space="0"/>
              <w:bottom w:val="single" w:color="000000" w:sz="2" w:space="0"/>
              <w:right w:val="single" w:color="000000" w:sz="6"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1129"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13" w:type="dxa"/>
            <w:vMerge w:val="continue"/>
            <w:tcBorders>
              <w:bottom w:val="single" w:color="808080" w:sz="2" w:space="0"/>
            </w:tcBorders>
            <w:vAlign w:val="center"/>
          </w:tcPr>
          <w:p>
            <w:pPr>
              <w:spacing w:before="78" w:line="360" w:lineRule="auto"/>
              <w:ind w:left="144"/>
              <w:jc w:val="center"/>
              <w:rPr>
                <w:rFonts w:ascii="宋体" w:hAnsi="宋体" w:eastAsia="宋体" w:cs="宋体"/>
                <w:color w:val="auto"/>
                <w:spacing w:val="-2"/>
                <w:sz w:val="18"/>
                <w:szCs w:val="18"/>
                <w:highlight w:val="none"/>
              </w:rPr>
            </w:pPr>
          </w:p>
        </w:tc>
        <w:tc>
          <w:tcPr>
            <w:tcW w:w="628" w:type="dxa"/>
            <w:vMerge w:val="continue"/>
            <w:tcBorders>
              <w:bottom w:val="single" w:color="808080" w:sz="2" w:space="0"/>
            </w:tcBorders>
            <w:vAlign w:val="center"/>
          </w:tcPr>
          <w:p>
            <w:pPr>
              <w:spacing w:before="78" w:line="360" w:lineRule="auto"/>
              <w:ind w:left="146"/>
              <w:jc w:val="center"/>
              <w:rPr>
                <w:rFonts w:ascii="宋体" w:hAnsi="宋体" w:eastAsia="宋体" w:cs="宋体"/>
                <w:color w:val="auto"/>
                <w:spacing w:val="-3"/>
                <w:sz w:val="18"/>
                <w:szCs w:val="18"/>
                <w:highlight w:val="none"/>
              </w:rPr>
            </w:pPr>
          </w:p>
        </w:tc>
        <w:tc>
          <w:tcPr>
            <w:tcW w:w="754"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c>
          <w:tcPr>
            <w:tcW w:w="4843" w:type="dxa"/>
            <w:tcBorders>
              <w:top w:val="single" w:color="808080" w:sz="2" w:space="0"/>
              <w:bottom w:val="single" w:color="808080" w:sz="2" w:space="0"/>
            </w:tcBorders>
            <w:vAlign w:val="center"/>
          </w:tcPr>
          <w:p>
            <w:pPr>
              <w:spacing w:before="78" w:line="360" w:lineRule="auto"/>
              <w:rPr>
                <w:rFonts w:ascii="宋体" w:hAnsi="宋体" w:eastAsia="宋体" w:cs="宋体"/>
                <w:color w:val="auto"/>
                <w:spacing w:val="-3"/>
                <w:sz w:val="18"/>
                <w:szCs w:val="18"/>
                <w:highlight w:val="none"/>
              </w:rPr>
            </w:pPr>
            <w:r>
              <w:rPr>
                <w:rFonts w:hint="eastAsia" w:ascii="宋体" w:hAnsi="宋体" w:eastAsia="宋体" w:cs="宋体"/>
                <w:color w:val="auto"/>
                <w:spacing w:val="-3"/>
                <w:sz w:val="18"/>
                <w:szCs w:val="18"/>
                <w:highlight w:val="none"/>
              </w:rPr>
              <w:t>四、非检验报告内参数</w:t>
            </w:r>
            <w:r>
              <w:rPr>
                <w:rFonts w:hint="eastAsia" w:ascii="宋体" w:hAnsi="宋体" w:eastAsia="宋体" w:cs="宋体"/>
                <w:color w:val="auto"/>
                <w:spacing w:val="-3"/>
                <w:sz w:val="18"/>
                <w:szCs w:val="18"/>
                <w:highlight w:val="none"/>
              </w:rPr>
              <w:br w:type="textWrapping"/>
            </w:r>
            <w:r>
              <w:rPr>
                <w:rFonts w:hint="eastAsia" w:ascii="宋体" w:hAnsi="宋体" w:eastAsia="宋体" w:cs="宋体"/>
                <w:color w:val="auto"/>
                <w:spacing w:val="-3"/>
                <w:sz w:val="18"/>
                <w:szCs w:val="18"/>
                <w:highlight w:val="none"/>
              </w:rPr>
              <w:t>无</w:t>
            </w:r>
          </w:p>
        </w:tc>
        <w:tc>
          <w:tcPr>
            <w:tcW w:w="1031" w:type="dxa"/>
            <w:vMerge w:val="continue"/>
            <w:tcBorders>
              <w:bottom w:val="single" w:color="808080" w:sz="2" w:space="0"/>
            </w:tcBorders>
            <w:vAlign w:val="center"/>
          </w:tcPr>
          <w:p>
            <w:pPr>
              <w:spacing w:before="78" w:line="360" w:lineRule="auto"/>
              <w:jc w:val="center"/>
              <w:rPr>
                <w:rFonts w:ascii="宋体" w:hAnsi="宋体" w:eastAsia="宋体" w:cs="宋体"/>
                <w:color w:val="auto"/>
                <w:spacing w:val="-3"/>
                <w:sz w:val="18"/>
                <w:szCs w:val="18"/>
                <w:highlight w:val="none"/>
              </w:rPr>
            </w:pPr>
          </w:p>
        </w:tc>
      </w:tr>
      <w:bookmarkEnd w:id="9"/>
    </w:tbl>
    <w:p>
      <w:pPr>
        <w:pStyle w:val="2"/>
        <w:spacing w:line="360" w:lineRule="auto"/>
        <w:rPr>
          <w:color w:val="auto"/>
          <w:highlight w:val="none"/>
        </w:rPr>
      </w:pP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 1、本项目（同一个标段内）单一产品采购，同一品牌的产品有多家投标人参加投标，只能按照一家投标人计算，本项目（同一个标段）非单一产品采购，核心产品同一品牌的产品有多家投标人参加投标，只能按照一家投标人计算。提供相同品牌产品且通过资格审查、符合性审查的不同投标人参加同一合同项下投标的，按一家投标人计算，评审后得分最高的同品牌投标人获得中标人推荐资格；评审得分相同的，由采购人委托评标委员会按采取随机抽取方式确定，其他同品牌投标人不作为中标候选人。</w:t>
      </w:r>
    </w:p>
    <w:p>
      <w:pPr>
        <w:spacing w:line="360" w:lineRule="auto"/>
        <w:ind w:firstLine="480" w:firstLineChars="200"/>
        <w:rPr>
          <w:rFonts w:ascii="宋体" w:hAnsi="宋体" w:eastAsia="宋体" w:cs="宋体"/>
          <w:color w:val="FF0000"/>
          <w:sz w:val="24"/>
          <w:szCs w:val="24"/>
          <w:highlight w:val="none"/>
        </w:rPr>
      </w:pPr>
    </w:p>
    <w:p>
      <w:pPr>
        <w:spacing w:line="360" w:lineRule="auto"/>
        <w:rPr>
          <w:rFonts w:ascii="宋体" w:hAnsi="宋体" w:eastAsia="宋体" w:cs="宋体"/>
          <w:color w:val="auto"/>
          <w:spacing w:val="30"/>
          <w:sz w:val="24"/>
          <w:szCs w:val="24"/>
          <w:highlight w:val="none"/>
        </w:rPr>
      </w:pPr>
      <w:r>
        <w:rPr>
          <w:rFonts w:hint="eastAsia" w:ascii="宋体" w:hAnsi="宋体" w:eastAsia="宋体" w:cs="宋体"/>
          <w:color w:val="auto"/>
          <w:spacing w:val="30"/>
          <w:sz w:val="24"/>
          <w:szCs w:val="24"/>
          <w:highlight w:val="none"/>
        </w:rPr>
        <w:t xml:space="preserve">三、样品要求：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送样要求：投标人应按招标文件要求，提供样品、随样的“样品配置清单或规格型号说明书”，导致样品、随样的“样品配置清单或规格型号说明书”递交逾期的，投标人承担无法递交样品、随样的“样品配置清单或规格型号说明书”的责任。</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样品需于投标截止时间前到达开标现场。由于此次采购货物较多，请投标人尽量提前1日前往接收地点，递交送达地点：</w:t>
      </w:r>
      <w:r>
        <w:rPr>
          <w:rFonts w:hint="eastAsia" w:ascii="宋体" w:hAnsi="宋体" w:eastAsia="宋体" w:cs="宋体"/>
          <w:color w:val="auto"/>
          <w:spacing w:val="1"/>
          <w:sz w:val="24"/>
          <w:szCs w:val="24"/>
          <w:highlight w:val="none"/>
        </w:rPr>
        <w:t>江苏永勤工程管理有限公司</w:t>
      </w:r>
      <w:r>
        <w:rPr>
          <w:rFonts w:ascii="宋体" w:hAnsi="宋体" w:eastAsia="宋体" w:cs="Times New Roman"/>
          <w:bCs/>
          <w:color w:val="auto"/>
          <w:sz w:val="24"/>
          <w:szCs w:val="24"/>
          <w:highlight w:val="none"/>
        </w:rPr>
        <w:t>（</w:t>
      </w:r>
      <w:r>
        <w:rPr>
          <w:rFonts w:hint="eastAsia" w:ascii="宋体" w:hAnsi="宋体" w:eastAsia="宋体" w:cs="宋体"/>
          <w:color w:val="auto"/>
          <w:spacing w:val="1"/>
          <w:sz w:val="24"/>
          <w:szCs w:val="24"/>
          <w:highlight w:val="none"/>
        </w:rPr>
        <w:t>镇江市润州区远洋一期商务楼 29栋3层</w:t>
      </w:r>
      <w:r>
        <w:rPr>
          <w:rFonts w:ascii="宋体" w:hAnsi="宋体" w:eastAsia="宋体" w:cs="宋体"/>
          <w:color w:val="auto"/>
          <w:spacing w:val="1"/>
          <w:sz w:val="24"/>
          <w:szCs w:val="24"/>
          <w:highlight w:val="none"/>
        </w:rPr>
        <w:t>）</w:t>
      </w:r>
      <w:r>
        <w:rPr>
          <w:rFonts w:hint="eastAsia" w:ascii="宋体" w:hAnsi="宋体" w:eastAsia="宋体" w:cs="宋体"/>
          <w:color w:val="FF0000"/>
          <w:sz w:val="24"/>
          <w:szCs w:val="24"/>
          <w:highlight w:val="none"/>
        </w:rPr>
        <w:t xml:space="preserve">，每家单位样品需贴标签，标签上写明项目名称、标段、投标单位名称及样品名称，否则采购人将拒绝接受。评审结束后样品由投标人自行取回，若需要邮寄则费用自理，样品不能及时取回丢失的风险由投标人自行承担，中标供应商的样品将做封样处理。 </w:t>
      </w:r>
    </w:p>
    <w:p>
      <w:pPr>
        <w:spacing w:line="360" w:lineRule="auto"/>
        <w:ind w:firstLine="480" w:firstLineChars="200"/>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 xml:space="preserve">注：本招招标文件中“第四章采购需求”的相关需求，要求投标投标人必须在投标文件《技术规格偏离表》中逐项进行说明，投标文件的《技术规格偏离表》中“投标响应”， </w:t>
      </w:r>
    </w:p>
    <w:p>
      <w:pPr>
        <w:spacing w:line="360" w:lineRule="auto"/>
        <w:ind w:firstLine="480" w:firstLineChars="200"/>
        <w:rPr>
          <w:highlight w:val="none"/>
        </w:rPr>
      </w:pPr>
      <w:r>
        <w:rPr>
          <w:rFonts w:hint="eastAsia" w:ascii="宋体" w:hAnsi="宋体" w:eastAsia="宋体" w:cs="宋体"/>
          <w:color w:val="FF0000"/>
          <w:sz w:val="24"/>
          <w:szCs w:val="24"/>
          <w:highlight w:val="none"/>
        </w:rPr>
        <w:t>必须是投标人所投产品的实际参数，且不得完全照抄招标文件中“技术规格、参数要求”；</w:t>
      </w:r>
    </w:p>
    <w:p>
      <w:pPr>
        <w:spacing w:line="360" w:lineRule="auto"/>
        <w:rPr>
          <w:rFonts w:hint="eastAsia"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lang w:val="en-US" w:eastAsia="zh-CN"/>
        </w:rPr>
        <w:t>需提供的样品清单</w:t>
      </w:r>
    </w:p>
    <w:tbl>
      <w:tblPr>
        <w:tblStyle w:val="5"/>
        <w:tblpPr w:leftFromText="180" w:rightFromText="180" w:vertAnchor="text" w:horzAnchor="page" w:tblpX="1534" w:tblpY="13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7"/>
        <w:gridCol w:w="3409"/>
        <w:gridCol w:w="2428"/>
        <w:gridCol w:w="2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序号</w:t>
            </w:r>
          </w:p>
        </w:tc>
        <w:tc>
          <w:tcPr>
            <w:tcW w:w="3409"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标段</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名称</w:t>
            </w:r>
          </w:p>
        </w:tc>
        <w:tc>
          <w:tcPr>
            <w:tcW w:w="2384" w:type="dxa"/>
            <w:vAlign w:val="center"/>
          </w:tcPr>
          <w:p>
            <w:pPr>
              <w:widowControl w:val="0"/>
              <w:spacing w:line="360" w:lineRule="auto"/>
              <w:jc w:val="center"/>
              <w:rPr>
                <w:rFonts w:hint="default"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是否需要提供样品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677"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lang w:val="en-US" w:eastAsia="zh-CN"/>
              </w:rPr>
            </w:pPr>
            <w:r>
              <w:rPr>
                <w:rFonts w:hint="eastAsia" w:ascii="宋体" w:hAnsi="宋体" w:eastAsia="宋体" w:cs="宋体"/>
                <w:b/>
                <w:bCs/>
                <w:color w:val="FF0000"/>
                <w:sz w:val="24"/>
                <w:szCs w:val="24"/>
                <w:highlight w:val="none"/>
                <w:vertAlign w:val="baseline"/>
                <w:lang w:val="en-US" w:eastAsia="zh-CN"/>
              </w:rPr>
              <w:t>1</w:t>
            </w:r>
          </w:p>
        </w:tc>
        <w:tc>
          <w:tcPr>
            <w:tcW w:w="3409"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第四标段（灭火类）</w:t>
            </w:r>
          </w:p>
        </w:tc>
        <w:tc>
          <w:tcPr>
            <w:tcW w:w="2428"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rPr>
              <w:t>中倍数泡沫发生器</w:t>
            </w:r>
          </w:p>
        </w:tc>
        <w:tc>
          <w:tcPr>
            <w:tcW w:w="2384" w:type="dxa"/>
            <w:vAlign w:val="center"/>
          </w:tcPr>
          <w:p>
            <w:pPr>
              <w:widowControl w:val="0"/>
              <w:spacing w:line="360" w:lineRule="auto"/>
              <w:jc w:val="center"/>
              <w:rPr>
                <w:rFonts w:hint="eastAsia" w:ascii="宋体" w:hAnsi="宋体" w:eastAsia="宋体" w:cs="宋体"/>
                <w:b/>
                <w:bCs/>
                <w:color w:val="FF0000"/>
                <w:sz w:val="24"/>
                <w:szCs w:val="24"/>
                <w:highlight w:val="none"/>
                <w:vertAlign w:val="baseline"/>
              </w:rPr>
            </w:pPr>
            <w:r>
              <w:rPr>
                <w:rFonts w:hint="eastAsia" w:ascii="宋体" w:hAnsi="宋体" w:eastAsia="宋体" w:cs="宋体"/>
                <w:b/>
                <w:bCs/>
                <w:color w:val="FF0000"/>
                <w:sz w:val="24"/>
                <w:szCs w:val="24"/>
                <w:highlight w:val="none"/>
                <w:vertAlign w:val="baseline"/>
                <w:lang w:val="en-US" w:eastAsia="zh-CN"/>
              </w:rPr>
              <w:t>是</w:t>
            </w:r>
          </w:p>
        </w:tc>
      </w:tr>
    </w:tbl>
    <w:p>
      <w:pPr>
        <w:spacing w:line="360" w:lineRule="auto"/>
        <w:outlineLvl w:val="1"/>
        <w:rPr>
          <w:rFonts w:ascii="宋体" w:hAnsi="宋体" w:eastAsia="宋体" w:cs="宋体"/>
          <w:color w:val="auto"/>
          <w:sz w:val="24"/>
          <w:szCs w:val="24"/>
          <w:highlight w:val="none"/>
        </w:rPr>
      </w:pPr>
      <w:bookmarkStart w:id="10" w:name="_Toc22712"/>
      <w:r>
        <w:rPr>
          <w:rFonts w:hint="eastAsia" w:ascii="宋体" w:hAnsi="宋体" w:eastAsia="宋体" w:cs="宋体"/>
          <w:color w:val="auto"/>
          <w:spacing w:val="30"/>
          <w:sz w:val="24"/>
          <w:szCs w:val="24"/>
          <w:highlight w:val="none"/>
        </w:rPr>
        <w:t>四</w:t>
      </w:r>
      <w:r>
        <w:rPr>
          <w:rFonts w:ascii="宋体" w:hAnsi="宋体" w:eastAsia="宋体" w:cs="宋体"/>
          <w:color w:val="auto"/>
          <w:spacing w:val="20"/>
          <w:sz w:val="24"/>
          <w:szCs w:val="24"/>
          <w:highlight w:val="none"/>
        </w:rPr>
        <w:t>.</w:t>
      </w:r>
      <w:bookmarkEnd w:id="10"/>
      <w:r>
        <w:rPr>
          <w:rFonts w:hint="eastAsia" w:ascii="宋体" w:hAnsi="宋体" w:eastAsia="宋体" w:cs="宋体"/>
          <w:color w:val="auto"/>
          <w:spacing w:val="20"/>
          <w:sz w:val="24"/>
          <w:szCs w:val="24"/>
          <w:highlight w:val="none"/>
        </w:rPr>
        <w:t>商务要求</w:t>
      </w:r>
    </w:p>
    <w:p>
      <w:pPr>
        <w:spacing w:line="360" w:lineRule="auto"/>
        <w:ind w:firstLine="482" w:firstLineChars="200"/>
        <w:rPr>
          <w:rFonts w:ascii="宋体" w:hAnsi="宋体" w:eastAsia="宋体" w:cs="宋体"/>
          <w:color w:val="FF0000"/>
          <w:sz w:val="24"/>
          <w:szCs w:val="24"/>
          <w:highlight w:val="none"/>
        </w:rPr>
      </w:pPr>
      <w:bookmarkStart w:id="11" w:name="_Toc8617"/>
      <w:r>
        <w:rPr>
          <w:rFonts w:hint="eastAsia" w:ascii="宋体" w:hAnsi="宋体" w:eastAsia="宋体" w:cs="宋体"/>
          <w:b/>
          <w:bCs/>
          <w:color w:val="FF0000"/>
          <w:sz w:val="24"/>
          <w:szCs w:val="24"/>
          <w:highlight w:val="none"/>
        </w:rPr>
        <w:t>1、自合同签订后 60 天内完成供货</w:t>
      </w:r>
      <w:r>
        <w:rPr>
          <w:rFonts w:hint="eastAsia" w:ascii="宋体" w:hAnsi="宋体" w:eastAsia="宋体" w:cs="宋体"/>
          <w:b/>
          <w:bCs/>
          <w:color w:val="FF0000"/>
          <w:sz w:val="24"/>
          <w:szCs w:val="24"/>
          <w:highlight w:val="none"/>
          <w:lang w:eastAsia="zh-CN"/>
        </w:rPr>
        <w:t>，</w:t>
      </w:r>
      <w:r>
        <w:rPr>
          <w:rFonts w:hint="eastAsia" w:ascii="宋体" w:hAnsi="宋体" w:eastAsia="宋体" w:cs="宋体"/>
          <w:b/>
          <w:bCs/>
          <w:color w:val="FF0000"/>
          <w:sz w:val="24"/>
          <w:szCs w:val="24"/>
          <w:highlight w:val="none"/>
        </w:rPr>
        <w:t>交货地点为采购人所明确的地点；具体验收时间以实际采购的支队或大队通知为准。（投标文件中提供承诺函加盖投标人公章原件，不接受复印件）。</w:t>
      </w:r>
      <w:r>
        <w:rPr>
          <w:rFonts w:hint="eastAsia" w:ascii="宋体" w:hAnsi="宋体" w:eastAsia="宋体" w:cs="宋体"/>
          <w:color w:val="FF0000"/>
          <w:sz w:val="24"/>
          <w:szCs w:val="24"/>
          <w:highlight w:val="none"/>
        </w:rPr>
        <w:t xml:space="preserve"> </w:t>
      </w:r>
    </w:p>
    <w:p>
      <w:pPr>
        <w:spacing w:line="360" w:lineRule="auto"/>
        <w:ind w:firstLine="480" w:firstLineChars="200"/>
        <w:rPr>
          <w:rFonts w:ascii="宋体" w:hAnsi="宋体" w:eastAsia="宋体" w:cs="宋体"/>
          <w:b/>
          <w:bCs/>
          <w:color w:val="FF0000"/>
          <w:sz w:val="24"/>
          <w:szCs w:val="24"/>
          <w:highlight w:val="none"/>
        </w:rPr>
      </w:pPr>
      <w:r>
        <w:rPr>
          <w:rFonts w:hint="eastAsia" w:ascii="宋体" w:hAnsi="宋体" w:eastAsia="宋体" w:cs="宋体"/>
          <w:color w:val="FF0000"/>
          <w:sz w:val="24"/>
          <w:szCs w:val="24"/>
          <w:highlight w:val="none"/>
        </w:rPr>
        <w:t>2、所有产品保修服务方式均为投标人上门保修，即由投标人派人员到产品使用现场维修，由此产生的一切费用均由投标人承担。</w:t>
      </w:r>
      <w:r>
        <w:rPr>
          <w:rFonts w:hint="eastAsia" w:ascii="宋体" w:hAnsi="宋体" w:eastAsia="宋体" w:cs="宋体"/>
          <w:b/>
          <w:bCs/>
          <w:color w:val="FF0000"/>
          <w:sz w:val="24"/>
          <w:szCs w:val="24"/>
          <w:highlight w:val="none"/>
        </w:rPr>
        <w:t xml:space="preserve">（投标文件中提供承诺函加盖投标人公章原件，不接受复印件）。 </w:t>
      </w:r>
    </w:p>
    <w:p>
      <w:pPr>
        <w:pStyle w:val="2"/>
        <w:spacing w:before="222" w:line="360" w:lineRule="auto"/>
        <w:ind w:left="212"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3、质量保证及售后服务</w:t>
      </w:r>
    </w:p>
    <w:p>
      <w:pPr>
        <w:pStyle w:val="2"/>
        <w:spacing w:before="222" w:line="360" w:lineRule="auto"/>
        <w:ind w:left="4" w:leftChars="2"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3.1 投标人应按采购文件规定的货物性能、技术要求、质量标准向采购人提供未经使用的全新产品。</w:t>
      </w:r>
    </w:p>
    <w:p>
      <w:pPr>
        <w:pStyle w:val="2"/>
        <w:spacing w:before="222"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3.2 投标人提供的货物质保期具体以投标文件为准且不得低于三年，投标人提供的货物在质保期内因货物本身的质量问题发生故障，投标人应负责免费更换。对超过质保期发生故障的货物，投标人应当负责维修并按照成本价收取零配件费用。对达不到技术要求者，根据实际情况，经双方协商，可按以下办法处理：</w:t>
      </w:r>
    </w:p>
    <w:p>
      <w:pPr>
        <w:pStyle w:val="2"/>
        <w:spacing w:before="223"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⑴更换： 由投标人承担所发生的全部费用。</w:t>
      </w:r>
    </w:p>
    <w:p>
      <w:pPr>
        <w:pStyle w:val="2"/>
        <w:spacing w:before="221" w:line="360" w:lineRule="auto"/>
        <w:ind w:firstLine="480" w:firstLineChars="2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⑵退货处理：投标人应退还甲方支付的合同款，同时应承担该货物的直接费用（运输、保险、检验）。</w:t>
      </w:r>
    </w:p>
    <w:p>
      <w:pPr>
        <w:pStyle w:val="2"/>
        <w:spacing w:before="41" w:line="360" w:lineRule="auto"/>
        <w:ind w:left="419" w:firstLine="240" w:firstLineChars="100"/>
        <w:outlineLvl w:val="2"/>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3.3 技术规格、技术要求及其他有关货物的特定信息由合同附件说明。所有合同附件及本项目的招投标文件、谈判文件、中标通知书、协议等均为本合同不可分割之部分。解释的顺序除特别说明外，以文件生成时间在后的为准。</w:t>
      </w:r>
    </w:p>
    <w:bookmarkEnd w:id="11"/>
    <w:p>
      <w:pPr>
        <w:pStyle w:val="2"/>
        <w:spacing w:before="221" w:line="360" w:lineRule="auto"/>
        <w:outlineLvl w:val="2"/>
        <w:rPr>
          <w:rFonts w:ascii="宋体" w:hAnsi="宋体" w:eastAsia="宋体" w:cs="宋体"/>
          <w:color w:val="auto"/>
          <w:sz w:val="30"/>
          <w:szCs w:val="30"/>
          <w:highlight w:val="none"/>
        </w:rPr>
      </w:pPr>
      <w:r>
        <w:rPr>
          <w:rFonts w:hint="eastAsia" w:ascii="宋体" w:hAnsi="宋体" w:eastAsia="宋体" w:cs="宋体"/>
          <w:b/>
          <w:bCs/>
          <w:color w:val="FF0000"/>
          <w:sz w:val="24"/>
          <w:szCs w:val="24"/>
          <w:highlight w:val="none"/>
        </w:rPr>
        <w:t xml:space="preserve">    </w:t>
      </w:r>
      <w:r>
        <w:rPr>
          <w:rFonts w:hint="eastAsia" w:ascii="宋体" w:hAnsi="宋体" w:eastAsia="宋体" w:cs="宋体"/>
          <w:b/>
          <w:bCs/>
          <w:color w:val="FF0000"/>
          <w:sz w:val="24"/>
          <w:szCs w:val="24"/>
          <w:highlight w:val="none"/>
          <w:lang w:val="en-US" w:eastAsia="zh-CN"/>
        </w:rPr>
        <w:t>4</w:t>
      </w:r>
      <w:r>
        <w:rPr>
          <w:rFonts w:hint="eastAsia" w:ascii="宋体" w:hAnsi="宋体" w:eastAsia="宋体" w:cs="宋体"/>
          <w:b/>
          <w:bCs/>
          <w:color w:val="FF0000"/>
          <w:sz w:val="24"/>
          <w:szCs w:val="24"/>
          <w:highlight w:val="none"/>
        </w:rPr>
        <w:t>、投标人所供装备保证是全新的、未使用过的，完全符合合同规定的质量、规格型号和性能要求。保证所提供的装备经正确安装、正常运转和保养，在其使用寿命期内应符合合同约定的性能，并且确保通 过各项检验和测试。在装备质量保证期内，投标人应对由于设计、工艺、材料和配套件缺陷所产生的任何不 足或故障负责。（如因装备质量缺陷等问题导致消防员在使用过程中发生伤亡的，由供应商负责一切后果，并承担法律责任）</w:t>
      </w:r>
    </w:p>
    <w:p>
      <w:pPr>
        <w:pStyle w:val="2"/>
        <w:numPr>
          <w:ilvl w:val="0"/>
          <w:numId w:val="1"/>
        </w:numPr>
        <w:spacing w:line="360" w:lineRule="auto"/>
        <w:outlineLvl w:val="1"/>
        <w:rPr>
          <w:rFonts w:ascii="宋体" w:hAnsi="宋体" w:eastAsia="宋体" w:cs="宋体"/>
          <w:color w:val="auto"/>
          <w:spacing w:val="-1"/>
          <w:sz w:val="24"/>
          <w:szCs w:val="24"/>
          <w:highlight w:val="none"/>
        </w:rPr>
      </w:pPr>
      <w:bookmarkStart w:id="12" w:name="_Toc199"/>
      <w:r>
        <w:rPr>
          <w:rFonts w:hint="eastAsia" w:ascii="宋体" w:hAnsi="宋体" w:eastAsia="宋体" w:cs="宋体"/>
          <w:color w:val="auto"/>
          <w:spacing w:val="-1"/>
          <w:sz w:val="24"/>
          <w:szCs w:val="24"/>
          <w:highlight w:val="none"/>
        </w:rPr>
        <w:t>付款方式</w:t>
      </w:r>
      <w:bookmarkEnd w:id="12"/>
    </w:p>
    <w:p>
      <w:pPr>
        <w:pStyle w:val="2"/>
        <w:spacing w:line="360" w:lineRule="auto"/>
        <w:ind w:firstLine="480" w:firstLineChars="200"/>
        <w:outlineLvl w:val="1"/>
        <w:rPr>
          <w:rFonts w:ascii="宋体" w:hAnsi="宋体" w:eastAsia="宋体" w:cs="宋体"/>
          <w:color w:val="FF0000"/>
          <w:sz w:val="24"/>
          <w:szCs w:val="24"/>
          <w:highlight w:val="none"/>
        </w:rPr>
      </w:pPr>
      <w:r>
        <w:rPr>
          <w:rFonts w:hint="eastAsia" w:ascii="宋体" w:hAnsi="宋体" w:eastAsia="宋体" w:cs="宋体"/>
          <w:color w:val="FF0000"/>
          <w:sz w:val="24"/>
          <w:szCs w:val="24"/>
          <w:highlight w:val="none"/>
        </w:rPr>
        <w:t>签订合同30天内向乙方支付合同总金额30%的价款。乙方按照合同约定交货，并经甲方对合同中所有装备到货验收合格（甲方签署到货验收合格报告）后，凭乙方等额有效发票及甲方签署验收合格报告， 甲方在30天内向乙方支付合同金额70%的价款。</w:t>
      </w:r>
    </w:p>
    <w:p>
      <w:pPr>
        <w:pStyle w:val="2"/>
        <w:spacing w:line="360" w:lineRule="auto"/>
        <w:ind w:firstLine="480" w:firstLineChars="200"/>
        <w:outlineLvl w:val="1"/>
        <w:rPr>
          <w:color w:val="auto"/>
          <w:highlight w:val="none"/>
        </w:rPr>
      </w:pPr>
      <w:r>
        <w:rPr>
          <w:rFonts w:hint="eastAsia" w:ascii="宋体" w:hAnsi="宋体" w:eastAsia="宋体" w:cs="宋体"/>
          <w:color w:val="FF0000"/>
          <w:sz w:val="24"/>
          <w:szCs w:val="24"/>
          <w:highlight w:val="none"/>
        </w:rPr>
        <w:t>当采购数量与实际使用数量不一致时，乙方应根据实际使用量供货，合同的最终结算金额按实际使用量乘以成交单价进行计算。</w:t>
      </w:r>
    </w:p>
    <w:p>
      <w:pPr>
        <w:spacing w:before="265" w:line="360" w:lineRule="auto"/>
        <w:ind w:left="37"/>
        <w:outlineLvl w:val="1"/>
        <w:rPr>
          <w:color w:val="auto"/>
          <w:highlight w:val="none"/>
        </w:rPr>
      </w:pPr>
      <w:bookmarkStart w:id="13" w:name="_Toc14089"/>
      <w:r>
        <w:rPr>
          <w:rFonts w:hint="eastAsia" w:ascii="宋体" w:hAnsi="宋体" w:eastAsia="宋体" w:cs="宋体"/>
          <w:color w:val="auto"/>
          <w:spacing w:val="-1"/>
          <w:sz w:val="24"/>
          <w:szCs w:val="24"/>
          <w:highlight w:val="none"/>
        </w:rPr>
        <w:t>六.</w:t>
      </w:r>
      <w:r>
        <w:rPr>
          <w:rFonts w:ascii="宋体" w:hAnsi="宋体" w:eastAsia="宋体" w:cs="宋体"/>
          <w:color w:val="auto"/>
          <w:spacing w:val="-1"/>
          <w:sz w:val="24"/>
          <w:szCs w:val="24"/>
          <w:highlight w:val="none"/>
        </w:rPr>
        <w:t>其他</w:t>
      </w:r>
      <w:r>
        <w:rPr>
          <w:rFonts w:ascii="宋体" w:hAnsi="宋体" w:eastAsia="宋体" w:cs="宋体"/>
          <w:color w:val="auto"/>
          <w:sz w:val="24"/>
          <w:szCs w:val="24"/>
          <w:highlight w:val="none"/>
        </w:rPr>
        <w:t>要求</w:t>
      </w:r>
      <w:bookmarkEnd w:id="13"/>
    </w:p>
    <w:p>
      <w:pPr>
        <w:pStyle w:val="2"/>
        <w:spacing w:before="221" w:line="360" w:lineRule="auto"/>
        <w:ind w:firstLine="241" w:firstLineChars="100"/>
        <w:outlineLvl w:val="2"/>
        <w:rPr>
          <w:color w:val="auto"/>
          <w:highlight w:val="none"/>
        </w:rPr>
        <w:sectPr>
          <w:footerReference r:id="rId3" w:type="default"/>
          <w:pgSz w:w="11907" w:h="16839"/>
          <w:pgMar w:top="1125" w:right="1238" w:bottom="1392" w:left="1240" w:header="1111" w:footer="1229" w:gutter="0"/>
          <w:cols w:space="720" w:num="1"/>
        </w:sectPr>
      </w:pPr>
      <w:r>
        <w:rPr>
          <w:rFonts w:hint="eastAsia" w:ascii="宋体" w:hAnsi="宋体" w:eastAsia="宋体" w:cs="宋体"/>
          <w:b/>
          <w:bCs/>
          <w:color w:val="FF0000"/>
          <w:sz w:val="24"/>
          <w:szCs w:val="24"/>
          <w:highlight w:val="none"/>
        </w:rPr>
        <w:t>1、投标消防产品必须符合国家标准 ;没有国家标准的，必须符合行业标准。依法实行强制性产品认证的消防产品，必须由具有法定资质的认证机构按照国家标准、行业标准的强制性要求认证合格。新研 制的尚未制定国家标准、行业标准的消防产品，应当按照国务院产品质量监督部门会同国务院应急管理部门规定的办法，经技术鉴定符合消防安全要求。</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8" w:lineRule="auto"/>
      <w:ind w:left="4630"/>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0" name="文本框 9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3"/>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5tooy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Bbm2ijICAABlBAAADgAAAAAAAAABACAAAAAfAQAAZHJzL2Uyb0RvYy54bWxQSwUG&#10;AAAAAAYABgBZAQAAwwU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75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44697C"/>
    <w:multiLevelType w:val="singleLevel"/>
    <w:tmpl w:val="ED44697C"/>
    <w:lvl w:ilvl="0" w:tentative="0">
      <w:start w:val="5"/>
      <w:numFmt w:val="chineseCounting"/>
      <w:lvlText w:val="%1."/>
      <w:lvlJc w:val="left"/>
      <w:pPr>
        <w:tabs>
          <w:tab w:val="left" w:pos="312"/>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iMWViMGYxN2E1OWRjNTUzMDM1MjQzYTgzNDY1NzQifQ=="/>
  </w:docVars>
  <w:rsids>
    <w:rsidRoot w:val="36837F43"/>
    <w:rsid w:val="0605071A"/>
    <w:rsid w:val="1E360D2C"/>
    <w:rsid w:val="36837F43"/>
    <w:rsid w:val="47EA4E07"/>
    <w:rsid w:val="723937B0"/>
    <w:rsid w:val="73E60E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character" w:default="1" w:styleId="6">
    <w:name w:val="Default Paragraph Font"/>
    <w:autoRedefine/>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楷体_GB2312" w:eastAsia="楷体_GB2312"/>
      <w:sz w:val="28"/>
      <w:szCs w:val="20"/>
    </w:rPr>
  </w:style>
  <w:style w:type="paragraph" w:styleId="3">
    <w:name w:val="footer"/>
    <w:basedOn w:val="1"/>
    <w:qFormat/>
    <w:uiPriority w:val="0"/>
    <w:pPr>
      <w:tabs>
        <w:tab w:val="center" w:pos="4153"/>
        <w:tab w:val="right" w:pos="8306"/>
      </w:tabs>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2024-01-12T05:31:00Z</dcterms:created>
  <dc:creator>花花  </dc:creator>
  <cp:lastModifiedBy>花花  </cp:lastModifiedBy>
  <dcterms:modified xsi:type="dcterms:W3CDTF">2024-01-12T05:31:49Z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CC9E0B61126544A7903D0703F8DFDA92_11</vt:lpwstr>
  </property>
</Properties>
</file>