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DC113D">
      <w:pPr>
        <w:pStyle w:val="2"/>
        <w:keepNext/>
        <w:keepLines/>
        <w:pageBreakBefore w:val="0"/>
        <w:widowControl w:val="0"/>
        <w:kinsoku/>
        <w:wordWrap/>
        <w:overflowPunct/>
        <w:topLinePunct w:val="0"/>
        <w:autoSpaceDE/>
        <w:autoSpaceDN/>
        <w:bidi w:val="0"/>
        <w:adjustRightInd/>
        <w:snapToGrid/>
        <w:spacing w:before="100" w:after="90" w:line="240" w:lineRule="auto"/>
        <w:jc w:val="center"/>
        <w:textAlignment w:val="auto"/>
        <w:rPr>
          <w:color w:val="auto"/>
          <w:highlight w:val="none"/>
        </w:rPr>
      </w:pPr>
      <w:r>
        <w:rPr>
          <w:rFonts w:hint="eastAsia"/>
          <w:sz w:val="36"/>
          <w:szCs w:val="36"/>
        </w:rPr>
        <w:t>项目需求书</w:t>
      </w:r>
    </w:p>
    <w:p w14:paraId="326FE34C">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30"/>
          <w:szCs w:val="30"/>
          <w:highlight w:val="none"/>
          <w:lang w:eastAsia="zh-CN"/>
        </w:rPr>
        <w:t>（</w:t>
      </w:r>
      <w:r>
        <w:rPr>
          <w:rFonts w:hint="eastAsia" w:ascii="宋体" w:hAnsi="宋体" w:cs="宋体"/>
          <w:b/>
          <w:bCs/>
          <w:color w:val="auto"/>
          <w:kern w:val="0"/>
          <w:sz w:val="30"/>
          <w:szCs w:val="30"/>
          <w:highlight w:val="none"/>
          <w:lang w:val="en-US" w:eastAsia="zh-CN"/>
        </w:rPr>
        <w:t>一</w:t>
      </w:r>
      <w:r>
        <w:rPr>
          <w:rFonts w:hint="eastAsia" w:ascii="宋体" w:hAnsi="宋体" w:cs="宋体"/>
          <w:b/>
          <w:bCs/>
          <w:color w:val="auto"/>
          <w:kern w:val="0"/>
          <w:sz w:val="30"/>
          <w:szCs w:val="30"/>
          <w:highlight w:val="none"/>
          <w:lang w:eastAsia="zh-CN"/>
        </w:rPr>
        <w:t>）</w:t>
      </w:r>
      <w:r>
        <w:rPr>
          <w:rFonts w:hint="eastAsia" w:ascii="宋体" w:hAnsi="宋体" w:cs="宋体"/>
          <w:b/>
          <w:bCs/>
          <w:color w:val="auto"/>
          <w:kern w:val="0"/>
          <w:sz w:val="30"/>
          <w:szCs w:val="30"/>
          <w:highlight w:val="none"/>
        </w:rPr>
        <w:t>纯水机采购需求主要内容</w:t>
      </w:r>
    </w:p>
    <w:p w14:paraId="21AA5F3B">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1、功能及目标要求：</w:t>
      </w:r>
    </w:p>
    <w:p w14:paraId="43D65139">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1.1功能和用途：主要用于法检业务。实验室开展涉税化验、两用物项初筛涉及的矿产品、金属材料、化工品、石墨等法检样品的前处理分析。</w:t>
      </w:r>
    </w:p>
    <w:p w14:paraId="26E6FBAA">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2、标准、规范要求：</w:t>
      </w:r>
    </w:p>
    <w:p w14:paraId="5D1E5841">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2.1JJF（津）74-2022《水质在线电导率仪校准规范》</w:t>
      </w:r>
    </w:p>
    <w:p w14:paraId="3C373AEC">
      <w:pPr>
        <w:widowControl/>
        <w:spacing w:line="360" w:lineRule="auto"/>
        <w:ind w:firstLine="482" w:firstLineChars="200"/>
        <w:jc w:val="left"/>
        <w:rPr>
          <w:rFonts w:ascii="宋体" w:hAnsi="宋体" w:cs="宋体"/>
          <w:color w:val="auto"/>
          <w:kern w:val="0"/>
          <w:sz w:val="24"/>
          <w:highlight w:val="none"/>
        </w:rPr>
      </w:pPr>
      <w:r>
        <w:rPr>
          <w:rFonts w:hint="eastAsia" w:ascii="宋体" w:hAnsi="宋体" w:cs="宋体"/>
          <w:b/>
          <w:bCs/>
          <w:color w:val="auto"/>
          <w:kern w:val="0"/>
          <w:sz w:val="24"/>
          <w:highlight w:val="none"/>
        </w:rPr>
        <w:t>3、技术指标要求：</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108" w:type="dxa"/>
          <w:bottom w:w="0" w:type="dxa"/>
          <w:right w:w="108" w:type="dxa"/>
        </w:tblCellMar>
      </w:tblPr>
      <w:tblGrid>
        <w:gridCol w:w="496"/>
        <w:gridCol w:w="1205"/>
        <w:gridCol w:w="799"/>
        <w:gridCol w:w="1003"/>
        <w:gridCol w:w="4180"/>
        <w:gridCol w:w="839"/>
      </w:tblGrid>
      <w:tr w14:paraId="3AE5153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503" w:type="dxa"/>
            <w:vAlign w:val="center"/>
          </w:tcPr>
          <w:p w14:paraId="0BCCD5DC">
            <w:pPr>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324" w:type="dxa"/>
            <w:vAlign w:val="center"/>
          </w:tcPr>
          <w:p w14:paraId="2A727088">
            <w:pPr>
              <w:jc w:val="center"/>
              <w:rPr>
                <w:rFonts w:ascii="宋体" w:hAnsi="宋体" w:cs="宋体"/>
                <w:b/>
                <w:bCs/>
                <w:color w:val="auto"/>
                <w:sz w:val="24"/>
                <w:highlight w:val="none"/>
              </w:rPr>
            </w:pPr>
            <w:r>
              <w:rPr>
                <w:rFonts w:hint="eastAsia" w:ascii="宋体" w:hAnsi="宋体" w:cs="宋体"/>
                <w:b/>
                <w:bCs/>
                <w:color w:val="auto"/>
                <w:sz w:val="24"/>
                <w:highlight w:val="none"/>
              </w:rPr>
              <w:t>设备名称</w:t>
            </w:r>
          </w:p>
        </w:tc>
        <w:tc>
          <w:tcPr>
            <w:tcW w:w="854" w:type="dxa"/>
            <w:vAlign w:val="center"/>
          </w:tcPr>
          <w:p w14:paraId="4E245F2D">
            <w:pPr>
              <w:jc w:val="center"/>
              <w:rPr>
                <w:rFonts w:ascii="宋体" w:hAnsi="宋体" w:cs="宋体"/>
                <w:b/>
                <w:bCs/>
                <w:color w:val="auto"/>
                <w:sz w:val="24"/>
                <w:highlight w:val="none"/>
              </w:rPr>
            </w:pPr>
            <w:r>
              <w:rPr>
                <w:rFonts w:hint="eastAsia" w:ascii="宋体" w:hAnsi="宋体" w:cs="宋体"/>
                <w:b/>
                <w:bCs/>
                <w:color w:val="auto"/>
                <w:sz w:val="24"/>
                <w:highlight w:val="none"/>
              </w:rPr>
              <w:t>采购数量</w:t>
            </w:r>
          </w:p>
        </w:tc>
        <w:tc>
          <w:tcPr>
            <w:tcW w:w="1090" w:type="dxa"/>
            <w:vAlign w:val="center"/>
          </w:tcPr>
          <w:p w14:paraId="79EB4683">
            <w:pPr>
              <w:jc w:val="center"/>
              <w:rPr>
                <w:rFonts w:ascii="宋体" w:hAnsi="宋体" w:cs="宋体"/>
                <w:b/>
                <w:bCs/>
                <w:color w:val="auto"/>
                <w:sz w:val="24"/>
                <w:highlight w:val="none"/>
              </w:rPr>
            </w:pPr>
            <w:r>
              <w:rPr>
                <w:rFonts w:hint="eastAsia" w:ascii="宋体" w:hAnsi="宋体" w:cs="宋体"/>
                <w:b/>
                <w:bCs/>
                <w:color w:val="auto"/>
                <w:sz w:val="24"/>
                <w:highlight w:val="none"/>
              </w:rPr>
              <w:t>技术项目</w:t>
            </w:r>
          </w:p>
        </w:tc>
        <w:tc>
          <w:tcPr>
            <w:tcW w:w="4612" w:type="dxa"/>
            <w:vAlign w:val="center"/>
          </w:tcPr>
          <w:p w14:paraId="332575B5">
            <w:pPr>
              <w:jc w:val="center"/>
              <w:rPr>
                <w:rFonts w:ascii="宋体" w:hAnsi="宋体" w:cs="宋体"/>
                <w:b/>
                <w:bCs/>
                <w:color w:val="auto"/>
                <w:sz w:val="24"/>
                <w:highlight w:val="none"/>
              </w:rPr>
            </w:pPr>
            <w:r>
              <w:rPr>
                <w:rFonts w:hint="eastAsia" w:ascii="宋体" w:hAnsi="宋体" w:cs="宋体"/>
                <w:b/>
                <w:bCs/>
                <w:color w:val="auto"/>
                <w:sz w:val="24"/>
                <w:highlight w:val="none"/>
              </w:rPr>
              <w:t>具体技术要求描述</w:t>
            </w:r>
          </w:p>
        </w:tc>
        <w:tc>
          <w:tcPr>
            <w:tcW w:w="900" w:type="dxa"/>
            <w:vAlign w:val="center"/>
          </w:tcPr>
          <w:p w14:paraId="26DF05EA">
            <w:pPr>
              <w:jc w:val="center"/>
              <w:rPr>
                <w:rFonts w:ascii="宋体" w:hAnsi="宋体" w:cs="宋体"/>
                <w:b/>
                <w:bCs/>
                <w:color w:val="auto"/>
                <w:sz w:val="24"/>
                <w:highlight w:val="none"/>
              </w:rPr>
            </w:pPr>
            <w:r>
              <w:rPr>
                <w:rFonts w:hint="eastAsia" w:ascii="宋体" w:hAnsi="宋体" w:cs="宋体"/>
                <w:b/>
                <w:bCs/>
                <w:color w:val="auto"/>
                <w:sz w:val="24"/>
                <w:highlight w:val="none"/>
              </w:rPr>
              <w:t>备注</w:t>
            </w:r>
          </w:p>
        </w:tc>
      </w:tr>
      <w:tr w14:paraId="20E9772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c>
          <w:tcPr>
            <w:tcW w:w="503" w:type="dxa"/>
            <w:vAlign w:val="center"/>
          </w:tcPr>
          <w:p w14:paraId="24D45707">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1324" w:type="dxa"/>
            <w:tcBorders>
              <w:left w:val="single" w:color="auto" w:sz="4" w:space="0"/>
              <w:right w:val="single" w:color="auto" w:sz="4" w:space="0"/>
            </w:tcBorders>
            <w:vAlign w:val="center"/>
          </w:tcPr>
          <w:p w14:paraId="52DD42E2">
            <w:pPr>
              <w:jc w:val="center"/>
              <w:rPr>
                <w:rFonts w:ascii="宋体" w:hAnsi="宋体" w:cs="宋体"/>
                <w:color w:val="auto"/>
                <w:szCs w:val="21"/>
                <w:highlight w:val="none"/>
              </w:rPr>
            </w:pPr>
            <w:r>
              <w:rPr>
                <w:rFonts w:hint="eastAsia" w:ascii="宋体" w:hAnsi="宋体" w:cs="宋体"/>
                <w:color w:val="auto"/>
                <w:szCs w:val="21"/>
                <w:highlight w:val="none"/>
              </w:rPr>
              <w:t>纯水机</w:t>
            </w:r>
          </w:p>
        </w:tc>
        <w:tc>
          <w:tcPr>
            <w:tcW w:w="854" w:type="dxa"/>
            <w:tcBorders>
              <w:left w:val="single" w:color="auto" w:sz="4" w:space="0"/>
              <w:right w:val="single" w:color="auto" w:sz="4" w:space="0"/>
            </w:tcBorders>
            <w:vAlign w:val="center"/>
          </w:tcPr>
          <w:p w14:paraId="57836991">
            <w:pPr>
              <w:jc w:val="center"/>
              <w:rPr>
                <w:rFonts w:ascii="宋体" w:hAnsi="宋体" w:cs="宋体"/>
                <w:color w:val="auto"/>
                <w:szCs w:val="21"/>
                <w:highlight w:val="none"/>
              </w:rPr>
            </w:pPr>
            <w:r>
              <w:rPr>
                <w:rFonts w:hint="eastAsia" w:ascii="宋体" w:hAnsi="宋体" w:cs="宋体"/>
                <w:color w:val="auto"/>
                <w:szCs w:val="21"/>
                <w:highlight w:val="none"/>
              </w:rPr>
              <w:t>1台</w:t>
            </w:r>
          </w:p>
        </w:tc>
        <w:tc>
          <w:tcPr>
            <w:tcW w:w="1090" w:type="dxa"/>
            <w:tcBorders>
              <w:left w:val="single" w:color="auto" w:sz="4" w:space="0"/>
              <w:right w:val="single" w:color="auto" w:sz="4" w:space="0"/>
            </w:tcBorders>
            <w:vAlign w:val="center"/>
          </w:tcPr>
          <w:p w14:paraId="6D3A91FE">
            <w:pPr>
              <w:jc w:val="center"/>
              <w:rPr>
                <w:rFonts w:ascii="宋体" w:cs="宋体"/>
                <w:color w:val="auto"/>
                <w:szCs w:val="21"/>
                <w:highlight w:val="none"/>
              </w:rPr>
            </w:pPr>
            <w:r>
              <w:rPr>
                <w:rFonts w:hint="eastAsia" w:ascii="宋体" w:cs="宋体"/>
                <w:color w:val="auto"/>
                <w:kern w:val="0"/>
                <w:szCs w:val="21"/>
                <w:highlight w:val="none"/>
              </w:rPr>
              <w:t>主要技术参数</w:t>
            </w:r>
          </w:p>
        </w:tc>
        <w:tc>
          <w:tcPr>
            <w:tcW w:w="4612" w:type="dxa"/>
            <w:tcBorders>
              <w:left w:val="single" w:color="auto" w:sz="4" w:space="0"/>
              <w:right w:val="single" w:color="auto" w:sz="4" w:space="0"/>
            </w:tcBorders>
            <w:vAlign w:val="center"/>
          </w:tcPr>
          <w:p w14:paraId="63A91236">
            <w:pPr>
              <w:jc w:val="left"/>
              <w:rPr>
                <w:rFonts w:ascii="宋体" w:cs="宋体"/>
                <w:color w:val="auto"/>
                <w:highlight w:val="none"/>
              </w:rPr>
            </w:pPr>
            <w:r>
              <w:rPr>
                <w:rFonts w:hint="eastAsia" w:ascii="宋体" w:cs="宋体"/>
                <w:color w:val="auto"/>
                <w:highlight w:val="none"/>
              </w:rPr>
              <w:t>*1.产水电阻率：18.2MΩ.cm@25℃。</w:t>
            </w:r>
          </w:p>
          <w:p w14:paraId="7AA0FE2C">
            <w:pPr>
              <w:jc w:val="left"/>
              <w:rPr>
                <w:rFonts w:ascii="宋体" w:cs="宋体"/>
                <w:color w:val="auto"/>
                <w:highlight w:val="none"/>
              </w:rPr>
            </w:pPr>
            <w:r>
              <w:rPr>
                <w:rFonts w:hint="eastAsia" w:ascii="宋体" w:cs="宋体"/>
                <w:color w:val="auto"/>
                <w:highlight w:val="none"/>
              </w:rPr>
              <w:t>*2.最大制水量不小于2L每分钟。</w:t>
            </w:r>
          </w:p>
          <w:p w14:paraId="54116172">
            <w:pPr>
              <w:jc w:val="left"/>
              <w:rPr>
                <w:rFonts w:ascii="宋体" w:cs="宋体"/>
                <w:color w:val="auto"/>
                <w:highlight w:val="none"/>
              </w:rPr>
            </w:pPr>
            <w:r>
              <w:rPr>
                <w:rFonts w:hint="eastAsia" w:ascii="宋体" w:cs="宋体"/>
                <w:color w:val="auto"/>
                <w:highlight w:val="none"/>
              </w:rPr>
              <w:t>3.TOC含量≤2ppb。</w:t>
            </w:r>
          </w:p>
          <w:p w14:paraId="7F9159F0">
            <w:pPr>
              <w:jc w:val="left"/>
              <w:rPr>
                <w:rFonts w:ascii="宋体" w:cs="宋体"/>
                <w:color w:val="auto"/>
                <w:highlight w:val="none"/>
              </w:rPr>
            </w:pPr>
            <w:r>
              <w:rPr>
                <w:rFonts w:hint="eastAsia" w:ascii="宋体" w:cs="宋体"/>
                <w:color w:val="auto"/>
                <w:highlight w:val="none"/>
              </w:rPr>
              <w:t>4.内置独立在线TOC检测模块，检测范围0.5-999ppb，检测精度±0.1ppb。附带出厂校准证书。</w:t>
            </w:r>
          </w:p>
          <w:p w14:paraId="733DB9D9">
            <w:pPr>
              <w:jc w:val="left"/>
              <w:rPr>
                <w:rFonts w:ascii="宋体" w:cs="宋体"/>
                <w:color w:val="auto"/>
                <w:highlight w:val="none"/>
              </w:rPr>
            </w:pPr>
            <w:r>
              <w:rPr>
                <w:rFonts w:hint="eastAsia" w:ascii="宋体" w:cs="宋体"/>
                <w:color w:val="auto"/>
                <w:highlight w:val="none"/>
              </w:rPr>
              <w:t>5.系统内置无汞双紫外灯，有效氧化有机物及抑制微生物滋生。</w:t>
            </w:r>
          </w:p>
          <w:p w14:paraId="11666748">
            <w:pPr>
              <w:jc w:val="left"/>
              <w:rPr>
                <w:rFonts w:ascii="宋体" w:cs="宋体"/>
                <w:color w:val="auto"/>
                <w:highlight w:val="none"/>
              </w:rPr>
            </w:pPr>
            <w:r>
              <w:rPr>
                <w:rFonts w:hint="eastAsia" w:ascii="宋体" w:cs="宋体"/>
                <w:color w:val="auto"/>
                <w:highlight w:val="none"/>
              </w:rPr>
              <w:t>6.可定量取水。</w:t>
            </w:r>
          </w:p>
          <w:p w14:paraId="2136E6C4">
            <w:pPr>
              <w:jc w:val="left"/>
              <w:rPr>
                <w:rFonts w:ascii="宋体" w:cs="宋体"/>
                <w:color w:val="auto"/>
                <w:szCs w:val="21"/>
                <w:highlight w:val="none"/>
              </w:rPr>
            </w:pPr>
            <w:r>
              <w:rPr>
                <w:rFonts w:hint="eastAsia" w:ascii="宋体" w:cs="宋体"/>
                <w:color w:val="auto"/>
                <w:highlight w:val="none"/>
              </w:rPr>
              <w:t>7.带取水臂。</w:t>
            </w:r>
          </w:p>
        </w:tc>
        <w:tc>
          <w:tcPr>
            <w:tcW w:w="900" w:type="dxa"/>
            <w:vAlign w:val="center"/>
          </w:tcPr>
          <w:p w14:paraId="2F81D046">
            <w:pPr>
              <w:jc w:val="center"/>
              <w:rPr>
                <w:rFonts w:ascii="宋体" w:hAnsi="宋体" w:cs="宋体"/>
                <w:color w:val="auto"/>
                <w:szCs w:val="21"/>
                <w:highlight w:val="none"/>
              </w:rPr>
            </w:pPr>
          </w:p>
        </w:tc>
      </w:tr>
    </w:tbl>
    <w:p w14:paraId="359F9626">
      <w:pPr>
        <w:pStyle w:val="3"/>
        <w:spacing w:before="40" w:after="50" w:line="240" w:lineRule="auto"/>
        <w:ind w:firstLine="482"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1C5C8506">
      <w:pPr>
        <w:spacing w:beforeLines="100"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采购需求中加“</w:t>
      </w:r>
      <w:r>
        <w:rPr>
          <w:rFonts w:hint="eastAsia" w:ascii="华文中宋" w:eastAsia="华文中宋"/>
          <w:b/>
          <w:bCs/>
          <w:color w:val="auto"/>
          <w:kern w:val="0"/>
          <w:sz w:val="24"/>
          <w:highlight w:val="none"/>
        </w:rPr>
        <w:t>*</w:t>
      </w:r>
      <w:r>
        <w:rPr>
          <w:rFonts w:hint="eastAsia" w:ascii="宋体" w:hAnsi="宋体" w:cs="宋体"/>
          <w:b/>
          <w:bCs/>
          <w:color w:val="auto"/>
          <w:sz w:val="24"/>
          <w:highlight w:val="none"/>
        </w:rPr>
        <w:t>”条款为实质性技术条款，不得出现负偏离，发生负偏离即做无效标处理，加“</w:t>
      </w:r>
      <w:r>
        <w:rPr>
          <w:rFonts w:hint="eastAsia" w:ascii="华文中宋" w:eastAsia="华文中宋"/>
          <w:b/>
          <w:bCs/>
          <w:color w:val="auto"/>
          <w:kern w:val="0"/>
          <w:sz w:val="24"/>
          <w:highlight w:val="none"/>
        </w:rPr>
        <w:t>#</w:t>
      </w:r>
      <w:r>
        <w:rPr>
          <w:rFonts w:hint="eastAsia" w:ascii="宋体" w:hAnsi="宋体" w:cs="宋体"/>
          <w:b/>
          <w:bCs/>
          <w:color w:val="auto"/>
          <w:sz w:val="24"/>
          <w:highlight w:val="none"/>
        </w:rPr>
        <w:t>”条款为重要项技术条款，发生负偏离即做扣分处理。</w:t>
      </w:r>
    </w:p>
    <w:p w14:paraId="1AFAF4E1">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4、数量、交付时间和地点：</w:t>
      </w:r>
    </w:p>
    <w:p w14:paraId="61F72547">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4.1采购数量：1台，交付地点：天津海关化矿金属材料检测中心A13层，交货期：自合同签订之日起45日内货到安装调试完成并验收合格交付使用。</w:t>
      </w:r>
    </w:p>
    <w:p w14:paraId="053A435B">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4.2供应商应予以特别注意：如出现未能到期供货的情况，需求单位有权单方终止合同的执行，所有的经济损失由逾期供货商单方承担。</w:t>
      </w:r>
    </w:p>
    <w:p w14:paraId="1026B3FD">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5、服务标准、期限、效率等要求：</w:t>
      </w:r>
    </w:p>
    <w:p w14:paraId="163E82EB">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5.1产品维修率低，耗材更换便捷，故障响应与咨询：中标供应商能响应故障处理请求和电话咨询，提供5x8小时服务，提供2小时内响应和24小时内派人到现场维修的售后服务。中标供应商应提供维保人员名单、联系电话等。</w:t>
      </w:r>
    </w:p>
    <w:p w14:paraId="46A441EA">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5.2合同签订后，在1周内中标供应商将仪器操作间的装修要求和水、电、气要求通知采购需求方。中标供应商负责将设备运至采购需求方指定的地点，免费负责安装。中标价应包含产品的制造、材料费（主材及辅材）、运输、安装、验收、保修、税收、所有手续费等直至验收合格交付采购需求方使用的所有相关费用。中标价格在中标后的合同实施期间应保持不变，即不因市场价格或政策性价格的调整而增减（若因中标人责任而导致的需方依据合同条款对中标人的扣款处罚除外）。</w:t>
      </w:r>
    </w:p>
    <w:p w14:paraId="50D501D6">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6、验收标准：</w:t>
      </w:r>
    </w:p>
    <w:p w14:paraId="2302198D">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6.1设备到货后，供需双方共同开箱验收；</w:t>
      </w:r>
    </w:p>
    <w:p w14:paraId="5B040EEC">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6.2货物验收时须同时满足以下各项标准及要求方为合格：装箱单、质量合格证书、保修证书、产品使用说明书及其他应随产品一同装箱的技术资料；</w:t>
      </w:r>
    </w:p>
    <w:p w14:paraId="552A1340">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6.3设备安装调试验收完毕后，供需双方填写签署《设备验收报告》。设备保修期自签署验收报告日期开始计算。货到后，中标供应商负责派技术人员到现场进行安装、调试，直至验收合格，带“*”的项目必须符合其性能。</w:t>
      </w:r>
    </w:p>
    <w:p w14:paraId="6279C1D0">
      <w:pPr>
        <w:widowControl/>
        <w:spacing w:line="360" w:lineRule="auto"/>
        <w:ind w:firstLine="482" w:firstLineChars="200"/>
        <w:jc w:val="left"/>
        <w:rPr>
          <w:rFonts w:ascii="宋体" w:hAnsi="宋体" w:cs="宋体"/>
          <w:color w:val="auto"/>
          <w:kern w:val="0"/>
          <w:sz w:val="24"/>
          <w:highlight w:val="none"/>
        </w:rPr>
      </w:pPr>
      <w:r>
        <w:rPr>
          <w:rFonts w:hint="eastAsia" w:ascii="宋体" w:hAnsi="宋体" w:cs="宋体"/>
          <w:b/>
          <w:bCs/>
          <w:color w:val="auto"/>
          <w:kern w:val="0"/>
          <w:sz w:val="24"/>
          <w:highlight w:val="none"/>
        </w:rPr>
        <w:t>验收需要满足：</w:t>
      </w:r>
    </w:p>
    <w:p w14:paraId="70B5B633">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（1）中标供应商须提供产品的原厂技术文件以及验收要求的校准文件或计量证书。属于中华人民共和国强制检定计量器具，中标供应商须负责提供法定计量证书。所需费用由中标供应商承担。</w:t>
      </w:r>
    </w:p>
    <w:p w14:paraId="66704425">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中标供应商设备供货、安装施工、调试、工程验收、货物运输、售后服务等均应符合国家相关法律、法规以及国家标准、相关行业标准。中标供应商提供设备的制造标准、安装标准及技术规范等有关资料必须符合国家相应的有关标准、规范要求。</w:t>
      </w:r>
    </w:p>
    <w:p w14:paraId="09579E94">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中标供应商应向采购需求方提供完整的设备技术资料（含中文）、货物制造商的出厂检验报告、合格证书、产品保证书、认证书、及政府许可证明、说明书等，保证产品和安装材料是新生产、未经过使用的原装原厂正品。如在交付使用前发生设备损坏和不合格，采购需求方有权要求退货，因此造成的一切损失由供应商承担。</w:t>
      </w:r>
    </w:p>
    <w:p w14:paraId="70A4ABB2">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（4）中标供应商根据合同要求进行系统安装、调试后，由采购需求方进行使用性能方面的验收，确保在使用过程内具有满意的性能。如质量不符合要求，供应商应无条件及时更换并不得以任何原因拖延。</w:t>
      </w:r>
    </w:p>
    <w:p w14:paraId="02AFC009">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5）采购需求方根据招标文件、中标供应商的竞标文件、合同、制造厂商的产品验收标准及中华人民共和国有关标准进行验收。采购需求方有权委托中国具权威资质机构对设备的灵敏度、测量精度等技术性能进行验收。因中标供应商所提供的产品未达到招标文件中技术性能指标的，一律拒收，不予付款，采购需求方有权因此终止合同的执行，中标商将自行承担所有经济损失；同时，采购需求方将保留向中标供应商因设备延迟到位而造成对口岸检验业务的不良影响追索相应“违约”责任的权利。</w:t>
      </w:r>
    </w:p>
    <w:p w14:paraId="35365844">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7、技术培训、技术资料、质保期限、附属配套设备等其他需求：</w:t>
      </w:r>
    </w:p>
    <w:p w14:paraId="1200CB8E">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7.1现场免费培训，供货方对操作人员进行技术培训，使操作人员能够掌握有关系统设备的原理、使用、维护和管理技能，达到能独立进行管理、故障处理、日常测试维护等工作的目的，保障设备能够正常、安全的运行，中文说明书。</w:t>
      </w:r>
    </w:p>
    <w:p w14:paraId="6B4C44A4">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7.2整机质保期2年。</w:t>
      </w:r>
    </w:p>
    <w:p w14:paraId="46029A10">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7.3配套设备满足使用需求，详见设备清单。</w:t>
      </w:r>
    </w:p>
    <w:p w14:paraId="0414FB97">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7.4现场培训：仪器在安装调试同时，中标供应商负责免费派工程师对用户就仪器原理和基本操作进行现场培训，培训人员2-3名，培训时间视需求单位需要，原则上不少于3天，确保需求单位用户能正常操作。</w:t>
      </w:r>
    </w:p>
    <w:p w14:paraId="58A4BA85">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7.5集中培训：中标人免费提供需求单位至少2名技术人员到厂家在国内的培训中心进行相同设备专项技能培训，培训时间原则上不少于3天。</w:t>
      </w:r>
    </w:p>
    <w:p w14:paraId="1F980114">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8、计量需求：</w:t>
      </w:r>
    </w:p>
    <w:p w14:paraId="1D226FEC">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8.1计量项目：现行</w:t>
      </w:r>
      <w:r>
        <w:rPr>
          <w:rFonts w:ascii="宋体" w:hAnsi="宋体" w:cs="宋体"/>
          <w:color w:val="auto"/>
          <w:kern w:val="0"/>
          <w:sz w:val="24"/>
          <w:highlight w:val="none"/>
        </w:rPr>
        <w:t>J</w:t>
      </w:r>
      <w:r>
        <w:rPr>
          <w:rFonts w:hint="eastAsia" w:ascii="宋体" w:hAnsi="宋体" w:cs="宋体"/>
          <w:color w:val="auto"/>
          <w:kern w:val="0"/>
          <w:sz w:val="24"/>
          <w:highlight w:val="none"/>
        </w:rPr>
        <w:t xml:space="preserve">JF（津）74-2022 《水质在线电导率仪校准规范》要求的项目。 </w:t>
      </w:r>
    </w:p>
    <w:p w14:paraId="45EFCBE0">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8.2何时提供计量证明（货到现场提供或是安装完成后立即提供）。</w:t>
      </w:r>
    </w:p>
    <w:p w14:paraId="34BC37B5">
      <w:pPr>
        <w:rPr>
          <w:rFonts w:hint="eastAsia" w:ascii="宋体" w:hAnsi="宋体" w:cs="宋体"/>
          <w:b/>
          <w:bCs/>
          <w:color w:val="auto"/>
          <w:kern w:val="0"/>
          <w:sz w:val="30"/>
          <w:szCs w:val="30"/>
          <w:highlight w:val="none"/>
        </w:rPr>
      </w:pPr>
      <w:r>
        <w:rPr>
          <w:rFonts w:hint="eastAsia" w:ascii="宋体" w:hAnsi="宋体" w:cs="宋体"/>
          <w:b/>
          <w:bCs/>
          <w:color w:val="auto"/>
          <w:kern w:val="0"/>
          <w:sz w:val="30"/>
          <w:szCs w:val="30"/>
          <w:highlight w:val="none"/>
        </w:rPr>
        <w:br w:type="page"/>
      </w:r>
    </w:p>
    <w:p w14:paraId="4D4B8CD4">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30"/>
          <w:szCs w:val="30"/>
          <w:highlight w:val="none"/>
          <w:lang w:eastAsia="zh-CN"/>
        </w:rPr>
        <w:t>（</w:t>
      </w:r>
      <w:r>
        <w:rPr>
          <w:rFonts w:hint="eastAsia" w:ascii="宋体" w:hAnsi="宋体" w:cs="宋体"/>
          <w:b/>
          <w:bCs/>
          <w:color w:val="auto"/>
          <w:kern w:val="0"/>
          <w:sz w:val="30"/>
          <w:szCs w:val="30"/>
          <w:highlight w:val="none"/>
          <w:lang w:val="en-US" w:eastAsia="zh-CN"/>
        </w:rPr>
        <w:t>二</w:t>
      </w:r>
      <w:r>
        <w:rPr>
          <w:rFonts w:hint="eastAsia" w:ascii="宋体" w:hAnsi="宋体" w:cs="宋体"/>
          <w:b/>
          <w:bCs/>
          <w:color w:val="auto"/>
          <w:kern w:val="0"/>
          <w:sz w:val="30"/>
          <w:szCs w:val="30"/>
          <w:highlight w:val="none"/>
          <w:lang w:eastAsia="zh-CN"/>
        </w:rPr>
        <w:t>）</w:t>
      </w:r>
      <w:r>
        <w:rPr>
          <w:rFonts w:hint="eastAsia" w:ascii="宋体" w:hAnsi="宋体" w:cs="宋体"/>
          <w:b/>
          <w:bCs/>
          <w:color w:val="auto"/>
          <w:kern w:val="0"/>
          <w:sz w:val="30"/>
          <w:szCs w:val="30"/>
          <w:highlight w:val="none"/>
        </w:rPr>
        <w:t>卡尔费休水分测定仪采购需求主要内容</w:t>
      </w:r>
    </w:p>
    <w:p w14:paraId="5F7C4D30">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1、功能及目标要求：</w:t>
      </w:r>
    </w:p>
    <w:p w14:paraId="3D8E00CC">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1.1用于法检油品化工品水含量检测，归类化验，固废属性鉴别等。</w:t>
      </w:r>
    </w:p>
    <w:p w14:paraId="4AC2BBD6">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2、标准、规范要求：</w:t>
      </w:r>
    </w:p>
    <w:p w14:paraId="2F52CF70">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2.1GB/T 11133-2015、GB/T 11146-2009、GB/T 26986-2011。</w:t>
      </w:r>
    </w:p>
    <w:p w14:paraId="7E41C616">
      <w:pPr>
        <w:widowControl/>
        <w:spacing w:line="360" w:lineRule="auto"/>
        <w:ind w:firstLine="482" w:firstLineChars="200"/>
        <w:jc w:val="left"/>
        <w:rPr>
          <w:rFonts w:ascii="宋体" w:hAnsi="宋体" w:cs="宋体"/>
          <w:color w:val="auto"/>
          <w:kern w:val="0"/>
          <w:sz w:val="24"/>
          <w:highlight w:val="none"/>
        </w:rPr>
      </w:pPr>
      <w:r>
        <w:rPr>
          <w:rFonts w:hint="eastAsia" w:ascii="宋体" w:hAnsi="宋体" w:cs="宋体"/>
          <w:b/>
          <w:bCs/>
          <w:color w:val="auto"/>
          <w:kern w:val="0"/>
          <w:sz w:val="24"/>
          <w:highlight w:val="none"/>
        </w:rPr>
        <w:t>3、技术指标要求：</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108" w:type="dxa"/>
          <w:bottom w:w="0" w:type="dxa"/>
          <w:right w:w="108" w:type="dxa"/>
        </w:tblCellMar>
      </w:tblPr>
      <w:tblGrid>
        <w:gridCol w:w="496"/>
        <w:gridCol w:w="1200"/>
        <w:gridCol w:w="797"/>
        <w:gridCol w:w="999"/>
        <w:gridCol w:w="4193"/>
        <w:gridCol w:w="837"/>
      </w:tblGrid>
      <w:tr w14:paraId="229DD6E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503" w:type="dxa"/>
            <w:vAlign w:val="center"/>
          </w:tcPr>
          <w:p w14:paraId="6E0FDBC4">
            <w:pPr>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324" w:type="dxa"/>
            <w:vAlign w:val="center"/>
          </w:tcPr>
          <w:p w14:paraId="1CF29B4E">
            <w:pPr>
              <w:jc w:val="center"/>
              <w:rPr>
                <w:rFonts w:ascii="宋体" w:hAnsi="宋体" w:cs="宋体"/>
                <w:b/>
                <w:bCs/>
                <w:color w:val="auto"/>
                <w:sz w:val="24"/>
                <w:highlight w:val="none"/>
              </w:rPr>
            </w:pPr>
            <w:r>
              <w:rPr>
                <w:rFonts w:hint="eastAsia" w:ascii="宋体" w:hAnsi="宋体" w:cs="宋体"/>
                <w:b/>
                <w:bCs/>
                <w:color w:val="auto"/>
                <w:sz w:val="24"/>
                <w:highlight w:val="none"/>
              </w:rPr>
              <w:t>设备名称</w:t>
            </w:r>
          </w:p>
        </w:tc>
        <w:tc>
          <w:tcPr>
            <w:tcW w:w="854" w:type="dxa"/>
            <w:vAlign w:val="center"/>
          </w:tcPr>
          <w:p w14:paraId="12145EF6">
            <w:pPr>
              <w:jc w:val="center"/>
              <w:rPr>
                <w:rFonts w:ascii="宋体" w:hAnsi="宋体" w:cs="宋体"/>
                <w:b/>
                <w:bCs/>
                <w:color w:val="auto"/>
                <w:sz w:val="24"/>
                <w:highlight w:val="none"/>
              </w:rPr>
            </w:pPr>
            <w:r>
              <w:rPr>
                <w:rFonts w:hint="eastAsia" w:ascii="宋体" w:hAnsi="宋体" w:cs="宋体"/>
                <w:b/>
                <w:bCs/>
                <w:color w:val="auto"/>
                <w:sz w:val="24"/>
                <w:highlight w:val="none"/>
              </w:rPr>
              <w:t>采购数量</w:t>
            </w:r>
          </w:p>
        </w:tc>
        <w:tc>
          <w:tcPr>
            <w:tcW w:w="1090" w:type="dxa"/>
            <w:vAlign w:val="center"/>
          </w:tcPr>
          <w:p w14:paraId="32303867">
            <w:pPr>
              <w:jc w:val="center"/>
              <w:rPr>
                <w:rFonts w:ascii="宋体" w:hAnsi="宋体" w:cs="宋体"/>
                <w:b/>
                <w:bCs/>
                <w:color w:val="auto"/>
                <w:sz w:val="24"/>
                <w:highlight w:val="none"/>
              </w:rPr>
            </w:pPr>
            <w:r>
              <w:rPr>
                <w:rFonts w:hint="eastAsia" w:ascii="宋体" w:hAnsi="宋体" w:cs="宋体"/>
                <w:b/>
                <w:bCs/>
                <w:color w:val="auto"/>
                <w:sz w:val="24"/>
                <w:highlight w:val="none"/>
              </w:rPr>
              <w:t>技术项目</w:t>
            </w:r>
          </w:p>
        </w:tc>
        <w:tc>
          <w:tcPr>
            <w:tcW w:w="4612" w:type="dxa"/>
            <w:vAlign w:val="center"/>
          </w:tcPr>
          <w:p w14:paraId="0D338A23">
            <w:pPr>
              <w:jc w:val="center"/>
              <w:rPr>
                <w:rFonts w:ascii="宋体" w:hAnsi="宋体" w:cs="宋体"/>
                <w:b/>
                <w:bCs/>
                <w:color w:val="auto"/>
                <w:sz w:val="24"/>
                <w:highlight w:val="none"/>
              </w:rPr>
            </w:pPr>
            <w:r>
              <w:rPr>
                <w:rFonts w:hint="eastAsia" w:ascii="宋体" w:hAnsi="宋体" w:cs="宋体"/>
                <w:b/>
                <w:bCs/>
                <w:color w:val="auto"/>
                <w:sz w:val="24"/>
                <w:highlight w:val="none"/>
              </w:rPr>
              <w:t>具体技术要求描述</w:t>
            </w:r>
          </w:p>
        </w:tc>
        <w:tc>
          <w:tcPr>
            <w:tcW w:w="900" w:type="dxa"/>
            <w:vAlign w:val="center"/>
          </w:tcPr>
          <w:p w14:paraId="4B8BCA57">
            <w:pPr>
              <w:jc w:val="center"/>
              <w:rPr>
                <w:rFonts w:ascii="宋体" w:hAnsi="宋体" w:cs="宋体"/>
                <w:b/>
                <w:bCs/>
                <w:color w:val="auto"/>
                <w:sz w:val="24"/>
                <w:highlight w:val="none"/>
              </w:rPr>
            </w:pPr>
            <w:r>
              <w:rPr>
                <w:rFonts w:hint="eastAsia" w:ascii="宋体" w:hAnsi="宋体" w:cs="宋体"/>
                <w:b/>
                <w:bCs/>
                <w:color w:val="auto"/>
                <w:sz w:val="24"/>
                <w:highlight w:val="none"/>
              </w:rPr>
              <w:t>备注</w:t>
            </w:r>
          </w:p>
        </w:tc>
      </w:tr>
      <w:tr w14:paraId="3E1D22D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c>
          <w:tcPr>
            <w:tcW w:w="503" w:type="dxa"/>
            <w:vAlign w:val="center"/>
          </w:tcPr>
          <w:p w14:paraId="71CE9B0B">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1324" w:type="dxa"/>
            <w:vMerge w:val="restart"/>
            <w:tcBorders>
              <w:left w:val="single" w:color="auto" w:sz="4" w:space="0"/>
              <w:right w:val="single" w:color="auto" w:sz="4" w:space="0"/>
            </w:tcBorders>
            <w:vAlign w:val="center"/>
          </w:tcPr>
          <w:p w14:paraId="37D9A9E6">
            <w:pPr>
              <w:jc w:val="center"/>
              <w:rPr>
                <w:rFonts w:ascii="宋体" w:hAnsi="宋体" w:cs="宋体"/>
                <w:color w:val="auto"/>
                <w:szCs w:val="21"/>
                <w:highlight w:val="none"/>
              </w:rPr>
            </w:pPr>
            <w:r>
              <w:rPr>
                <w:rFonts w:hint="eastAsia" w:asciiTheme="minorEastAsia" w:hAnsiTheme="minorEastAsia" w:eastAsiaTheme="minorEastAsia" w:cstheme="minorEastAsia"/>
                <w:color w:val="auto"/>
                <w:kern w:val="0"/>
                <w:sz w:val="24"/>
                <w:highlight w:val="none"/>
              </w:rPr>
              <w:t>▲</w:t>
            </w:r>
            <w:r>
              <w:rPr>
                <w:rFonts w:hint="eastAsia" w:ascii="宋体" w:hAnsi="宋体" w:cs="宋体"/>
                <w:color w:val="auto"/>
                <w:szCs w:val="21"/>
                <w:highlight w:val="none"/>
              </w:rPr>
              <w:t>卡尔费休水分测定仪</w:t>
            </w:r>
          </w:p>
        </w:tc>
        <w:tc>
          <w:tcPr>
            <w:tcW w:w="854" w:type="dxa"/>
            <w:vMerge w:val="restart"/>
            <w:tcBorders>
              <w:left w:val="single" w:color="auto" w:sz="4" w:space="0"/>
              <w:right w:val="single" w:color="auto" w:sz="4" w:space="0"/>
            </w:tcBorders>
            <w:vAlign w:val="center"/>
          </w:tcPr>
          <w:p w14:paraId="676749E0">
            <w:pPr>
              <w:jc w:val="center"/>
              <w:rPr>
                <w:rFonts w:ascii="宋体" w:hAnsi="宋体" w:cs="宋体"/>
                <w:color w:val="auto"/>
                <w:szCs w:val="21"/>
                <w:highlight w:val="none"/>
              </w:rPr>
            </w:pPr>
            <w:r>
              <w:rPr>
                <w:rFonts w:hint="eastAsia" w:ascii="宋体" w:hAnsi="宋体" w:cs="宋体"/>
                <w:color w:val="auto"/>
                <w:szCs w:val="21"/>
                <w:highlight w:val="none"/>
              </w:rPr>
              <w:t>1台</w:t>
            </w:r>
          </w:p>
        </w:tc>
        <w:tc>
          <w:tcPr>
            <w:tcW w:w="1090" w:type="dxa"/>
            <w:tcBorders>
              <w:left w:val="single" w:color="auto" w:sz="4" w:space="0"/>
              <w:right w:val="single" w:color="auto" w:sz="4" w:space="0"/>
            </w:tcBorders>
            <w:vAlign w:val="center"/>
          </w:tcPr>
          <w:p w14:paraId="651EC4F0">
            <w:pPr>
              <w:jc w:val="center"/>
              <w:rPr>
                <w:rFonts w:ascii="宋体" w:cs="宋体"/>
                <w:color w:val="auto"/>
                <w:szCs w:val="21"/>
                <w:highlight w:val="none"/>
              </w:rPr>
            </w:pPr>
            <w:r>
              <w:rPr>
                <w:rFonts w:hint="eastAsia" w:ascii="宋体" w:cs="宋体"/>
                <w:color w:val="auto"/>
                <w:kern w:val="0"/>
                <w:szCs w:val="21"/>
                <w:highlight w:val="none"/>
              </w:rPr>
              <w:t>库仑法部分</w:t>
            </w:r>
          </w:p>
        </w:tc>
        <w:tc>
          <w:tcPr>
            <w:tcW w:w="4612" w:type="dxa"/>
            <w:tcBorders>
              <w:left w:val="single" w:color="auto" w:sz="4" w:space="0"/>
              <w:right w:val="single" w:color="auto" w:sz="4" w:space="0"/>
            </w:tcBorders>
            <w:vAlign w:val="center"/>
          </w:tcPr>
          <w:p w14:paraId="794257B1">
            <w:pPr>
              <w:jc w:val="left"/>
              <w:rPr>
                <w:rFonts w:ascii="宋体" w:cs="宋体"/>
                <w:color w:val="auto"/>
                <w:highlight w:val="none"/>
              </w:rPr>
            </w:pPr>
            <w:r>
              <w:rPr>
                <w:rFonts w:hint="eastAsia" w:ascii="宋体" w:cs="宋体"/>
                <w:color w:val="auto"/>
                <w:highlight w:val="none"/>
              </w:rPr>
              <w:t>1*.满足标准GB/T 11133-2015、GB/T 11146-2009的要求。</w:t>
            </w:r>
          </w:p>
          <w:p w14:paraId="4278D3F4">
            <w:pPr>
              <w:jc w:val="left"/>
              <w:rPr>
                <w:rFonts w:ascii="宋体" w:cs="宋体"/>
                <w:color w:val="auto"/>
                <w:highlight w:val="none"/>
              </w:rPr>
            </w:pPr>
            <w:r>
              <w:rPr>
                <w:rFonts w:hint="eastAsia" w:ascii="宋体" w:cs="宋体"/>
                <w:color w:val="auto"/>
                <w:highlight w:val="none"/>
              </w:rPr>
              <w:t>2.测量技术采用恒定极化电压，电流测定法。</w:t>
            </w:r>
          </w:p>
          <w:p w14:paraId="5773F8DA">
            <w:pPr>
              <w:jc w:val="left"/>
              <w:rPr>
                <w:rFonts w:ascii="宋体" w:cs="宋体"/>
                <w:color w:val="auto"/>
                <w:highlight w:val="none"/>
              </w:rPr>
            </w:pPr>
            <w:r>
              <w:rPr>
                <w:rFonts w:hint="eastAsia" w:ascii="宋体" w:cs="宋体"/>
                <w:color w:val="auto"/>
                <w:highlight w:val="none"/>
              </w:rPr>
              <w:t>3. 水分测量范围检出限：≤2μg;水分测量范围分辨率：≤0.001μg。</w:t>
            </w:r>
          </w:p>
          <w:p w14:paraId="72B3F54A">
            <w:pPr>
              <w:jc w:val="left"/>
              <w:rPr>
                <w:rFonts w:ascii="宋体" w:cs="宋体"/>
                <w:color w:val="auto"/>
                <w:highlight w:val="none"/>
              </w:rPr>
            </w:pPr>
            <w:r>
              <w:rPr>
                <w:rFonts w:hint="eastAsia" w:ascii="宋体" w:cs="宋体"/>
                <w:color w:val="auto"/>
                <w:highlight w:val="none"/>
              </w:rPr>
              <w:t>4#. 水分测量范围：10μg – 200mg H2O。</w:t>
            </w:r>
          </w:p>
          <w:p w14:paraId="4363BC4C">
            <w:pPr>
              <w:jc w:val="left"/>
              <w:rPr>
                <w:rFonts w:ascii="宋体" w:cs="宋体"/>
                <w:color w:val="auto"/>
                <w:highlight w:val="none"/>
              </w:rPr>
            </w:pPr>
            <w:r>
              <w:rPr>
                <w:rFonts w:hint="eastAsia" w:ascii="宋体" w:cs="宋体"/>
                <w:color w:val="auto"/>
                <w:highlight w:val="none"/>
              </w:rPr>
              <w:t>5. 主机与触摸屏需为分体式结构，触摸屏可单独放在距离主机较远处操作，避免实验人员接触有毒有害样品。</w:t>
            </w:r>
          </w:p>
          <w:p w14:paraId="1ACCABE7">
            <w:pPr>
              <w:jc w:val="left"/>
              <w:rPr>
                <w:rFonts w:ascii="宋体" w:cs="宋体"/>
                <w:color w:val="auto"/>
                <w:highlight w:val="none"/>
              </w:rPr>
            </w:pPr>
            <w:r>
              <w:rPr>
                <w:rFonts w:hint="eastAsia" w:ascii="宋体" w:cs="宋体"/>
                <w:color w:val="auto"/>
                <w:highlight w:val="none"/>
              </w:rPr>
              <w:t>6. 配备智能溶剂泵，可实现在触摸屏完成加液、排液、更换溶剂操作。</w:t>
            </w:r>
          </w:p>
          <w:p w14:paraId="2B85FF72">
            <w:pPr>
              <w:jc w:val="left"/>
              <w:rPr>
                <w:rFonts w:ascii="宋体" w:cs="宋体"/>
                <w:color w:val="auto"/>
                <w:highlight w:val="none"/>
              </w:rPr>
            </w:pPr>
            <w:r>
              <w:rPr>
                <w:rFonts w:hint="eastAsia" w:ascii="宋体" w:cs="宋体"/>
                <w:color w:val="auto"/>
                <w:highlight w:val="none"/>
              </w:rPr>
              <w:t>7. 方法结束后，实现能自动进行预滴定操作，提前中和样品溶剂、缓冲液、容器、环境水汽带来的空白杂质，保持滴定杯处于待机状态，随时检测样品。</w:t>
            </w:r>
          </w:p>
          <w:p w14:paraId="3DD0E739">
            <w:pPr>
              <w:jc w:val="left"/>
              <w:rPr>
                <w:rFonts w:ascii="宋体" w:cs="宋体"/>
                <w:color w:val="auto"/>
                <w:szCs w:val="21"/>
                <w:highlight w:val="none"/>
              </w:rPr>
            </w:pPr>
            <w:r>
              <w:rPr>
                <w:rFonts w:hint="eastAsia" w:ascii="宋体" w:cs="宋体"/>
                <w:color w:val="auto"/>
                <w:highlight w:val="none"/>
              </w:rPr>
              <w:t>8. 可实现自动测量在线漂移值功能，并可自动扣除漂移值。</w:t>
            </w:r>
          </w:p>
        </w:tc>
        <w:tc>
          <w:tcPr>
            <w:tcW w:w="900" w:type="dxa"/>
            <w:vAlign w:val="center"/>
          </w:tcPr>
          <w:p w14:paraId="5E3B569A">
            <w:pPr>
              <w:jc w:val="center"/>
              <w:rPr>
                <w:rFonts w:ascii="宋体" w:hAnsi="宋体" w:cs="宋体"/>
                <w:color w:val="auto"/>
                <w:szCs w:val="21"/>
                <w:highlight w:val="none"/>
              </w:rPr>
            </w:pPr>
          </w:p>
        </w:tc>
      </w:tr>
      <w:tr w14:paraId="3690F2C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c>
          <w:tcPr>
            <w:tcW w:w="503" w:type="dxa"/>
            <w:vAlign w:val="center"/>
          </w:tcPr>
          <w:p w14:paraId="7088084B">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1324" w:type="dxa"/>
            <w:vMerge w:val="continue"/>
            <w:tcBorders>
              <w:left w:val="single" w:color="auto" w:sz="4" w:space="0"/>
              <w:right w:val="single" w:color="auto" w:sz="4" w:space="0"/>
            </w:tcBorders>
            <w:vAlign w:val="center"/>
          </w:tcPr>
          <w:p w14:paraId="3C0B2038">
            <w:pPr>
              <w:rPr>
                <w:color w:val="auto"/>
                <w:highlight w:val="none"/>
              </w:rPr>
            </w:pPr>
          </w:p>
        </w:tc>
        <w:tc>
          <w:tcPr>
            <w:tcW w:w="854" w:type="dxa"/>
            <w:vMerge w:val="continue"/>
            <w:tcBorders>
              <w:left w:val="single" w:color="auto" w:sz="4" w:space="0"/>
              <w:right w:val="single" w:color="auto" w:sz="4" w:space="0"/>
            </w:tcBorders>
            <w:vAlign w:val="center"/>
          </w:tcPr>
          <w:p w14:paraId="7B739D54">
            <w:pPr>
              <w:rPr>
                <w:color w:val="auto"/>
                <w:highlight w:val="none"/>
              </w:rPr>
            </w:pPr>
          </w:p>
        </w:tc>
        <w:tc>
          <w:tcPr>
            <w:tcW w:w="1090" w:type="dxa"/>
            <w:tcBorders>
              <w:left w:val="single" w:color="auto" w:sz="4" w:space="0"/>
              <w:right w:val="single" w:color="auto" w:sz="4" w:space="0"/>
            </w:tcBorders>
            <w:vAlign w:val="center"/>
          </w:tcPr>
          <w:p w14:paraId="22CFCDBE">
            <w:pPr>
              <w:jc w:val="center"/>
              <w:rPr>
                <w:rFonts w:ascii="宋体" w:cs="宋体"/>
                <w:color w:val="auto"/>
                <w:kern w:val="0"/>
                <w:szCs w:val="21"/>
                <w:highlight w:val="none"/>
              </w:rPr>
            </w:pPr>
            <w:r>
              <w:rPr>
                <w:rFonts w:hint="eastAsia" w:ascii="宋体" w:cs="宋体"/>
                <w:color w:val="auto"/>
                <w:kern w:val="0"/>
                <w:szCs w:val="21"/>
                <w:highlight w:val="none"/>
              </w:rPr>
              <w:t>容量法部分</w:t>
            </w:r>
          </w:p>
        </w:tc>
        <w:tc>
          <w:tcPr>
            <w:tcW w:w="4612" w:type="dxa"/>
            <w:tcBorders>
              <w:left w:val="single" w:color="auto" w:sz="4" w:space="0"/>
              <w:right w:val="single" w:color="auto" w:sz="4" w:space="0"/>
            </w:tcBorders>
            <w:vAlign w:val="center"/>
          </w:tcPr>
          <w:p w14:paraId="1EA9D526">
            <w:pPr>
              <w:jc w:val="left"/>
              <w:rPr>
                <w:rFonts w:ascii="宋体" w:cs="宋体"/>
                <w:color w:val="auto"/>
                <w:highlight w:val="none"/>
              </w:rPr>
            </w:pPr>
            <w:r>
              <w:rPr>
                <w:rFonts w:hint="eastAsia" w:ascii="宋体" w:cs="宋体"/>
                <w:color w:val="auto"/>
                <w:highlight w:val="none"/>
              </w:rPr>
              <w:t>1*.满足标准GB/T 26986-2011的要求。</w:t>
            </w:r>
          </w:p>
          <w:p w14:paraId="46B0EC9E">
            <w:pPr>
              <w:jc w:val="left"/>
              <w:rPr>
                <w:rFonts w:ascii="宋体" w:cs="宋体"/>
                <w:color w:val="auto"/>
                <w:highlight w:val="none"/>
              </w:rPr>
            </w:pPr>
            <w:r>
              <w:rPr>
                <w:rFonts w:hint="eastAsia" w:ascii="宋体" w:cs="宋体"/>
                <w:color w:val="auto"/>
                <w:highlight w:val="none"/>
              </w:rPr>
              <w:t>2.极化电压范围：0-±2300.0mV；且极化电压50mV, 100mV, 200mV,300mV可调。</w:t>
            </w:r>
          </w:p>
          <w:p w14:paraId="6562A310">
            <w:pPr>
              <w:jc w:val="left"/>
              <w:rPr>
                <w:rFonts w:ascii="宋体" w:cs="宋体"/>
                <w:color w:val="auto"/>
                <w:highlight w:val="none"/>
              </w:rPr>
            </w:pPr>
            <w:r>
              <w:rPr>
                <w:rFonts w:hint="eastAsia" w:ascii="宋体" w:cs="宋体"/>
                <w:color w:val="auto"/>
                <w:highlight w:val="none"/>
              </w:rPr>
              <w:t>3.电流测量范围：0-±240μA；</w:t>
            </w:r>
          </w:p>
          <w:p w14:paraId="79F2CEE3">
            <w:pPr>
              <w:jc w:val="left"/>
              <w:rPr>
                <w:rFonts w:ascii="宋体" w:cs="宋体"/>
                <w:color w:val="auto"/>
                <w:highlight w:val="none"/>
              </w:rPr>
            </w:pPr>
            <w:r>
              <w:rPr>
                <w:rFonts w:hint="eastAsia" w:ascii="宋体" w:cs="宋体"/>
                <w:color w:val="auto"/>
                <w:highlight w:val="none"/>
              </w:rPr>
              <w:t>4.电流分辨率：不低于0.00006μA (显示0.1μA)；</w:t>
            </w:r>
          </w:p>
          <w:p w14:paraId="244122A9">
            <w:pPr>
              <w:jc w:val="left"/>
              <w:rPr>
                <w:rFonts w:ascii="宋体" w:cs="宋体"/>
                <w:color w:val="auto"/>
                <w:highlight w:val="none"/>
              </w:rPr>
            </w:pPr>
            <w:r>
              <w:rPr>
                <w:rFonts w:hint="eastAsia" w:ascii="宋体" w:cs="宋体"/>
                <w:color w:val="auto"/>
                <w:highlight w:val="none"/>
              </w:rPr>
              <w:t xml:space="preserve">5#.水分测量范围：10ppm-100%。                      </w:t>
            </w:r>
          </w:p>
          <w:p w14:paraId="4BC8AF70">
            <w:pPr>
              <w:jc w:val="left"/>
              <w:rPr>
                <w:rFonts w:ascii="宋体" w:cs="宋体"/>
                <w:color w:val="auto"/>
                <w:highlight w:val="none"/>
              </w:rPr>
            </w:pPr>
            <w:r>
              <w:rPr>
                <w:rFonts w:hint="eastAsia" w:ascii="宋体" w:cs="宋体"/>
                <w:color w:val="auto"/>
                <w:highlight w:val="none"/>
              </w:rPr>
              <w:t>6. 主机与触摸屏需为分体式结构，触摸屏可单独放在距离主机较远处操作，避免实验人员接触有毒有害样品。</w:t>
            </w:r>
          </w:p>
          <w:p w14:paraId="41C659FF">
            <w:pPr>
              <w:jc w:val="left"/>
              <w:rPr>
                <w:rFonts w:ascii="宋体" w:cs="宋体"/>
                <w:color w:val="auto"/>
                <w:highlight w:val="none"/>
              </w:rPr>
            </w:pPr>
            <w:r>
              <w:rPr>
                <w:rFonts w:hint="eastAsia" w:ascii="宋体" w:cs="宋体"/>
                <w:color w:val="auto"/>
                <w:highlight w:val="none"/>
              </w:rPr>
              <w:t>7. 配备溶剂泵，可实现在触摸屏完成加液、排液、更换溶剂操作。</w:t>
            </w:r>
          </w:p>
          <w:p w14:paraId="78F3F54F">
            <w:pPr>
              <w:jc w:val="left"/>
              <w:rPr>
                <w:rFonts w:ascii="宋体" w:cs="宋体"/>
                <w:color w:val="auto"/>
                <w:highlight w:val="none"/>
              </w:rPr>
            </w:pPr>
            <w:r>
              <w:rPr>
                <w:rFonts w:hint="eastAsia" w:ascii="宋体" w:cs="宋体"/>
                <w:color w:val="auto"/>
                <w:highlight w:val="none"/>
              </w:rPr>
              <w:t>8. 方法结束后，可实现自动预滴定操作，提前中和样品溶剂、缓冲液、容器、环境水汽带来的空白杂质，保持滴定杯处于待机状态，随时检测样品。</w:t>
            </w:r>
          </w:p>
          <w:p w14:paraId="58BA02EB">
            <w:pPr>
              <w:jc w:val="left"/>
              <w:rPr>
                <w:rFonts w:ascii="宋体" w:cs="宋体"/>
                <w:color w:val="auto"/>
                <w:highlight w:val="none"/>
              </w:rPr>
            </w:pPr>
            <w:r>
              <w:rPr>
                <w:rFonts w:hint="eastAsia" w:ascii="宋体" w:cs="宋体"/>
                <w:color w:val="auto"/>
                <w:highlight w:val="none"/>
              </w:rPr>
              <w:t>9. 可实现自动测量在线漂移值功能，并可自动扣除漂移值。</w:t>
            </w:r>
          </w:p>
        </w:tc>
        <w:tc>
          <w:tcPr>
            <w:tcW w:w="900" w:type="dxa"/>
            <w:vAlign w:val="center"/>
          </w:tcPr>
          <w:p w14:paraId="1998BD91">
            <w:pPr>
              <w:jc w:val="center"/>
              <w:rPr>
                <w:rFonts w:ascii="宋体" w:hAnsi="宋体" w:cs="宋体"/>
                <w:color w:val="auto"/>
                <w:szCs w:val="21"/>
                <w:highlight w:val="none"/>
              </w:rPr>
            </w:pPr>
          </w:p>
        </w:tc>
      </w:tr>
      <w:tr w14:paraId="1286BAF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c>
          <w:tcPr>
            <w:tcW w:w="503" w:type="dxa"/>
            <w:vAlign w:val="center"/>
          </w:tcPr>
          <w:p w14:paraId="6B62174C">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1324" w:type="dxa"/>
            <w:vMerge w:val="continue"/>
            <w:tcBorders>
              <w:left w:val="single" w:color="auto" w:sz="4" w:space="0"/>
              <w:right w:val="single" w:color="auto" w:sz="4" w:space="0"/>
            </w:tcBorders>
            <w:vAlign w:val="center"/>
          </w:tcPr>
          <w:p w14:paraId="4229208B">
            <w:pPr>
              <w:rPr>
                <w:color w:val="auto"/>
                <w:highlight w:val="none"/>
              </w:rPr>
            </w:pPr>
          </w:p>
        </w:tc>
        <w:tc>
          <w:tcPr>
            <w:tcW w:w="854" w:type="dxa"/>
            <w:vMerge w:val="continue"/>
            <w:tcBorders>
              <w:left w:val="single" w:color="auto" w:sz="4" w:space="0"/>
              <w:right w:val="single" w:color="auto" w:sz="4" w:space="0"/>
            </w:tcBorders>
            <w:vAlign w:val="center"/>
          </w:tcPr>
          <w:p w14:paraId="5885C687">
            <w:pPr>
              <w:rPr>
                <w:color w:val="auto"/>
                <w:highlight w:val="none"/>
              </w:rPr>
            </w:pPr>
          </w:p>
        </w:tc>
        <w:tc>
          <w:tcPr>
            <w:tcW w:w="1090" w:type="dxa"/>
            <w:tcBorders>
              <w:left w:val="single" w:color="auto" w:sz="4" w:space="0"/>
              <w:right w:val="single" w:color="auto" w:sz="4" w:space="0"/>
            </w:tcBorders>
            <w:vAlign w:val="center"/>
          </w:tcPr>
          <w:p w14:paraId="3F98CDC9">
            <w:pPr>
              <w:jc w:val="center"/>
              <w:rPr>
                <w:rFonts w:ascii="宋体" w:cs="宋体"/>
                <w:color w:val="auto"/>
                <w:kern w:val="0"/>
                <w:szCs w:val="21"/>
                <w:highlight w:val="none"/>
              </w:rPr>
            </w:pPr>
            <w:r>
              <w:rPr>
                <w:rFonts w:hint="eastAsia" w:ascii="宋体" w:cs="宋体"/>
                <w:color w:val="auto"/>
                <w:kern w:val="0"/>
                <w:szCs w:val="21"/>
                <w:highlight w:val="none"/>
              </w:rPr>
              <w:t>称量模块</w:t>
            </w:r>
          </w:p>
        </w:tc>
        <w:tc>
          <w:tcPr>
            <w:tcW w:w="4612" w:type="dxa"/>
            <w:tcBorders>
              <w:left w:val="single" w:color="auto" w:sz="4" w:space="0"/>
              <w:right w:val="single" w:color="auto" w:sz="4" w:space="0"/>
            </w:tcBorders>
            <w:vAlign w:val="center"/>
          </w:tcPr>
          <w:p w14:paraId="266CA4B2">
            <w:pPr>
              <w:jc w:val="left"/>
              <w:rPr>
                <w:rFonts w:ascii="宋体" w:cs="宋体"/>
                <w:color w:val="auto"/>
                <w:highlight w:val="none"/>
              </w:rPr>
            </w:pPr>
            <w:r>
              <w:rPr>
                <w:rFonts w:hint="eastAsia" w:ascii="宋体" w:cs="宋体"/>
                <w:color w:val="auto"/>
                <w:highlight w:val="none"/>
              </w:rPr>
              <w:t xml:space="preserve">1.双量程天平，最大称量值：0-42g；0-120 g；                     </w:t>
            </w:r>
          </w:p>
          <w:p w14:paraId="4DAC9F76">
            <w:pPr>
              <w:jc w:val="left"/>
              <w:rPr>
                <w:rFonts w:ascii="宋体" w:cs="宋体"/>
                <w:color w:val="auto"/>
                <w:highlight w:val="none"/>
              </w:rPr>
            </w:pPr>
            <w:r>
              <w:rPr>
                <w:rFonts w:hint="eastAsia" w:ascii="宋体" w:cs="宋体"/>
                <w:color w:val="auto"/>
                <w:highlight w:val="none"/>
              </w:rPr>
              <w:t>2.可读性：0.01mg；0.1mg；</w:t>
            </w:r>
          </w:p>
          <w:p w14:paraId="36DC0A47">
            <w:pPr>
              <w:jc w:val="left"/>
              <w:rPr>
                <w:rFonts w:ascii="宋体" w:cs="宋体"/>
                <w:color w:val="auto"/>
                <w:highlight w:val="none"/>
              </w:rPr>
            </w:pPr>
            <w:r>
              <w:rPr>
                <w:rFonts w:hint="eastAsia" w:ascii="宋体" w:cs="宋体"/>
                <w:color w:val="auto"/>
                <w:highlight w:val="none"/>
              </w:rPr>
              <w:t>3.重复性：≤0.0125mg（5%载荷）；</w:t>
            </w:r>
          </w:p>
          <w:p w14:paraId="52626FDB">
            <w:pPr>
              <w:jc w:val="left"/>
              <w:rPr>
                <w:rFonts w:ascii="宋体" w:cs="宋体"/>
                <w:color w:val="auto"/>
                <w:highlight w:val="none"/>
              </w:rPr>
            </w:pPr>
            <w:r>
              <w:rPr>
                <w:rFonts w:hint="eastAsia" w:ascii="宋体" w:cs="宋体"/>
                <w:color w:val="auto"/>
                <w:highlight w:val="none"/>
              </w:rPr>
              <w:t>4.线性偏载：≤0.06mg；</w:t>
            </w:r>
          </w:p>
          <w:p w14:paraId="391035CF">
            <w:pPr>
              <w:jc w:val="left"/>
              <w:rPr>
                <w:rFonts w:ascii="宋体" w:cs="宋体"/>
                <w:color w:val="auto"/>
                <w:highlight w:val="none"/>
              </w:rPr>
            </w:pPr>
            <w:r>
              <w:rPr>
                <w:rFonts w:hint="eastAsia" w:ascii="宋体" w:cs="宋体"/>
                <w:color w:val="auto"/>
                <w:highlight w:val="none"/>
              </w:rPr>
              <w:t>5.秤盘直径：不大于φ80mm；</w:t>
            </w:r>
          </w:p>
          <w:p w14:paraId="75A9F5A8">
            <w:pPr>
              <w:jc w:val="left"/>
              <w:rPr>
                <w:rFonts w:ascii="宋体" w:cs="宋体"/>
                <w:color w:val="auto"/>
                <w:highlight w:val="none"/>
              </w:rPr>
            </w:pPr>
            <w:r>
              <w:rPr>
                <w:rFonts w:hint="eastAsia" w:ascii="宋体" w:cs="宋体"/>
                <w:color w:val="auto"/>
                <w:highlight w:val="none"/>
              </w:rPr>
              <w:t>6.双量程双精度，精确度可自动切换；</w:t>
            </w:r>
          </w:p>
          <w:p w14:paraId="543FFDA5">
            <w:pPr>
              <w:jc w:val="left"/>
              <w:rPr>
                <w:rFonts w:ascii="宋体" w:cs="宋体"/>
                <w:color w:val="auto"/>
                <w:highlight w:val="none"/>
              </w:rPr>
            </w:pPr>
            <w:r>
              <w:rPr>
                <w:rFonts w:hint="eastAsia" w:ascii="宋体" w:cs="宋体"/>
                <w:color w:val="auto"/>
                <w:highlight w:val="none"/>
              </w:rPr>
              <w:t>7.机器具备抗过载保护功能；</w:t>
            </w:r>
          </w:p>
          <w:p w14:paraId="505F18F5">
            <w:pPr>
              <w:jc w:val="left"/>
              <w:rPr>
                <w:rFonts w:ascii="宋体" w:cs="宋体"/>
                <w:color w:val="auto"/>
                <w:highlight w:val="none"/>
              </w:rPr>
            </w:pPr>
            <w:r>
              <w:rPr>
                <w:rFonts w:hint="eastAsia" w:ascii="宋体" w:cs="宋体"/>
                <w:color w:val="auto"/>
                <w:highlight w:val="none"/>
              </w:rPr>
              <w:t>8.具备单模块传感器，可实现快速准确的获得称量结果；</w:t>
            </w:r>
          </w:p>
          <w:p w14:paraId="11AE7D8E">
            <w:pPr>
              <w:jc w:val="left"/>
              <w:rPr>
                <w:rFonts w:ascii="宋体" w:cs="宋体"/>
                <w:color w:val="auto"/>
                <w:highlight w:val="none"/>
              </w:rPr>
            </w:pPr>
            <w:r>
              <w:rPr>
                <w:rFonts w:hint="eastAsia" w:ascii="宋体" w:cs="宋体"/>
                <w:color w:val="auto"/>
                <w:highlight w:val="none"/>
              </w:rPr>
              <w:t>9.具备温度漂移和时间触发的全自动校准功能，可实现不需要人工干预的全自动内部校准，避免忘记校准所带来的称量风险；</w:t>
            </w:r>
          </w:p>
        </w:tc>
        <w:tc>
          <w:tcPr>
            <w:tcW w:w="900" w:type="dxa"/>
            <w:vAlign w:val="center"/>
          </w:tcPr>
          <w:p w14:paraId="71165B25">
            <w:pPr>
              <w:jc w:val="center"/>
              <w:rPr>
                <w:rFonts w:ascii="宋体" w:hAnsi="宋体" w:cs="宋体"/>
                <w:color w:val="auto"/>
                <w:szCs w:val="21"/>
                <w:highlight w:val="none"/>
              </w:rPr>
            </w:pPr>
          </w:p>
        </w:tc>
      </w:tr>
      <w:tr w14:paraId="589C7FC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c>
          <w:tcPr>
            <w:tcW w:w="503" w:type="dxa"/>
            <w:vAlign w:val="center"/>
          </w:tcPr>
          <w:p w14:paraId="195DEA23">
            <w:pPr>
              <w:jc w:val="center"/>
              <w:rPr>
                <w:rFonts w:ascii="宋体" w:hAnsi="宋体" w:cs="宋体"/>
                <w:color w:val="auto"/>
                <w:szCs w:val="21"/>
                <w:highlight w:val="none"/>
              </w:rPr>
            </w:pPr>
            <w:r>
              <w:rPr>
                <w:rFonts w:hint="eastAsia" w:ascii="宋体" w:hAnsi="宋体" w:cs="宋体"/>
                <w:color w:val="auto"/>
                <w:szCs w:val="21"/>
                <w:highlight w:val="none"/>
              </w:rPr>
              <w:t>4</w:t>
            </w:r>
          </w:p>
        </w:tc>
        <w:tc>
          <w:tcPr>
            <w:tcW w:w="1324" w:type="dxa"/>
            <w:vMerge w:val="continue"/>
            <w:tcBorders>
              <w:left w:val="single" w:color="auto" w:sz="4" w:space="0"/>
              <w:right w:val="single" w:color="auto" w:sz="4" w:space="0"/>
            </w:tcBorders>
            <w:vAlign w:val="center"/>
          </w:tcPr>
          <w:p w14:paraId="01E03A0F">
            <w:pPr>
              <w:rPr>
                <w:color w:val="auto"/>
                <w:highlight w:val="none"/>
              </w:rPr>
            </w:pPr>
          </w:p>
        </w:tc>
        <w:tc>
          <w:tcPr>
            <w:tcW w:w="854" w:type="dxa"/>
            <w:vMerge w:val="continue"/>
            <w:tcBorders>
              <w:left w:val="single" w:color="auto" w:sz="4" w:space="0"/>
              <w:right w:val="single" w:color="auto" w:sz="4" w:space="0"/>
            </w:tcBorders>
            <w:vAlign w:val="center"/>
          </w:tcPr>
          <w:p w14:paraId="37A99601">
            <w:pPr>
              <w:rPr>
                <w:color w:val="auto"/>
                <w:highlight w:val="none"/>
              </w:rPr>
            </w:pPr>
          </w:p>
        </w:tc>
        <w:tc>
          <w:tcPr>
            <w:tcW w:w="1090" w:type="dxa"/>
            <w:tcBorders>
              <w:left w:val="single" w:color="auto" w:sz="4" w:space="0"/>
              <w:right w:val="single" w:color="auto" w:sz="4" w:space="0"/>
            </w:tcBorders>
            <w:vAlign w:val="center"/>
          </w:tcPr>
          <w:p w14:paraId="0FBD26BF">
            <w:pPr>
              <w:jc w:val="center"/>
              <w:rPr>
                <w:rFonts w:ascii="宋体" w:cs="宋体"/>
                <w:color w:val="auto"/>
                <w:kern w:val="0"/>
                <w:szCs w:val="21"/>
                <w:highlight w:val="none"/>
              </w:rPr>
            </w:pPr>
            <w:r>
              <w:rPr>
                <w:rFonts w:hint="eastAsia" w:ascii="宋体" w:cs="宋体"/>
                <w:color w:val="auto"/>
                <w:kern w:val="0"/>
                <w:szCs w:val="21"/>
                <w:highlight w:val="none"/>
              </w:rPr>
              <w:t>仪器配置</w:t>
            </w:r>
          </w:p>
        </w:tc>
        <w:tc>
          <w:tcPr>
            <w:tcW w:w="4612" w:type="dxa"/>
            <w:tcBorders>
              <w:left w:val="single" w:color="auto" w:sz="4" w:space="0"/>
              <w:right w:val="single" w:color="auto" w:sz="4" w:space="0"/>
            </w:tcBorders>
            <w:vAlign w:val="center"/>
          </w:tcPr>
          <w:p w14:paraId="58C6387F">
            <w:pPr>
              <w:jc w:val="left"/>
              <w:rPr>
                <w:rFonts w:ascii="宋体" w:cs="宋体"/>
                <w:color w:val="auto"/>
                <w:highlight w:val="none"/>
              </w:rPr>
            </w:pPr>
            <w:r>
              <w:rPr>
                <w:rFonts w:hint="eastAsia" w:ascii="宋体" w:cs="宋体"/>
                <w:color w:val="auto"/>
                <w:highlight w:val="none"/>
              </w:rPr>
              <w:t>1.容量检测模块（电极1根，滴定杯1个，滴定管1根）1个；</w:t>
            </w:r>
          </w:p>
          <w:p w14:paraId="44063BB7">
            <w:pPr>
              <w:jc w:val="left"/>
              <w:rPr>
                <w:rFonts w:ascii="宋体" w:cs="宋体"/>
                <w:color w:val="auto"/>
                <w:highlight w:val="none"/>
              </w:rPr>
            </w:pPr>
            <w:r>
              <w:rPr>
                <w:rFonts w:hint="eastAsia" w:ascii="宋体" w:cs="宋体"/>
                <w:color w:val="auto"/>
                <w:highlight w:val="none"/>
              </w:rPr>
              <w:t>2.库伦滴定模块（电解电极和测量电极各1根，滴定杯1个）1个；</w:t>
            </w:r>
          </w:p>
          <w:p w14:paraId="07962F31">
            <w:pPr>
              <w:jc w:val="left"/>
              <w:rPr>
                <w:rFonts w:ascii="宋体" w:cs="宋体"/>
                <w:color w:val="auto"/>
                <w:highlight w:val="none"/>
              </w:rPr>
            </w:pPr>
            <w:r>
              <w:rPr>
                <w:rFonts w:hint="eastAsia" w:ascii="宋体" w:cs="宋体"/>
                <w:color w:val="auto"/>
                <w:highlight w:val="none"/>
              </w:rPr>
              <w:t>3.称量模块：1个。</w:t>
            </w:r>
          </w:p>
          <w:p w14:paraId="14EABD19">
            <w:pPr>
              <w:jc w:val="left"/>
              <w:rPr>
                <w:rFonts w:ascii="宋体" w:cs="宋体"/>
                <w:color w:val="auto"/>
                <w:highlight w:val="none"/>
              </w:rPr>
            </w:pPr>
            <w:r>
              <w:rPr>
                <w:rFonts w:hint="eastAsia" w:ascii="宋体" w:cs="宋体"/>
                <w:color w:val="auto"/>
                <w:highlight w:val="none"/>
              </w:rPr>
              <w:t>4.说明书：1份。</w:t>
            </w:r>
          </w:p>
        </w:tc>
        <w:tc>
          <w:tcPr>
            <w:tcW w:w="900" w:type="dxa"/>
            <w:vAlign w:val="center"/>
          </w:tcPr>
          <w:p w14:paraId="228E70A4">
            <w:pPr>
              <w:jc w:val="center"/>
              <w:rPr>
                <w:rFonts w:ascii="宋体" w:hAnsi="宋体" w:cs="宋体"/>
                <w:color w:val="auto"/>
                <w:szCs w:val="21"/>
                <w:highlight w:val="none"/>
              </w:rPr>
            </w:pPr>
          </w:p>
        </w:tc>
      </w:tr>
    </w:tbl>
    <w:p w14:paraId="4C0AE83E">
      <w:pPr>
        <w:pStyle w:val="3"/>
        <w:spacing w:before="40" w:after="50" w:line="240" w:lineRule="auto"/>
        <w:ind w:firstLine="482"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112B7405">
      <w:pPr>
        <w:spacing w:beforeLines="100"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采购需求中加“</w:t>
      </w:r>
      <w:r>
        <w:rPr>
          <w:rFonts w:hint="eastAsia" w:ascii="华文中宋" w:eastAsia="华文中宋"/>
          <w:b/>
          <w:bCs/>
          <w:color w:val="auto"/>
          <w:kern w:val="0"/>
          <w:sz w:val="24"/>
          <w:highlight w:val="none"/>
        </w:rPr>
        <w:t>*</w:t>
      </w:r>
      <w:r>
        <w:rPr>
          <w:rFonts w:hint="eastAsia" w:ascii="宋体" w:hAnsi="宋体" w:cs="宋体"/>
          <w:b/>
          <w:bCs/>
          <w:color w:val="auto"/>
          <w:sz w:val="24"/>
          <w:highlight w:val="none"/>
        </w:rPr>
        <w:t>”条款为实质性技术条款，不得出现负偏离，发生负偏离即做无效标处理，加“</w:t>
      </w:r>
      <w:r>
        <w:rPr>
          <w:rFonts w:hint="eastAsia" w:ascii="华文中宋" w:eastAsia="华文中宋"/>
          <w:b/>
          <w:bCs/>
          <w:color w:val="auto"/>
          <w:kern w:val="0"/>
          <w:sz w:val="24"/>
          <w:highlight w:val="none"/>
        </w:rPr>
        <w:t>#</w:t>
      </w:r>
      <w:r>
        <w:rPr>
          <w:rFonts w:hint="eastAsia" w:ascii="宋体" w:hAnsi="宋体" w:cs="宋体"/>
          <w:b/>
          <w:bCs/>
          <w:color w:val="auto"/>
          <w:sz w:val="24"/>
          <w:highlight w:val="none"/>
        </w:rPr>
        <w:t>”条款为重要项技术条款，发生负偏离即做扣分处理。加“▲”为所属核心产品。</w:t>
      </w:r>
    </w:p>
    <w:p w14:paraId="467EB263">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4、数量、交付时间和地点：</w:t>
      </w:r>
    </w:p>
    <w:p w14:paraId="38589689">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4.1采购数量：1 台；交货期：自合同签订之日起60日内货到安装调试完成并验收合格交付使用；交付地点：天津市开发区第二大街51号，天津海关科技大楼B1108房间 。</w:t>
      </w:r>
    </w:p>
    <w:p w14:paraId="5E1FA87E">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4.2供应商应予以特别注意：如出现未能到期供货的情况，需求单位有权单方终止合同的执行，所有的经济损失由逾期供货商单方承担。</w:t>
      </w:r>
    </w:p>
    <w:p w14:paraId="4D03D9D5">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5、服务标准、期限、效率等要求：</w:t>
      </w:r>
    </w:p>
    <w:p w14:paraId="7AC87F0B">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5.1产品维修率低，耗材更换便捷，故障响应与咨询：中标供应商能响应故障处理请求和电话咨询，提供5x8小时服务，提供2小时内响应和24小时内派人到现场维修的售后服务。中标供应商应提供维保人员名单、联系电话等。</w:t>
      </w:r>
    </w:p>
    <w:p w14:paraId="388F8876">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5.2合同签订后，在1周内中标供应商将仪器操作间的装修要求和水、电、气要求通知采购需求方。中标供应商负责将设备运至采购需求方指定的地点，免费负责安装。中标价应包含产品的制造、材料费（主材及辅材）、运输、安装、验收、保修、税收、所有手续费等直至验收合格交付采购需求方使用的所有相关费用。中标价格在中标后的合同实施期间应保持不变，即不因市场价格或政策性价格的调整而增减（若因中标人责任而导致的需方依据合同条款对中标人的扣款处罚除外）。</w:t>
      </w:r>
    </w:p>
    <w:p w14:paraId="532FE728">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6、验收标准：</w:t>
      </w:r>
    </w:p>
    <w:p w14:paraId="5AA1FC39">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6.1设备到货后，供需双方共同开箱验收；</w:t>
      </w:r>
    </w:p>
    <w:p w14:paraId="31535104">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6.2货物验收时须同时满足以下各项标准及要求方为合格：装箱单、质量合格证书、保修证书、产品使用说明书及其他应随产品一同装箱的技术资料；</w:t>
      </w:r>
    </w:p>
    <w:p w14:paraId="3E57DAA9">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6.3设备安装调试验收完毕后，供需双方填写签署《设备验收报告》。设备保修期自签署验收报告日期开始计算。货到后，中标供应商负责派技术人员到现场进行安装、调试，直至验收合格，带“*”的项目必须符合其性能。</w:t>
      </w:r>
    </w:p>
    <w:p w14:paraId="3E0EA869">
      <w:pPr>
        <w:widowControl/>
        <w:spacing w:line="360" w:lineRule="auto"/>
        <w:ind w:firstLine="482" w:firstLineChars="200"/>
        <w:jc w:val="left"/>
        <w:rPr>
          <w:rFonts w:ascii="宋体" w:hAnsi="宋体" w:cs="宋体"/>
          <w:color w:val="auto"/>
          <w:kern w:val="0"/>
          <w:sz w:val="24"/>
          <w:highlight w:val="none"/>
        </w:rPr>
      </w:pPr>
      <w:r>
        <w:rPr>
          <w:rFonts w:hint="eastAsia" w:ascii="宋体" w:hAnsi="宋体" w:cs="宋体"/>
          <w:b/>
          <w:bCs/>
          <w:color w:val="auto"/>
          <w:kern w:val="0"/>
          <w:sz w:val="24"/>
          <w:highlight w:val="none"/>
        </w:rPr>
        <w:t>验收需要满足：</w:t>
      </w:r>
    </w:p>
    <w:p w14:paraId="0994F790">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（1）中标供应商须提供产品的原厂技术文件以及验收要求的校准文件或计量证书。属于中华人民共和国强制检定计量器具，中标供应商须负责提供法定计量证书。所需费用由中标供应商承担。</w:t>
      </w:r>
    </w:p>
    <w:p w14:paraId="6F415E3C">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中标供应商设备供货、安装施工、调试、工程验收、货物运输、售后服务等均应符合国家相关法律、法规以及国家标准、相关行业标准。中标供应商提供设备的制造标准、安装标准及技术规范等有关资料必须符合国家相应的有关标准、规范要求。</w:t>
      </w:r>
    </w:p>
    <w:p w14:paraId="5F85A0B4">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中标供应商应向采购需求方提供完整的设备技术资料（含中文）、货物制造商的出厂检验报告、合格证书、产品保证书、认证书、及政府许可证明、说明书等，保证产品和安装材料是新生产、未经过使用的原装原厂正品。如在交付使用前发生设备损坏和不合格，采购需求方有权要求退货，因此造成的一切损失由供应商承担。</w:t>
      </w:r>
    </w:p>
    <w:p w14:paraId="06B3647E">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（4）中标供应商根据合同要求进行系统安装、调试后，由采购需求方进行使用性能方面的验收，确保在使用过程内具有满意的性能。如质量不符合要求，供应商应无条件及时更换并不得以任何原因拖延。</w:t>
      </w:r>
    </w:p>
    <w:p w14:paraId="0D6E172A">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5）采购需求方根据招标文件、中标供应商的竞标文件、合同、制造厂商的产品验收标准及中华人民共和国有关标准进行验收。采购需求方有权委托中国具权威资质机构对设备的灵敏度、测量精度等技术性能进行验收。因中标供应商所提供的产品未达到招标文件中技术性能指标的，一律拒收，不予付款，采购需求方有权因此终止合同的执行，中标商将自行承担所有经济损失；同时，采购需求方将保留向中标供应商因设备延迟到位而造成对口岸检验业务的不良影响追索相应“违约”责任的权利。</w:t>
      </w:r>
    </w:p>
    <w:p w14:paraId="35EDE0CD">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7、技术培训、技术资料、质保期限、附属配套设备等其他需求：</w:t>
      </w:r>
    </w:p>
    <w:p w14:paraId="78795978">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7.1现场免费培训，供货方对操作人员进行技术培训，使操作人员能够掌握有关系统设备的原理、使用、维护和管理技能，达到能独立进行管理、故障处理、日常测试维护等工作的目的，保障设备能够正常、安全的运行，中文说明书。</w:t>
      </w:r>
    </w:p>
    <w:p w14:paraId="240593EF">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7.2整机质保期2年。</w:t>
      </w:r>
    </w:p>
    <w:p w14:paraId="5768A5DD">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7.3配套设备满足使用需求，详见设备清单。</w:t>
      </w:r>
    </w:p>
    <w:p w14:paraId="02F2FBE0">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7.4现场培训：仪器在安装调试同时，中标供应商负责免费派工程师对用户就仪器原理和基本操作进行现场培训，培训人员2-3名，培训时间视需求单位需要，原则上不少于3天，确保需求单位用户能正常操作。</w:t>
      </w:r>
    </w:p>
    <w:p w14:paraId="2114EF6A">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7.5集中培训：中标人免费提供需求单位至少2名技术人员到厂家在国内的培训中心进行相同设备专项技能培训，培训时间原则上不少于3天。</w:t>
      </w:r>
    </w:p>
    <w:p w14:paraId="1D58F6C6">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8、计量需求：</w:t>
      </w:r>
    </w:p>
    <w:p w14:paraId="196FC963">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8.1计量项目：按相关计量规程对设备进行计量，容量法：包含水分含量重复性，库伦法：包含水分含量重复性及示值误差。 </w:t>
      </w:r>
    </w:p>
    <w:p w14:paraId="09480FFB">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8.2何时提供计量证明（货到现场提供或是安装完成后立即提供）。安装完成后1周内提供计量证书。</w:t>
      </w:r>
    </w:p>
    <w:p w14:paraId="3E7B4DCA">
      <w:pPr>
        <w:rPr>
          <w:rFonts w:hint="eastAsia" w:ascii="宋体" w:hAnsi="宋体" w:cs="宋体"/>
          <w:b/>
          <w:bCs/>
          <w:color w:val="auto"/>
          <w:kern w:val="0"/>
          <w:sz w:val="30"/>
          <w:szCs w:val="30"/>
          <w:highlight w:val="none"/>
        </w:rPr>
      </w:pPr>
      <w:r>
        <w:rPr>
          <w:rFonts w:hint="eastAsia" w:ascii="宋体" w:hAnsi="宋体" w:cs="宋体"/>
          <w:b/>
          <w:bCs/>
          <w:color w:val="auto"/>
          <w:kern w:val="0"/>
          <w:sz w:val="30"/>
          <w:szCs w:val="30"/>
          <w:highlight w:val="none"/>
        </w:rPr>
        <w:br w:type="page"/>
      </w:r>
    </w:p>
    <w:p w14:paraId="0DB92695">
      <w:pPr>
        <w:widowControl/>
        <w:spacing w:line="360" w:lineRule="auto"/>
        <w:jc w:val="center"/>
        <w:rPr>
          <w:rFonts w:ascii="宋体" w:hAnsi="宋体" w:cs="宋体"/>
          <w:b/>
          <w:bCs/>
          <w:color w:val="auto"/>
          <w:kern w:val="0"/>
          <w:sz w:val="24"/>
          <w:highlight w:val="none"/>
        </w:rPr>
      </w:pPr>
      <w:r>
        <w:rPr>
          <w:rFonts w:hint="eastAsia" w:ascii="宋体" w:hAnsi="宋体" w:cs="宋体"/>
          <w:b/>
          <w:bCs/>
          <w:color w:val="auto"/>
          <w:kern w:val="0"/>
          <w:sz w:val="30"/>
          <w:szCs w:val="30"/>
          <w:highlight w:val="none"/>
          <w:lang w:eastAsia="zh-CN"/>
        </w:rPr>
        <w:t>（</w:t>
      </w:r>
      <w:r>
        <w:rPr>
          <w:rFonts w:hint="eastAsia" w:ascii="宋体" w:hAnsi="宋体" w:cs="宋体"/>
          <w:b/>
          <w:bCs/>
          <w:color w:val="auto"/>
          <w:kern w:val="0"/>
          <w:sz w:val="30"/>
          <w:szCs w:val="30"/>
          <w:highlight w:val="none"/>
          <w:lang w:val="en-US" w:eastAsia="zh-CN"/>
        </w:rPr>
        <w:t>三</w:t>
      </w:r>
      <w:r>
        <w:rPr>
          <w:rFonts w:hint="eastAsia" w:ascii="宋体" w:hAnsi="宋体" w:cs="宋体"/>
          <w:b/>
          <w:bCs/>
          <w:color w:val="auto"/>
          <w:kern w:val="0"/>
          <w:sz w:val="30"/>
          <w:szCs w:val="30"/>
          <w:highlight w:val="none"/>
          <w:lang w:eastAsia="zh-CN"/>
        </w:rPr>
        <w:t>）</w:t>
      </w:r>
      <w:r>
        <w:rPr>
          <w:rFonts w:hint="eastAsia" w:ascii="宋体" w:hAnsi="宋体" w:cs="宋体"/>
          <w:b/>
          <w:bCs/>
          <w:color w:val="auto"/>
          <w:kern w:val="0"/>
          <w:sz w:val="30"/>
          <w:szCs w:val="30"/>
          <w:highlight w:val="none"/>
        </w:rPr>
        <w:t>自动常压蒸馏仪采购需求主要内容</w:t>
      </w:r>
    </w:p>
    <w:p w14:paraId="4C0C42E0">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1、功能及目标要求：</w:t>
      </w:r>
    </w:p>
    <w:p w14:paraId="3F6C3AC9">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1.1石油及石油产品常压馏程的检测。</w:t>
      </w:r>
    </w:p>
    <w:p w14:paraId="2ECC0EC2">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2、标准、规范要求：</w:t>
      </w:r>
    </w:p>
    <w:p w14:paraId="727A00C9">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2.1GB/T 6536-2010、GB/T 26984-2011原油馏程的测定、ASTM D86、ASTM D850、ISO3405。</w:t>
      </w:r>
    </w:p>
    <w:p w14:paraId="35FA1430">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2.2GB/T 18612-2011原油中有机氯测定样品前处理。</w:t>
      </w:r>
    </w:p>
    <w:p w14:paraId="46773D2F">
      <w:pPr>
        <w:widowControl/>
        <w:spacing w:line="360" w:lineRule="auto"/>
        <w:ind w:firstLine="482" w:firstLineChars="200"/>
        <w:jc w:val="left"/>
        <w:rPr>
          <w:rFonts w:ascii="宋体" w:hAnsi="宋体" w:cs="宋体"/>
          <w:color w:val="auto"/>
          <w:kern w:val="0"/>
          <w:sz w:val="24"/>
          <w:highlight w:val="none"/>
        </w:rPr>
      </w:pPr>
      <w:r>
        <w:rPr>
          <w:rFonts w:hint="eastAsia" w:ascii="宋体" w:hAnsi="宋体" w:cs="宋体"/>
          <w:b/>
          <w:bCs/>
          <w:color w:val="auto"/>
          <w:kern w:val="0"/>
          <w:sz w:val="24"/>
          <w:highlight w:val="none"/>
        </w:rPr>
        <w:t>3、技术指标要求：</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108" w:type="dxa"/>
          <w:bottom w:w="0" w:type="dxa"/>
          <w:right w:w="108" w:type="dxa"/>
        </w:tblCellMar>
      </w:tblPr>
      <w:tblGrid>
        <w:gridCol w:w="495"/>
        <w:gridCol w:w="1192"/>
        <w:gridCol w:w="794"/>
        <w:gridCol w:w="994"/>
        <w:gridCol w:w="4214"/>
        <w:gridCol w:w="833"/>
      </w:tblGrid>
      <w:tr w14:paraId="0C4DA92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503" w:type="dxa"/>
            <w:vAlign w:val="center"/>
          </w:tcPr>
          <w:p w14:paraId="28B0C7CC">
            <w:pPr>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324" w:type="dxa"/>
            <w:vAlign w:val="center"/>
          </w:tcPr>
          <w:p w14:paraId="6D10BCDF">
            <w:pPr>
              <w:jc w:val="center"/>
              <w:rPr>
                <w:rFonts w:ascii="宋体" w:hAnsi="宋体" w:cs="宋体"/>
                <w:b/>
                <w:bCs/>
                <w:color w:val="auto"/>
                <w:sz w:val="24"/>
                <w:highlight w:val="none"/>
              </w:rPr>
            </w:pPr>
            <w:r>
              <w:rPr>
                <w:rFonts w:hint="eastAsia" w:ascii="宋体" w:hAnsi="宋体" w:cs="宋体"/>
                <w:b/>
                <w:bCs/>
                <w:color w:val="auto"/>
                <w:sz w:val="24"/>
                <w:highlight w:val="none"/>
              </w:rPr>
              <w:t>设备名称</w:t>
            </w:r>
          </w:p>
        </w:tc>
        <w:tc>
          <w:tcPr>
            <w:tcW w:w="854" w:type="dxa"/>
            <w:vAlign w:val="center"/>
          </w:tcPr>
          <w:p w14:paraId="16CF8117">
            <w:pPr>
              <w:jc w:val="center"/>
              <w:rPr>
                <w:rFonts w:ascii="宋体" w:hAnsi="宋体" w:cs="宋体"/>
                <w:b/>
                <w:bCs/>
                <w:color w:val="auto"/>
                <w:sz w:val="24"/>
                <w:highlight w:val="none"/>
              </w:rPr>
            </w:pPr>
            <w:r>
              <w:rPr>
                <w:rFonts w:hint="eastAsia" w:ascii="宋体" w:hAnsi="宋体" w:cs="宋体"/>
                <w:b/>
                <w:bCs/>
                <w:color w:val="auto"/>
                <w:sz w:val="24"/>
                <w:highlight w:val="none"/>
              </w:rPr>
              <w:t>采购数量</w:t>
            </w:r>
          </w:p>
        </w:tc>
        <w:tc>
          <w:tcPr>
            <w:tcW w:w="1090" w:type="dxa"/>
            <w:vAlign w:val="center"/>
          </w:tcPr>
          <w:p w14:paraId="0865AEDE">
            <w:pPr>
              <w:jc w:val="center"/>
              <w:rPr>
                <w:rFonts w:ascii="宋体" w:hAnsi="宋体" w:cs="宋体"/>
                <w:b/>
                <w:bCs/>
                <w:color w:val="auto"/>
                <w:sz w:val="24"/>
                <w:highlight w:val="none"/>
              </w:rPr>
            </w:pPr>
            <w:r>
              <w:rPr>
                <w:rFonts w:hint="eastAsia" w:ascii="宋体" w:hAnsi="宋体" w:cs="宋体"/>
                <w:b/>
                <w:bCs/>
                <w:color w:val="auto"/>
                <w:sz w:val="24"/>
                <w:highlight w:val="none"/>
              </w:rPr>
              <w:t>技术项目</w:t>
            </w:r>
          </w:p>
        </w:tc>
        <w:tc>
          <w:tcPr>
            <w:tcW w:w="4612" w:type="dxa"/>
            <w:vAlign w:val="center"/>
          </w:tcPr>
          <w:p w14:paraId="47D77B48">
            <w:pPr>
              <w:jc w:val="center"/>
              <w:rPr>
                <w:rFonts w:ascii="宋体" w:hAnsi="宋体" w:cs="宋体"/>
                <w:b/>
                <w:bCs/>
                <w:color w:val="auto"/>
                <w:sz w:val="24"/>
                <w:highlight w:val="none"/>
              </w:rPr>
            </w:pPr>
            <w:r>
              <w:rPr>
                <w:rFonts w:hint="eastAsia" w:ascii="宋体" w:hAnsi="宋体" w:cs="宋体"/>
                <w:b/>
                <w:bCs/>
                <w:color w:val="auto"/>
                <w:sz w:val="24"/>
                <w:highlight w:val="none"/>
              </w:rPr>
              <w:t>具体技术要求描述</w:t>
            </w:r>
          </w:p>
        </w:tc>
        <w:tc>
          <w:tcPr>
            <w:tcW w:w="900" w:type="dxa"/>
            <w:vAlign w:val="center"/>
          </w:tcPr>
          <w:p w14:paraId="0C61FD11">
            <w:pPr>
              <w:jc w:val="center"/>
              <w:rPr>
                <w:rFonts w:ascii="宋体" w:hAnsi="宋体" w:cs="宋体"/>
                <w:b/>
                <w:bCs/>
                <w:color w:val="auto"/>
                <w:sz w:val="24"/>
                <w:highlight w:val="none"/>
              </w:rPr>
            </w:pPr>
            <w:r>
              <w:rPr>
                <w:rFonts w:hint="eastAsia" w:ascii="宋体" w:hAnsi="宋体" w:cs="宋体"/>
                <w:b/>
                <w:bCs/>
                <w:color w:val="auto"/>
                <w:sz w:val="24"/>
                <w:highlight w:val="none"/>
              </w:rPr>
              <w:t>备注</w:t>
            </w:r>
          </w:p>
        </w:tc>
      </w:tr>
      <w:tr w14:paraId="5202442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c>
          <w:tcPr>
            <w:tcW w:w="503" w:type="dxa"/>
            <w:vAlign w:val="center"/>
          </w:tcPr>
          <w:p w14:paraId="3D4712EE">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1324" w:type="dxa"/>
            <w:vMerge w:val="restart"/>
            <w:tcBorders>
              <w:left w:val="single" w:color="auto" w:sz="4" w:space="0"/>
              <w:right w:val="single" w:color="auto" w:sz="4" w:space="0"/>
            </w:tcBorders>
            <w:vAlign w:val="center"/>
          </w:tcPr>
          <w:p w14:paraId="1ABB55C6">
            <w:pPr>
              <w:jc w:val="center"/>
              <w:rPr>
                <w:rFonts w:ascii="宋体" w:hAnsi="宋体" w:cs="宋体"/>
                <w:color w:val="auto"/>
                <w:szCs w:val="21"/>
                <w:highlight w:val="none"/>
              </w:rPr>
            </w:pPr>
            <w:r>
              <w:rPr>
                <w:rFonts w:hint="eastAsia" w:ascii="宋体" w:hAnsi="宋体" w:cs="宋体"/>
                <w:color w:val="auto"/>
                <w:szCs w:val="21"/>
                <w:highlight w:val="none"/>
              </w:rPr>
              <w:t>自动常压蒸馏仪</w:t>
            </w:r>
          </w:p>
        </w:tc>
        <w:tc>
          <w:tcPr>
            <w:tcW w:w="854" w:type="dxa"/>
            <w:vMerge w:val="restart"/>
            <w:tcBorders>
              <w:left w:val="single" w:color="auto" w:sz="4" w:space="0"/>
              <w:right w:val="single" w:color="auto" w:sz="4" w:space="0"/>
            </w:tcBorders>
            <w:vAlign w:val="center"/>
          </w:tcPr>
          <w:p w14:paraId="0E121641">
            <w:pPr>
              <w:jc w:val="center"/>
              <w:rPr>
                <w:rFonts w:ascii="宋体" w:hAnsi="宋体" w:cs="宋体"/>
                <w:color w:val="auto"/>
                <w:szCs w:val="21"/>
                <w:highlight w:val="none"/>
              </w:rPr>
            </w:pPr>
            <w:r>
              <w:rPr>
                <w:rFonts w:hint="eastAsia" w:ascii="宋体" w:hAnsi="宋体" w:cs="宋体"/>
                <w:color w:val="auto"/>
                <w:szCs w:val="21"/>
                <w:highlight w:val="none"/>
              </w:rPr>
              <w:t>1台</w:t>
            </w:r>
          </w:p>
        </w:tc>
        <w:tc>
          <w:tcPr>
            <w:tcW w:w="1090" w:type="dxa"/>
            <w:tcBorders>
              <w:left w:val="single" w:color="auto" w:sz="4" w:space="0"/>
              <w:right w:val="single" w:color="auto" w:sz="4" w:space="0"/>
            </w:tcBorders>
            <w:vAlign w:val="center"/>
          </w:tcPr>
          <w:p w14:paraId="3DAA922F">
            <w:pPr>
              <w:jc w:val="center"/>
              <w:rPr>
                <w:rFonts w:ascii="宋体" w:cs="宋体"/>
                <w:color w:val="auto"/>
                <w:szCs w:val="21"/>
                <w:highlight w:val="none"/>
              </w:rPr>
            </w:pPr>
            <w:r>
              <w:rPr>
                <w:rFonts w:hint="eastAsia" w:ascii="宋体" w:cs="宋体"/>
                <w:color w:val="auto"/>
                <w:kern w:val="0"/>
                <w:szCs w:val="21"/>
                <w:highlight w:val="none"/>
              </w:rPr>
              <w:t>主要技术指标</w:t>
            </w:r>
          </w:p>
        </w:tc>
        <w:tc>
          <w:tcPr>
            <w:tcW w:w="4612" w:type="dxa"/>
            <w:tcBorders>
              <w:left w:val="single" w:color="auto" w:sz="4" w:space="0"/>
              <w:right w:val="single" w:color="auto" w:sz="4" w:space="0"/>
            </w:tcBorders>
            <w:vAlign w:val="center"/>
          </w:tcPr>
          <w:p w14:paraId="3E231263">
            <w:pPr>
              <w:jc w:val="left"/>
              <w:rPr>
                <w:rFonts w:ascii="宋体" w:cs="宋体"/>
                <w:color w:val="auto"/>
                <w:highlight w:val="none"/>
              </w:rPr>
            </w:pPr>
            <w:r>
              <w:rPr>
                <w:rFonts w:hint="eastAsia" w:ascii="宋体" w:cs="宋体"/>
                <w:color w:val="auto"/>
                <w:highlight w:val="none"/>
              </w:rPr>
              <w:t xml:space="preserve"> 1.用于测定天然汽油（稳定轻烃）、轻质和中间馏分、车用火花点燃式发动机燃料、航空汽油、喷气燃料、柴油和煤油，以及石脑油和石油溶剂油产品的馏程；</w:t>
            </w:r>
          </w:p>
          <w:p w14:paraId="75F28139">
            <w:pPr>
              <w:jc w:val="left"/>
              <w:rPr>
                <w:rFonts w:ascii="宋体" w:cs="宋体"/>
                <w:color w:val="auto"/>
                <w:highlight w:val="none"/>
              </w:rPr>
            </w:pPr>
            <w:r>
              <w:rPr>
                <w:rFonts w:hint="eastAsia" w:ascii="宋体" w:cs="宋体"/>
                <w:color w:val="auto"/>
                <w:highlight w:val="none"/>
              </w:rPr>
              <w:t>*2.执行标准:GB/T 6536-2010、GB/T 26984-2011原油馏程的测定、ASTM D86、ASTM D 850、ISO3405、 GB/T 18612-2011原油中有机氯测定样品前处理；</w:t>
            </w:r>
          </w:p>
          <w:p w14:paraId="29570F44">
            <w:pPr>
              <w:jc w:val="left"/>
              <w:rPr>
                <w:rFonts w:ascii="宋体" w:cs="宋体"/>
                <w:color w:val="auto"/>
                <w:highlight w:val="none"/>
              </w:rPr>
            </w:pPr>
            <w:r>
              <w:rPr>
                <w:rFonts w:hint="eastAsia" w:ascii="宋体" w:cs="宋体"/>
                <w:color w:val="auto"/>
                <w:highlight w:val="none"/>
              </w:rPr>
              <w:t>*3.温度测量范围:0-450±0.01℃,测温元件:PT100(高精度测温传感器),加热方式和仲裁实验方法加热方式一致,加热方式的稳定性保证了样品蒸馏过程的稳定性,保证数据的稳定性；</w:t>
            </w:r>
          </w:p>
          <w:p w14:paraId="7D972DD7">
            <w:pPr>
              <w:jc w:val="left"/>
              <w:rPr>
                <w:rFonts w:ascii="宋体" w:cs="宋体"/>
                <w:color w:val="auto"/>
                <w:highlight w:val="none"/>
              </w:rPr>
            </w:pPr>
            <w:r>
              <w:rPr>
                <w:rFonts w:hint="eastAsia" w:ascii="宋体" w:cs="宋体"/>
                <w:color w:val="auto"/>
                <w:highlight w:val="none"/>
              </w:rPr>
              <w:t>*4.体积测量范围：0-100±0.01ml(高端红外线量筒读数系统)每次步进0.01ml,仪器自带量筒识别系统；</w:t>
            </w:r>
          </w:p>
          <w:p w14:paraId="5A7D91EC">
            <w:pPr>
              <w:jc w:val="left"/>
              <w:rPr>
                <w:rFonts w:ascii="宋体" w:cs="宋体"/>
                <w:color w:val="auto"/>
                <w:highlight w:val="none"/>
              </w:rPr>
            </w:pPr>
            <w:r>
              <w:rPr>
                <w:rFonts w:hint="eastAsia" w:ascii="宋体" w:cs="宋体"/>
                <w:color w:val="auto"/>
                <w:highlight w:val="none"/>
              </w:rPr>
              <w:t>*5.蒸馏速率：0-10ml/min根据实验要求任意设定：2-4ml/min(低于250℃),4-5ml/min（高于250℃）自动控制；</w:t>
            </w:r>
          </w:p>
          <w:p w14:paraId="657A20F7">
            <w:pPr>
              <w:jc w:val="left"/>
              <w:rPr>
                <w:rFonts w:ascii="宋体" w:cs="宋体"/>
                <w:color w:val="auto"/>
                <w:highlight w:val="none"/>
              </w:rPr>
            </w:pPr>
            <w:r>
              <w:rPr>
                <w:rFonts w:hint="eastAsia" w:ascii="宋体" w:cs="宋体"/>
                <w:color w:val="auto"/>
                <w:highlight w:val="none"/>
              </w:rPr>
              <w:t>6.冷凝管温度范围：0-80±1℃，采用压缩机制冷单元,降温速度快;</w:t>
            </w:r>
          </w:p>
          <w:p w14:paraId="28DCA0B7">
            <w:pPr>
              <w:jc w:val="left"/>
              <w:rPr>
                <w:rFonts w:ascii="宋体" w:cs="宋体"/>
                <w:color w:val="auto"/>
                <w:szCs w:val="21"/>
                <w:highlight w:val="none"/>
              </w:rPr>
            </w:pPr>
            <w:r>
              <w:rPr>
                <w:rFonts w:hint="eastAsia" w:ascii="宋体" w:cs="宋体"/>
                <w:color w:val="auto"/>
                <w:highlight w:val="none"/>
              </w:rPr>
              <w:t>7.量筒控温范围：0-80℃；试验过程中保持13-18℃，回收室里带风扇使温度达到均匀并密封性好，防止空气对流，自带量筒识别系统，如果无量筒，仪器停止实验。</w:t>
            </w:r>
          </w:p>
        </w:tc>
        <w:tc>
          <w:tcPr>
            <w:tcW w:w="900" w:type="dxa"/>
            <w:vAlign w:val="center"/>
          </w:tcPr>
          <w:p w14:paraId="2DD53631">
            <w:pPr>
              <w:jc w:val="center"/>
              <w:rPr>
                <w:rFonts w:ascii="宋体" w:hAnsi="宋体" w:cs="宋体"/>
                <w:color w:val="auto"/>
                <w:szCs w:val="21"/>
                <w:highlight w:val="none"/>
              </w:rPr>
            </w:pPr>
          </w:p>
        </w:tc>
      </w:tr>
      <w:tr w14:paraId="52FC854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c>
          <w:tcPr>
            <w:tcW w:w="503" w:type="dxa"/>
            <w:vAlign w:val="center"/>
          </w:tcPr>
          <w:p w14:paraId="4D5CBB44">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1324" w:type="dxa"/>
            <w:vMerge w:val="continue"/>
            <w:tcBorders>
              <w:left w:val="single" w:color="auto" w:sz="4" w:space="0"/>
              <w:right w:val="single" w:color="auto" w:sz="4" w:space="0"/>
            </w:tcBorders>
            <w:vAlign w:val="center"/>
          </w:tcPr>
          <w:p w14:paraId="267948DB">
            <w:pPr>
              <w:rPr>
                <w:color w:val="auto"/>
                <w:highlight w:val="none"/>
              </w:rPr>
            </w:pPr>
          </w:p>
        </w:tc>
        <w:tc>
          <w:tcPr>
            <w:tcW w:w="854" w:type="dxa"/>
            <w:vMerge w:val="continue"/>
            <w:tcBorders>
              <w:left w:val="single" w:color="auto" w:sz="4" w:space="0"/>
              <w:right w:val="single" w:color="auto" w:sz="4" w:space="0"/>
            </w:tcBorders>
            <w:vAlign w:val="center"/>
          </w:tcPr>
          <w:p w14:paraId="524D5004">
            <w:pPr>
              <w:rPr>
                <w:color w:val="auto"/>
                <w:highlight w:val="none"/>
              </w:rPr>
            </w:pPr>
          </w:p>
        </w:tc>
        <w:tc>
          <w:tcPr>
            <w:tcW w:w="1090" w:type="dxa"/>
            <w:tcBorders>
              <w:left w:val="single" w:color="auto" w:sz="4" w:space="0"/>
              <w:right w:val="single" w:color="auto" w:sz="4" w:space="0"/>
            </w:tcBorders>
            <w:vAlign w:val="center"/>
          </w:tcPr>
          <w:p w14:paraId="27AE0BE0">
            <w:pPr>
              <w:jc w:val="center"/>
              <w:rPr>
                <w:rFonts w:ascii="宋体" w:cs="宋体"/>
                <w:color w:val="auto"/>
                <w:kern w:val="0"/>
                <w:szCs w:val="21"/>
                <w:highlight w:val="none"/>
              </w:rPr>
            </w:pPr>
            <w:r>
              <w:rPr>
                <w:rFonts w:hint="eastAsia" w:ascii="宋体" w:cs="宋体"/>
                <w:color w:val="auto"/>
                <w:kern w:val="0"/>
                <w:szCs w:val="21"/>
                <w:highlight w:val="none"/>
              </w:rPr>
              <w:t>设备清单</w:t>
            </w:r>
          </w:p>
        </w:tc>
        <w:tc>
          <w:tcPr>
            <w:tcW w:w="4612" w:type="dxa"/>
            <w:tcBorders>
              <w:left w:val="single" w:color="auto" w:sz="4" w:space="0"/>
              <w:right w:val="single" w:color="auto" w:sz="4" w:space="0"/>
            </w:tcBorders>
            <w:vAlign w:val="center"/>
          </w:tcPr>
          <w:p w14:paraId="08090FF9">
            <w:pPr>
              <w:jc w:val="left"/>
              <w:rPr>
                <w:rFonts w:ascii="宋体" w:cs="宋体"/>
                <w:color w:val="auto"/>
                <w:highlight w:val="none"/>
              </w:rPr>
            </w:pPr>
            <w:r>
              <w:rPr>
                <w:rFonts w:hint="eastAsia" w:ascii="宋体" w:cs="宋体"/>
                <w:color w:val="auto"/>
                <w:highlight w:val="none"/>
              </w:rPr>
              <w:t>1.自动蒸馏测定器主机：1台</w:t>
            </w:r>
          </w:p>
          <w:p w14:paraId="75DD1C31">
            <w:pPr>
              <w:jc w:val="left"/>
              <w:rPr>
                <w:rFonts w:ascii="宋体" w:cs="宋体"/>
                <w:color w:val="auto"/>
                <w:highlight w:val="none"/>
              </w:rPr>
            </w:pPr>
            <w:r>
              <w:rPr>
                <w:rFonts w:hint="eastAsia" w:ascii="宋体" w:cs="宋体"/>
                <w:color w:val="auto"/>
                <w:highlight w:val="none"/>
              </w:rPr>
              <w:t>2.玻璃蒸汽温度传感器：1支</w:t>
            </w:r>
          </w:p>
          <w:p w14:paraId="1B6DA41D">
            <w:pPr>
              <w:jc w:val="left"/>
              <w:rPr>
                <w:rFonts w:ascii="宋体" w:cs="宋体"/>
                <w:color w:val="auto"/>
                <w:highlight w:val="none"/>
              </w:rPr>
            </w:pPr>
            <w:r>
              <w:rPr>
                <w:rFonts w:hint="eastAsia" w:ascii="宋体" w:cs="宋体"/>
                <w:color w:val="auto"/>
                <w:highlight w:val="none"/>
              </w:rPr>
              <w:t>3.干点传感器：1支</w:t>
            </w:r>
          </w:p>
          <w:p w14:paraId="0A70AF59">
            <w:pPr>
              <w:jc w:val="left"/>
              <w:rPr>
                <w:rFonts w:ascii="宋体" w:cs="宋体"/>
                <w:color w:val="auto"/>
                <w:highlight w:val="none"/>
              </w:rPr>
            </w:pPr>
            <w:r>
              <w:rPr>
                <w:rFonts w:hint="eastAsia" w:ascii="宋体" w:cs="宋体"/>
                <w:color w:val="auto"/>
                <w:highlight w:val="none"/>
              </w:rPr>
              <w:t>4.手动蒸馏模块：1套</w:t>
            </w:r>
          </w:p>
          <w:p w14:paraId="69C55C3E">
            <w:pPr>
              <w:jc w:val="left"/>
              <w:rPr>
                <w:rFonts w:ascii="宋体" w:cs="宋体"/>
                <w:color w:val="auto"/>
                <w:highlight w:val="none"/>
              </w:rPr>
            </w:pPr>
            <w:r>
              <w:rPr>
                <w:rFonts w:hint="eastAsia" w:ascii="宋体" w:cs="宋体"/>
                <w:color w:val="auto"/>
                <w:highlight w:val="none"/>
              </w:rPr>
              <w:t>5.冷凝管清洗拉绳：2根</w:t>
            </w:r>
          </w:p>
          <w:p w14:paraId="061CCCEB">
            <w:pPr>
              <w:jc w:val="left"/>
              <w:rPr>
                <w:rFonts w:ascii="宋体" w:cs="宋体"/>
                <w:color w:val="auto"/>
                <w:highlight w:val="none"/>
              </w:rPr>
            </w:pPr>
            <w:r>
              <w:rPr>
                <w:rFonts w:hint="eastAsia" w:ascii="宋体" w:cs="宋体"/>
                <w:color w:val="auto"/>
                <w:highlight w:val="none"/>
              </w:rPr>
              <w:t>6.支管胶塞：10个</w:t>
            </w:r>
          </w:p>
          <w:p w14:paraId="304373BC">
            <w:pPr>
              <w:jc w:val="left"/>
              <w:rPr>
                <w:rFonts w:ascii="宋体" w:cs="宋体"/>
                <w:color w:val="auto"/>
                <w:highlight w:val="none"/>
              </w:rPr>
            </w:pPr>
            <w:r>
              <w:rPr>
                <w:rFonts w:hint="eastAsia" w:ascii="宋体" w:cs="宋体"/>
                <w:color w:val="auto"/>
                <w:highlight w:val="none"/>
              </w:rPr>
              <w:t>7.胶塞:10个</w:t>
            </w:r>
          </w:p>
          <w:p w14:paraId="77D8B0FB">
            <w:pPr>
              <w:jc w:val="left"/>
              <w:rPr>
                <w:rFonts w:ascii="宋体" w:cs="宋体"/>
                <w:color w:val="auto"/>
                <w:highlight w:val="none"/>
              </w:rPr>
            </w:pPr>
            <w:r>
              <w:rPr>
                <w:rFonts w:hint="eastAsia" w:ascii="宋体" w:cs="宋体"/>
                <w:color w:val="auto"/>
                <w:highlight w:val="none"/>
              </w:rPr>
              <w:t>8.量筒封套：1个</w:t>
            </w:r>
          </w:p>
          <w:p w14:paraId="574B14A2">
            <w:pPr>
              <w:jc w:val="left"/>
              <w:rPr>
                <w:rFonts w:ascii="宋体" w:cs="宋体"/>
                <w:color w:val="auto"/>
                <w:highlight w:val="none"/>
              </w:rPr>
            </w:pPr>
            <w:r>
              <w:rPr>
                <w:rFonts w:hint="eastAsia" w:ascii="宋体" w:cs="宋体"/>
                <w:color w:val="auto"/>
                <w:highlight w:val="none"/>
              </w:rPr>
              <w:t>9.烧瓶垫板：每个规格各3块</w:t>
            </w:r>
          </w:p>
          <w:p w14:paraId="0B215BF7">
            <w:pPr>
              <w:jc w:val="left"/>
              <w:rPr>
                <w:rFonts w:ascii="宋体" w:cs="宋体"/>
                <w:color w:val="auto"/>
                <w:highlight w:val="none"/>
              </w:rPr>
            </w:pPr>
            <w:r>
              <w:rPr>
                <w:rFonts w:hint="eastAsia" w:ascii="宋体" w:cs="宋体"/>
                <w:color w:val="auto"/>
                <w:highlight w:val="none"/>
              </w:rPr>
              <w:t>10.消防气瓶接管：1套</w:t>
            </w:r>
          </w:p>
          <w:p w14:paraId="7F3A872C">
            <w:pPr>
              <w:jc w:val="left"/>
              <w:rPr>
                <w:rFonts w:ascii="宋体" w:cs="宋体"/>
                <w:color w:val="auto"/>
                <w:highlight w:val="none"/>
              </w:rPr>
            </w:pPr>
            <w:r>
              <w:rPr>
                <w:rFonts w:hint="eastAsia" w:ascii="宋体" w:cs="宋体"/>
                <w:color w:val="auto"/>
                <w:highlight w:val="none"/>
              </w:rPr>
              <w:t>11.导流铲：1个</w:t>
            </w:r>
          </w:p>
          <w:p w14:paraId="173C6040">
            <w:pPr>
              <w:jc w:val="left"/>
              <w:rPr>
                <w:rFonts w:ascii="宋体" w:cs="宋体"/>
                <w:color w:val="auto"/>
                <w:highlight w:val="none"/>
              </w:rPr>
            </w:pPr>
            <w:r>
              <w:rPr>
                <w:rFonts w:hint="eastAsia" w:ascii="宋体" w:cs="宋体"/>
                <w:color w:val="auto"/>
                <w:highlight w:val="none"/>
              </w:rPr>
              <w:t>12.100mL量筒：1支(带计量证书)</w:t>
            </w:r>
          </w:p>
          <w:p w14:paraId="20C706CE">
            <w:pPr>
              <w:jc w:val="left"/>
              <w:rPr>
                <w:rFonts w:ascii="宋体" w:cs="宋体"/>
                <w:color w:val="auto"/>
                <w:highlight w:val="none"/>
              </w:rPr>
            </w:pPr>
            <w:r>
              <w:rPr>
                <w:rFonts w:hint="eastAsia" w:ascii="宋体" w:cs="宋体"/>
                <w:color w:val="auto"/>
                <w:highlight w:val="none"/>
              </w:rPr>
              <w:t>13.100mL烧瓶：4支</w:t>
            </w:r>
          </w:p>
          <w:p w14:paraId="2C8C308D">
            <w:pPr>
              <w:jc w:val="left"/>
              <w:rPr>
                <w:rFonts w:ascii="宋体" w:cs="宋体"/>
                <w:color w:val="auto"/>
                <w:highlight w:val="none"/>
              </w:rPr>
            </w:pPr>
            <w:r>
              <w:rPr>
                <w:rFonts w:hint="eastAsia" w:ascii="宋体" w:cs="宋体"/>
                <w:color w:val="auto"/>
                <w:highlight w:val="none"/>
              </w:rPr>
              <w:t>14.125mL烧瓶：10支</w:t>
            </w:r>
          </w:p>
          <w:p w14:paraId="3AB90795">
            <w:pPr>
              <w:jc w:val="left"/>
              <w:rPr>
                <w:rFonts w:ascii="宋体" w:cs="宋体"/>
                <w:color w:val="auto"/>
                <w:highlight w:val="none"/>
              </w:rPr>
            </w:pPr>
            <w:r>
              <w:rPr>
                <w:rFonts w:hint="eastAsia" w:ascii="宋体" w:cs="宋体"/>
                <w:color w:val="auto"/>
                <w:highlight w:val="none"/>
              </w:rPr>
              <w:t>15.5mL量筒：1支（精度：0.1ml）(带计量证书)</w:t>
            </w:r>
          </w:p>
          <w:p w14:paraId="5FA8C9CB">
            <w:pPr>
              <w:jc w:val="left"/>
              <w:rPr>
                <w:rFonts w:ascii="宋体" w:cs="宋体"/>
                <w:color w:val="auto"/>
                <w:highlight w:val="none"/>
              </w:rPr>
            </w:pPr>
            <w:r>
              <w:rPr>
                <w:rFonts w:hint="eastAsia" w:ascii="宋体" w:cs="宋体"/>
                <w:color w:val="auto"/>
                <w:highlight w:val="none"/>
              </w:rPr>
              <w:t>16.GB/T 514中GB-46号玻璃水银温度计（-2℃~300℃，分度值：1℃）:1支(带计量证书)</w:t>
            </w:r>
          </w:p>
          <w:p w14:paraId="598406FC">
            <w:pPr>
              <w:jc w:val="left"/>
              <w:rPr>
                <w:rFonts w:ascii="宋体" w:cs="宋体"/>
                <w:color w:val="auto"/>
                <w:highlight w:val="none"/>
              </w:rPr>
            </w:pPr>
            <w:r>
              <w:rPr>
                <w:rFonts w:hint="eastAsia" w:ascii="宋体" w:cs="宋体"/>
                <w:color w:val="auto"/>
                <w:highlight w:val="none"/>
              </w:rPr>
              <w:t>17.GB/T 514中GB-47号玻璃水银温度计（-2℃~400℃，分度值：1℃）:1支(带计量证书)</w:t>
            </w:r>
          </w:p>
          <w:p w14:paraId="20030161">
            <w:pPr>
              <w:jc w:val="left"/>
              <w:rPr>
                <w:rFonts w:ascii="宋体" w:cs="宋体"/>
                <w:color w:val="auto"/>
                <w:highlight w:val="none"/>
              </w:rPr>
            </w:pPr>
            <w:r>
              <w:rPr>
                <w:rFonts w:hint="eastAsia" w:ascii="宋体" w:cs="宋体"/>
                <w:color w:val="auto"/>
                <w:highlight w:val="none"/>
              </w:rPr>
              <w:t>18.说明书合格证各1份</w:t>
            </w:r>
          </w:p>
        </w:tc>
        <w:tc>
          <w:tcPr>
            <w:tcW w:w="900" w:type="dxa"/>
            <w:vAlign w:val="center"/>
          </w:tcPr>
          <w:p w14:paraId="0605B256">
            <w:pPr>
              <w:jc w:val="center"/>
              <w:rPr>
                <w:rFonts w:ascii="宋体" w:hAnsi="宋体" w:cs="宋体"/>
                <w:color w:val="auto"/>
                <w:szCs w:val="21"/>
                <w:highlight w:val="none"/>
              </w:rPr>
            </w:pPr>
          </w:p>
        </w:tc>
      </w:tr>
    </w:tbl>
    <w:p w14:paraId="6C6CBACF">
      <w:pPr>
        <w:pStyle w:val="3"/>
        <w:spacing w:before="40" w:after="50" w:line="240" w:lineRule="auto"/>
        <w:ind w:firstLine="482"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734D757B">
      <w:pPr>
        <w:spacing w:beforeLines="100"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采购需求中加“</w:t>
      </w:r>
      <w:r>
        <w:rPr>
          <w:rFonts w:hint="eastAsia" w:ascii="华文中宋" w:eastAsia="华文中宋"/>
          <w:b/>
          <w:bCs/>
          <w:color w:val="auto"/>
          <w:kern w:val="0"/>
          <w:sz w:val="24"/>
          <w:highlight w:val="none"/>
        </w:rPr>
        <w:t>*</w:t>
      </w:r>
      <w:r>
        <w:rPr>
          <w:rFonts w:hint="eastAsia" w:ascii="宋体" w:hAnsi="宋体" w:cs="宋体"/>
          <w:b/>
          <w:bCs/>
          <w:color w:val="auto"/>
          <w:sz w:val="24"/>
          <w:highlight w:val="none"/>
        </w:rPr>
        <w:t>”条款为实质性技术条款，不得出现负偏离，发生负偏离即做无效标处理，加“</w:t>
      </w:r>
      <w:r>
        <w:rPr>
          <w:rFonts w:hint="eastAsia" w:ascii="华文中宋" w:eastAsia="华文中宋"/>
          <w:b/>
          <w:bCs/>
          <w:color w:val="auto"/>
          <w:kern w:val="0"/>
          <w:sz w:val="24"/>
          <w:highlight w:val="none"/>
        </w:rPr>
        <w:t>#</w:t>
      </w:r>
      <w:r>
        <w:rPr>
          <w:rFonts w:hint="eastAsia" w:ascii="宋体" w:hAnsi="宋体" w:cs="宋体"/>
          <w:b/>
          <w:bCs/>
          <w:color w:val="auto"/>
          <w:sz w:val="24"/>
          <w:highlight w:val="none"/>
        </w:rPr>
        <w:t>”条款为重要项技术条款，发生负偏离即做扣分处理。</w:t>
      </w:r>
    </w:p>
    <w:p w14:paraId="7FFBE73A">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4、数量、交付时间和地点：</w:t>
      </w:r>
    </w:p>
    <w:p w14:paraId="38C0D41A">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4.1采购数量：1台，交付地点：天津海关化矿金属材料检测中心科技大楼B1105，交货期：自合同签订之日起45日内货到安装调试完成并验收合格交付使用。</w:t>
      </w:r>
    </w:p>
    <w:p w14:paraId="2600C52B">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4.2供应商应予以特别注意：如出现未能到期供货的情况，需求单位有权单方终止合同的执行，所有的经济损失由逾期供货商单方承担。</w:t>
      </w:r>
    </w:p>
    <w:p w14:paraId="72FB4A3D">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5、服务标准、期限、效率等要求：</w:t>
      </w:r>
    </w:p>
    <w:p w14:paraId="2BA2146F">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5.1产品维修率低，耗材更换便捷，故障响应与咨询：中标供应商能响应故障处理请求和电话咨询，提供5x8小时服务，提供2小时内响应和24小时内派人到现场维修的售后服务。中标供应商应提供维保人员名单、联系电话等。</w:t>
      </w:r>
    </w:p>
    <w:p w14:paraId="396CD75D">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5.2合同签订后，在1周内中标供应商将仪器操作间的装修要求和水、电、气要求通知采购需求方。中标供应商负责将设备运至采购需求方指定的地点，免费负责安装。中标价应包含产品的制造、材料费（主材及辅材）、运输、安装、验收、保修、税收、所有手续费等直至验收合格交付采购需求方使用的所有相关费用。中标价格在中标后的合同实施期间应保持不变，即不因市场价格或政策性价格的调整而增减（若因中标人责任而导致的需方依据合同条款对中标人的扣款处罚除外）。</w:t>
      </w:r>
    </w:p>
    <w:p w14:paraId="1393900A">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6、验收标准：</w:t>
      </w:r>
    </w:p>
    <w:p w14:paraId="479927FD">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6.1设备到货后，供需双方共同开箱验收；</w:t>
      </w:r>
    </w:p>
    <w:p w14:paraId="58FD56DC">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6.2货物验收时须同时满足以下各项标准及要求方为合格：装箱单、质量合格证书、保修证书、产品使用说明书及其他应随产品一同装箱的技术资料；</w:t>
      </w:r>
    </w:p>
    <w:p w14:paraId="1D67EA26">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6.3设备安装调试验收完毕后，供需双方填写签署《设备验收报告》。设备保修期自签署验收报告日期开始计算。货到后，中标供应商负责派技术人员到现场进行安装、调试，直至验收合格，带“*”的项目必须符合其性能。</w:t>
      </w:r>
    </w:p>
    <w:p w14:paraId="2C1CEDE1">
      <w:pPr>
        <w:widowControl/>
        <w:spacing w:line="360" w:lineRule="auto"/>
        <w:ind w:firstLine="482" w:firstLineChars="200"/>
        <w:jc w:val="left"/>
        <w:rPr>
          <w:rFonts w:ascii="宋体" w:hAnsi="宋体" w:cs="宋体"/>
          <w:color w:val="auto"/>
          <w:kern w:val="0"/>
          <w:sz w:val="24"/>
          <w:highlight w:val="none"/>
        </w:rPr>
      </w:pPr>
      <w:r>
        <w:rPr>
          <w:rFonts w:hint="eastAsia" w:ascii="宋体" w:hAnsi="宋体" w:cs="宋体"/>
          <w:b/>
          <w:bCs/>
          <w:color w:val="auto"/>
          <w:kern w:val="0"/>
          <w:sz w:val="24"/>
          <w:highlight w:val="none"/>
        </w:rPr>
        <w:t>验收需要满足：</w:t>
      </w:r>
    </w:p>
    <w:p w14:paraId="767F6118">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（1）中标供应商须提供产品的原厂技术文件以及验收要求的校准文件或计量证书。属于中华人民共和国强制检定计量器具，中标供应商须负责提供法定计量证书。所需费用由中标供应商承担。</w:t>
      </w:r>
    </w:p>
    <w:p w14:paraId="3ED9C818">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中标供应商设备供货、安装施工、调试、工程验收、货物运输、售后服务等均应符合国家相关法律、法规以及国家标准、相关行业标准。中标供应商提供设备的制造标准、安装标准及技术规范等有关资料必须符合国家相应的有关标准、规范要求。</w:t>
      </w:r>
    </w:p>
    <w:p w14:paraId="518FCEE5">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中标供应商应向采购需求方提供完整的设备技术资料（含中文）、货物制造商的出厂检验报告、合格证书、产品保证书、认证书、及政府许可证明、说明书等，保证产品和安装材料是新生产、未经过使用的原装原厂正品。如在交付使用前发生设备损坏和不合格，采购需求方有权要求退货，因此造成的一切损失由供应商承担。</w:t>
      </w:r>
    </w:p>
    <w:p w14:paraId="02920422">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（4）中标供应商根据合同要求进行系统安装、调试后，由采购需求方进行使用性能方面的验收，确保在使用过程内具有满意的性能。如质量不符合要求，供应商应无条件及时更换并不得以任何原因拖延。</w:t>
      </w:r>
    </w:p>
    <w:p w14:paraId="4DC55F21">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5）采购需求方根据招标文件、中标供应商的竞标文件、合同、制造厂商的产品验收标准及中华人民共和国有关标准进行验收。采购需求方有权委托中国具权威资质机构对设备的灵敏度、测量精度等技术性能进行验收。因中标供应商所提供的产品未达到招标文件中技术性能指标的，一律拒收，不予付款，采购需求方有权因此终止合同的执行，中标商将自行承担所有经济损失；同时，采购需求方将保留向中标供应商因设备延迟到位而造成对口岸检验业务的不良影响追索相应“违约”责任的权利。</w:t>
      </w:r>
    </w:p>
    <w:p w14:paraId="132FDB78">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7、技术培训、技术资料、质保期限、附属配套设备等其他需求：</w:t>
      </w:r>
    </w:p>
    <w:p w14:paraId="0A705F34">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7.1现场免费培训，供货方对操作人员进行技术培训，使操作人员能够掌握有关系统设备的原理、使用、维护和管理技能，达到能独立进行管理、故障处理、日常测试维护等工作的目的，保障设备能够正常、安全的运行，中文说明书。</w:t>
      </w:r>
    </w:p>
    <w:p w14:paraId="7C5639DF">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7.2整机质保期2年。</w:t>
      </w:r>
    </w:p>
    <w:p w14:paraId="5F520A16">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7.3配套设备满足使用需求，详见设备清单。</w:t>
      </w:r>
    </w:p>
    <w:p w14:paraId="642760DD">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7.4现场培训：仪器在安装调试同时，中标供应商负责免费派工程师对用户就仪器原理和基本操作进行现场培训，培训人员2-3名，培训时间视需求单位需要，原则上不少于3天，确保需求单位用户能正常操作。</w:t>
      </w:r>
    </w:p>
    <w:p w14:paraId="3D8F81C5">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7.5集中培训：中标人免费提供需求单位至少2名技术人员到厂家在国内的培训中心进行相同设备专项技能培训，培训时间原则上不少于3天。</w:t>
      </w:r>
    </w:p>
    <w:p w14:paraId="0176F530">
      <w:pPr>
        <w:widowControl/>
        <w:spacing w:line="360" w:lineRule="auto"/>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8、计量需求：</w:t>
      </w:r>
    </w:p>
    <w:p w14:paraId="03DE4378">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8.1计量项目：</w:t>
      </w:r>
    </w:p>
    <w:p w14:paraId="4F44892E">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（1）按JJF 2065-2023相关计量规程计量自动蒸馏仪器。</w:t>
      </w:r>
    </w:p>
    <w:p w14:paraId="2071D811">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（2）-2~300℃玻璃水银温度计（计量0℃，100℃，200℃，300℃）</w:t>
      </w:r>
    </w:p>
    <w:p w14:paraId="1BE1255C">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 -2~400℃玻璃水银温度计（计量0℃，100℃，200℃，300℃，370℃）</w:t>
      </w:r>
    </w:p>
    <w:p w14:paraId="156DBC89">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（4）100mL量筒</w:t>
      </w:r>
    </w:p>
    <w:p w14:paraId="1344177B">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（5）5mL量筒 </w:t>
      </w:r>
    </w:p>
    <w:p w14:paraId="31257D51">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8.2何时提供计量证明（货到现场提供或是安装完成后2周内提供）。</w:t>
      </w:r>
    </w:p>
    <w:p w14:paraId="3A3AE443">
      <w:r>
        <w:rPr>
          <w:rFonts w:hint="eastAsia" w:ascii="宋体" w:hAnsi="宋体" w:cs="宋体"/>
          <w:b/>
          <w:bCs/>
          <w:color w:val="auto"/>
          <w:kern w:val="0"/>
          <w:sz w:val="28"/>
          <w:szCs w:val="28"/>
          <w:highlight w:val="none"/>
        </w:rPr>
        <w:t>（四）本项目所属行业为“工业”</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5C4005"/>
    <w:rsid w:val="54F534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4"/>
    <w:basedOn w:val="1"/>
    <w:next w:val="1"/>
    <w:qFormat/>
    <w:uiPriority w:val="0"/>
    <w:pPr>
      <w:keepNext/>
      <w:keepLines/>
      <w:spacing w:before="280" w:after="290" w:line="374" w:lineRule="auto"/>
      <w:outlineLvl w:val="3"/>
    </w:pPr>
    <w:rPr>
      <w:rFonts w:ascii="Arial" w:hAnsi="Arial" w:eastAsia="黑体"/>
      <w:b/>
      <w:bCs/>
      <w:sz w:val="28"/>
      <w:szCs w:val="28"/>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3423</Words>
  <Characters>3851</Characters>
  <Lines>0</Lines>
  <Paragraphs>0</Paragraphs>
  <TotalTime>0</TotalTime>
  <ScaleCrop>false</ScaleCrop>
  <LinksUpToDate>false</LinksUpToDate>
  <CharactersWithSpaces>3867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2026-07-29T06:39:00Z</dcterms:created>
  <dc:creator>WIN10</dc:creator>
  <cp:lastModifiedBy>DM</cp:lastModifiedBy>
  <dcterms:modified xsi:type="dcterms:W3CDTF">2026-08-21T05:17:15Z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eyJoZGlkIjoiOGI1MmFhOGM5N2M3MWNjOWI5YWYzY2E1NjNhZDgxZTUiLCJ1c2VySWQiOiIxNjE2MTIxMDg2In0=</vt:lpwstr>
  </property>
  <property fmtid="{D5CDD505-2E9C-101B-9397-08002B2CF9AE}" pid="4" name="ICV">
    <vt:lpwstr>3D1325F8B322467A86A46EA622FDC1E1_12</vt:lpwstr>
  </property>
</Properties>
</file>