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32"/>
          <w:szCs w:val="32"/>
        </w:rPr>
      </w:pPr>
      <w:bookmarkStart w:id="0" w:name="_GoBack"/>
      <w:r>
        <w:rPr>
          <w:rFonts w:hint="eastAsia" w:ascii="宋体" w:hAnsi="宋体" w:eastAsia="宋体" w:cs="宋体"/>
          <w:b/>
          <w:bCs/>
          <w:sz w:val="32"/>
          <w:szCs w:val="32"/>
        </w:rPr>
        <w:t>广州公交候车亭灯箱广告项目</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1、服务期限：2年</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2、在广州市各区繁华路段的候车亭灯箱广告投放福彩营销、公益广告。</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在广州市内投放100块公交车候车亭灯箱广告：</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①越秀区投放量不低于总投放量的60%，东风路、吉祥路、中山路、环市路、解放路，覆盖不少于2个主要商圈（如：北京路商圈、环市路商圈等商圈或大型社区），其中东风路段和吉祥路段不低于总投放量的30%；</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②其他区；</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（1）天河区：黄埔大道、中山大道、广州大道、临江大道、花城大道（马场路、车陂路、体育中心），覆盖不少于3个主要商圈（如：珠江新城CBD、体育中心商圈、天河北商圈等商圈或大型社区）；</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（2）海珠区：滨江路、宝岗大道、新港路、工业大道、广州大道南、阅江路，覆盖不少于2个主要商圈（如：海珠商圈、琶洲新硅谷等商圈或大型社区）；</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（3）荔湾区：人民路、中山路、黄沙、芳村大道、花地大道，覆盖不少于2个主要商圈（如：上下九商圈、芳村商圈等商圈或大型社区）；</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（4）白云区：广园路、黄石路、三元里大道（云城西路）、金沙洲，覆盖不少于2个主要商圈（如：白云商圈、万达广场、金沙洲大型社区商圈等商圈或大型社区）；</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（5）番禺区：大学城、广州南站石山大道，覆盖不少于2个主要商圈（如：大学城教育及生活大型社区、广州南站经济及生活商圈等商圈或大型社区）；</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（6）黄浦区：大沙地、丰乐路、文冲市场、鱼珠码头，覆盖不少于4个主要商圈（如：大沙地商圈、丰乐生活广场商圈等商圈或大型社区）。</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③每个候车亭站点灯箱广告投放不超过2块(不含2块)，正反两面，每面尺寸不低于3.5M*1.5M。</w:t>
      </w:r>
    </w:p>
    <w:tbl>
      <w:tblPr>
        <w:tblStyle w:val="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721"/>
        <w:gridCol w:w="975"/>
        <w:gridCol w:w="1125"/>
        <w:gridCol w:w="1144"/>
        <w:gridCol w:w="1261"/>
        <w:gridCol w:w="2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419" w:type="pct"/>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r>
              <w:rPr>
                <w:rFonts w:hint="eastAsia" w:ascii="宋体" w:hAnsi="宋体" w:eastAsia="宋体" w:cs="宋体"/>
                <w:sz w:val="24"/>
                <w:szCs w:val="24"/>
              </w:rPr>
              <w:t>序号</w:t>
            </w:r>
          </w:p>
        </w:tc>
        <w:tc>
          <w:tcPr>
            <w:tcW w:w="423" w:type="pct"/>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r>
              <w:rPr>
                <w:rFonts w:hint="eastAsia" w:ascii="宋体" w:hAnsi="宋体" w:eastAsia="宋体" w:cs="宋体"/>
                <w:sz w:val="24"/>
                <w:szCs w:val="24"/>
              </w:rPr>
              <w:t>城市</w:t>
            </w:r>
          </w:p>
        </w:tc>
        <w:tc>
          <w:tcPr>
            <w:tcW w:w="572" w:type="pct"/>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r>
              <w:rPr>
                <w:rFonts w:hint="eastAsia" w:ascii="宋体" w:hAnsi="宋体" w:eastAsia="宋体" w:cs="宋体"/>
                <w:sz w:val="24"/>
                <w:szCs w:val="24"/>
              </w:rPr>
              <w:t>投放</w:t>
            </w:r>
          </w:p>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r>
              <w:rPr>
                <w:rFonts w:hint="eastAsia" w:ascii="宋体" w:hAnsi="宋体" w:eastAsia="宋体" w:cs="宋体"/>
                <w:sz w:val="24"/>
                <w:szCs w:val="24"/>
              </w:rPr>
              <w:t>数量</w:t>
            </w:r>
          </w:p>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r>
              <w:rPr>
                <w:rFonts w:hint="eastAsia" w:ascii="宋体" w:hAnsi="宋体" w:eastAsia="宋体" w:cs="宋体"/>
                <w:sz w:val="24"/>
                <w:szCs w:val="24"/>
              </w:rPr>
              <w:t>(块)</w:t>
            </w:r>
          </w:p>
        </w:tc>
        <w:tc>
          <w:tcPr>
            <w:tcW w:w="1331" w:type="pct"/>
            <w:gridSpan w:val="2"/>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r>
              <w:rPr>
                <w:rFonts w:hint="eastAsia" w:ascii="宋体" w:hAnsi="宋体" w:eastAsia="宋体" w:cs="宋体"/>
                <w:sz w:val="24"/>
                <w:szCs w:val="24"/>
              </w:rPr>
              <w:t>区域</w:t>
            </w:r>
          </w:p>
        </w:tc>
        <w:tc>
          <w:tcPr>
            <w:tcW w:w="740" w:type="pct"/>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r>
              <w:rPr>
                <w:rFonts w:hint="eastAsia" w:ascii="宋体" w:hAnsi="宋体" w:eastAsia="宋体" w:cs="宋体"/>
                <w:sz w:val="24"/>
                <w:szCs w:val="24"/>
              </w:rPr>
              <w:t>占比</w:t>
            </w:r>
          </w:p>
        </w:tc>
        <w:tc>
          <w:tcPr>
            <w:tcW w:w="1513" w:type="pct"/>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r>
              <w:rPr>
                <w:rFonts w:hint="eastAsia" w:ascii="宋体" w:hAnsi="宋体" w:eastAsia="宋体" w:cs="宋体"/>
                <w:sz w:val="24"/>
                <w:szCs w:val="24"/>
              </w:rPr>
              <w:t>主要路段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19" w:type="pct"/>
            <w:vMerge w:val="restart"/>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r>
              <w:rPr>
                <w:rFonts w:hint="eastAsia" w:ascii="宋体" w:hAnsi="宋体" w:eastAsia="宋体" w:cs="宋体"/>
                <w:sz w:val="24"/>
                <w:szCs w:val="24"/>
              </w:rPr>
              <w:t>1</w:t>
            </w:r>
          </w:p>
        </w:tc>
        <w:tc>
          <w:tcPr>
            <w:tcW w:w="423" w:type="pct"/>
            <w:vMerge w:val="restart"/>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r>
              <w:rPr>
                <w:rFonts w:hint="eastAsia" w:ascii="宋体" w:hAnsi="宋体" w:eastAsia="宋体" w:cs="宋体"/>
                <w:sz w:val="24"/>
                <w:szCs w:val="24"/>
              </w:rPr>
              <w:t>广州</w:t>
            </w:r>
          </w:p>
        </w:tc>
        <w:tc>
          <w:tcPr>
            <w:tcW w:w="572" w:type="pct"/>
            <w:vMerge w:val="restart"/>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r>
              <w:rPr>
                <w:rFonts w:hint="eastAsia" w:ascii="宋体" w:hAnsi="宋体" w:eastAsia="宋体" w:cs="宋体"/>
                <w:sz w:val="24"/>
                <w:szCs w:val="24"/>
              </w:rPr>
              <w:t>100</w:t>
            </w:r>
          </w:p>
        </w:tc>
        <w:tc>
          <w:tcPr>
            <w:tcW w:w="1331" w:type="pct"/>
            <w:gridSpan w:val="2"/>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r>
              <w:rPr>
                <w:rFonts w:hint="eastAsia" w:ascii="宋体" w:hAnsi="宋体" w:eastAsia="宋体" w:cs="宋体"/>
                <w:sz w:val="24"/>
                <w:szCs w:val="24"/>
              </w:rPr>
              <w:t>越秀区</w:t>
            </w:r>
          </w:p>
        </w:tc>
        <w:tc>
          <w:tcPr>
            <w:tcW w:w="740" w:type="pct"/>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r>
              <w:rPr>
                <w:rFonts w:hint="eastAsia" w:ascii="宋体" w:hAnsi="宋体" w:eastAsia="宋体" w:cs="宋体"/>
                <w:sz w:val="24"/>
                <w:szCs w:val="24"/>
              </w:rPr>
              <w:t>60%</w:t>
            </w:r>
          </w:p>
        </w:tc>
        <w:tc>
          <w:tcPr>
            <w:tcW w:w="1513" w:type="pct"/>
            <w:vAlign w:val="center"/>
          </w:tcPr>
          <w:p>
            <w:pPr>
              <w:pStyle w:val="45"/>
              <w:widowControl/>
              <w:tabs>
                <w:tab w:val="left" w:pos="284"/>
                <w:tab w:val="left" w:pos="426"/>
              </w:tabs>
              <w:kinsoku w:val="0"/>
              <w:autoSpaceDE w:val="0"/>
              <w:autoSpaceDN w:val="0"/>
              <w:adjustRightInd w:val="0"/>
              <w:snapToGrid w:val="0"/>
              <w:ind w:firstLine="0" w:firstLineChars="0"/>
              <w:jc w:val="left"/>
              <w:textAlignment w:val="baseline"/>
              <w:rPr>
                <w:rFonts w:hint="eastAsia" w:ascii="宋体" w:hAnsi="宋体" w:eastAsia="宋体" w:cs="宋体"/>
                <w:sz w:val="24"/>
                <w:szCs w:val="24"/>
              </w:rPr>
            </w:pPr>
            <w:r>
              <w:rPr>
                <w:rFonts w:hint="eastAsia" w:ascii="宋体" w:hAnsi="宋体" w:eastAsia="宋体" w:cs="宋体"/>
                <w:sz w:val="24"/>
                <w:szCs w:val="24"/>
              </w:rPr>
              <w:t>东风路、吉祥路、中山路、环市路、解放路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19"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423"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572"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660" w:type="pct"/>
            <w:vMerge w:val="restart"/>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r>
              <w:rPr>
                <w:rFonts w:hint="eastAsia" w:ascii="宋体" w:hAnsi="宋体" w:eastAsia="宋体" w:cs="宋体"/>
                <w:sz w:val="24"/>
                <w:szCs w:val="24"/>
              </w:rPr>
              <w:t>其他区</w:t>
            </w:r>
          </w:p>
        </w:tc>
        <w:tc>
          <w:tcPr>
            <w:tcW w:w="670" w:type="pct"/>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r>
              <w:rPr>
                <w:rFonts w:hint="eastAsia" w:ascii="宋体" w:hAnsi="宋体" w:eastAsia="宋体" w:cs="宋体"/>
                <w:sz w:val="24"/>
                <w:szCs w:val="24"/>
              </w:rPr>
              <w:t>天河区</w:t>
            </w:r>
          </w:p>
        </w:tc>
        <w:tc>
          <w:tcPr>
            <w:tcW w:w="740" w:type="pct"/>
            <w:vMerge w:val="restart"/>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r>
              <w:rPr>
                <w:rFonts w:hint="eastAsia" w:ascii="宋体" w:hAnsi="宋体" w:eastAsia="宋体" w:cs="宋体"/>
                <w:sz w:val="24"/>
                <w:szCs w:val="24"/>
              </w:rPr>
              <w:t>40%</w:t>
            </w:r>
          </w:p>
        </w:tc>
        <w:tc>
          <w:tcPr>
            <w:tcW w:w="1513" w:type="pct"/>
            <w:vAlign w:val="center"/>
          </w:tcPr>
          <w:p>
            <w:pPr>
              <w:pStyle w:val="45"/>
              <w:widowControl/>
              <w:tabs>
                <w:tab w:val="left" w:pos="284"/>
                <w:tab w:val="left" w:pos="426"/>
              </w:tabs>
              <w:kinsoku w:val="0"/>
              <w:autoSpaceDE w:val="0"/>
              <w:autoSpaceDN w:val="0"/>
              <w:adjustRightInd w:val="0"/>
              <w:snapToGrid w:val="0"/>
              <w:ind w:firstLine="0" w:firstLineChars="0"/>
              <w:jc w:val="left"/>
              <w:textAlignment w:val="baseline"/>
              <w:rPr>
                <w:rFonts w:hint="eastAsia" w:ascii="宋体" w:hAnsi="宋体" w:eastAsia="宋体" w:cs="宋体"/>
                <w:sz w:val="24"/>
                <w:szCs w:val="24"/>
              </w:rPr>
            </w:pPr>
            <w:r>
              <w:rPr>
                <w:rFonts w:hint="eastAsia" w:ascii="宋体" w:hAnsi="宋体" w:eastAsia="宋体" w:cs="宋体"/>
                <w:sz w:val="24"/>
                <w:szCs w:val="24"/>
              </w:rPr>
              <w:t>黄埔大道、中山大道、广州大道、临江大道、花城大道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19"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423"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572"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660"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670" w:type="pct"/>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r>
              <w:rPr>
                <w:rFonts w:hint="eastAsia" w:ascii="宋体" w:hAnsi="宋体" w:eastAsia="宋体" w:cs="宋体"/>
                <w:sz w:val="24"/>
                <w:szCs w:val="24"/>
              </w:rPr>
              <w:t>海珠区</w:t>
            </w:r>
          </w:p>
        </w:tc>
        <w:tc>
          <w:tcPr>
            <w:tcW w:w="740"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1513" w:type="pct"/>
            <w:vAlign w:val="center"/>
          </w:tcPr>
          <w:p>
            <w:pPr>
              <w:pStyle w:val="45"/>
              <w:widowControl/>
              <w:tabs>
                <w:tab w:val="left" w:pos="284"/>
                <w:tab w:val="left" w:pos="426"/>
              </w:tabs>
              <w:kinsoku w:val="0"/>
              <w:autoSpaceDE w:val="0"/>
              <w:autoSpaceDN w:val="0"/>
              <w:adjustRightInd w:val="0"/>
              <w:snapToGrid w:val="0"/>
              <w:ind w:firstLine="0" w:firstLineChars="0"/>
              <w:jc w:val="left"/>
              <w:textAlignment w:val="baseline"/>
              <w:rPr>
                <w:rFonts w:hint="eastAsia" w:ascii="宋体" w:hAnsi="宋体" w:eastAsia="宋体" w:cs="宋体"/>
                <w:sz w:val="24"/>
                <w:szCs w:val="24"/>
              </w:rPr>
            </w:pPr>
            <w:r>
              <w:rPr>
                <w:rFonts w:hint="eastAsia" w:ascii="宋体" w:hAnsi="宋体" w:eastAsia="宋体" w:cs="宋体"/>
                <w:sz w:val="24"/>
                <w:szCs w:val="24"/>
              </w:rPr>
              <w:t>滨江路、宝岗大道、新港路、工业大道、广州大道南、阅江路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19"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423"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572"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660"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670" w:type="pct"/>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r>
              <w:rPr>
                <w:rFonts w:hint="eastAsia" w:ascii="宋体" w:hAnsi="宋体" w:eastAsia="宋体" w:cs="宋体"/>
                <w:sz w:val="24"/>
                <w:szCs w:val="24"/>
              </w:rPr>
              <w:t>荔湾区</w:t>
            </w:r>
          </w:p>
        </w:tc>
        <w:tc>
          <w:tcPr>
            <w:tcW w:w="740"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1513" w:type="pct"/>
            <w:vAlign w:val="center"/>
          </w:tcPr>
          <w:p>
            <w:pPr>
              <w:pStyle w:val="45"/>
              <w:widowControl/>
              <w:tabs>
                <w:tab w:val="left" w:pos="284"/>
                <w:tab w:val="left" w:pos="426"/>
              </w:tabs>
              <w:kinsoku w:val="0"/>
              <w:autoSpaceDE w:val="0"/>
              <w:autoSpaceDN w:val="0"/>
              <w:adjustRightInd w:val="0"/>
              <w:snapToGrid w:val="0"/>
              <w:ind w:firstLine="0" w:firstLineChars="0"/>
              <w:jc w:val="left"/>
              <w:textAlignment w:val="baseline"/>
              <w:rPr>
                <w:rFonts w:hint="eastAsia" w:ascii="宋体" w:hAnsi="宋体" w:eastAsia="宋体" w:cs="宋体"/>
                <w:sz w:val="24"/>
                <w:szCs w:val="24"/>
              </w:rPr>
            </w:pPr>
            <w:r>
              <w:rPr>
                <w:rFonts w:hint="eastAsia" w:ascii="宋体" w:hAnsi="宋体" w:eastAsia="宋体" w:cs="宋体"/>
                <w:sz w:val="24"/>
                <w:szCs w:val="24"/>
              </w:rPr>
              <w:t>人民路、中山路、黄沙、芳村大道、花地大道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19"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423"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572"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660"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670" w:type="pct"/>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r>
              <w:rPr>
                <w:rFonts w:hint="eastAsia" w:ascii="宋体" w:hAnsi="宋体" w:eastAsia="宋体" w:cs="宋体"/>
                <w:sz w:val="24"/>
                <w:szCs w:val="24"/>
              </w:rPr>
              <w:t>白云区</w:t>
            </w:r>
          </w:p>
        </w:tc>
        <w:tc>
          <w:tcPr>
            <w:tcW w:w="740"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1513" w:type="pct"/>
            <w:vAlign w:val="center"/>
          </w:tcPr>
          <w:p>
            <w:pPr>
              <w:pStyle w:val="45"/>
              <w:widowControl/>
              <w:tabs>
                <w:tab w:val="left" w:pos="284"/>
                <w:tab w:val="left" w:pos="426"/>
              </w:tabs>
              <w:kinsoku w:val="0"/>
              <w:autoSpaceDE w:val="0"/>
              <w:autoSpaceDN w:val="0"/>
              <w:adjustRightInd w:val="0"/>
              <w:snapToGrid w:val="0"/>
              <w:ind w:firstLine="0" w:firstLineChars="0"/>
              <w:jc w:val="left"/>
              <w:textAlignment w:val="baseline"/>
              <w:rPr>
                <w:rFonts w:hint="eastAsia" w:ascii="宋体" w:hAnsi="宋体" w:eastAsia="宋体" w:cs="宋体"/>
                <w:sz w:val="24"/>
                <w:szCs w:val="24"/>
              </w:rPr>
            </w:pPr>
            <w:r>
              <w:rPr>
                <w:rFonts w:hint="eastAsia" w:ascii="宋体" w:hAnsi="宋体" w:eastAsia="宋体" w:cs="宋体"/>
                <w:sz w:val="24"/>
                <w:szCs w:val="24"/>
              </w:rPr>
              <w:t>广园路、黄石路、三元里大道（云城西路）、金沙洲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19"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423"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572"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660"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670" w:type="pct"/>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r>
              <w:rPr>
                <w:rFonts w:hint="eastAsia" w:ascii="宋体" w:hAnsi="宋体" w:eastAsia="宋体" w:cs="宋体"/>
                <w:sz w:val="24"/>
                <w:szCs w:val="24"/>
              </w:rPr>
              <w:t>番禺区</w:t>
            </w:r>
          </w:p>
        </w:tc>
        <w:tc>
          <w:tcPr>
            <w:tcW w:w="740"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1513" w:type="pct"/>
            <w:vAlign w:val="center"/>
          </w:tcPr>
          <w:p>
            <w:pPr>
              <w:pStyle w:val="45"/>
              <w:widowControl/>
              <w:tabs>
                <w:tab w:val="left" w:pos="284"/>
                <w:tab w:val="left" w:pos="426"/>
              </w:tabs>
              <w:kinsoku w:val="0"/>
              <w:autoSpaceDE w:val="0"/>
              <w:autoSpaceDN w:val="0"/>
              <w:adjustRightInd w:val="0"/>
              <w:snapToGrid w:val="0"/>
              <w:ind w:firstLine="0" w:firstLineChars="0"/>
              <w:jc w:val="left"/>
              <w:textAlignment w:val="baseline"/>
              <w:rPr>
                <w:rFonts w:hint="eastAsia" w:ascii="宋体" w:hAnsi="宋体" w:eastAsia="宋体" w:cs="宋体"/>
                <w:sz w:val="24"/>
                <w:szCs w:val="24"/>
              </w:rPr>
            </w:pPr>
            <w:r>
              <w:rPr>
                <w:rFonts w:hint="eastAsia" w:ascii="宋体" w:hAnsi="宋体" w:eastAsia="宋体" w:cs="宋体"/>
                <w:sz w:val="24"/>
                <w:szCs w:val="24"/>
              </w:rPr>
              <w:t>大学城、广州南站石山大道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19"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423"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572"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660"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670" w:type="pct"/>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r>
              <w:rPr>
                <w:rFonts w:hint="eastAsia" w:ascii="宋体" w:hAnsi="宋体" w:eastAsia="宋体" w:cs="宋体"/>
                <w:sz w:val="24"/>
                <w:szCs w:val="24"/>
              </w:rPr>
              <w:t>黄埔区</w:t>
            </w:r>
          </w:p>
        </w:tc>
        <w:tc>
          <w:tcPr>
            <w:tcW w:w="740" w:type="pct"/>
            <w:vMerge w:val="continue"/>
            <w:vAlign w:val="center"/>
          </w:tcPr>
          <w:p>
            <w:pPr>
              <w:pStyle w:val="45"/>
              <w:widowControl/>
              <w:tabs>
                <w:tab w:val="left" w:pos="284"/>
                <w:tab w:val="left" w:pos="426"/>
              </w:tabs>
              <w:kinsoku w:val="0"/>
              <w:autoSpaceDE w:val="0"/>
              <w:autoSpaceDN w:val="0"/>
              <w:adjustRightInd w:val="0"/>
              <w:snapToGrid w:val="0"/>
              <w:ind w:firstLine="0" w:firstLineChars="0"/>
              <w:jc w:val="center"/>
              <w:textAlignment w:val="baseline"/>
              <w:rPr>
                <w:rFonts w:hint="eastAsia" w:ascii="宋体" w:hAnsi="宋体" w:eastAsia="宋体" w:cs="宋体"/>
                <w:sz w:val="24"/>
                <w:szCs w:val="24"/>
              </w:rPr>
            </w:pPr>
          </w:p>
        </w:tc>
        <w:tc>
          <w:tcPr>
            <w:tcW w:w="1513" w:type="pct"/>
            <w:vAlign w:val="center"/>
          </w:tcPr>
          <w:p>
            <w:pPr>
              <w:pStyle w:val="45"/>
              <w:widowControl/>
              <w:tabs>
                <w:tab w:val="left" w:pos="284"/>
                <w:tab w:val="left" w:pos="426"/>
              </w:tabs>
              <w:kinsoku w:val="0"/>
              <w:autoSpaceDE w:val="0"/>
              <w:autoSpaceDN w:val="0"/>
              <w:adjustRightInd w:val="0"/>
              <w:snapToGrid w:val="0"/>
              <w:ind w:firstLine="0" w:firstLineChars="0"/>
              <w:jc w:val="left"/>
              <w:textAlignment w:val="baseline"/>
              <w:rPr>
                <w:rFonts w:hint="eastAsia" w:ascii="宋体" w:hAnsi="宋体" w:eastAsia="宋体" w:cs="宋体"/>
                <w:sz w:val="24"/>
                <w:szCs w:val="24"/>
              </w:rPr>
            </w:pPr>
            <w:r>
              <w:rPr>
                <w:rFonts w:hint="eastAsia" w:ascii="宋体" w:hAnsi="宋体" w:eastAsia="宋体" w:cs="宋体"/>
                <w:sz w:val="24"/>
                <w:szCs w:val="24"/>
              </w:rPr>
              <w:t>大沙地、丰乐路、文冲市场、鱼珠码头</w:t>
            </w:r>
          </w:p>
        </w:tc>
      </w:tr>
    </w:tbl>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投标人需在投标文件中提供拟投入本项目的广告资源信息：不同周期折后价格。</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对应不同投放周期，4周/4批，2周/4批，4周/2批的预算报价。（名词解释：4周/4批就是2年服务期投放4批，每批4周，多个位置投放广告，投放不同的内容，指定不同的数量）</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3、广告制作和发布要求</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福彩广告刊登内容由采购人提供，中标人须按采购人提供的广告内容、时间要求进行设计制作，在广告上画前须交采购人确认；经采购人审核确认后，中标人负责办理广告发布的登记/备案手续，并在采购人规定时间内完成全部广告画面的发布工作。</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（2）中标人须按照采购人要求，安排广告的发布日期及周期、数量。</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（3）广告投放期间，中标人若出现漏上刊、错播，中标人须按“漏一补一、错一补一”的原则在相同的时段安排补播，因此影响的广告发布时间相应顺延。</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（4）中标人若因单方面原因终止投放采购人广告，中标人须为采购人调换等价位置的其他候车亭灯箱广告发布广告，因此影响的广告发布时间相应顺延，并承诺在相同时段投放广告。</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（5）中标人须承诺采购人广告发布期间，除不可抗力及政府政策外，不得擅自撤除广告或遮挡广告的任何部分。</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4、广告维护和保养要求</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（1）中标人须负责在广告发布期间对候车亭灯箱广告的日常维护和保养，并承担在广告发布和日常维护期间相关施工人员、维护人员和第三者的安全责任。</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中标人须保证候车亭灯箱广告的正常运行及清洁，并及时进行保养；如候车亭灯箱广告出现运行故障、脏污等影响广告发布效果的情形，中标人应在3个自然日内修复并将修复情况报告采购人，因此影响的广告发布时间相应顺延。</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5、报价要求</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投标人的的投标报价应包含但不限于人员薪酬（包括工资、奖金、福利、社保、保险、服装、劳保用品等）、广告位使用费、广告发布费及广告审批费、材料费、设计费、制作费、运输费、安装费、监测费、税金、发布费、水电费、广告维护费及税费等投标人为履行本合同所有不可预见费用，采购人不再支付其他任何费用。</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6、验收要求：</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（1）中标人应在每期广告上刊三个工作日内，提供每块灯箱广告的现场照片1～2张作为广告上刊依据。</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（2）中标人应在每次投放广告内容主题结束后10个自然日内提交该次广告发布总结报告，其内容包括但不限于广告投放数量完成率、信息发布按时完成率、广告投放评估等。</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（3）在完成项目所有广告投放后的15个工作日内，向采购人出具一份项目总结报告。</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（4）采购人验收合格后，双方签订验收报告，作为本项目付款条件。未通过验收的，采购人有权要求中标供应商及时按照违约条款进行赔偿并及时向采购人申请验收。</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7、付款方式</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（1）若投放4期，按以下付款方式：</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1期：支付比例30%,在合同签订之日起5个工作日内，采购人向中标人支付合同总金额的30%；</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2期：支付比例20%,在完成投放第二期广告并经采购人确认验收报告合格后10个</w:t>
      </w:r>
      <w:r>
        <w:rPr>
          <w:rFonts w:hint="eastAsia" w:ascii="宋体" w:hAnsi="宋体" w:eastAsia="宋体" w:cs="宋体"/>
          <w:sz w:val="24"/>
          <w:szCs w:val="24"/>
          <w:lang w:eastAsia="zh-CN"/>
        </w:rPr>
        <w:t>工作</w:t>
      </w:r>
      <w:r>
        <w:rPr>
          <w:rFonts w:hint="eastAsia" w:ascii="宋体" w:hAnsi="宋体" w:eastAsia="宋体" w:cs="宋体"/>
          <w:sz w:val="24"/>
          <w:szCs w:val="24"/>
        </w:rPr>
        <w:t>日内，采购人向中标人支付合同总金额的20%；</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3期：支付比例30%,在完成投放第三期广告并经采购人确认验收报告合格后10个</w:t>
      </w:r>
      <w:r>
        <w:rPr>
          <w:rFonts w:hint="eastAsia" w:ascii="宋体" w:hAnsi="宋体" w:eastAsia="宋体" w:cs="宋体"/>
          <w:sz w:val="24"/>
          <w:szCs w:val="24"/>
          <w:lang w:eastAsia="zh-CN"/>
        </w:rPr>
        <w:t>工作</w:t>
      </w:r>
      <w:r>
        <w:rPr>
          <w:rFonts w:hint="eastAsia" w:ascii="宋体" w:hAnsi="宋体" w:eastAsia="宋体" w:cs="宋体"/>
          <w:sz w:val="24"/>
          <w:szCs w:val="24"/>
        </w:rPr>
        <w:t>日内，采购人向中标人支付合同总金额的30%；</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4期：支付比例20%,在完成投放第四期广告并经采购人确认验收报告合格后10个</w:t>
      </w:r>
      <w:r>
        <w:rPr>
          <w:rFonts w:hint="eastAsia" w:ascii="宋体" w:hAnsi="宋体" w:eastAsia="宋体" w:cs="宋体"/>
          <w:sz w:val="24"/>
          <w:szCs w:val="24"/>
          <w:lang w:eastAsia="zh-CN"/>
        </w:rPr>
        <w:t>工作</w:t>
      </w:r>
      <w:r>
        <w:rPr>
          <w:rFonts w:hint="eastAsia" w:ascii="宋体" w:hAnsi="宋体" w:eastAsia="宋体" w:cs="宋体"/>
          <w:sz w:val="24"/>
          <w:szCs w:val="24"/>
        </w:rPr>
        <w:t>日内，采购人向中标人支付合同总金额的20%。采购人通过银行转账的方式支付合同费用，中标人在收款前需向采购人出具等额、合法、有效且符合采购人财务要求的正式发票和验收报告予以采购人验收。中标人怠于提供发票和验收报告的，采购人有权顺延付款期限直至收到中标人的发票及合格的验收报告，中标人不得据此怠于履行任何一项或几项合同义务。</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（2）若投放2期，按以下付款方式：</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1期：支付比例50%,在合同签订之日起5个工作日内，采购人向中标人支付合同总金额的50%；</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2期：支付比例50%,在完成投放第四期广告并经采购人确认验收报告合格后10个</w:t>
      </w:r>
      <w:r>
        <w:rPr>
          <w:rFonts w:hint="eastAsia" w:ascii="宋体" w:hAnsi="宋体" w:eastAsia="宋体" w:cs="宋体"/>
          <w:sz w:val="24"/>
          <w:szCs w:val="24"/>
          <w:lang w:eastAsia="zh-CN"/>
        </w:rPr>
        <w:t>工作</w:t>
      </w:r>
      <w:r>
        <w:rPr>
          <w:rFonts w:hint="eastAsia" w:ascii="宋体" w:hAnsi="宋体" w:eastAsia="宋体" w:cs="宋体"/>
          <w:sz w:val="24"/>
          <w:szCs w:val="24"/>
        </w:rPr>
        <w:t>日内，采购人向中标人支付合同总金额的50%。采购人通过银行转账的方式支付合同费用，中标人在收款前需向采购人出具等额、合法、有效且符合采购人财务要求的正式发票和验收报告予以采购人验收。中标人怠于提供发票和验收报告的，采购人有权顺延付款期限直至收到中标人的发票及合格的验收报告，中标人不得据此怠于履行任何一项或几项合同义务。</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8、其他要求</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（1）服务期间，采购人将以随时、随机的方式要求中标人在约定的时间内提供应某一广告屏的实时录屏。</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（2）服务期间，采购人或其委托的第三方专业机构对项目实施情况进行随机抽查，中标人应配合出具关联工作报告及项目执行的证明材料，如中标人所投放的广告未符合要求的，以中标人违约处理。</w:t>
      </w:r>
    </w:p>
    <w:p>
      <w:pPr>
        <w:spacing w:line="360" w:lineRule="auto"/>
        <w:ind w:firstLine="480" w:firstLineChars="200"/>
        <w:rPr>
          <w:rFonts w:hint="eastAsia" w:ascii="宋体" w:hAnsi="宋体" w:eastAsia="宋体" w:cs="宋体"/>
        </w:rPr>
      </w:pPr>
      <w:r>
        <w:rPr>
          <w:rFonts w:hint="eastAsia" w:ascii="宋体" w:hAnsi="宋体" w:eastAsia="宋体" w:cs="宋体"/>
          <w:sz w:val="24"/>
          <w:szCs w:val="24"/>
        </w:rPr>
        <w:t>（3）中标人须按投标文件承诺做好项目巡检工作，并向采购人提供项目巡检报告。</w:t>
      </w: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kwYmY0YjQ1MDE0Yjk4MGQ1NTU1MDYzYjQyM2VlYzYifQ=="/>
    <w:docVar w:name="KSO_WPS_MARK_KEY" w:val="656c407d-903d-4a95-a396-519258c1dff3"/>
  </w:docVars>
  <w:rsids>
    <w:rsidRoot w:val="00E37D6E"/>
    <w:rsid w:val="00071B42"/>
    <w:rsid w:val="0013353A"/>
    <w:rsid w:val="00244757"/>
    <w:rsid w:val="002511C2"/>
    <w:rsid w:val="00274FC1"/>
    <w:rsid w:val="0028493C"/>
    <w:rsid w:val="00427222"/>
    <w:rsid w:val="004E1B7F"/>
    <w:rsid w:val="00561A4F"/>
    <w:rsid w:val="0057771B"/>
    <w:rsid w:val="005A461D"/>
    <w:rsid w:val="005F1B41"/>
    <w:rsid w:val="006563AB"/>
    <w:rsid w:val="00661DBA"/>
    <w:rsid w:val="006C45F8"/>
    <w:rsid w:val="006D052D"/>
    <w:rsid w:val="00736D31"/>
    <w:rsid w:val="00755E76"/>
    <w:rsid w:val="00781CF0"/>
    <w:rsid w:val="007C06DF"/>
    <w:rsid w:val="007D43AD"/>
    <w:rsid w:val="00840696"/>
    <w:rsid w:val="008D1F00"/>
    <w:rsid w:val="00902322"/>
    <w:rsid w:val="009678F7"/>
    <w:rsid w:val="00990E55"/>
    <w:rsid w:val="009920EF"/>
    <w:rsid w:val="00AE0B4A"/>
    <w:rsid w:val="00BE7B8E"/>
    <w:rsid w:val="00CB591E"/>
    <w:rsid w:val="00CE1B32"/>
    <w:rsid w:val="00D53B34"/>
    <w:rsid w:val="00D8025D"/>
    <w:rsid w:val="00E27DF2"/>
    <w:rsid w:val="00E33339"/>
    <w:rsid w:val="00E37D6E"/>
    <w:rsid w:val="00E83EEA"/>
    <w:rsid w:val="00E864DA"/>
    <w:rsid w:val="00F4412C"/>
    <w:rsid w:val="00F709ED"/>
    <w:rsid w:val="00F919E6"/>
    <w:rsid w:val="033258AB"/>
    <w:rsid w:val="06B831DA"/>
    <w:rsid w:val="07D7607C"/>
    <w:rsid w:val="09C23A82"/>
    <w:rsid w:val="0D261DA4"/>
    <w:rsid w:val="0E7D703D"/>
    <w:rsid w:val="178F39AF"/>
    <w:rsid w:val="24E1177A"/>
    <w:rsid w:val="29715ACD"/>
    <w:rsid w:val="2A566E5D"/>
    <w:rsid w:val="2DBD6D7A"/>
    <w:rsid w:val="3FDA65E1"/>
    <w:rsid w:val="42557827"/>
    <w:rsid w:val="4AB50C0B"/>
    <w:rsid w:val="4BBE56DF"/>
    <w:rsid w:val="5268003F"/>
    <w:rsid w:val="5AE6022B"/>
    <w:rsid w:val="5B266033"/>
    <w:rsid w:val="65771594"/>
    <w:rsid w:val="6E7A3144"/>
    <w:rsid w:val="78BF076D"/>
    <w:rsid w:val="7E1D07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link w:val="23"/>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4"/>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5"/>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6"/>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7"/>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8"/>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9"/>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0"/>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1"/>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42"/>
    <w:semiHidden/>
    <w:unhideWhenUsed/>
    <w:qFormat/>
    <w:uiPriority w:val="99"/>
    <w:pPr>
      <w:jc w:val="left"/>
    </w:pPr>
  </w:style>
  <w:style w:type="paragraph" w:styleId="12">
    <w:name w:val="Balloon Text"/>
    <w:basedOn w:val="1"/>
    <w:link w:val="41"/>
    <w:semiHidden/>
    <w:unhideWhenUsed/>
    <w:qFormat/>
    <w:uiPriority w:val="99"/>
    <w:rPr>
      <w:sz w:val="18"/>
      <w:szCs w:val="18"/>
    </w:rPr>
  </w:style>
  <w:style w:type="paragraph" w:styleId="13">
    <w:name w:val="footer"/>
    <w:basedOn w:val="1"/>
    <w:link w:val="48"/>
    <w:unhideWhenUsed/>
    <w:uiPriority w:val="99"/>
    <w:pPr>
      <w:tabs>
        <w:tab w:val="center" w:pos="4153"/>
        <w:tab w:val="right" w:pos="8306"/>
      </w:tabs>
      <w:snapToGrid w:val="0"/>
      <w:jc w:val="left"/>
    </w:pPr>
    <w:rPr>
      <w:sz w:val="18"/>
      <w:szCs w:val="18"/>
    </w:rPr>
  </w:style>
  <w:style w:type="paragraph" w:styleId="14">
    <w:name w:val="header"/>
    <w:basedOn w:val="1"/>
    <w:link w:val="47"/>
    <w:unhideWhenUsed/>
    <w:uiPriority w:val="99"/>
    <w:pPr>
      <w:tabs>
        <w:tab w:val="center" w:pos="4153"/>
        <w:tab w:val="right" w:pos="8306"/>
      </w:tabs>
      <w:snapToGrid w:val="0"/>
      <w:jc w:val="center"/>
    </w:pPr>
    <w:rPr>
      <w:sz w:val="18"/>
      <w:szCs w:val="18"/>
    </w:rPr>
  </w:style>
  <w:style w:type="paragraph" w:styleId="15">
    <w:name w:val="Subtitle"/>
    <w:basedOn w:val="1"/>
    <w:next w:val="1"/>
    <w:link w:val="33"/>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7">
    <w:name w:val="Title"/>
    <w:basedOn w:val="1"/>
    <w:next w:val="1"/>
    <w:link w:val="32"/>
    <w:qFormat/>
    <w:uiPriority w:val="10"/>
    <w:pPr>
      <w:spacing w:after="80"/>
      <w:contextualSpacing/>
      <w:jc w:val="center"/>
    </w:pPr>
    <w:rPr>
      <w:rFonts w:asciiTheme="majorHAnsi" w:hAnsiTheme="majorHAnsi" w:eastAsiaTheme="majorEastAsia" w:cstheme="majorBidi"/>
      <w:spacing w:val="-10"/>
      <w:kern w:val="28"/>
      <w:sz w:val="56"/>
      <w:szCs w:val="56"/>
    </w:rPr>
  </w:style>
  <w:style w:type="paragraph" w:styleId="18">
    <w:name w:val="annotation subject"/>
    <w:basedOn w:val="11"/>
    <w:next w:val="11"/>
    <w:link w:val="43"/>
    <w:semiHidden/>
    <w:unhideWhenUsed/>
    <w:qFormat/>
    <w:uiPriority w:val="99"/>
    <w:rPr>
      <w:b/>
      <w:bCs/>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annotation reference"/>
    <w:basedOn w:val="21"/>
    <w:semiHidden/>
    <w:unhideWhenUsed/>
    <w:qFormat/>
    <w:uiPriority w:val="99"/>
    <w:rPr>
      <w:sz w:val="21"/>
      <w:szCs w:val="21"/>
    </w:rPr>
  </w:style>
  <w:style w:type="character" w:customStyle="1" w:styleId="23">
    <w:name w:val="标题 1 字符"/>
    <w:basedOn w:val="21"/>
    <w:link w:val="2"/>
    <w:qFormat/>
    <w:uiPriority w:val="9"/>
    <w:rPr>
      <w:rFonts w:asciiTheme="majorHAnsi" w:hAnsiTheme="majorHAnsi" w:eastAsiaTheme="majorEastAsia" w:cstheme="majorBidi"/>
      <w:color w:val="104862" w:themeColor="accent1" w:themeShade="BF"/>
      <w:sz w:val="48"/>
      <w:szCs w:val="48"/>
    </w:rPr>
  </w:style>
  <w:style w:type="character" w:customStyle="1" w:styleId="24">
    <w:name w:val="标题 2 字符"/>
    <w:basedOn w:val="21"/>
    <w:link w:val="3"/>
    <w:qFormat/>
    <w:uiPriority w:val="9"/>
    <w:rPr>
      <w:rFonts w:asciiTheme="majorHAnsi" w:hAnsiTheme="majorHAnsi" w:eastAsiaTheme="majorEastAsia" w:cstheme="majorBidi"/>
      <w:color w:val="104862" w:themeColor="accent1" w:themeShade="BF"/>
      <w:sz w:val="40"/>
      <w:szCs w:val="40"/>
    </w:rPr>
  </w:style>
  <w:style w:type="character" w:customStyle="1" w:styleId="25">
    <w:name w:val="标题 3 字符"/>
    <w:basedOn w:val="21"/>
    <w:link w:val="4"/>
    <w:qFormat/>
    <w:uiPriority w:val="9"/>
    <w:rPr>
      <w:rFonts w:asciiTheme="majorHAnsi" w:hAnsiTheme="majorHAnsi" w:eastAsiaTheme="majorEastAsia" w:cstheme="majorBidi"/>
      <w:color w:val="104862" w:themeColor="accent1" w:themeShade="BF"/>
      <w:sz w:val="32"/>
      <w:szCs w:val="32"/>
    </w:rPr>
  </w:style>
  <w:style w:type="character" w:customStyle="1" w:styleId="26">
    <w:name w:val="标题 4 字符"/>
    <w:basedOn w:val="21"/>
    <w:link w:val="5"/>
    <w:qFormat/>
    <w:uiPriority w:val="9"/>
    <w:rPr>
      <w:rFonts w:cstheme="majorBidi"/>
      <w:color w:val="104862" w:themeColor="accent1" w:themeShade="BF"/>
      <w:sz w:val="28"/>
      <w:szCs w:val="28"/>
    </w:rPr>
  </w:style>
  <w:style w:type="character" w:customStyle="1" w:styleId="27">
    <w:name w:val="标题 5 字符"/>
    <w:basedOn w:val="21"/>
    <w:link w:val="6"/>
    <w:semiHidden/>
    <w:qFormat/>
    <w:uiPriority w:val="9"/>
    <w:rPr>
      <w:rFonts w:cstheme="majorBidi"/>
      <w:color w:val="104862" w:themeColor="accent1" w:themeShade="BF"/>
      <w:sz w:val="24"/>
      <w:szCs w:val="24"/>
    </w:rPr>
  </w:style>
  <w:style w:type="character" w:customStyle="1" w:styleId="28">
    <w:name w:val="标题 6 字符"/>
    <w:basedOn w:val="21"/>
    <w:link w:val="7"/>
    <w:semiHidden/>
    <w:qFormat/>
    <w:uiPriority w:val="9"/>
    <w:rPr>
      <w:rFonts w:cstheme="majorBidi"/>
      <w:b/>
      <w:bCs/>
      <w:color w:val="104862" w:themeColor="accent1" w:themeShade="BF"/>
    </w:rPr>
  </w:style>
  <w:style w:type="character" w:customStyle="1" w:styleId="29">
    <w:name w:val="标题 7 字符"/>
    <w:basedOn w:val="21"/>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0">
    <w:name w:val="标题 8 字符"/>
    <w:basedOn w:val="21"/>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1">
    <w:name w:val="标题 9 字符"/>
    <w:basedOn w:val="21"/>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2">
    <w:name w:val="标题 字符"/>
    <w:basedOn w:val="21"/>
    <w:link w:val="17"/>
    <w:qFormat/>
    <w:uiPriority w:val="10"/>
    <w:rPr>
      <w:rFonts w:asciiTheme="majorHAnsi" w:hAnsiTheme="majorHAnsi" w:eastAsiaTheme="majorEastAsia" w:cstheme="majorBidi"/>
      <w:spacing w:val="-10"/>
      <w:kern w:val="28"/>
      <w:sz w:val="56"/>
      <w:szCs w:val="56"/>
    </w:rPr>
  </w:style>
  <w:style w:type="character" w:customStyle="1" w:styleId="33">
    <w:name w:val="副标题 字符"/>
    <w:basedOn w:val="21"/>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4">
    <w:name w:val="Quote"/>
    <w:basedOn w:val="1"/>
    <w:next w:val="1"/>
    <w:link w:val="35"/>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引用 字符"/>
    <w:basedOn w:val="21"/>
    <w:link w:val="34"/>
    <w:qFormat/>
    <w:uiPriority w:val="29"/>
    <w:rPr>
      <w:i/>
      <w:iCs/>
      <w:color w:val="404040" w:themeColor="text1" w:themeTint="BF"/>
      <w14:textFill>
        <w14:solidFill>
          <w14:schemeClr w14:val="tx1">
            <w14:lumMod w14:val="75000"/>
            <w14:lumOff w14:val="25000"/>
          </w14:schemeClr>
        </w14:solidFill>
      </w14:textFill>
    </w:rPr>
  </w:style>
  <w:style w:type="paragraph" w:styleId="36">
    <w:name w:val="List Paragraph"/>
    <w:basedOn w:val="1"/>
    <w:qFormat/>
    <w:uiPriority w:val="34"/>
    <w:pPr>
      <w:ind w:left="720"/>
      <w:contextualSpacing/>
    </w:pPr>
  </w:style>
  <w:style w:type="character" w:customStyle="1" w:styleId="37">
    <w:name w:val="明显强调1"/>
    <w:basedOn w:val="21"/>
    <w:qFormat/>
    <w:uiPriority w:val="21"/>
    <w:rPr>
      <w:i/>
      <w:iCs/>
      <w:color w:val="104862"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9">
    <w:name w:val="明显引用 字符"/>
    <w:basedOn w:val="21"/>
    <w:link w:val="38"/>
    <w:qFormat/>
    <w:uiPriority w:val="30"/>
    <w:rPr>
      <w:i/>
      <w:iCs/>
      <w:color w:val="104862" w:themeColor="accent1" w:themeShade="BF"/>
    </w:rPr>
  </w:style>
  <w:style w:type="character" w:customStyle="1" w:styleId="40">
    <w:name w:val="明显参考1"/>
    <w:basedOn w:val="21"/>
    <w:qFormat/>
    <w:uiPriority w:val="32"/>
    <w:rPr>
      <w:b/>
      <w:bCs/>
      <w:smallCaps/>
      <w:color w:val="104862" w:themeColor="accent1" w:themeShade="BF"/>
      <w:spacing w:val="5"/>
    </w:rPr>
  </w:style>
  <w:style w:type="character" w:customStyle="1" w:styleId="41">
    <w:name w:val="批注框文本 字符"/>
    <w:basedOn w:val="21"/>
    <w:link w:val="12"/>
    <w:semiHidden/>
    <w:qFormat/>
    <w:uiPriority w:val="99"/>
    <w:rPr>
      <w:kern w:val="2"/>
      <w:sz w:val="18"/>
      <w:szCs w:val="18"/>
      <w14:ligatures w14:val="standardContextual"/>
    </w:rPr>
  </w:style>
  <w:style w:type="character" w:customStyle="1" w:styleId="42">
    <w:name w:val="批注文字 字符"/>
    <w:basedOn w:val="21"/>
    <w:link w:val="11"/>
    <w:semiHidden/>
    <w:qFormat/>
    <w:uiPriority w:val="99"/>
    <w:rPr>
      <w:kern w:val="2"/>
      <w:sz w:val="21"/>
      <w:szCs w:val="22"/>
      <w14:ligatures w14:val="standardContextual"/>
    </w:rPr>
  </w:style>
  <w:style w:type="character" w:customStyle="1" w:styleId="43">
    <w:name w:val="批注主题 字符"/>
    <w:basedOn w:val="42"/>
    <w:link w:val="18"/>
    <w:semiHidden/>
    <w:qFormat/>
    <w:uiPriority w:val="99"/>
    <w:rPr>
      <w:b/>
      <w:bCs/>
      <w:kern w:val="2"/>
      <w:sz w:val="21"/>
      <w:szCs w:val="22"/>
      <w14:ligatures w14:val="standardContextual"/>
    </w:rPr>
  </w:style>
  <w:style w:type="paragraph" w:customStyle="1" w:styleId="44">
    <w:name w:val="修订1"/>
    <w:hidden/>
    <w:semiHidden/>
    <w:qFormat/>
    <w:uiPriority w:val="99"/>
    <w:rPr>
      <w:rFonts w:asciiTheme="minorHAnsi" w:hAnsiTheme="minorHAnsi" w:eastAsiaTheme="minorEastAsia" w:cstheme="minorBidi"/>
      <w:kern w:val="2"/>
      <w:sz w:val="21"/>
      <w:szCs w:val="22"/>
      <w:lang w:val="en-US" w:eastAsia="zh-CN" w:bidi="ar-SA"/>
      <w14:ligatures w14:val="standardContextual"/>
    </w:rPr>
  </w:style>
  <w:style w:type="paragraph" w:customStyle="1" w:styleId="45">
    <w:name w:val="_Style 10"/>
    <w:basedOn w:val="1"/>
    <w:qFormat/>
    <w:uiPriority w:val="99"/>
    <w:pPr>
      <w:ind w:firstLine="420" w:firstLineChars="200"/>
    </w:pPr>
  </w:style>
  <w:style w:type="paragraph" w:customStyle="1" w:styleId="46">
    <w:name w:val="Revision"/>
    <w:hidden/>
    <w:unhideWhenUsed/>
    <w:uiPriority w:val="99"/>
    <w:rPr>
      <w:rFonts w:asciiTheme="minorHAnsi" w:hAnsiTheme="minorHAnsi" w:eastAsiaTheme="minorEastAsia" w:cstheme="minorBidi"/>
      <w:kern w:val="2"/>
      <w:sz w:val="21"/>
      <w:szCs w:val="22"/>
      <w:lang w:val="en-US" w:eastAsia="zh-CN" w:bidi="ar-SA"/>
      <w14:ligatures w14:val="standardContextual"/>
    </w:rPr>
  </w:style>
  <w:style w:type="character" w:customStyle="1" w:styleId="47">
    <w:name w:val="页眉 字符"/>
    <w:basedOn w:val="21"/>
    <w:link w:val="14"/>
    <w:uiPriority w:val="99"/>
    <w:rPr>
      <w:kern w:val="2"/>
      <w:sz w:val="18"/>
      <w:szCs w:val="18"/>
      <w14:ligatures w14:val="standardContextual"/>
    </w:rPr>
  </w:style>
  <w:style w:type="character" w:customStyle="1" w:styleId="48">
    <w:name w:val="页脚 字符"/>
    <w:basedOn w:val="21"/>
    <w:link w:val="13"/>
    <w:uiPriority w:val="99"/>
    <w:rPr>
      <w:kern w:val="2"/>
      <w:sz w:val="18"/>
      <w:szCs w:val="18"/>
      <w14:ligatures w14:val="standardContextual"/>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4</Pages>
  <Words>2672</Words>
  <Characters>2734</Characters>
  <Lines>20</Lines>
  <Paragraphs>5</Paragraphs>
  <TotalTime>4</TotalTime>
  <ScaleCrop>false</ScaleCrop>
  <LinksUpToDate>false</LinksUpToDate>
  <CharactersWithSpaces>2734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2024-04-07T00:45:00Z</dcterms:created>
  <dc:creator>悲啖 张</dc:creator>
  <cp:lastModifiedBy>Space</cp:lastModifiedBy>
  <dcterms:modified xsi:type="dcterms:W3CDTF">2024-09-30T05:33:21Z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85176DB9C4AF40D381B93011C9AE428D_13</vt:lpwstr>
  </property>
</Properties>
</file>