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4AA6993">
      <w:pPr>
        <w:tabs>
          <w:tab w:val="left" w:pos="5723"/>
        </w:tabs>
        <w:spacing w:line="360" w:lineRule="auto"/>
        <w:jc w:val="center"/>
        <w:rPr>
          <w:rFonts w:asciiTheme="minorEastAsia" w:hAnsiTheme="minorEastAsia" w:eastAsiaTheme="minorEastAsia"/>
          <w:b/>
          <w:bCs/>
          <w:color w:val="auto"/>
          <w:sz w:val="40"/>
          <w:szCs w:val="40"/>
          <w:highlight w:val="none"/>
        </w:rPr>
      </w:pPr>
      <w:bookmarkStart w:id="0" w:name="_Hlk201599076"/>
    </w:p>
    <w:p w14:paraId="57D0B15B">
      <w:pPr>
        <w:spacing w:line="360" w:lineRule="auto"/>
        <w:jc w:val="center"/>
        <w:rPr>
          <w:rFonts w:hint="eastAsia" w:asciiTheme="minorEastAsia" w:hAnsiTheme="minorEastAsia" w:eastAsiaTheme="minorEastAsia"/>
          <w:b/>
          <w:sz w:val="28"/>
          <w:szCs w:val="28"/>
          <w:lang w:eastAsia="zh-CN"/>
        </w:rPr>
      </w:pPr>
      <w:r>
        <w:rPr>
          <w:rFonts w:hint="eastAsia" w:asciiTheme="minorEastAsia" w:hAnsiTheme="minorEastAsia" w:eastAsiaTheme="minorEastAsia"/>
          <w:b/>
          <w:sz w:val="48"/>
          <w:szCs w:val="48"/>
          <w:lang w:eastAsia="zh-CN"/>
        </w:rPr>
        <w:t>福贡县农田水利设施建设及防灾减灾治理项目</w:t>
      </w:r>
    </w:p>
    <w:p w14:paraId="509BC164">
      <w:pPr>
        <w:tabs>
          <w:tab w:val="left" w:pos="5723"/>
        </w:tabs>
        <w:spacing w:line="360" w:lineRule="auto"/>
        <w:jc w:val="center"/>
        <w:rPr>
          <w:rFonts w:hint="eastAsia" w:asciiTheme="minorEastAsia" w:hAnsiTheme="minorEastAsia" w:eastAsiaTheme="minorEastAsia"/>
          <w:b/>
          <w:bCs/>
          <w:color w:val="auto"/>
          <w:sz w:val="28"/>
          <w:szCs w:val="28"/>
          <w:highlight w:val="none"/>
          <w:lang w:eastAsia="zh-CN"/>
        </w:rPr>
      </w:pPr>
    </w:p>
    <w:bookmarkEnd w:id="0"/>
    <w:p w14:paraId="7981AB2D">
      <w:pPr>
        <w:spacing w:line="360" w:lineRule="auto"/>
        <w:jc w:val="both"/>
        <w:rPr>
          <w:rFonts w:asciiTheme="minorEastAsia" w:hAnsiTheme="minorEastAsia" w:eastAsiaTheme="minorEastAsia"/>
          <w:color w:val="auto"/>
          <w:sz w:val="24"/>
          <w:szCs w:val="24"/>
          <w:highlight w:val="none"/>
        </w:rPr>
      </w:pPr>
    </w:p>
    <w:p w14:paraId="7E90CD10">
      <w:pPr>
        <w:spacing w:line="360" w:lineRule="auto"/>
        <w:jc w:val="center"/>
        <w:rPr>
          <w:rFonts w:asciiTheme="minorEastAsia" w:hAnsiTheme="minorEastAsia" w:eastAsiaTheme="minorEastAsia"/>
          <w:color w:val="auto"/>
          <w:sz w:val="24"/>
          <w:szCs w:val="24"/>
          <w:highlight w:val="none"/>
        </w:rPr>
      </w:pPr>
    </w:p>
    <w:p w14:paraId="1417D86D">
      <w:pPr>
        <w:spacing w:line="360" w:lineRule="auto"/>
        <w:jc w:val="center"/>
        <w:rPr>
          <w:rFonts w:asciiTheme="minorEastAsia" w:hAnsiTheme="minorEastAsia" w:eastAsiaTheme="minorEastAsia"/>
          <w:color w:val="auto"/>
          <w:sz w:val="24"/>
          <w:szCs w:val="24"/>
          <w:highlight w:val="none"/>
        </w:rPr>
      </w:pPr>
    </w:p>
    <w:p w14:paraId="71D67994">
      <w:pPr>
        <w:spacing w:line="360" w:lineRule="auto"/>
        <w:jc w:val="center"/>
        <w:rPr>
          <w:rFonts w:asciiTheme="minorEastAsia" w:hAnsiTheme="minorEastAsia" w:eastAsiaTheme="minorEastAsia"/>
          <w:color w:val="auto"/>
          <w:sz w:val="24"/>
          <w:szCs w:val="24"/>
          <w:highlight w:val="none"/>
        </w:rPr>
      </w:pPr>
    </w:p>
    <w:p w14:paraId="4C031482">
      <w:pPr>
        <w:spacing w:line="360" w:lineRule="auto"/>
        <w:jc w:val="center"/>
        <w:rPr>
          <w:rFonts w:asciiTheme="minorEastAsia" w:hAnsiTheme="minorEastAsia" w:eastAsiaTheme="minorEastAsia"/>
          <w:color w:val="auto"/>
          <w:sz w:val="24"/>
          <w:szCs w:val="24"/>
          <w:highlight w:val="none"/>
        </w:rPr>
      </w:pPr>
    </w:p>
    <w:p w14:paraId="2D368EE0">
      <w:pPr>
        <w:spacing w:line="360" w:lineRule="auto"/>
        <w:jc w:val="center"/>
        <w:rPr>
          <w:rFonts w:asciiTheme="minorEastAsia" w:hAnsiTheme="minorEastAsia" w:eastAsiaTheme="minorEastAsia"/>
          <w:color w:val="auto"/>
          <w:sz w:val="24"/>
          <w:szCs w:val="24"/>
          <w:highlight w:val="none"/>
        </w:rPr>
      </w:pPr>
    </w:p>
    <w:p w14:paraId="21140470">
      <w:pPr>
        <w:spacing w:before="100" w:beforeAutospacing="1" w:after="100" w:afterAutospacing="1"/>
        <w:jc w:val="center"/>
        <w:rPr>
          <w:rFonts w:cs="宋体" w:asciiTheme="minorEastAsia" w:hAnsiTheme="minorEastAsia" w:eastAsiaTheme="minorEastAsia"/>
          <w:b/>
          <w:color w:val="auto"/>
          <w:sz w:val="84"/>
          <w:highlight w:val="none"/>
        </w:rPr>
      </w:pPr>
      <w:r>
        <w:rPr>
          <w:rFonts w:hint="eastAsia" w:cs="宋体" w:asciiTheme="minorEastAsia" w:hAnsiTheme="minorEastAsia" w:eastAsiaTheme="minorEastAsia"/>
          <w:b/>
          <w:color w:val="auto"/>
          <w:sz w:val="84"/>
          <w:highlight w:val="none"/>
        </w:rPr>
        <w:t>竞争性磋商文件</w:t>
      </w:r>
    </w:p>
    <w:p w14:paraId="144BE55C">
      <w:pPr>
        <w:spacing w:line="360" w:lineRule="auto"/>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项目编号：NJZC2026-C2-00386-SSZX-0014</w:t>
      </w:r>
    </w:p>
    <w:p w14:paraId="727812D5">
      <w:pPr>
        <w:spacing w:line="360" w:lineRule="auto"/>
        <w:jc w:val="center"/>
        <w:rPr>
          <w:rFonts w:asciiTheme="minorEastAsia" w:hAnsiTheme="minorEastAsia" w:eastAsiaTheme="minorEastAsia"/>
          <w:b/>
          <w:color w:val="auto"/>
          <w:sz w:val="32"/>
          <w:szCs w:val="32"/>
          <w:highlight w:val="none"/>
        </w:rPr>
      </w:pPr>
    </w:p>
    <w:p w14:paraId="3EAAB265">
      <w:pPr>
        <w:spacing w:line="360" w:lineRule="auto"/>
        <w:jc w:val="center"/>
        <w:rPr>
          <w:rFonts w:asciiTheme="minorEastAsia" w:hAnsiTheme="minorEastAsia" w:eastAsiaTheme="minorEastAsia"/>
          <w:color w:val="auto"/>
          <w:sz w:val="24"/>
          <w:szCs w:val="24"/>
          <w:highlight w:val="none"/>
        </w:rPr>
      </w:pPr>
    </w:p>
    <w:p w14:paraId="358A9A78">
      <w:pPr>
        <w:tabs>
          <w:tab w:val="left" w:pos="5190"/>
        </w:tabs>
        <w:spacing w:line="360" w:lineRule="auto"/>
        <w:jc w:val="center"/>
        <w:rPr>
          <w:rFonts w:asciiTheme="minorEastAsia" w:hAnsiTheme="minorEastAsia" w:eastAsiaTheme="minorEastAsia"/>
          <w:color w:val="auto"/>
          <w:sz w:val="24"/>
          <w:szCs w:val="24"/>
          <w:highlight w:val="none"/>
        </w:rPr>
      </w:pPr>
    </w:p>
    <w:p w14:paraId="2154B5E7">
      <w:pPr>
        <w:tabs>
          <w:tab w:val="left" w:pos="5190"/>
        </w:tabs>
        <w:spacing w:line="360" w:lineRule="auto"/>
        <w:jc w:val="center"/>
        <w:rPr>
          <w:rFonts w:asciiTheme="minorEastAsia" w:hAnsiTheme="minorEastAsia" w:eastAsiaTheme="minorEastAsia"/>
          <w:color w:val="auto"/>
          <w:sz w:val="24"/>
          <w:szCs w:val="24"/>
          <w:highlight w:val="none"/>
        </w:rPr>
      </w:pPr>
    </w:p>
    <w:p w14:paraId="49D31D42">
      <w:pPr>
        <w:tabs>
          <w:tab w:val="left" w:pos="5190"/>
        </w:tabs>
        <w:spacing w:line="360" w:lineRule="auto"/>
        <w:jc w:val="center"/>
        <w:rPr>
          <w:rFonts w:asciiTheme="minorEastAsia" w:hAnsiTheme="minorEastAsia" w:eastAsiaTheme="minorEastAsia"/>
          <w:color w:val="auto"/>
          <w:sz w:val="24"/>
          <w:szCs w:val="24"/>
          <w:highlight w:val="none"/>
        </w:rPr>
      </w:pPr>
    </w:p>
    <w:p w14:paraId="43164B9C">
      <w:pPr>
        <w:tabs>
          <w:tab w:val="left" w:pos="5190"/>
        </w:tabs>
        <w:spacing w:line="360" w:lineRule="auto"/>
        <w:rPr>
          <w:rFonts w:asciiTheme="minorEastAsia" w:hAnsiTheme="minorEastAsia" w:eastAsiaTheme="minorEastAsia"/>
          <w:color w:val="auto"/>
          <w:sz w:val="24"/>
          <w:szCs w:val="24"/>
          <w:highlight w:val="none"/>
        </w:rPr>
      </w:pPr>
    </w:p>
    <w:p w14:paraId="0A46F2AA">
      <w:pPr>
        <w:tabs>
          <w:tab w:val="left" w:pos="5190"/>
        </w:tabs>
        <w:spacing w:line="360" w:lineRule="auto"/>
        <w:rPr>
          <w:rFonts w:hint="eastAsia" w:cs="宋体" w:asciiTheme="minorEastAsia" w:hAnsiTheme="minorEastAsia" w:eastAsiaTheme="minorEastAsia"/>
          <w:b/>
          <w:bCs w:val="0"/>
          <w:color w:val="auto"/>
          <w:kern w:val="2"/>
          <w:sz w:val="30"/>
          <w:szCs w:val="30"/>
          <w:highlight w:val="none"/>
          <w:lang w:val="en-US" w:eastAsia="zh-CN" w:bidi="ar-SA"/>
        </w:rPr>
      </w:pPr>
    </w:p>
    <w:p w14:paraId="16FDE0B9">
      <w:pPr>
        <w:keepNext w:val="0"/>
        <w:keepLines w:val="0"/>
        <w:pageBreakBefore w:val="0"/>
        <w:widowControl/>
        <w:suppressLineNumbers w:val="0"/>
        <w:kinsoku/>
        <w:wordWrap/>
        <w:overflowPunct/>
        <w:topLinePunct w:val="0"/>
        <w:autoSpaceDE/>
        <w:autoSpaceDN/>
        <w:bidi w:val="0"/>
        <w:snapToGrid/>
        <w:spacing w:line="360" w:lineRule="auto"/>
        <w:ind w:firstLine="1205" w:firstLineChars="400"/>
        <w:jc w:val="left"/>
        <w:textAlignment w:val="auto"/>
        <w:rPr>
          <w:rFonts w:hint="eastAsia" w:cs="宋体" w:asciiTheme="minorEastAsia" w:hAnsiTheme="minorEastAsia" w:eastAsiaTheme="minorEastAsia"/>
          <w:bCs w:val="0"/>
          <w:color w:val="auto"/>
          <w:kern w:val="2"/>
          <w:sz w:val="30"/>
          <w:szCs w:val="30"/>
          <w:highlight w:val="none"/>
        </w:rPr>
      </w:pPr>
      <w:r>
        <w:rPr>
          <w:rFonts w:hint="eastAsia" w:cs="宋体" w:asciiTheme="minorEastAsia" w:hAnsiTheme="minorEastAsia" w:eastAsiaTheme="minorEastAsia"/>
          <w:b/>
          <w:bCs w:val="0"/>
          <w:color w:val="auto"/>
          <w:kern w:val="2"/>
          <w:sz w:val="30"/>
          <w:szCs w:val="30"/>
          <w:highlight w:val="none"/>
          <w:lang w:val="en-US" w:eastAsia="zh-CN" w:bidi="ar-SA"/>
        </w:rPr>
        <w:t>采   购   人：福贡县农业农村局</w:t>
      </w:r>
    </w:p>
    <w:p w14:paraId="219BBA82">
      <w:pPr>
        <w:pStyle w:val="990"/>
        <w:keepNext w:val="0"/>
        <w:keepLines w:val="0"/>
        <w:pageBreakBefore w:val="0"/>
        <w:kinsoku/>
        <w:wordWrap/>
        <w:overflowPunct/>
        <w:topLinePunct w:val="0"/>
        <w:autoSpaceDE/>
        <w:autoSpaceDN/>
        <w:bidi w:val="0"/>
        <w:snapToGrid/>
        <w:spacing w:before="0" w:after="0" w:line="360" w:lineRule="auto"/>
        <w:ind w:firstLine="1205" w:firstLineChars="400"/>
        <w:textAlignment w:val="auto"/>
        <w:outlineLvl w:val="9"/>
        <w:rPr>
          <w:rFonts w:hint="eastAsia" w:cs="宋体" w:asciiTheme="minorEastAsia" w:hAnsiTheme="minorEastAsia" w:eastAsiaTheme="minorEastAsia"/>
          <w:bCs w:val="0"/>
          <w:color w:val="auto"/>
          <w:kern w:val="2"/>
          <w:sz w:val="30"/>
          <w:szCs w:val="30"/>
          <w:highlight w:val="none"/>
          <w:lang w:eastAsia="zh-CN"/>
        </w:rPr>
      </w:pPr>
      <w:r>
        <w:rPr>
          <w:rFonts w:hint="eastAsia" w:cs="宋体" w:asciiTheme="minorEastAsia" w:hAnsiTheme="minorEastAsia" w:eastAsiaTheme="minorEastAsia"/>
          <w:bCs w:val="0"/>
          <w:color w:val="auto"/>
          <w:kern w:val="2"/>
          <w:sz w:val="30"/>
          <w:szCs w:val="30"/>
          <w:highlight w:val="none"/>
        </w:rPr>
        <w:t>采购代理机构：</w:t>
      </w:r>
      <w:r>
        <w:rPr>
          <w:rFonts w:hint="eastAsia" w:cs="宋体" w:asciiTheme="minorEastAsia" w:hAnsiTheme="minorEastAsia" w:eastAsiaTheme="minorEastAsia"/>
          <w:bCs w:val="0"/>
          <w:color w:val="auto"/>
          <w:kern w:val="2"/>
          <w:sz w:val="30"/>
          <w:szCs w:val="30"/>
          <w:highlight w:val="none"/>
          <w:lang w:eastAsia="zh-CN"/>
        </w:rPr>
        <w:t>云南松赛建设工程咨询有限公司</w:t>
      </w:r>
    </w:p>
    <w:p w14:paraId="6E4ECC8A">
      <w:pPr>
        <w:keepNext w:val="0"/>
        <w:keepLines w:val="0"/>
        <w:pageBreakBefore w:val="0"/>
        <w:kinsoku/>
        <w:wordWrap/>
        <w:overflowPunct/>
        <w:topLinePunct w:val="0"/>
        <w:autoSpaceDE/>
        <w:autoSpaceDN/>
        <w:bidi w:val="0"/>
        <w:snapToGrid/>
        <w:spacing w:line="360" w:lineRule="auto"/>
        <w:ind w:firstLine="1205" w:firstLineChars="400"/>
        <w:textAlignment w:val="auto"/>
        <w:rPr>
          <w:rFonts w:cs="宋体" w:asciiTheme="minorEastAsia" w:hAnsiTheme="minorEastAsia" w:eastAsiaTheme="minorEastAsia"/>
          <w:b/>
          <w:color w:val="auto"/>
          <w:sz w:val="30"/>
          <w:szCs w:val="30"/>
          <w:highlight w:val="none"/>
        </w:rPr>
      </w:pPr>
      <w:r>
        <w:rPr>
          <w:rFonts w:hint="eastAsia" w:cs="宋体" w:asciiTheme="minorEastAsia" w:hAnsiTheme="minorEastAsia" w:eastAsiaTheme="minorEastAsia"/>
          <w:b/>
          <w:color w:val="auto"/>
          <w:sz w:val="30"/>
          <w:szCs w:val="30"/>
          <w:highlight w:val="none"/>
        </w:rPr>
        <w:t>日        期：202</w:t>
      </w:r>
      <w:r>
        <w:rPr>
          <w:rFonts w:hint="eastAsia" w:cs="宋体" w:asciiTheme="minorEastAsia" w:hAnsiTheme="minorEastAsia" w:eastAsiaTheme="minorEastAsia"/>
          <w:b/>
          <w:color w:val="auto"/>
          <w:sz w:val="30"/>
          <w:szCs w:val="30"/>
          <w:highlight w:val="none"/>
          <w:lang w:val="en-US" w:eastAsia="zh-CN"/>
        </w:rPr>
        <w:t>6</w:t>
      </w:r>
      <w:r>
        <w:rPr>
          <w:rFonts w:hint="eastAsia" w:cs="宋体" w:asciiTheme="minorEastAsia" w:hAnsiTheme="minorEastAsia" w:eastAsiaTheme="minorEastAsia"/>
          <w:b/>
          <w:color w:val="auto"/>
          <w:sz w:val="30"/>
          <w:szCs w:val="30"/>
          <w:highlight w:val="none"/>
        </w:rPr>
        <w:t>年</w:t>
      </w:r>
      <w:r>
        <w:rPr>
          <w:rFonts w:hint="eastAsia" w:cs="宋体" w:asciiTheme="minorEastAsia" w:hAnsiTheme="minorEastAsia" w:eastAsiaTheme="minorEastAsia"/>
          <w:b/>
          <w:color w:val="auto"/>
          <w:sz w:val="30"/>
          <w:szCs w:val="30"/>
          <w:highlight w:val="none"/>
          <w:lang w:val="en-US" w:eastAsia="zh-CN"/>
        </w:rPr>
        <w:t>7</w:t>
      </w:r>
      <w:r>
        <w:rPr>
          <w:rFonts w:hint="eastAsia" w:cs="宋体" w:asciiTheme="minorEastAsia" w:hAnsiTheme="minorEastAsia" w:eastAsiaTheme="minorEastAsia"/>
          <w:b/>
          <w:color w:val="auto"/>
          <w:sz w:val="30"/>
          <w:szCs w:val="30"/>
          <w:highlight w:val="none"/>
        </w:rPr>
        <w:t>月</w:t>
      </w:r>
    </w:p>
    <w:p w14:paraId="6009B6A1">
      <w:pPr>
        <w:spacing w:line="360" w:lineRule="auto"/>
        <w:jc w:val="left"/>
        <w:rPr>
          <w:rFonts w:asciiTheme="minorEastAsia" w:hAnsiTheme="minorEastAsia" w:eastAsiaTheme="minorEastAsia"/>
          <w:b/>
          <w:color w:val="auto"/>
          <w:sz w:val="32"/>
          <w:szCs w:val="32"/>
          <w:highlight w:val="none"/>
        </w:rPr>
      </w:pPr>
    </w:p>
    <w:p w14:paraId="6853952C">
      <w:pPr>
        <w:pStyle w:val="56"/>
        <w:tabs>
          <w:tab w:val="right" w:leader="dot" w:pos="9736"/>
        </w:tabs>
        <w:spacing w:line="360" w:lineRule="auto"/>
        <w:ind w:left="0"/>
        <w:jc w:val="center"/>
        <w:rPr>
          <w:rFonts w:hint="eastAsia" w:asciiTheme="minorEastAsia" w:hAnsiTheme="minorEastAsia" w:eastAsiaTheme="minorEastAsia"/>
          <w:color w:val="auto"/>
          <w:sz w:val="28"/>
          <w:szCs w:val="28"/>
          <w:highlight w:val="none"/>
        </w:rPr>
        <w:sectPr>
          <w:headerReference r:id="rId4" w:type="first"/>
          <w:footerReference r:id="rId6" w:type="first"/>
          <w:headerReference r:id="rId3" w:type="default"/>
          <w:footerReference r:id="rId5" w:type="default"/>
          <w:pgSz w:w="11906" w:h="16838"/>
          <w:pgMar w:top="1134" w:right="1134" w:bottom="1134" w:left="1134" w:header="851" w:footer="851" w:gutter="0"/>
          <w:cols w:space="720" w:num="1"/>
          <w:docGrid w:linePitch="312" w:charSpace="0"/>
        </w:sectPr>
      </w:pPr>
      <w:bookmarkStart w:id="1" w:name="_Toc37603093"/>
      <w:bookmarkStart w:id="2" w:name="_Toc458763736"/>
      <w:bookmarkStart w:id="3" w:name="_Hlk521320756"/>
    </w:p>
    <w:p w14:paraId="51B91F27">
      <w:pPr>
        <w:pStyle w:val="56"/>
        <w:tabs>
          <w:tab w:val="right" w:leader="dot" w:pos="9736"/>
        </w:tabs>
        <w:spacing w:line="360" w:lineRule="auto"/>
        <w:ind w:left="0"/>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目 录</w:t>
      </w:r>
    </w:p>
    <w:bookmarkEnd w:id="1"/>
    <w:bookmarkEnd w:id="2"/>
    <w:p w14:paraId="51EFB6DE">
      <w:pPr>
        <w:pStyle w:val="44"/>
        <w:tabs>
          <w:tab w:val="right" w:leader="dot" w:pos="9638"/>
        </w:tabs>
      </w:pPr>
      <w:bookmarkStart w:id="1401" w:name="_GoBack"/>
      <w:bookmarkEnd w:id="1401"/>
      <w:bookmarkStart w:id="4" w:name="_Toc35393797"/>
      <w:bookmarkStart w:id="5" w:name="_Toc28359011"/>
      <w:bookmarkStart w:id="6" w:name="_Hlk9513089"/>
      <w:r>
        <w:rPr>
          <w:rStyle w:val="77"/>
          <w:caps w:val="0"/>
          <w:color w:val="auto"/>
          <w:highlight w:val="none"/>
        </w:rPr>
        <w:fldChar w:fldCharType="begin"/>
      </w:r>
      <w:r>
        <w:rPr>
          <w:rStyle w:val="77"/>
          <w:rFonts w:asciiTheme="minorEastAsia" w:hAnsiTheme="minorEastAsia" w:eastAsiaTheme="minorEastAsia"/>
          <w:b w:val="0"/>
          <w:bCs w:val="0"/>
          <w:caps w:val="0"/>
          <w:color w:val="auto"/>
          <w:sz w:val="21"/>
          <w:szCs w:val="21"/>
          <w:highlight w:val="none"/>
        </w:rPr>
        <w:instrText xml:space="preserve"> TOC \o "1-2" \h \z \u </w:instrText>
      </w:r>
      <w:r>
        <w:rPr>
          <w:rStyle w:val="77"/>
          <w:caps w:val="0"/>
          <w:color w:val="auto"/>
          <w:highlight w:val="none"/>
        </w:rPr>
        <w:fldChar w:fldCharType="separate"/>
      </w:r>
      <w:r>
        <w:rPr>
          <w:caps w:val="0"/>
          <w:color w:val="auto"/>
          <w:highlight w:val="none"/>
        </w:rPr>
        <w:fldChar w:fldCharType="begin"/>
      </w:r>
      <w:r>
        <w:rPr>
          <w:caps w:val="0"/>
          <w:highlight w:val="none"/>
        </w:rPr>
        <w:instrText xml:space="preserve"> HYPERLINK \l _Toc1000 </w:instrText>
      </w:r>
      <w:r>
        <w:rPr>
          <w:caps w:val="0"/>
          <w:highlight w:val="none"/>
        </w:rPr>
        <w:fldChar w:fldCharType="separate"/>
      </w:r>
      <w:r>
        <w:rPr>
          <w:rFonts w:hint="eastAsia" w:asciiTheme="minorEastAsia" w:hAnsiTheme="minorEastAsia" w:eastAsiaTheme="minorEastAsia"/>
          <w:bCs/>
          <w:szCs w:val="32"/>
          <w:highlight w:val="none"/>
        </w:rPr>
        <w:t>第一章 竞争性磋商公告</w:t>
      </w:r>
      <w:r>
        <w:tab/>
      </w:r>
      <w:r>
        <w:fldChar w:fldCharType="begin"/>
      </w:r>
      <w:r>
        <w:instrText xml:space="preserve"> PAGEREF _Toc1000 \h </w:instrText>
      </w:r>
      <w:r>
        <w:fldChar w:fldCharType="separate"/>
      </w:r>
      <w:r>
        <w:t>2</w:t>
      </w:r>
      <w:r>
        <w:fldChar w:fldCharType="end"/>
      </w:r>
      <w:r>
        <w:rPr>
          <w:caps w:val="0"/>
          <w:color w:val="auto"/>
          <w:highlight w:val="none"/>
        </w:rPr>
        <w:fldChar w:fldCharType="end"/>
      </w:r>
    </w:p>
    <w:p w14:paraId="7F681FFB">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_Toc16584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一、项目基本情况</w:t>
      </w:r>
      <w:r>
        <w:tab/>
      </w:r>
      <w:r>
        <w:fldChar w:fldCharType="begin"/>
      </w:r>
      <w:r>
        <w:instrText xml:space="preserve"> PAGEREF _Toc16584 \h </w:instrText>
      </w:r>
      <w:r>
        <w:fldChar w:fldCharType="separate"/>
      </w:r>
      <w:r>
        <w:t>2</w:t>
      </w:r>
      <w:r>
        <w:fldChar w:fldCharType="end"/>
      </w:r>
      <w:r>
        <w:rPr>
          <w:rFonts w:asciiTheme="minorEastAsia" w:hAnsiTheme="minorEastAsia" w:eastAsiaTheme="minorEastAsia" w:cstheme="minorHAnsi"/>
          <w:caps/>
          <w:color w:val="auto"/>
          <w:szCs w:val="21"/>
          <w:highlight w:val="none"/>
        </w:rPr>
        <w:fldChar w:fldCharType="end"/>
      </w:r>
    </w:p>
    <w:p w14:paraId="01E83DA2">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_Toc25070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lang w:val="en-US" w:eastAsia="zh-CN"/>
        </w:rPr>
        <w:t>二、</w:t>
      </w:r>
      <w:r>
        <w:rPr>
          <w:rFonts w:hint="eastAsia" w:ascii="宋体" w:hAnsi="宋体" w:eastAsia="宋体" w:cs="宋体"/>
          <w:bCs/>
          <w:szCs w:val="24"/>
          <w:highlight w:val="none"/>
        </w:rPr>
        <w:t>供应商的资格要求</w:t>
      </w:r>
      <w:r>
        <w:tab/>
      </w:r>
      <w:r>
        <w:fldChar w:fldCharType="begin"/>
      </w:r>
      <w:r>
        <w:instrText xml:space="preserve"> PAGEREF _Toc25070 \h </w:instrText>
      </w:r>
      <w:r>
        <w:fldChar w:fldCharType="separate"/>
      </w:r>
      <w:r>
        <w:t>3</w:t>
      </w:r>
      <w:r>
        <w:fldChar w:fldCharType="end"/>
      </w:r>
      <w:r>
        <w:rPr>
          <w:rFonts w:asciiTheme="minorEastAsia" w:hAnsiTheme="minorEastAsia" w:eastAsiaTheme="minorEastAsia" w:cstheme="minorHAnsi"/>
          <w:caps/>
          <w:color w:val="auto"/>
          <w:szCs w:val="21"/>
          <w:highlight w:val="none"/>
        </w:rPr>
        <w:fldChar w:fldCharType="end"/>
      </w:r>
    </w:p>
    <w:p w14:paraId="493A6B44">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_Toc13916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三、获取采购文件</w:t>
      </w:r>
      <w:r>
        <w:tab/>
      </w:r>
      <w:r>
        <w:fldChar w:fldCharType="begin"/>
      </w:r>
      <w:r>
        <w:instrText xml:space="preserve"> PAGEREF _Toc13916 \h </w:instrText>
      </w:r>
      <w:r>
        <w:fldChar w:fldCharType="separate"/>
      </w:r>
      <w:r>
        <w:t>4</w:t>
      </w:r>
      <w:r>
        <w:fldChar w:fldCharType="end"/>
      </w:r>
      <w:r>
        <w:rPr>
          <w:rFonts w:asciiTheme="minorEastAsia" w:hAnsiTheme="minorEastAsia" w:eastAsiaTheme="minorEastAsia" w:cstheme="minorHAnsi"/>
          <w:caps/>
          <w:color w:val="auto"/>
          <w:szCs w:val="21"/>
          <w:highlight w:val="none"/>
        </w:rPr>
        <w:fldChar w:fldCharType="end"/>
      </w:r>
    </w:p>
    <w:p w14:paraId="63A7362F">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_Toc5096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四、响应文件提交</w:t>
      </w:r>
      <w:r>
        <w:tab/>
      </w:r>
      <w:r>
        <w:fldChar w:fldCharType="begin"/>
      </w:r>
      <w:r>
        <w:instrText xml:space="preserve"> PAGEREF _Toc5096 \h </w:instrText>
      </w:r>
      <w:r>
        <w:fldChar w:fldCharType="separate"/>
      </w:r>
      <w:r>
        <w:t>4</w:t>
      </w:r>
      <w:r>
        <w:fldChar w:fldCharType="end"/>
      </w:r>
      <w:r>
        <w:rPr>
          <w:rFonts w:asciiTheme="minorEastAsia" w:hAnsiTheme="minorEastAsia" w:eastAsiaTheme="minorEastAsia" w:cstheme="minorHAnsi"/>
          <w:caps/>
          <w:color w:val="auto"/>
          <w:szCs w:val="21"/>
          <w:highlight w:val="none"/>
        </w:rPr>
        <w:fldChar w:fldCharType="end"/>
      </w:r>
    </w:p>
    <w:p w14:paraId="3253EF38">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_Toc9072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五、开启</w:t>
      </w:r>
      <w:r>
        <w:tab/>
      </w:r>
      <w:r>
        <w:fldChar w:fldCharType="begin"/>
      </w:r>
      <w:r>
        <w:instrText xml:space="preserve"> PAGEREF _Toc9072 \h </w:instrText>
      </w:r>
      <w:r>
        <w:fldChar w:fldCharType="separate"/>
      </w:r>
      <w:r>
        <w:t>4</w:t>
      </w:r>
      <w:r>
        <w:fldChar w:fldCharType="end"/>
      </w:r>
      <w:r>
        <w:rPr>
          <w:rFonts w:asciiTheme="minorEastAsia" w:hAnsiTheme="minorEastAsia" w:eastAsiaTheme="minorEastAsia" w:cstheme="minorHAnsi"/>
          <w:caps/>
          <w:color w:val="auto"/>
          <w:szCs w:val="21"/>
          <w:highlight w:val="none"/>
        </w:rPr>
        <w:fldChar w:fldCharType="end"/>
      </w:r>
    </w:p>
    <w:p w14:paraId="736BAAEE">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_Toc4674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六、公告期限</w:t>
      </w:r>
      <w:r>
        <w:tab/>
      </w:r>
      <w:r>
        <w:fldChar w:fldCharType="begin"/>
      </w:r>
      <w:r>
        <w:instrText xml:space="preserve"> PAGEREF _Toc4674 \h </w:instrText>
      </w:r>
      <w:r>
        <w:fldChar w:fldCharType="separate"/>
      </w:r>
      <w:r>
        <w:t>5</w:t>
      </w:r>
      <w:r>
        <w:fldChar w:fldCharType="end"/>
      </w:r>
      <w:r>
        <w:rPr>
          <w:rFonts w:asciiTheme="minorEastAsia" w:hAnsiTheme="minorEastAsia" w:eastAsiaTheme="minorEastAsia" w:cstheme="minorHAnsi"/>
          <w:caps/>
          <w:color w:val="auto"/>
          <w:szCs w:val="21"/>
          <w:highlight w:val="none"/>
        </w:rPr>
        <w:fldChar w:fldCharType="end"/>
      </w:r>
    </w:p>
    <w:p w14:paraId="618D9094">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_Toc27582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七、其他补充事宜</w:t>
      </w:r>
      <w:r>
        <w:tab/>
      </w:r>
      <w:r>
        <w:fldChar w:fldCharType="begin"/>
      </w:r>
      <w:r>
        <w:instrText xml:space="preserve"> PAGEREF _Toc27582 \h </w:instrText>
      </w:r>
      <w:r>
        <w:fldChar w:fldCharType="separate"/>
      </w:r>
      <w:r>
        <w:t>5</w:t>
      </w:r>
      <w:r>
        <w:fldChar w:fldCharType="end"/>
      </w:r>
      <w:r>
        <w:rPr>
          <w:rFonts w:asciiTheme="minorEastAsia" w:hAnsiTheme="minorEastAsia" w:eastAsiaTheme="minorEastAsia" w:cstheme="minorHAnsi"/>
          <w:caps/>
          <w:color w:val="auto"/>
          <w:szCs w:val="21"/>
          <w:highlight w:val="none"/>
        </w:rPr>
        <w:fldChar w:fldCharType="end"/>
      </w:r>
    </w:p>
    <w:p w14:paraId="289E52F0">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_Toc13027 </w:instrText>
      </w:r>
      <w:r>
        <w:rPr>
          <w:rFonts w:asciiTheme="minorEastAsia" w:hAnsiTheme="minorEastAsia" w:eastAsiaTheme="minorEastAsia" w:cstheme="minorHAnsi"/>
          <w:caps/>
          <w:szCs w:val="21"/>
          <w:highlight w:val="none"/>
        </w:rPr>
        <w:fldChar w:fldCharType="separate"/>
      </w:r>
      <w:r>
        <w:rPr>
          <w:rFonts w:hint="eastAsia" w:ascii="宋体" w:hAnsi="宋体" w:eastAsia="宋体" w:cs="宋体"/>
          <w:bCs/>
          <w:szCs w:val="24"/>
          <w:highlight w:val="none"/>
        </w:rPr>
        <w:t>八、凡对本次采购提出询问，请按以下方式联系</w:t>
      </w:r>
      <w:r>
        <w:tab/>
      </w:r>
      <w:r>
        <w:fldChar w:fldCharType="begin"/>
      </w:r>
      <w:r>
        <w:instrText xml:space="preserve"> PAGEREF _Toc13027 \h </w:instrText>
      </w:r>
      <w:r>
        <w:fldChar w:fldCharType="separate"/>
      </w:r>
      <w:r>
        <w:t>5</w:t>
      </w:r>
      <w:r>
        <w:fldChar w:fldCharType="end"/>
      </w:r>
      <w:r>
        <w:rPr>
          <w:rFonts w:asciiTheme="minorEastAsia" w:hAnsiTheme="minorEastAsia" w:eastAsiaTheme="minorEastAsia" w:cstheme="minorHAnsi"/>
          <w:caps/>
          <w:color w:val="auto"/>
          <w:szCs w:val="21"/>
          <w:highlight w:val="none"/>
        </w:rPr>
        <w:fldChar w:fldCharType="end"/>
      </w:r>
    </w:p>
    <w:p w14:paraId="10E67433">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_Toc21084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32"/>
          <w:highlight w:val="none"/>
        </w:rPr>
        <w:t>第二章 供应商须知</w:t>
      </w:r>
      <w:r>
        <w:tab/>
      </w:r>
      <w:r>
        <w:fldChar w:fldCharType="begin"/>
      </w:r>
      <w:r>
        <w:instrText xml:space="preserve"> PAGEREF _Toc21084 \h </w:instrText>
      </w:r>
      <w:r>
        <w:fldChar w:fldCharType="separate"/>
      </w:r>
      <w:r>
        <w:t>7</w:t>
      </w:r>
      <w:r>
        <w:fldChar w:fldCharType="end"/>
      </w:r>
      <w:r>
        <w:rPr>
          <w:rFonts w:asciiTheme="minorEastAsia" w:hAnsiTheme="minorEastAsia" w:eastAsiaTheme="minorEastAsia" w:cstheme="minorHAnsi"/>
          <w:caps/>
          <w:color w:val="auto"/>
          <w:szCs w:val="21"/>
          <w:highlight w:val="none"/>
        </w:rPr>
        <w:fldChar w:fldCharType="end"/>
      </w:r>
    </w:p>
    <w:p w14:paraId="7ADAAC5F">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_Toc1578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0"/>
          <w:highlight w:val="none"/>
        </w:rPr>
        <w:t>一、供应商须知前附表</w:t>
      </w:r>
      <w:r>
        <w:tab/>
      </w:r>
      <w:r>
        <w:fldChar w:fldCharType="begin"/>
      </w:r>
      <w:r>
        <w:instrText xml:space="preserve"> PAGEREF _Toc1578 \h </w:instrText>
      </w:r>
      <w:r>
        <w:fldChar w:fldCharType="separate"/>
      </w:r>
      <w:r>
        <w:t>7</w:t>
      </w:r>
      <w:r>
        <w:fldChar w:fldCharType="end"/>
      </w:r>
      <w:r>
        <w:rPr>
          <w:rFonts w:asciiTheme="minorEastAsia" w:hAnsiTheme="minorEastAsia" w:eastAsiaTheme="minorEastAsia" w:cstheme="minorHAnsi"/>
          <w:caps/>
          <w:color w:val="auto"/>
          <w:szCs w:val="21"/>
          <w:highlight w:val="none"/>
        </w:rPr>
        <w:fldChar w:fldCharType="end"/>
      </w:r>
    </w:p>
    <w:p w14:paraId="52760517">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_Toc8516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0"/>
          <w:highlight w:val="none"/>
        </w:rPr>
        <w:t>二、供应商须知正文部分</w:t>
      </w:r>
      <w:r>
        <w:tab/>
      </w:r>
      <w:r>
        <w:fldChar w:fldCharType="begin"/>
      </w:r>
      <w:r>
        <w:instrText xml:space="preserve"> PAGEREF _Toc8516 \h </w:instrText>
      </w:r>
      <w:r>
        <w:fldChar w:fldCharType="separate"/>
      </w:r>
      <w:r>
        <w:t>16</w:t>
      </w:r>
      <w:r>
        <w:fldChar w:fldCharType="end"/>
      </w:r>
      <w:r>
        <w:rPr>
          <w:rFonts w:asciiTheme="minorEastAsia" w:hAnsiTheme="minorEastAsia" w:eastAsiaTheme="minorEastAsia" w:cstheme="minorHAnsi"/>
          <w:caps/>
          <w:color w:val="auto"/>
          <w:szCs w:val="21"/>
          <w:highlight w:val="none"/>
        </w:rPr>
        <w:fldChar w:fldCharType="end"/>
      </w:r>
    </w:p>
    <w:p w14:paraId="54DA836C">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_Toc9435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32"/>
          <w:highlight w:val="none"/>
        </w:rPr>
        <w:t>第三章 合同条款及格式</w:t>
      </w:r>
      <w:r>
        <w:tab/>
      </w:r>
      <w:r>
        <w:fldChar w:fldCharType="begin"/>
      </w:r>
      <w:r>
        <w:instrText xml:space="preserve"> PAGEREF _Toc9435 \h </w:instrText>
      </w:r>
      <w:r>
        <w:fldChar w:fldCharType="separate"/>
      </w:r>
      <w:r>
        <w:t>24</w:t>
      </w:r>
      <w:r>
        <w:fldChar w:fldCharType="end"/>
      </w:r>
      <w:r>
        <w:rPr>
          <w:rFonts w:asciiTheme="minorEastAsia" w:hAnsiTheme="minorEastAsia" w:eastAsiaTheme="minorEastAsia" w:cstheme="minorHAnsi"/>
          <w:caps/>
          <w:color w:val="auto"/>
          <w:szCs w:val="21"/>
          <w:highlight w:val="none"/>
        </w:rPr>
        <w:fldChar w:fldCharType="end"/>
      </w:r>
    </w:p>
    <w:p w14:paraId="15954BF1">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_Toc29204 </w:instrText>
      </w:r>
      <w:r>
        <w:rPr>
          <w:rFonts w:asciiTheme="minorEastAsia" w:hAnsiTheme="minorEastAsia" w:eastAsiaTheme="minorEastAsia" w:cstheme="minorHAnsi"/>
          <w:caps/>
          <w:szCs w:val="21"/>
          <w:highlight w:val="none"/>
        </w:rPr>
        <w:fldChar w:fldCharType="separate"/>
      </w:r>
      <w:r>
        <w:rPr>
          <w:rFonts w:hint="eastAsia" w:ascii="宋体" w:hAnsi="宋体"/>
          <w:highlight w:val="none"/>
        </w:rPr>
        <w:t>第一部分 合同协议书</w:t>
      </w:r>
      <w:r>
        <w:tab/>
      </w:r>
      <w:r>
        <w:fldChar w:fldCharType="begin"/>
      </w:r>
      <w:r>
        <w:instrText xml:space="preserve"> PAGEREF _Toc29204 \h </w:instrText>
      </w:r>
      <w:r>
        <w:fldChar w:fldCharType="separate"/>
      </w:r>
      <w:r>
        <w:t>25</w:t>
      </w:r>
      <w:r>
        <w:fldChar w:fldCharType="end"/>
      </w:r>
      <w:r>
        <w:rPr>
          <w:rFonts w:asciiTheme="minorEastAsia" w:hAnsiTheme="minorEastAsia" w:eastAsiaTheme="minorEastAsia" w:cstheme="minorHAnsi"/>
          <w:caps/>
          <w:color w:val="auto"/>
          <w:szCs w:val="21"/>
          <w:highlight w:val="none"/>
        </w:rPr>
        <w:fldChar w:fldCharType="end"/>
      </w:r>
    </w:p>
    <w:p w14:paraId="6A4BC060">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_Toc15966 </w:instrText>
      </w:r>
      <w:r>
        <w:rPr>
          <w:rFonts w:asciiTheme="minorEastAsia" w:hAnsiTheme="minorEastAsia" w:eastAsiaTheme="minorEastAsia" w:cstheme="minorHAnsi"/>
          <w:caps/>
          <w:szCs w:val="21"/>
          <w:highlight w:val="none"/>
        </w:rPr>
        <w:fldChar w:fldCharType="separate"/>
      </w:r>
      <w:r>
        <w:rPr>
          <w:rFonts w:hint="eastAsia" w:ascii="宋体" w:hAnsi="宋体"/>
          <w:highlight w:val="none"/>
        </w:rPr>
        <w:t>第二部分 通用合同条款</w:t>
      </w:r>
      <w:r>
        <w:tab/>
      </w:r>
      <w:r>
        <w:fldChar w:fldCharType="begin"/>
      </w:r>
      <w:r>
        <w:instrText xml:space="preserve"> PAGEREF _Toc15966 \h </w:instrText>
      </w:r>
      <w:r>
        <w:fldChar w:fldCharType="separate"/>
      </w:r>
      <w:r>
        <w:t>28</w:t>
      </w:r>
      <w:r>
        <w:fldChar w:fldCharType="end"/>
      </w:r>
      <w:r>
        <w:rPr>
          <w:rFonts w:asciiTheme="minorEastAsia" w:hAnsiTheme="minorEastAsia" w:eastAsiaTheme="minorEastAsia" w:cstheme="minorHAnsi"/>
          <w:caps/>
          <w:color w:val="auto"/>
          <w:szCs w:val="21"/>
          <w:highlight w:val="none"/>
        </w:rPr>
        <w:fldChar w:fldCharType="end"/>
      </w:r>
    </w:p>
    <w:p w14:paraId="10917413">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_Toc18896 </w:instrText>
      </w:r>
      <w:r>
        <w:rPr>
          <w:rFonts w:asciiTheme="minorEastAsia" w:hAnsiTheme="minorEastAsia" w:eastAsiaTheme="minorEastAsia" w:cstheme="minorHAnsi"/>
          <w:caps/>
          <w:szCs w:val="21"/>
          <w:highlight w:val="none"/>
        </w:rPr>
        <w:fldChar w:fldCharType="separate"/>
      </w:r>
      <w:r>
        <w:rPr>
          <w:rFonts w:hint="eastAsia" w:ascii="宋体" w:hAnsi="宋体"/>
          <w:highlight w:val="none"/>
        </w:rPr>
        <w:t>第三部分 专用合同条款</w:t>
      </w:r>
      <w:r>
        <w:tab/>
      </w:r>
      <w:r>
        <w:fldChar w:fldCharType="begin"/>
      </w:r>
      <w:r>
        <w:instrText xml:space="preserve"> PAGEREF _Toc18896 \h </w:instrText>
      </w:r>
      <w:r>
        <w:fldChar w:fldCharType="separate"/>
      </w:r>
      <w:r>
        <w:t>74</w:t>
      </w:r>
      <w:r>
        <w:fldChar w:fldCharType="end"/>
      </w:r>
      <w:r>
        <w:rPr>
          <w:rFonts w:asciiTheme="minorEastAsia" w:hAnsiTheme="minorEastAsia" w:eastAsiaTheme="minorEastAsia" w:cstheme="minorHAnsi"/>
          <w:caps/>
          <w:color w:val="auto"/>
          <w:szCs w:val="21"/>
          <w:highlight w:val="none"/>
        </w:rPr>
        <w:fldChar w:fldCharType="end"/>
      </w:r>
    </w:p>
    <w:p w14:paraId="3945A61D">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_Toc29179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32"/>
          <w:highlight w:val="none"/>
        </w:rPr>
        <w:t>第四章 响应文件格式</w:t>
      </w:r>
      <w:r>
        <w:tab/>
      </w:r>
      <w:r>
        <w:fldChar w:fldCharType="begin"/>
      </w:r>
      <w:r>
        <w:instrText xml:space="preserve"> PAGEREF _Toc29179 \h </w:instrText>
      </w:r>
      <w:r>
        <w:fldChar w:fldCharType="separate"/>
      </w:r>
      <w:r>
        <w:t>98</w:t>
      </w:r>
      <w:r>
        <w:fldChar w:fldCharType="end"/>
      </w:r>
      <w:r>
        <w:rPr>
          <w:rFonts w:asciiTheme="minorEastAsia" w:hAnsiTheme="minorEastAsia" w:eastAsiaTheme="minorEastAsia" w:cstheme="minorHAnsi"/>
          <w:caps/>
          <w:color w:val="auto"/>
          <w:szCs w:val="21"/>
          <w:highlight w:val="none"/>
        </w:rPr>
        <w:fldChar w:fldCharType="end"/>
      </w:r>
    </w:p>
    <w:p w14:paraId="076937E0">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_Toc1962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0"/>
          <w:highlight w:val="none"/>
        </w:rPr>
        <w:t>一、资格文件</w:t>
      </w:r>
      <w:r>
        <w:tab/>
      </w:r>
      <w:r>
        <w:fldChar w:fldCharType="begin"/>
      </w:r>
      <w:r>
        <w:instrText xml:space="preserve"> PAGEREF _Toc1962 \h </w:instrText>
      </w:r>
      <w:r>
        <w:fldChar w:fldCharType="separate"/>
      </w:r>
      <w:r>
        <w:t>99</w:t>
      </w:r>
      <w:r>
        <w:fldChar w:fldCharType="end"/>
      </w:r>
      <w:r>
        <w:rPr>
          <w:rFonts w:asciiTheme="minorEastAsia" w:hAnsiTheme="minorEastAsia" w:eastAsiaTheme="minorEastAsia" w:cstheme="minorHAnsi"/>
          <w:caps/>
          <w:color w:val="auto"/>
          <w:szCs w:val="21"/>
          <w:highlight w:val="none"/>
        </w:rPr>
        <w:fldChar w:fldCharType="end"/>
      </w:r>
    </w:p>
    <w:p w14:paraId="2BA9BD2A">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_Toc4859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0"/>
          <w:highlight w:val="none"/>
        </w:rPr>
        <w:t>二、商务报价文件</w:t>
      </w:r>
      <w:r>
        <w:tab/>
      </w:r>
      <w:r>
        <w:fldChar w:fldCharType="begin"/>
      </w:r>
      <w:r>
        <w:instrText xml:space="preserve"> PAGEREF _Toc4859 \h </w:instrText>
      </w:r>
      <w:r>
        <w:fldChar w:fldCharType="separate"/>
      </w:r>
      <w:r>
        <w:t>114</w:t>
      </w:r>
      <w:r>
        <w:fldChar w:fldCharType="end"/>
      </w:r>
      <w:r>
        <w:rPr>
          <w:rFonts w:asciiTheme="minorEastAsia" w:hAnsiTheme="minorEastAsia" w:eastAsiaTheme="minorEastAsia" w:cstheme="minorHAnsi"/>
          <w:caps/>
          <w:color w:val="auto"/>
          <w:szCs w:val="21"/>
          <w:highlight w:val="none"/>
        </w:rPr>
        <w:fldChar w:fldCharType="end"/>
      </w:r>
    </w:p>
    <w:p w14:paraId="14C988B9">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_Toc26399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0"/>
          <w:highlight w:val="none"/>
        </w:rPr>
        <w:t>三、技术文件</w:t>
      </w:r>
      <w:r>
        <w:tab/>
      </w:r>
      <w:r>
        <w:fldChar w:fldCharType="begin"/>
      </w:r>
      <w:r>
        <w:instrText xml:space="preserve"> PAGEREF _Toc26399 \h </w:instrText>
      </w:r>
      <w:r>
        <w:fldChar w:fldCharType="separate"/>
      </w:r>
      <w:r>
        <w:t>124</w:t>
      </w:r>
      <w:r>
        <w:fldChar w:fldCharType="end"/>
      </w:r>
      <w:r>
        <w:rPr>
          <w:rFonts w:asciiTheme="minorEastAsia" w:hAnsiTheme="minorEastAsia" w:eastAsiaTheme="minorEastAsia" w:cstheme="minorHAnsi"/>
          <w:caps/>
          <w:color w:val="auto"/>
          <w:szCs w:val="21"/>
          <w:highlight w:val="none"/>
        </w:rPr>
        <w:fldChar w:fldCharType="end"/>
      </w:r>
    </w:p>
    <w:p w14:paraId="4B1AE7E4">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_Toc14040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2"/>
          <w:highlight w:val="none"/>
        </w:rPr>
        <w:t>第五章 采购需求</w:t>
      </w:r>
      <w:r>
        <w:tab/>
      </w:r>
      <w:r>
        <w:fldChar w:fldCharType="begin"/>
      </w:r>
      <w:r>
        <w:instrText xml:space="preserve"> PAGEREF _Toc14040 \h </w:instrText>
      </w:r>
      <w:r>
        <w:fldChar w:fldCharType="separate"/>
      </w:r>
      <w:r>
        <w:t>125</w:t>
      </w:r>
      <w:r>
        <w:fldChar w:fldCharType="end"/>
      </w:r>
      <w:r>
        <w:rPr>
          <w:rFonts w:asciiTheme="minorEastAsia" w:hAnsiTheme="minorEastAsia" w:eastAsiaTheme="minorEastAsia" w:cstheme="minorHAnsi"/>
          <w:caps/>
          <w:color w:val="auto"/>
          <w:szCs w:val="21"/>
          <w:highlight w:val="none"/>
        </w:rPr>
        <w:fldChar w:fldCharType="end"/>
      </w:r>
    </w:p>
    <w:p w14:paraId="0EE19B16">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_Toc6124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32"/>
          <w:highlight w:val="none"/>
        </w:rPr>
        <w:t>第六章 图纸</w:t>
      </w:r>
      <w:r>
        <w:tab/>
      </w:r>
      <w:r>
        <w:fldChar w:fldCharType="begin"/>
      </w:r>
      <w:r>
        <w:instrText xml:space="preserve"> PAGEREF _Toc6124 \h </w:instrText>
      </w:r>
      <w:r>
        <w:fldChar w:fldCharType="separate"/>
      </w:r>
      <w:r>
        <w:t>126</w:t>
      </w:r>
      <w:r>
        <w:fldChar w:fldCharType="end"/>
      </w:r>
      <w:r>
        <w:rPr>
          <w:rFonts w:asciiTheme="minorEastAsia" w:hAnsiTheme="minorEastAsia" w:eastAsiaTheme="minorEastAsia" w:cstheme="minorHAnsi"/>
          <w:caps/>
          <w:color w:val="auto"/>
          <w:szCs w:val="21"/>
          <w:highlight w:val="none"/>
        </w:rPr>
        <w:fldChar w:fldCharType="end"/>
      </w:r>
    </w:p>
    <w:p w14:paraId="1C68AD8B">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_Toc9697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32"/>
          <w:highlight w:val="none"/>
        </w:rPr>
        <w:t>第七章 工程量清单</w:t>
      </w:r>
      <w:r>
        <w:tab/>
      </w:r>
      <w:r>
        <w:fldChar w:fldCharType="begin"/>
      </w:r>
      <w:r>
        <w:instrText xml:space="preserve"> PAGEREF _Toc9697 \h </w:instrText>
      </w:r>
      <w:r>
        <w:fldChar w:fldCharType="separate"/>
      </w:r>
      <w:r>
        <w:t>127</w:t>
      </w:r>
      <w:r>
        <w:fldChar w:fldCharType="end"/>
      </w:r>
      <w:r>
        <w:rPr>
          <w:rFonts w:asciiTheme="minorEastAsia" w:hAnsiTheme="minorEastAsia" w:eastAsiaTheme="minorEastAsia" w:cstheme="minorHAnsi"/>
          <w:caps/>
          <w:color w:val="auto"/>
          <w:szCs w:val="21"/>
          <w:highlight w:val="none"/>
        </w:rPr>
        <w:fldChar w:fldCharType="end"/>
      </w:r>
    </w:p>
    <w:p w14:paraId="52EBBA9F">
      <w:pPr>
        <w:pStyle w:val="44"/>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_Toc17057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32"/>
          <w:highlight w:val="none"/>
        </w:rPr>
        <w:t>第八章 评审办法（综合评分法）</w:t>
      </w:r>
      <w:r>
        <w:tab/>
      </w:r>
      <w:r>
        <w:fldChar w:fldCharType="begin"/>
      </w:r>
      <w:r>
        <w:instrText xml:space="preserve"> PAGEREF _Toc17057 \h </w:instrText>
      </w:r>
      <w:r>
        <w:fldChar w:fldCharType="separate"/>
      </w:r>
      <w:r>
        <w:t>128</w:t>
      </w:r>
      <w:r>
        <w:fldChar w:fldCharType="end"/>
      </w:r>
      <w:r>
        <w:rPr>
          <w:rFonts w:asciiTheme="minorEastAsia" w:hAnsiTheme="minorEastAsia" w:eastAsiaTheme="minorEastAsia" w:cstheme="minorHAnsi"/>
          <w:caps/>
          <w:color w:val="auto"/>
          <w:szCs w:val="21"/>
          <w:highlight w:val="none"/>
        </w:rPr>
        <w:fldChar w:fldCharType="end"/>
      </w:r>
    </w:p>
    <w:p w14:paraId="45E527D4">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_Toc18936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bCs/>
          <w:szCs w:val="28"/>
          <w:highlight w:val="none"/>
        </w:rPr>
        <w:t>一、评审办法</w:t>
      </w:r>
      <w:r>
        <w:rPr>
          <w:rFonts w:asciiTheme="minorEastAsia" w:hAnsiTheme="minorEastAsia" w:eastAsiaTheme="minorEastAsia"/>
          <w:bCs/>
          <w:szCs w:val="28"/>
          <w:highlight w:val="none"/>
        </w:rPr>
        <w:t>前附表</w:t>
      </w:r>
      <w:r>
        <w:tab/>
      </w:r>
      <w:r>
        <w:fldChar w:fldCharType="begin"/>
      </w:r>
      <w:r>
        <w:instrText xml:space="preserve"> PAGEREF _Toc18936 \h </w:instrText>
      </w:r>
      <w:r>
        <w:fldChar w:fldCharType="separate"/>
      </w:r>
      <w:r>
        <w:t>128</w:t>
      </w:r>
      <w:r>
        <w:fldChar w:fldCharType="end"/>
      </w:r>
      <w:r>
        <w:rPr>
          <w:rFonts w:asciiTheme="minorEastAsia" w:hAnsiTheme="minorEastAsia" w:eastAsiaTheme="minorEastAsia" w:cstheme="minorHAnsi"/>
          <w:caps/>
          <w:color w:val="auto"/>
          <w:szCs w:val="21"/>
          <w:highlight w:val="none"/>
        </w:rPr>
        <w:fldChar w:fldCharType="end"/>
      </w:r>
    </w:p>
    <w:p w14:paraId="51C2B159">
      <w:pPr>
        <w:pStyle w:val="56"/>
        <w:tabs>
          <w:tab w:val="right" w:leader="dot" w:pos="9638"/>
        </w:tabs>
      </w:pPr>
      <w:r>
        <w:rPr>
          <w:rFonts w:asciiTheme="minorEastAsia" w:hAnsiTheme="minorEastAsia" w:eastAsiaTheme="minorEastAsia" w:cstheme="minorHAnsi"/>
          <w:caps/>
          <w:color w:val="auto"/>
          <w:szCs w:val="21"/>
          <w:highlight w:val="none"/>
        </w:rPr>
        <w:fldChar w:fldCharType="begin"/>
      </w:r>
      <w:r>
        <w:rPr>
          <w:rFonts w:asciiTheme="minorEastAsia" w:hAnsiTheme="minorEastAsia" w:eastAsiaTheme="minorEastAsia" w:cstheme="minorHAnsi"/>
          <w:caps/>
          <w:szCs w:val="21"/>
          <w:highlight w:val="none"/>
        </w:rPr>
        <w:instrText xml:space="preserve"> HYPERLINK \l _Toc18143 </w:instrText>
      </w:r>
      <w:r>
        <w:rPr>
          <w:rFonts w:asciiTheme="minorEastAsia" w:hAnsiTheme="minorEastAsia" w:eastAsiaTheme="minorEastAsia" w:cstheme="minorHAnsi"/>
          <w:caps/>
          <w:szCs w:val="21"/>
          <w:highlight w:val="none"/>
        </w:rPr>
        <w:fldChar w:fldCharType="separate"/>
      </w:r>
      <w:r>
        <w:rPr>
          <w:rFonts w:hint="eastAsia" w:asciiTheme="minorEastAsia" w:hAnsiTheme="minorEastAsia" w:eastAsiaTheme="minorEastAsia"/>
          <w:szCs w:val="28"/>
          <w:highlight w:val="none"/>
        </w:rPr>
        <w:t>二、评审办法正文部分</w:t>
      </w:r>
      <w:r>
        <w:tab/>
      </w:r>
      <w:r>
        <w:fldChar w:fldCharType="begin"/>
      </w:r>
      <w:r>
        <w:instrText xml:space="preserve"> PAGEREF _Toc18143 \h </w:instrText>
      </w:r>
      <w:r>
        <w:fldChar w:fldCharType="separate"/>
      </w:r>
      <w:r>
        <w:t>133</w:t>
      </w:r>
      <w:r>
        <w:fldChar w:fldCharType="end"/>
      </w:r>
      <w:r>
        <w:rPr>
          <w:rFonts w:asciiTheme="minorEastAsia" w:hAnsiTheme="minorEastAsia" w:eastAsiaTheme="minorEastAsia" w:cstheme="minorHAnsi"/>
          <w:caps/>
          <w:color w:val="auto"/>
          <w:szCs w:val="21"/>
          <w:highlight w:val="none"/>
        </w:rPr>
        <w:fldChar w:fldCharType="end"/>
      </w:r>
    </w:p>
    <w:p w14:paraId="1C1A739A">
      <w:pPr>
        <w:spacing w:line="360" w:lineRule="auto"/>
        <w:rPr>
          <w:rFonts w:asciiTheme="minorEastAsia" w:hAnsiTheme="minorEastAsia" w:eastAsiaTheme="minorEastAsia" w:cstheme="minorHAnsi"/>
          <w:smallCaps/>
          <w:color w:val="auto"/>
          <w:szCs w:val="21"/>
          <w:highlight w:val="none"/>
        </w:rPr>
      </w:pPr>
      <w:r>
        <w:rPr>
          <w:rFonts w:asciiTheme="minorEastAsia" w:hAnsiTheme="minorEastAsia" w:eastAsiaTheme="minorEastAsia" w:cstheme="minorHAnsi"/>
          <w:caps/>
          <w:color w:val="auto"/>
          <w:szCs w:val="21"/>
          <w:highlight w:val="none"/>
        </w:rPr>
        <w:fldChar w:fldCharType="end"/>
      </w:r>
      <w:r>
        <w:rPr>
          <w:rFonts w:asciiTheme="minorEastAsia" w:hAnsiTheme="minorEastAsia" w:eastAsiaTheme="minorEastAsia" w:cstheme="minorHAnsi"/>
          <w:color w:val="auto"/>
          <w:szCs w:val="21"/>
          <w:highlight w:val="none"/>
        </w:rPr>
        <w:br w:type="page"/>
      </w:r>
    </w:p>
    <w:p w14:paraId="3DD190D2">
      <w:pPr>
        <w:pStyle w:val="56"/>
        <w:tabs>
          <w:tab w:val="right" w:leader="dot" w:pos="8948"/>
        </w:tabs>
        <w:spacing w:line="360" w:lineRule="auto"/>
        <w:ind w:left="0"/>
        <w:jc w:val="center"/>
        <w:outlineLvl w:val="0"/>
        <w:rPr>
          <w:rFonts w:asciiTheme="minorEastAsia" w:hAnsiTheme="minorEastAsia" w:eastAsiaTheme="minorEastAsia"/>
          <w:b/>
          <w:bCs/>
          <w:color w:val="auto"/>
          <w:sz w:val="32"/>
          <w:szCs w:val="32"/>
          <w:highlight w:val="none"/>
        </w:rPr>
      </w:pPr>
      <w:bookmarkStart w:id="7" w:name="_Toc1000"/>
      <w:r>
        <w:rPr>
          <w:rFonts w:hint="eastAsia" w:asciiTheme="minorEastAsia" w:hAnsiTheme="minorEastAsia" w:eastAsiaTheme="minorEastAsia"/>
          <w:b/>
          <w:bCs/>
          <w:color w:val="auto"/>
          <w:sz w:val="32"/>
          <w:szCs w:val="32"/>
          <w:highlight w:val="none"/>
        </w:rPr>
        <w:t xml:space="preserve">第一章 </w:t>
      </w:r>
      <w:bookmarkStart w:id="8" w:name="_Hlk69293590"/>
      <w:bookmarkStart w:id="9" w:name="_Hlk198209391"/>
      <w:r>
        <w:rPr>
          <w:rFonts w:hint="eastAsia" w:asciiTheme="minorEastAsia" w:hAnsiTheme="minorEastAsia" w:eastAsiaTheme="minorEastAsia"/>
          <w:b/>
          <w:bCs/>
          <w:color w:val="auto"/>
          <w:sz w:val="32"/>
          <w:szCs w:val="32"/>
          <w:highlight w:val="none"/>
        </w:rPr>
        <w:t>竞争性磋商公告</w:t>
      </w:r>
      <w:bookmarkEnd w:id="4"/>
      <w:bookmarkEnd w:id="5"/>
      <w:bookmarkEnd w:id="7"/>
    </w:p>
    <w:p w14:paraId="2BAD92C5">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 w:val="24"/>
          <w:szCs w:val="24"/>
          <w:highlight w:val="none"/>
        </w:rPr>
      </w:pPr>
      <w:bookmarkStart w:id="10" w:name="_Toc84356229"/>
      <w:bookmarkStart w:id="11" w:name="_Toc178600810"/>
      <w:bookmarkStart w:id="12" w:name="_Toc53412193"/>
      <w:bookmarkStart w:id="13" w:name="_Toc189644755"/>
      <w:bookmarkStart w:id="14" w:name="_Toc178597435"/>
      <w:bookmarkStart w:id="15" w:name="_Toc98864988"/>
      <w:bookmarkStart w:id="16" w:name="_Toc83753869"/>
      <w:bookmarkStart w:id="17" w:name="_Toc98033911"/>
      <w:bookmarkStart w:id="18" w:name="_Toc87538346"/>
      <w:bookmarkStart w:id="19" w:name="_Toc35393629"/>
      <w:bookmarkStart w:id="20" w:name="_Toc109809289"/>
      <w:bookmarkStart w:id="21" w:name="_Toc45976872"/>
      <w:bookmarkStart w:id="22" w:name="_Toc28359012"/>
      <w:bookmarkStart w:id="23" w:name="_Toc28359089"/>
      <w:bookmarkStart w:id="24" w:name="_Toc69678406"/>
      <w:bookmarkStart w:id="25" w:name="_Toc45791325"/>
      <w:bookmarkStart w:id="26" w:name="_Toc35393798"/>
      <w:bookmarkStart w:id="27" w:name="_Toc87543795"/>
      <w:r>
        <w:rPr>
          <w:rFonts w:hint="eastAsia" w:ascii="宋体" w:hAnsi="宋体" w:eastAsia="宋体" w:cs="宋体"/>
          <w:color w:val="auto"/>
          <w:sz w:val="24"/>
          <w:szCs w:val="24"/>
          <w:highlight w:val="none"/>
        </w:rPr>
        <w:t>项目概况</w:t>
      </w:r>
    </w:p>
    <w:p w14:paraId="3CE4582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福贡县农田水利设施建设及防灾减灾治理项目</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u w:val="single"/>
        </w:rPr>
        <w:t>政府采购云平台（https://www.zcygov.cn/）</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rPr>
        <w:t>2026</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8</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6</w:t>
      </w:r>
      <w:r>
        <w:rPr>
          <w:rFonts w:hint="eastAsia" w:ascii="宋体" w:hAnsi="宋体" w:eastAsia="宋体" w:cs="宋体"/>
          <w:bCs/>
          <w:color w:val="auto"/>
          <w:sz w:val="24"/>
          <w:szCs w:val="24"/>
          <w:highlight w:val="none"/>
          <w:u w:val="single"/>
        </w:rPr>
        <w:t>日09时</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0分（</w:t>
      </w:r>
      <w:r>
        <w:rPr>
          <w:rFonts w:hint="eastAsia" w:ascii="宋体" w:hAnsi="宋体" w:eastAsia="宋体" w:cs="宋体"/>
          <w:bCs/>
          <w:color w:val="auto"/>
          <w:sz w:val="24"/>
          <w:szCs w:val="24"/>
          <w:highlight w:val="none"/>
        </w:rPr>
        <w:t>北京时间）前递交响应文件</w:t>
      </w:r>
      <w:r>
        <w:rPr>
          <w:rFonts w:hint="eastAsia" w:ascii="宋体" w:hAnsi="宋体" w:eastAsia="宋体" w:cs="宋体"/>
          <w:color w:val="auto"/>
          <w:sz w:val="24"/>
          <w:szCs w:val="24"/>
          <w:highlight w:val="none"/>
        </w:rPr>
        <w:t>。</w:t>
      </w:r>
    </w:p>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14:paraId="1F176A33">
      <w:pPr>
        <w:spacing w:before="120" w:beforeLines="50" w:line="360" w:lineRule="auto"/>
        <w:outlineLvl w:val="1"/>
        <w:rPr>
          <w:rFonts w:hint="eastAsia" w:ascii="宋体" w:hAnsi="宋体" w:eastAsia="宋体" w:cs="宋体"/>
          <w:b/>
          <w:bCs/>
          <w:color w:val="auto"/>
          <w:sz w:val="24"/>
          <w:szCs w:val="24"/>
          <w:highlight w:val="none"/>
        </w:rPr>
      </w:pPr>
      <w:bookmarkStart w:id="28" w:name="_Toc16584"/>
      <w:bookmarkStart w:id="29" w:name="_Toc178600811"/>
      <w:bookmarkStart w:id="30" w:name="_Toc189644756"/>
      <w:bookmarkStart w:id="31" w:name="_Toc45791326"/>
      <w:bookmarkStart w:id="32" w:name="_Toc45976873"/>
      <w:bookmarkStart w:id="33" w:name="_Toc178597436"/>
      <w:bookmarkStart w:id="34" w:name="_Toc28359090"/>
      <w:bookmarkStart w:id="35" w:name="_Toc84356230"/>
      <w:bookmarkStart w:id="36" w:name="_Toc28359013"/>
      <w:bookmarkStart w:id="37" w:name="_Toc109809290"/>
      <w:bookmarkStart w:id="38" w:name="_Toc69678407"/>
      <w:bookmarkStart w:id="39" w:name="_Toc87543796"/>
      <w:bookmarkStart w:id="40" w:name="_Toc87538347"/>
      <w:bookmarkStart w:id="41" w:name="_Toc98033912"/>
      <w:bookmarkStart w:id="42" w:name="_Toc98864989"/>
      <w:bookmarkStart w:id="43" w:name="_Toc35393630"/>
      <w:bookmarkStart w:id="44" w:name="_Toc53412194"/>
      <w:bookmarkStart w:id="45" w:name="_Toc35393799"/>
      <w:bookmarkStart w:id="46" w:name="_Toc83753870"/>
      <w:r>
        <w:rPr>
          <w:rFonts w:hint="eastAsia" w:ascii="宋体" w:hAnsi="宋体" w:eastAsia="宋体" w:cs="宋体"/>
          <w:b/>
          <w:bCs/>
          <w:color w:val="auto"/>
          <w:sz w:val="24"/>
          <w:szCs w:val="24"/>
          <w:highlight w:val="none"/>
        </w:rPr>
        <w:t>一、项目基本情况</w:t>
      </w:r>
      <w:bookmarkEnd w:id="28"/>
    </w:p>
    <w:p w14:paraId="4A070147">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项目编号：NJZC2026-C2-00386-SSZX-0014</w:t>
      </w:r>
    </w:p>
    <w:p w14:paraId="43247BFF">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福贡县农田水利设施建设及防灾减灾治理项目</w:t>
      </w:r>
    </w:p>
    <w:p w14:paraId="69B5B5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采购方式：竞争性磋商</w:t>
      </w:r>
    </w:p>
    <w:p w14:paraId="7B09CDC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预算金额（万元）：</w:t>
      </w:r>
      <w:r>
        <w:rPr>
          <w:rFonts w:hint="eastAsia" w:ascii="宋体" w:hAnsi="宋体" w:cs="宋体"/>
          <w:sz w:val="24"/>
          <w:szCs w:val="24"/>
          <w:highlight w:val="none"/>
          <w:lang w:val="en-US" w:eastAsia="zh-CN"/>
        </w:rPr>
        <w:t>340</w:t>
      </w:r>
    </w:p>
    <w:p w14:paraId="42292FE0">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最高限价（万元）：</w:t>
      </w:r>
      <w:r>
        <w:rPr>
          <w:rFonts w:hint="eastAsia" w:ascii="宋体" w:hAnsi="宋体" w:cs="宋体"/>
          <w:color w:val="auto"/>
          <w:sz w:val="24"/>
          <w:szCs w:val="24"/>
          <w:highlight w:val="none"/>
          <w:lang w:val="en-US" w:eastAsia="zh-CN"/>
        </w:rPr>
        <w:t>265.360995</w:t>
      </w:r>
    </w:p>
    <w:p w14:paraId="3347C3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6844B1C0">
      <w:pPr>
        <w:numPr>
          <w:ilvl w:val="0"/>
          <w:numId w:val="12"/>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草果庄园水毁区域开展生态修复，修复120m人行步道、345m自行车道，软基换填，新建钢筋混凝土暗板涵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配套修复化粪池，修复园区景观照明，翻新路面彩绘，同步完成乔灌草植被恢复，施工统一剥离60cm厚表土后期覆土回用；</w:t>
      </w:r>
    </w:p>
    <w:p w14:paraId="67CE3F83">
      <w:pPr>
        <w:numPr>
          <w:ilvl w:val="0"/>
          <w:numId w:val="12"/>
        </w:numPr>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亚货洛河下游（靠近河口、地势平缓）的河段修建3座拦沙坝，总坝长43.30m，配套消力池、护坦及排水盲管；铺设总长371mPE自流灌溉管道并配套沉砂池。</w:t>
      </w:r>
    </w:p>
    <w:p w14:paraId="151F5A51">
      <w:pPr>
        <w:numPr>
          <w:ilvl w:val="0"/>
          <w:numId w:val="0"/>
        </w:numPr>
        <w:spacing w:line="360" w:lineRule="auto"/>
        <w:ind w:left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统筹河道防灾治理、灌溉供水与草果庄园农文旅生态修复。</w:t>
      </w:r>
    </w:p>
    <w:p w14:paraId="4C55393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计划工期：</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个月</w:t>
      </w:r>
      <w:r>
        <w:rPr>
          <w:rFonts w:hint="eastAsia" w:ascii="宋体" w:hAnsi="宋体" w:eastAsia="宋体" w:cs="宋体"/>
          <w:color w:val="auto"/>
          <w:sz w:val="24"/>
          <w:szCs w:val="24"/>
          <w:highlight w:val="none"/>
        </w:rPr>
        <w:t>（自合同签订之日起算）。</w:t>
      </w:r>
    </w:p>
    <w:p w14:paraId="7C8041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质量要求：符合国家、地方及行业现行相关标准和规范并满足采购人要求，一次性验收合格。</w:t>
      </w:r>
    </w:p>
    <w:p w14:paraId="17412A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接受</w:t>
      </w:r>
      <w:r>
        <w:rPr>
          <w:rFonts w:hint="eastAsia" w:ascii="宋体" w:hAnsi="宋体" w:eastAsia="宋体" w:cs="宋体"/>
          <w:color w:val="auto"/>
          <w:sz w:val="24"/>
          <w:szCs w:val="24"/>
          <w:highlight w:val="none"/>
        </w:rPr>
        <w:t>联合体。以联合体形式参与磋商的，应满足下列要求：</w:t>
      </w:r>
    </w:p>
    <w:p w14:paraId="59F5F9B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（1）联合体各成员均须具有独立承担民事责任能力的企业或其他组织，具备合法有效的企业法人营业执照或其他组织法定证明文件；</w:t>
      </w:r>
    </w:p>
    <w:p w14:paraId="53E46C4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（2）联合体各方应当分别具备承担相关工作的资质条件，且组成联合体的单位不得超过</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家；</w:t>
      </w:r>
    </w:p>
    <w:p w14:paraId="19816A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（3）联合体各方应签订联合体磋商协议书，明确约定各方拟承担的工作和责任，并在本项目报名后，不得再以自己名义单独报名参与本项目磋商，也不得组成新的联合体或参加其他联合体在本项目中参与磋商；</w:t>
      </w:r>
    </w:p>
    <w:p w14:paraId="334997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（4）以联合体形式参与磋商的，由联合体牵头人完成报名及磋商文件等资料下载。</w:t>
      </w:r>
    </w:p>
    <w:p w14:paraId="41389BB2">
      <w:pPr>
        <w:spacing w:before="120" w:beforeLines="50" w:line="360" w:lineRule="auto"/>
        <w:outlineLvl w:val="1"/>
        <w:rPr>
          <w:rFonts w:hint="eastAsia" w:ascii="宋体" w:hAnsi="宋体" w:eastAsia="宋体" w:cs="宋体"/>
          <w:b/>
          <w:bCs/>
          <w:color w:val="auto"/>
          <w:sz w:val="24"/>
          <w:szCs w:val="24"/>
          <w:highlight w:val="none"/>
        </w:rPr>
      </w:pPr>
      <w:bookmarkStart w:id="47" w:name="_Toc25070"/>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供应商的资格要求</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2C39FE4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满足《中华人民共和国政府采购法》第二十二条规定</w:t>
      </w:r>
      <w:bookmarkStart w:id="48" w:name="_Toc28359091"/>
      <w:bookmarkStart w:id="49" w:name="_Toc28359014"/>
      <w:bookmarkStart w:id="50" w:name="_Toc35393631"/>
      <w:bookmarkStart w:id="51" w:name="_Toc35393800"/>
      <w:bookmarkStart w:id="52" w:name="_Toc84356231"/>
      <w:bookmarkStart w:id="53" w:name="_Toc109809291"/>
      <w:bookmarkStart w:id="54" w:name="_Toc53412195"/>
      <w:bookmarkStart w:id="55" w:name="_Toc98864990"/>
      <w:bookmarkStart w:id="56" w:name="_Toc45791327"/>
      <w:bookmarkStart w:id="57" w:name="_Toc178597437"/>
      <w:bookmarkStart w:id="58" w:name="_Toc45976874"/>
      <w:bookmarkStart w:id="59" w:name="_Toc69678408"/>
      <w:bookmarkStart w:id="60" w:name="_Toc98033913"/>
      <w:bookmarkStart w:id="61" w:name="_Toc178600812"/>
      <w:bookmarkStart w:id="62" w:name="_Toc83753871"/>
      <w:bookmarkStart w:id="63" w:name="_Toc189644757"/>
      <w:bookmarkStart w:id="64" w:name="_Toc87543797"/>
      <w:bookmarkStart w:id="65" w:name="_Toc87538348"/>
      <w:r>
        <w:rPr>
          <w:rFonts w:hint="eastAsia" w:ascii="宋体" w:hAnsi="宋体" w:eastAsia="宋体" w:cs="宋体"/>
          <w:color w:val="auto"/>
          <w:sz w:val="24"/>
          <w:szCs w:val="24"/>
          <w:highlight w:val="none"/>
          <w:lang w:eastAsia="zh-CN"/>
        </w:rPr>
        <w:t>：</w:t>
      </w:r>
    </w:p>
    <w:p w14:paraId="7A3CD35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（1）具有独立承担民事责任的能力：提供合法有效的企业法人营业执照或其他组织法定证明文件。</w:t>
      </w:r>
    </w:p>
    <w:p w14:paraId="67829EE9">
      <w:pPr>
        <w:spacing w:line="360" w:lineRule="auto"/>
        <w:ind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（2）具有良好的商业信誉和健全的财务会计制度：供应商须提供202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年度经第三方审计机构或会计师事务所出具的审计报告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标准无保留意见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，包括资产负债表、现金流量表、损益表（利润表）、财务报表附注或财务情况说明书。</w:t>
      </w:r>
      <w:r>
        <w:rPr>
          <w:rFonts w:hint="eastAsia" w:ascii="宋体" w:hAnsi="宋体" w:eastAsia="宋体" w:cs="宋体"/>
          <w:color w:val="auto"/>
          <w:sz w:val="24"/>
          <w:szCs w:val="24"/>
          <w:highlight w:val="none"/>
          <w:lang w:val="en-US" w:eastAsia="zh-CN"/>
        </w:rPr>
        <w:t>财务审计报告须按相关要求在“注册会计师行业统一监管平台”备案并赋码（注：成立不足一年的，提供成立之日起至今经单位财务审核签字的财务报表）。</w:t>
      </w:r>
    </w:p>
    <w:p w14:paraId="14C41E8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（3）具有履行合同所需的设备和专业技术能力：提供证明材料或承诺函。</w:t>
      </w:r>
    </w:p>
    <w:p w14:paraId="72CF88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（4）有依法缴纳税收和社会保障资金的良好记录：提供202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月至今任意</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个月依法缴纳税收和缴纳社会保障资金的证明</w:t>
      </w:r>
      <w:r>
        <w:rPr>
          <w:rFonts w:hint="eastAsia" w:ascii="宋体" w:hAnsi="宋体" w:eastAsia="宋体" w:cs="宋体"/>
          <w:color w:val="auto"/>
          <w:sz w:val="24"/>
          <w:szCs w:val="24"/>
          <w:highlight w:val="none"/>
          <w:lang w:val="en-US" w:eastAsia="zh-CN"/>
        </w:rPr>
        <w:t>材料</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成立未满</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提供成立以来的证明材料或情况说明；依法免税或不需要缴纳社会保障资金的供应商，应提供相应文件证明其依法免税或不需要缴纳社会保障资金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004F3F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（5）参加政府采购活动前三年内，在经营活动中没有重大违法记录。提供参加政府采购活动前三年内在经营活动中没有重大违法记录的书面声明（新成立的公司按实际成立时间提供）。</w:t>
      </w:r>
    </w:p>
    <w:p w14:paraId="0BDB052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）法律、行政法规规定的其他条件。</w:t>
      </w:r>
    </w:p>
    <w:p w14:paraId="4BB7543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若以联合体形式参与磋商的，联合体各方均须满足。</w:t>
      </w:r>
    </w:p>
    <w:p w14:paraId="31A95D7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本项目属于专门面向中小企业采购的项目。根据《财政部司法部关于政府采购支持监狱企业发展有关问题的通知》（财库〔2014〕68号）、《关于促进残疾人就业政府采购政策的通知》（财库〔2017〕141号），在本政府采购活动中，监狱企业、残疾人福利性单位视同小型、微型企业。</w:t>
      </w:r>
    </w:p>
    <w:p w14:paraId="7645D2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p>
    <w:p w14:paraId="2A480760">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rPr>
        <w:t>（1）施工资质：应具备建设行政主管部门核发的水利水电施工总承包三级及以上</w:t>
      </w:r>
      <w:r>
        <w:rPr>
          <w:rFonts w:hint="eastAsia" w:ascii="宋体" w:hAnsi="宋体" w:cs="宋体"/>
          <w:color w:val="auto"/>
          <w:sz w:val="24"/>
          <w:szCs w:val="24"/>
          <w:highlight w:val="none"/>
          <w:lang w:val="en-US" w:eastAsia="zh-CN"/>
        </w:rPr>
        <w:t>资质</w:t>
      </w:r>
      <w:r>
        <w:rPr>
          <w:rFonts w:hint="eastAsia" w:ascii="宋体" w:hAnsi="宋体" w:eastAsia="宋体" w:cs="宋体"/>
          <w:color w:val="auto"/>
          <w:sz w:val="24"/>
          <w:szCs w:val="24"/>
          <w:highlight w:val="none"/>
          <w:lang w:val="en-US" w:eastAsia="zh-CN"/>
        </w:rPr>
        <w:t>和市政公用工程施工总承包三级及以上资质，并具备有效的安全生产许可证书；施工企业主要负责人须具备有效的安全生产考核合格证书（A证）</w:t>
      </w:r>
    </w:p>
    <w:p w14:paraId="6AA9399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（2）项目主要人员要求：</w:t>
      </w:r>
    </w:p>
    <w:p w14:paraId="743BB6BD">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①项目经理要求：具有有效</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水利水电工程</w:t>
      </w:r>
      <w:r>
        <w:rPr>
          <w:rFonts w:hint="eastAsia" w:ascii="宋体" w:hAnsi="宋体" w:cs="宋体"/>
          <w:color w:val="auto"/>
          <w:sz w:val="24"/>
          <w:szCs w:val="24"/>
          <w:highlight w:val="none"/>
          <w:lang w:val="en-US" w:eastAsia="zh-CN"/>
        </w:rPr>
        <w:t>或市政公用工程</w:t>
      </w:r>
      <w:r>
        <w:rPr>
          <w:rFonts w:hint="eastAsia" w:ascii="宋体" w:hAnsi="宋体" w:eastAsia="宋体" w:cs="宋体"/>
          <w:color w:val="auto"/>
          <w:sz w:val="24"/>
          <w:szCs w:val="24"/>
          <w:highlight w:val="none"/>
          <w:lang w:val="en-US" w:eastAsia="zh-CN"/>
        </w:rPr>
        <w:t>专业二级注册建造师证书且在供应商单位注册，具有安全生产考核合格证书（B证），未担任其他在建工程。</w:t>
      </w:r>
    </w:p>
    <w:p w14:paraId="08C26D1E">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②技</w:t>
      </w:r>
      <w:r>
        <w:rPr>
          <w:rFonts w:hint="eastAsia" w:ascii="宋体" w:hAnsi="宋体" w:eastAsia="宋体" w:cs="宋体"/>
          <w:color w:val="auto"/>
          <w:sz w:val="24"/>
          <w:szCs w:val="24"/>
        </w:rPr>
        <w:t>术负</w:t>
      </w:r>
      <w:r>
        <w:rPr>
          <w:rFonts w:hint="eastAsia" w:ascii="宋体" w:hAnsi="宋体" w:eastAsia="宋体" w:cs="宋体"/>
          <w:color w:val="auto"/>
          <w:kern w:val="0"/>
          <w:sz w:val="24"/>
          <w:szCs w:val="24"/>
        </w:rPr>
        <w:t>责人要求：</w:t>
      </w:r>
      <w:r>
        <w:rPr>
          <w:rFonts w:hint="eastAsia" w:ascii="宋体" w:hAnsi="宋体" w:eastAsia="宋体" w:cs="宋体"/>
          <w:color w:val="auto"/>
          <w:kern w:val="0"/>
          <w:sz w:val="24"/>
          <w:szCs w:val="24"/>
          <w:highlight w:val="none"/>
        </w:rPr>
        <w:t>具有</w:t>
      </w:r>
      <w:r>
        <w:rPr>
          <w:rFonts w:hint="eastAsia" w:ascii="宋体" w:hAnsi="宋体" w:eastAsia="宋体" w:cs="宋体"/>
          <w:color w:val="auto"/>
          <w:sz w:val="24"/>
          <w:szCs w:val="24"/>
          <w:highlight w:val="none"/>
          <w:lang w:val="en-US" w:eastAsia="zh-CN"/>
        </w:rPr>
        <w:t>水利水电工程</w:t>
      </w:r>
      <w:r>
        <w:rPr>
          <w:rFonts w:hint="eastAsia" w:ascii="宋体" w:hAnsi="宋体" w:cs="宋体"/>
          <w:color w:val="auto"/>
          <w:sz w:val="24"/>
          <w:szCs w:val="24"/>
          <w:highlight w:val="none"/>
          <w:lang w:val="en-US" w:eastAsia="zh-CN"/>
        </w:rPr>
        <w:t>或市政公用工程相关</w:t>
      </w:r>
      <w:r>
        <w:rPr>
          <w:rFonts w:hint="eastAsia" w:ascii="宋体" w:hAnsi="宋体" w:eastAsia="宋体" w:cs="宋体"/>
          <w:color w:val="auto"/>
          <w:sz w:val="24"/>
          <w:szCs w:val="24"/>
          <w:highlight w:val="none"/>
          <w:lang w:val="en-US" w:eastAsia="zh-CN"/>
        </w:rPr>
        <w:t>专业</w:t>
      </w:r>
      <w:r>
        <w:rPr>
          <w:rFonts w:hint="eastAsia" w:ascii="宋体" w:hAnsi="宋体" w:cs="宋体"/>
          <w:color w:val="auto"/>
          <w:sz w:val="24"/>
          <w:szCs w:val="24"/>
          <w:highlight w:val="none"/>
          <w:lang w:val="en-US" w:eastAsia="zh-CN"/>
        </w:rPr>
        <w:t>工程师职称</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未担任其他在建工程</w:t>
      </w:r>
      <w:r>
        <w:rPr>
          <w:rFonts w:hint="eastAsia" w:ascii="宋体" w:hAnsi="宋体" w:eastAsia="宋体" w:cs="宋体"/>
          <w:color w:val="auto"/>
          <w:kern w:val="0"/>
          <w:sz w:val="24"/>
          <w:szCs w:val="24"/>
          <w:highlight w:val="none"/>
        </w:rPr>
        <w:t>。</w:t>
      </w:r>
    </w:p>
    <w:p w14:paraId="64864989">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注：建筑工程相关专业职称包括建筑施工、工程管理、建筑工程、房屋建筑、结构、给排水、暖通、电气等专业职称；市政公用工程相关专业职称包括道路与桥梁、给排水、结构、机电、燃气等专业职称。</w:t>
      </w:r>
    </w:p>
    <w:p w14:paraId="6EF0019F">
      <w:pPr>
        <w:pStyle w:val="6"/>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信誉要求：由</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通过“信用中国（https://www.creditchina.gov.cn/）”网站对供应商是否被列入失信被执行人、税收违法黑名单、政府采购严重违法失信行为记录名单及“中国政府采购网（http://www.ccgp.gov.cn）”网站对供应商是否被列入“政府采购严重违法失信行为信息记录”以及“国家企业信用信息公示系统”（http://www.gsxt.gov.cn/）网站中是否被列入严重违法失信企业名单（事业单位、其他组织除外）的信息进行查询，并提供给</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委员会。被列入</w:t>
      </w:r>
      <w:r>
        <w:rPr>
          <w:rFonts w:hint="eastAsia" w:ascii="宋体" w:hAnsi="宋体" w:eastAsia="宋体" w:cs="宋体"/>
          <w:color w:val="auto"/>
          <w:sz w:val="24"/>
          <w:szCs w:val="24"/>
          <w:highlight w:val="none"/>
          <w:lang w:val="en-US" w:eastAsia="zh-CN"/>
        </w:rPr>
        <w:t>且未移除</w:t>
      </w:r>
      <w:r>
        <w:rPr>
          <w:rFonts w:hint="eastAsia" w:ascii="宋体" w:hAnsi="宋体" w:eastAsia="宋体" w:cs="宋体"/>
          <w:color w:val="auto"/>
          <w:sz w:val="24"/>
          <w:szCs w:val="24"/>
          <w:highlight w:val="none"/>
        </w:rPr>
        <w:t>的供应商将否决其</w:t>
      </w:r>
      <w:r>
        <w:rPr>
          <w:rFonts w:hint="eastAsia" w:ascii="宋体" w:hAnsi="宋体" w:eastAsia="宋体" w:cs="宋体"/>
          <w:color w:val="auto"/>
          <w:sz w:val="24"/>
          <w:szCs w:val="24"/>
          <w:highlight w:val="none"/>
          <w:lang w:val="en-US" w:eastAsia="zh-CN"/>
        </w:rPr>
        <w:t>磋商响应</w:t>
      </w: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若以联合体形式参与磋商的，联合体各方均须满足</w:t>
      </w:r>
      <w:r>
        <w:rPr>
          <w:rFonts w:hint="eastAsia" w:ascii="宋体" w:hAnsi="宋体" w:eastAsia="宋体" w:cs="宋体"/>
          <w:color w:val="auto"/>
          <w:sz w:val="24"/>
          <w:szCs w:val="24"/>
          <w:highlight w:val="none"/>
          <w:lang w:eastAsia="zh-CN"/>
        </w:rPr>
        <w:t>）</w:t>
      </w:r>
    </w:p>
    <w:p w14:paraId="40DD79C5">
      <w:pPr>
        <w:pStyle w:val="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单位负责人为同一人或者存在直接控股、管理关系的不同供应商，不得同时</w:t>
      </w:r>
      <w:r>
        <w:rPr>
          <w:rFonts w:hint="eastAsia" w:ascii="宋体" w:hAnsi="宋体" w:cs="宋体"/>
          <w:color w:val="auto"/>
          <w:sz w:val="24"/>
          <w:szCs w:val="24"/>
          <w:highlight w:val="none"/>
          <w:lang w:val="en-US" w:eastAsia="zh-CN"/>
        </w:rPr>
        <w:t>独立</w:t>
      </w:r>
      <w:r>
        <w:rPr>
          <w:rFonts w:hint="eastAsia" w:ascii="宋体" w:hAnsi="宋体" w:eastAsia="宋体" w:cs="宋体"/>
          <w:color w:val="auto"/>
          <w:sz w:val="24"/>
          <w:szCs w:val="24"/>
          <w:highlight w:val="none"/>
        </w:rPr>
        <w:t>参加本项目的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若以联合体形式参与磋商的，联合体各方均须满足</w:t>
      </w:r>
      <w:r>
        <w:rPr>
          <w:rFonts w:hint="eastAsia" w:ascii="宋体" w:hAnsi="宋体" w:eastAsia="宋体" w:cs="宋体"/>
          <w:color w:val="auto"/>
          <w:sz w:val="24"/>
          <w:szCs w:val="24"/>
          <w:highlight w:val="none"/>
          <w:lang w:eastAsia="zh-CN"/>
        </w:rPr>
        <w:t>）</w:t>
      </w:r>
    </w:p>
    <w:p w14:paraId="00F0F112">
      <w:pPr>
        <w:pStyle w:val="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不允许分包、转包。</w:t>
      </w:r>
    </w:p>
    <w:p w14:paraId="4E5E7C26">
      <w:pPr>
        <w:spacing w:line="360" w:lineRule="auto"/>
        <w:outlineLvl w:val="1"/>
        <w:rPr>
          <w:rFonts w:hint="eastAsia" w:ascii="宋体" w:hAnsi="宋体" w:eastAsia="宋体" w:cs="宋体"/>
          <w:b/>
          <w:bCs/>
          <w:color w:val="auto"/>
          <w:sz w:val="24"/>
          <w:szCs w:val="24"/>
          <w:highlight w:val="none"/>
        </w:rPr>
      </w:pPr>
      <w:bookmarkStart w:id="66" w:name="_Toc13916"/>
      <w:r>
        <w:rPr>
          <w:rFonts w:hint="eastAsia" w:ascii="宋体" w:hAnsi="宋体" w:eastAsia="宋体" w:cs="宋体"/>
          <w:b/>
          <w:bCs/>
          <w:color w:val="auto"/>
          <w:sz w:val="24"/>
          <w:szCs w:val="24"/>
          <w:highlight w:val="none"/>
        </w:rPr>
        <w:t>三、获取</w:t>
      </w:r>
      <w:bookmarkEnd w:id="48"/>
      <w:bookmarkEnd w:id="49"/>
      <w:bookmarkEnd w:id="50"/>
      <w:bookmarkEnd w:id="51"/>
      <w:r>
        <w:rPr>
          <w:rFonts w:hint="eastAsia" w:ascii="宋体" w:hAnsi="宋体" w:eastAsia="宋体" w:cs="宋体"/>
          <w:b/>
          <w:bCs/>
          <w:color w:val="auto"/>
          <w:sz w:val="24"/>
          <w:szCs w:val="24"/>
          <w:highlight w:val="none"/>
        </w:rPr>
        <w:t>采购文件</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19CDAF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日06:00至2026年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日23:59（北京时间，法定节假日除外）</w:t>
      </w:r>
    </w:p>
    <w:p w14:paraId="02C03E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地点：政府采购云平台（网址：https://www.zcygov.cn/）</w:t>
      </w:r>
    </w:p>
    <w:p w14:paraId="24217C50">
      <w:pPr>
        <w:wordWrap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方式：1.凡有意参与</w:t>
      </w:r>
      <w:r>
        <w:rPr>
          <w:rFonts w:hint="eastAsia" w:ascii="宋体" w:hAnsi="宋体" w:eastAsia="宋体" w:cs="宋体"/>
          <w:color w:val="auto"/>
          <w:sz w:val="24"/>
          <w:szCs w:val="24"/>
          <w:highlight w:val="none"/>
          <w:lang w:val="en-US" w:eastAsia="zh-CN"/>
        </w:rPr>
        <w:t>本项目的</w:t>
      </w:r>
      <w:r>
        <w:rPr>
          <w:rFonts w:hint="eastAsia" w:ascii="宋体" w:hAnsi="宋体" w:eastAsia="宋体" w:cs="宋体"/>
          <w:color w:val="auto"/>
          <w:sz w:val="24"/>
          <w:szCs w:val="24"/>
          <w:highlight w:val="none"/>
        </w:rPr>
        <w:t>，须在</w:t>
      </w:r>
      <w:r>
        <w:rPr>
          <w:rFonts w:hint="eastAsia" w:ascii="宋体" w:hAnsi="宋体" w:eastAsia="宋体" w:cs="宋体"/>
          <w:color w:val="auto"/>
          <w:sz w:val="24"/>
          <w:szCs w:val="24"/>
          <w:highlight w:val="none"/>
          <w:lang w:val="en-US" w:eastAsia="zh-CN"/>
        </w:rPr>
        <w:t>政采云平台</w:t>
      </w:r>
      <w:r>
        <w:rPr>
          <w:rFonts w:hint="eastAsia" w:ascii="宋体" w:hAnsi="宋体" w:eastAsia="宋体" w:cs="宋体"/>
          <w:color w:val="auto"/>
          <w:sz w:val="24"/>
          <w:szCs w:val="24"/>
          <w:highlight w:val="none"/>
        </w:rPr>
        <w:t>（网址：https://www.zcygov.cn/）进行注册及企业数字证书（CA）的办理；若供应商之前已经注册并办理过企业数字证书（CA）的，可以直接绑定，无需重复办理。供应商在注册办理过程中若有疑问，可以拨打客服热线4006727666咨询。</w:t>
      </w:r>
    </w:p>
    <w:p w14:paraId="33AAD917">
      <w:pPr>
        <w:wordWrap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申领到企业数字证书（CA）后进入政府采购云平台（网址：https://www.zcygov.cn/）并绑定企业数字证书（CA），在网上获取采购文件及其它采购资料（操作路径：登录“政府采购云平台-项目采购-获取采购文件-找到本项目-点击“申请获取采购文件”）。</w:t>
      </w:r>
    </w:p>
    <w:p w14:paraId="3C571189">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售价（元）：0</w:t>
      </w:r>
      <w:r>
        <w:rPr>
          <w:rFonts w:hint="eastAsia" w:ascii="宋体" w:hAnsi="宋体" w:eastAsia="宋体" w:cs="宋体"/>
          <w:color w:val="auto"/>
          <w:sz w:val="24"/>
          <w:szCs w:val="24"/>
          <w:highlight w:val="none"/>
          <w:lang w:val="en-US" w:eastAsia="zh-CN"/>
        </w:rPr>
        <w:t>元。</w:t>
      </w:r>
    </w:p>
    <w:p w14:paraId="734887DD">
      <w:pPr>
        <w:spacing w:line="360" w:lineRule="auto"/>
        <w:outlineLvl w:val="1"/>
        <w:rPr>
          <w:rFonts w:hint="eastAsia" w:ascii="宋体" w:hAnsi="宋体" w:eastAsia="宋体" w:cs="宋体"/>
          <w:b/>
          <w:bCs/>
          <w:color w:val="auto"/>
          <w:sz w:val="24"/>
          <w:szCs w:val="24"/>
          <w:highlight w:val="none"/>
        </w:rPr>
      </w:pPr>
      <w:bookmarkStart w:id="67" w:name="_Toc83753872"/>
      <w:bookmarkStart w:id="68" w:name="_Toc45791328"/>
      <w:bookmarkStart w:id="69" w:name="_Toc53412196"/>
      <w:bookmarkStart w:id="70" w:name="_Toc87538349"/>
      <w:bookmarkStart w:id="71" w:name="_Toc35393632"/>
      <w:bookmarkStart w:id="72" w:name="_Toc178597438"/>
      <w:bookmarkStart w:id="73" w:name="_Toc28359015"/>
      <w:bookmarkStart w:id="74" w:name="_Toc109809292"/>
      <w:bookmarkStart w:id="75" w:name="_Toc98033914"/>
      <w:bookmarkStart w:id="76" w:name="_Toc84356232"/>
      <w:bookmarkStart w:id="77" w:name="_Toc98864991"/>
      <w:bookmarkStart w:id="78" w:name="_Toc189644758"/>
      <w:bookmarkStart w:id="79" w:name="_Toc35393801"/>
      <w:bookmarkStart w:id="80" w:name="_Toc69678409"/>
      <w:bookmarkStart w:id="81" w:name="_Toc87543798"/>
      <w:bookmarkStart w:id="82" w:name="_Toc45976875"/>
      <w:bookmarkStart w:id="83" w:name="_Toc28359092"/>
      <w:bookmarkStart w:id="84" w:name="_Toc178600813"/>
      <w:bookmarkStart w:id="85" w:name="_Toc5096"/>
      <w:r>
        <w:rPr>
          <w:rFonts w:hint="eastAsia" w:ascii="宋体" w:hAnsi="宋体" w:eastAsia="宋体" w:cs="宋体"/>
          <w:b/>
          <w:bCs/>
          <w:color w:val="auto"/>
          <w:sz w:val="24"/>
          <w:szCs w:val="24"/>
          <w:highlight w:val="none"/>
        </w:rPr>
        <w:t>四、响应文件提交</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09113FC">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截止时间：</w:t>
      </w:r>
      <w:r>
        <w:rPr>
          <w:rFonts w:hint="eastAsia" w:ascii="宋体" w:hAnsi="宋体" w:eastAsia="宋体" w:cs="宋体"/>
          <w:color w:val="auto"/>
          <w:sz w:val="24"/>
          <w:szCs w:val="24"/>
          <w:highlight w:val="none"/>
        </w:rPr>
        <w:t>2026年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日09:</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w:t>
      </w:r>
      <w:r>
        <w:rPr>
          <w:rFonts w:hint="eastAsia" w:ascii="宋体" w:hAnsi="宋体" w:eastAsia="宋体" w:cs="宋体"/>
          <w:bCs/>
          <w:color w:val="auto"/>
          <w:sz w:val="24"/>
          <w:szCs w:val="24"/>
          <w:highlight w:val="none"/>
        </w:rPr>
        <w:t>（北京时间）</w:t>
      </w:r>
    </w:p>
    <w:p w14:paraId="18B87734">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地点：政采云投标客户端</w:t>
      </w:r>
    </w:p>
    <w:p w14:paraId="77C1B265">
      <w:pPr>
        <w:spacing w:line="360" w:lineRule="auto"/>
        <w:outlineLvl w:val="1"/>
        <w:rPr>
          <w:rFonts w:hint="eastAsia" w:ascii="宋体" w:hAnsi="宋体" w:eastAsia="宋体" w:cs="宋体"/>
          <w:b/>
          <w:bCs/>
          <w:color w:val="auto"/>
          <w:sz w:val="24"/>
          <w:szCs w:val="24"/>
          <w:highlight w:val="none"/>
        </w:rPr>
      </w:pPr>
      <w:bookmarkStart w:id="86" w:name="_Toc35393802"/>
      <w:bookmarkStart w:id="87" w:name="_Toc178597439"/>
      <w:bookmarkStart w:id="88" w:name="_Toc45976876"/>
      <w:bookmarkStart w:id="89" w:name="_Toc69678410"/>
      <w:bookmarkStart w:id="90" w:name="_Toc189644759"/>
      <w:bookmarkStart w:id="91" w:name="_Toc87538350"/>
      <w:bookmarkStart w:id="92" w:name="_Toc98033915"/>
      <w:bookmarkStart w:id="93" w:name="_Toc178600814"/>
      <w:bookmarkStart w:id="94" w:name="_Toc35393633"/>
      <w:bookmarkStart w:id="95" w:name="_Toc28359016"/>
      <w:bookmarkStart w:id="96" w:name="_Toc98864992"/>
      <w:bookmarkStart w:id="97" w:name="_Toc84356233"/>
      <w:bookmarkStart w:id="98" w:name="_Toc83753873"/>
      <w:bookmarkStart w:id="99" w:name="_Toc109809293"/>
      <w:bookmarkStart w:id="100" w:name="_Toc28359093"/>
      <w:bookmarkStart w:id="101" w:name="_Toc53412197"/>
      <w:bookmarkStart w:id="102" w:name="_Toc87543799"/>
      <w:bookmarkStart w:id="103" w:name="_Toc45791329"/>
      <w:bookmarkStart w:id="104" w:name="_Toc9072"/>
      <w:r>
        <w:rPr>
          <w:rFonts w:hint="eastAsia" w:ascii="宋体" w:hAnsi="宋体" w:eastAsia="宋体" w:cs="宋体"/>
          <w:b/>
          <w:bCs/>
          <w:color w:val="auto"/>
          <w:sz w:val="24"/>
          <w:szCs w:val="24"/>
          <w:highlight w:val="none"/>
        </w:rPr>
        <w:t>五、开启</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5CE5C8D9">
      <w:pPr>
        <w:spacing w:line="360" w:lineRule="auto"/>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时间：2026年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日09:</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0（北京时间）</w:t>
      </w:r>
    </w:p>
    <w:p w14:paraId="765705E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地点：</w:t>
      </w:r>
      <w:r>
        <w:rPr>
          <w:rFonts w:hint="eastAsia" w:ascii="宋体" w:hAnsi="宋体" w:eastAsia="宋体" w:cs="宋体"/>
          <w:sz w:val="24"/>
          <w:szCs w:val="24"/>
        </w:rPr>
        <w:t>政府采购云平台（网址：https://www.zcygov.cn/）</w:t>
      </w:r>
    </w:p>
    <w:p w14:paraId="038B0774">
      <w:pPr>
        <w:spacing w:line="360" w:lineRule="auto"/>
        <w:outlineLvl w:val="1"/>
        <w:rPr>
          <w:rFonts w:hint="eastAsia" w:ascii="宋体" w:hAnsi="宋体" w:eastAsia="宋体" w:cs="宋体"/>
          <w:b/>
          <w:bCs/>
          <w:color w:val="auto"/>
          <w:sz w:val="24"/>
          <w:szCs w:val="24"/>
          <w:highlight w:val="none"/>
        </w:rPr>
      </w:pPr>
      <w:bookmarkStart w:id="105" w:name="_Toc35393803"/>
      <w:bookmarkStart w:id="106" w:name="_Toc28359094"/>
      <w:bookmarkStart w:id="107" w:name="_Toc45791330"/>
      <w:bookmarkStart w:id="108" w:name="_Toc35393634"/>
      <w:bookmarkStart w:id="109" w:name="_Toc45976877"/>
      <w:bookmarkStart w:id="110" w:name="_Toc28359017"/>
      <w:bookmarkStart w:id="111" w:name="_Toc178597440"/>
      <w:bookmarkStart w:id="112" w:name="_Toc53412198"/>
      <w:bookmarkStart w:id="113" w:name="_Toc83753874"/>
      <w:bookmarkStart w:id="114" w:name="_Toc84356234"/>
      <w:bookmarkStart w:id="115" w:name="_Toc98864993"/>
      <w:bookmarkStart w:id="116" w:name="_Toc109809294"/>
      <w:bookmarkStart w:id="117" w:name="_Toc69678411"/>
      <w:bookmarkStart w:id="118" w:name="_Toc87538351"/>
      <w:bookmarkStart w:id="119" w:name="_Toc178600815"/>
      <w:bookmarkStart w:id="120" w:name="_Toc87543800"/>
      <w:bookmarkStart w:id="121" w:name="_Toc98033916"/>
      <w:bookmarkStart w:id="122" w:name="_Toc189644760"/>
      <w:bookmarkStart w:id="123" w:name="_Toc4674"/>
      <w:r>
        <w:rPr>
          <w:rFonts w:hint="eastAsia" w:ascii="宋体" w:hAnsi="宋体" w:eastAsia="宋体" w:cs="宋体"/>
          <w:b/>
          <w:bCs/>
          <w:color w:val="auto"/>
          <w:sz w:val="24"/>
          <w:szCs w:val="24"/>
          <w:highlight w:val="none"/>
        </w:rPr>
        <w:t>六、</w:t>
      </w:r>
      <w:bookmarkEnd w:id="105"/>
      <w:bookmarkEnd w:id="106"/>
      <w:bookmarkEnd w:id="107"/>
      <w:bookmarkEnd w:id="108"/>
      <w:bookmarkEnd w:id="109"/>
      <w:bookmarkEnd w:id="110"/>
      <w:r>
        <w:rPr>
          <w:rFonts w:hint="eastAsia" w:ascii="宋体" w:hAnsi="宋体" w:eastAsia="宋体" w:cs="宋体"/>
          <w:b/>
          <w:bCs/>
          <w:color w:val="auto"/>
          <w:sz w:val="24"/>
          <w:szCs w:val="24"/>
          <w:highlight w:val="none"/>
        </w:rPr>
        <w:t>公告期限</w:t>
      </w:r>
      <w:bookmarkEnd w:id="111"/>
      <w:bookmarkEnd w:id="112"/>
      <w:bookmarkEnd w:id="113"/>
      <w:bookmarkEnd w:id="114"/>
      <w:bookmarkEnd w:id="115"/>
      <w:bookmarkEnd w:id="116"/>
      <w:bookmarkEnd w:id="117"/>
      <w:bookmarkEnd w:id="118"/>
      <w:bookmarkEnd w:id="119"/>
      <w:bookmarkEnd w:id="120"/>
      <w:bookmarkEnd w:id="121"/>
      <w:bookmarkEnd w:id="122"/>
      <w:bookmarkEnd w:id="123"/>
    </w:p>
    <w:p w14:paraId="07A9A305">
      <w:pPr>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11DF9AEF">
      <w:pPr>
        <w:spacing w:line="360" w:lineRule="auto"/>
        <w:outlineLvl w:val="1"/>
        <w:rPr>
          <w:rFonts w:hint="eastAsia" w:ascii="宋体" w:hAnsi="宋体" w:eastAsia="宋体" w:cs="宋体"/>
          <w:b/>
          <w:bCs/>
          <w:color w:val="auto"/>
          <w:sz w:val="24"/>
          <w:szCs w:val="24"/>
          <w:highlight w:val="none"/>
        </w:rPr>
      </w:pPr>
      <w:bookmarkStart w:id="124" w:name="_Toc84356235"/>
      <w:bookmarkStart w:id="125" w:name="_Toc98864994"/>
      <w:bookmarkStart w:id="126" w:name="_Toc178600816"/>
      <w:bookmarkStart w:id="127" w:name="_Toc87543801"/>
      <w:bookmarkStart w:id="128" w:name="_Toc45976878"/>
      <w:bookmarkStart w:id="129" w:name="_Toc69678412"/>
      <w:bookmarkStart w:id="130" w:name="_Toc87538352"/>
      <w:bookmarkStart w:id="131" w:name="_Toc189644761"/>
      <w:bookmarkStart w:id="132" w:name="_Toc45791331"/>
      <w:bookmarkStart w:id="133" w:name="_Toc178597441"/>
      <w:bookmarkStart w:id="134" w:name="_Toc35393804"/>
      <w:bookmarkStart w:id="135" w:name="_Toc98033917"/>
      <w:bookmarkStart w:id="136" w:name="_Toc83753875"/>
      <w:bookmarkStart w:id="137" w:name="_Toc109809295"/>
      <w:bookmarkStart w:id="138" w:name="_Toc35393635"/>
      <w:bookmarkStart w:id="139" w:name="_Toc53412199"/>
      <w:bookmarkStart w:id="140" w:name="_Toc27582"/>
      <w:r>
        <w:rPr>
          <w:rFonts w:hint="eastAsia" w:ascii="宋体" w:hAnsi="宋体" w:eastAsia="宋体" w:cs="宋体"/>
          <w:b/>
          <w:bCs/>
          <w:color w:val="auto"/>
          <w:sz w:val="24"/>
          <w:szCs w:val="24"/>
          <w:highlight w:val="none"/>
        </w:rPr>
        <w:t>七、其他补充事宜</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5EBD228F">
      <w:pPr>
        <w:pStyle w:val="27"/>
        <w:spacing w:line="360" w:lineRule="auto"/>
        <w:ind w:firstLine="463" w:firstLineChars="193"/>
        <w:rPr>
          <w:rFonts w:hint="eastAsia" w:ascii="宋体" w:hAnsi="宋体" w:eastAsia="宋体" w:cs="宋体"/>
          <w:color w:val="auto"/>
          <w:sz w:val="24"/>
          <w:szCs w:val="24"/>
          <w:highlight w:val="none"/>
        </w:rPr>
      </w:pPr>
      <w:bookmarkStart w:id="141" w:name="_Toc35393636"/>
      <w:bookmarkStart w:id="142" w:name="_Toc98033918"/>
      <w:bookmarkStart w:id="143" w:name="_Toc28359018"/>
      <w:bookmarkStart w:id="144" w:name="_Toc53412200"/>
      <w:bookmarkStart w:id="145" w:name="_Toc83753876"/>
      <w:bookmarkStart w:id="146" w:name="_Toc45791335"/>
      <w:bookmarkStart w:id="147" w:name="_Toc69678413"/>
      <w:bookmarkStart w:id="148" w:name="_Toc109809296"/>
      <w:bookmarkStart w:id="149" w:name="_Toc87543802"/>
      <w:bookmarkStart w:id="150" w:name="_Toc178600817"/>
      <w:bookmarkStart w:id="151" w:name="_Toc28359095"/>
      <w:bookmarkStart w:id="152" w:name="_Toc45976881"/>
      <w:bookmarkStart w:id="153" w:name="_Toc87538353"/>
      <w:bookmarkStart w:id="154" w:name="_Toc98864995"/>
      <w:bookmarkStart w:id="155" w:name="_Toc35393805"/>
      <w:bookmarkStart w:id="156" w:name="_Toc84356236"/>
      <w:bookmarkStart w:id="157" w:name="_Toc189644762"/>
      <w:bookmarkStart w:id="158" w:name="_Toc178597442"/>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开标方式：网上开标</w:t>
      </w:r>
    </w:p>
    <w:p w14:paraId="03020F0A">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是否需要缴纳</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保证金：</w:t>
      </w:r>
      <w:r>
        <w:rPr>
          <w:rFonts w:hint="eastAsia" w:ascii="宋体" w:hAnsi="宋体" w:eastAsia="宋体" w:cs="宋体"/>
          <w:color w:val="auto"/>
          <w:sz w:val="24"/>
          <w:szCs w:val="24"/>
          <w:highlight w:val="none"/>
          <w:lang w:val="en-US" w:eastAsia="zh-CN"/>
        </w:rPr>
        <w:t>是</w:t>
      </w:r>
    </w:p>
    <w:p w14:paraId="185D3A67">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保证金金额：¥</w:t>
      </w:r>
      <w:r>
        <w:rPr>
          <w:rFonts w:hint="eastAsia" w:ascii="宋体" w:hAnsi="宋体" w:cs="宋体"/>
          <w:color w:val="auto"/>
          <w:sz w:val="24"/>
          <w:szCs w:val="24"/>
          <w:highlight w:val="none"/>
          <w:lang w:val="en-US" w:eastAsia="zh-CN"/>
        </w:rPr>
        <w:t>20000.00</w:t>
      </w:r>
      <w:r>
        <w:rPr>
          <w:rFonts w:hint="eastAsia" w:ascii="宋体" w:hAnsi="宋体" w:eastAsia="宋体" w:cs="宋体"/>
          <w:color w:val="auto"/>
          <w:sz w:val="24"/>
          <w:szCs w:val="24"/>
          <w:highlight w:val="none"/>
          <w:lang w:val="en-US" w:eastAsia="zh-CN"/>
        </w:rPr>
        <w:t>元（大写：</w:t>
      </w:r>
      <w:r>
        <w:rPr>
          <w:rFonts w:hint="eastAsia" w:ascii="宋体" w:hAnsi="宋体" w:cs="宋体"/>
          <w:color w:val="auto"/>
          <w:sz w:val="24"/>
          <w:szCs w:val="24"/>
          <w:highlight w:val="none"/>
          <w:lang w:val="en-US" w:eastAsia="zh-CN"/>
        </w:rPr>
        <w:t>贰万元</w:t>
      </w:r>
      <w:r>
        <w:rPr>
          <w:rFonts w:hint="eastAsia" w:ascii="宋体" w:hAnsi="宋体" w:eastAsia="宋体" w:cs="宋体"/>
          <w:color w:val="auto"/>
          <w:sz w:val="24"/>
          <w:szCs w:val="24"/>
          <w:highlight w:val="none"/>
          <w:lang w:val="en-US" w:eastAsia="zh-CN"/>
        </w:rPr>
        <w:t>整）（已根据《云南省发展和改革委员会等部门关于鼓励减免政府投资项目投标保证金的通知》云发改交易管理〔2023〕397号文件、云南省财政厅云财规〔2019〕5号的要求进行减免）。</w:t>
      </w:r>
    </w:p>
    <w:p w14:paraId="7E5F7198">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保证金缴纳方式：支票、汇票、本票、转账、电汇、网银、银行保函、保证保险等非现金形式提交。</w:t>
      </w:r>
    </w:p>
    <w:p w14:paraId="6B9661F5">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采购代理机构保证金收取信息如下：</w:t>
      </w:r>
    </w:p>
    <w:p w14:paraId="7B19CEEF">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开户单位：云南松赛建设工程咨询有限公司</w:t>
      </w:r>
    </w:p>
    <w:p w14:paraId="06A59214">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开户银行：中国建设银行股份有限公司昆明穿金东路支行</w:t>
      </w:r>
    </w:p>
    <w:p w14:paraId="443A04DE">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    号：53050190506600000656</w:t>
      </w:r>
    </w:p>
    <w:p w14:paraId="214A48AC">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保证金缴纳截止时间：2026年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日09时</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0分</w:t>
      </w:r>
    </w:p>
    <w:p w14:paraId="1CBBF235">
      <w:pPr>
        <w:pStyle w:val="27"/>
        <w:spacing w:line="360" w:lineRule="auto"/>
        <w:ind w:firstLine="463" w:firstLineChars="19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供应商需通过公司基本账户转账或者电汇的方式提交到以上指定账户，并注明“项目名称+磋商保证金”（项目名称可简写）；未按要求提交保证金的视为自动放弃参与此次采购活动。</w:t>
      </w:r>
    </w:p>
    <w:p w14:paraId="136A3B66">
      <w:pPr>
        <w:wordWrap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响应文件的解密方式：在线解密。供应商须提前在自有场地配置有音视频通话（带摄像头及话筒的电脑）功能的相应设备及稳定网络的环境下，并按政府采购云平台开标大厅中的提示完成响应文件的解密。</w:t>
      </w:r>
    </w:p>
    <w:p w14:paraId="63C8D152">
      <w:pPr>
        <w:spacing w:line="360" w:lineRule="auto"/>
        <w:outlineLvl w:val="1"/>
        <w:rPr>
          <w:rFonts w:hint="eastAsia" w:ascii="宋体" w:hAnsi="宋体" w:eastAsia="宋体" w:cs="宋体"/>
          <w:b/>
          <w:bCs/>
          <w:color w:val="auto"/>
          <w:sz w:val="24"/>
          <w:szCs w:val="24"/>
          <w:highlight w:val="none"/>
        </w:rPr>
      </w:pPr>
      <w:bookmarkStart w:id="159" w:name="_Toc13027"/>
      <w:r>
        <w:rPr>
          <w:rFonts w:hint="eastAsia" w:ascii="宋体" w:hAnsi="宋体" w:eastAsia="宋体" w:cs="宋体"/>
          <w:b/>
          <w:bCs/>
          <w:color w:val="auto"/>
          <w:sz w:val="24"/>
          <w:szCs w:val="24"/>
          <w:highlight w:val="none"/>
        </w:rPr>
        <w:t>八、凡对本次采购提出询问，请按以下方式联系</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bookmarkEnd w:id="3"/>
    <w:bookmarkEnd w:id="6"/>
    <w:bookmarkEnd w:id="8"/>
    <w:p w14:paraId="2A13210A">
      <w:pPr>
        <w:spacing w:line="360" w:lineRule="auto"/>
        <w:ind w:firstLine="480" w:firstLineChars="200"/>
        <w:rPr>
          <w:rFonts w:hint="eastAsia" w:ascii="宋体" w:hAnsi="宋体" w:eastAsia="宋体" w:cs="宋体"/>
          <w:color w:val="auto"/>
          <w:sz w:val="24"/>
          <w:szCs w:val="24"/>
          <w:highlight w:val="none"/>
        </w:rPr>
      </w:pPr>
      <w:bookmarkStart w:id="160" w:name="_Toc28359096"/>
      <w:bookmarkStart w:id="161" w:name="_Toc45900508"/>
      <w:bookmarkStart w:id="162" w:name="_Toc35393806"/>
      <w:bookmarkStart w:id="163" w:name="_Toc28359019"/>
      <w:bookmarkStart w:id="164" w:name="_Toc45452726"/>
      <w:bookmarkStart w:id="165" w:name="_Toc35393637"/>
      <w:bookmarkStart w:id="166" w:name="_Toc37603101"/>
      <w:bookmarkStart w:id="167" w:name="_Toc42204978"/>
      <w:r>
        <w:rPr>
          <w:rFonts w:hint="eastAsia" w:ascii="宋体" w:hAnsi="宋体" w:eastAsia="宋体" w:cs="宋体"/>
          <w:color w:val="auto"/>
          <w:sz w:val="24"/>
          <w:szCs w:val="24"/>
          <w:highlight w:val="none"/>
        </w:rPr>
        <w:t>1.采购人信息</w:t>
      </w:r>
      <w:bookmarkEnd w:id="160"/>
      <w:bookmarkEnd w:id="161"/>
      <w:bookmarkEnd w:id="162"/>
      <w:bookmarkEnd w:id="163"/>
      <w:bookmarkEnd w:id="164"/>
      <w:bookmarkEnd w:id="165"/>
    </w:p>
    <w:p w14:paraId="348A4889">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福贡县农业农村局</w:t>
      </w:r>
    </w:p>
    <w:p w14:paraId="556F0E57">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地址：福贡县上帕镇石月亮小区二组78号</w:t>
      </w:r>
      <w:r>
        <w:rPr>
          <w:rFonts w:hint="eastAsia" w:ascii="宋体" w:hAnsi="宋体" w:eastAsia="宋体" w:cs="宋体"/>
          <w:sz w:val="24"/>
          <w:szCs w:val="24"/>
          <w:highlight w:val="none"/>
          <w:lang w:val="en-US" w:eastAsia="zh-CN"/>
        </w:rPr>
        <w:t xml:space="preserve"> </w:t>
      </w:r>
    </w:p>
    <w:p w14:paraId="211C956C">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联系人：关海东</w:t>
      </w:r>
    </w:p>
    <w:p w14:paraId="25989C78">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联系电话：13708864895</w:t>
      </w:r>
    </w:p>
    <w:p w14:paraId="3C16AA80">
      <w:pPr>
        <w:pStyle w:val="27"/>
        <w:ind w:firstLine="420"/>
        <w:rPr>
          <w:rFonts w:hint="eastAsia" w:ascii="宋体" w:hAnsi="宋体" w:eastAsia="宋体" w:cs="宋体"/>
          <w:color w:val="auto"/>
          <w:sz w:val="24"/>
          <w:szCs w:val="24"/>
          <w:highlight w:val="none"/>
        </w:rPr>
      </w:pPr>
    </w:p>
    <w:p w14:paraId="7F97D9CA">
      <w:pPr>
        <w:spacing w:line="360" w:lineRule="auto"/>
        <w:ind w:firstLine="480" w:firstLineChars="200"/>
        <w:rPr>
          <w:rFonts w:hint="eastAsia" w:ascii="宋体" w:hAnsi="宋体" w:eastAsia="宋体" w:cs="宋体"/>
          <w:color w:val="auto"/>
          <w:sz w:val="24"/>
          <w:szCs w:val="24"/>
          <w:highlight w:val="none"/>
        </w:rPr>
      </w:pPr>
      <w:bookmarkStart w:id="168" w:name="_Toc35393638"/>
      <w:bookmarkStart w:id="169" w:name="_Toc28359097"/>
      <w:bookmarkStart w:id="170" w:name="_Toc35393807"/>
      <w:bookmarkStart w:id="171" w:name="_Toc45900509"/>
      <w:bookmarkStart w:id="172" w:name="_Toc28359020"/>
      <w:bookmarkStart w:id="173" w:name="_Toc45452727"/>
      <w:r>
        <w:rPr>
          <w:rFonts w:hint="eastAsia" w:ascii="宋体" w:hAnsi="宋体" w:eastAsia="宋体" w:cs="宋体"/>
          <w:color w:val="auto"/>
          <w:sz w:val="24"/>
          <w:szCs w:val="24"/>
          <w:highlight w:val="none"/>
        </w:rPr>
        <w:t>2.采购代理机构信息</w:t>
      </w:r>
      <w:bookmarkEnd w:id="168"/>
      <w:bookmarkEnd w:id="169"/>
      <w:bookmarkEnd w:id="170"/>
      <w:bookmarkEnd w:id="171"/>
      <w:bookmarkEnd w:id="172"/>
      <w:bookmarkEnd w:id="173"/>
    </w:p>
    <w:p w14:paraId="7B834A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云南松赛建设工程咨询有限公司</w:t>
      </w:r>
    </w:p>
    <w:p w14:paraId="07865C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val="en-US" w:eastAsia="zh-CN"/>
        </w:rPr>
        <w:t>云南省昆明市盘龙区山水润城馨园9栋102室</w:t>
      </w:r>
    </w:p>
    <w:p w14:paraId="4738ED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刘号强、罗钦</w:t>
      </w:r>
    </w:p>
    <w:p w14:paraId="2F8B5C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18608806617、18787443501</w:t>
      </w:r>
    </w:p>
    <w:p w14:paraId="069B095C">
      <w:pPr>
        <w:spacing w:line="360" w:lineRule="auto"/>
        <w:rPr>
          <w:rFonts w:hint="eastAsia" w:ascii="宋体" w:hAnsi="宋体" w:eastAsia="宋体" w:cs="宋体"/>
          <w:color w:val="auto"/>
          <w:sz w:val="24"/>
          <w:szCs w:val="24"/>
          <w:highlight w:val="none"/>
        </w:rPr>
      </w:pPr>
    </w:p>
    <w:p w14:paraId="10D8E0FB">
      <w:pPr>
        <w:spacing w:line="360" w:lineRule="auto"/>
        <w:ind w:firstLine="480" w:firstLineChars="200"/>
        <w:rPr>
          <w:rFonts w:hint="eastAsia" w:ascii="宋体" w:hAnsi="宋体" w:eastAsia="宋体" w:cs="宋体"/>
          <w:color w:val="auto"/>
          <w:sz w:val="24"/>
          <w:szCs w:val="24"/>
          <w:highlight w:val="none"/>
        </w:rPr>
      </w:pPr>
      <w:bookmarkStart w:id="174" w:name="_Toc28359021"/>
      <w:bookmarkStart w:id="175" w:name="_Toc35393808"/>
      <w:bookmarkStart w:id="176" w:name="_Toc35393639"/>
      <w:bookmarkStart w:id="177" w:name="_Toc45452728"/>
      <w:bookmarkStart w:id="178" w:name="_Toc45900510"/>
      <w:bookmarkStart w:id="179" w:name="_Toc28359098"/>
      <w:r>
        <w:rPr>
          <w:rFonts w:hint="eastAsia" w:ascii="宋体" w:hAnsi="宋体" w:eastAsia="宋体" w:cs="宋体"/>
          <w:color w:val="auto"/>
          <w:sz w:val="24"/>
          <w:szCs w:val="24"/>
          <w:highlight w:val="none"/>
        </w:rPr>
        <w:t>3.项目联系方式</w:t>
      </w:r>
      <w:bookmarkEnd w:id="174"/>
      <w:bookmarkEnd w:id="175"/>
      <w:bookmarkEnd w:id="176"/>
      <w:bookmarkEnd w:id="177"/>
      <w:bookmarkEnd w:id="178"/>
      <w:bookmarkEnd w:id="179"/>
    </w:p>
    <w:p w14:paraId="6B3BB65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刘号强、罗钦</w:t>
      </w:r>
    </w:p>
    <w:p w14:paraId="6CCF8B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18608806617、18787443501</w:t>
      </w:r>
    </w:p>
    <w:p w14:paraId="711D7667">
      <w:pPr>
        <w:pStyle w:val="56"/>
        <w:tabs>
          <w:tab w:val="right" w:leader="dot" w:pos="8948"/>
        </w:tabs>
        <w:spacing w:line="360" w:lineRule="auto"/>
        <w:ind w:left="0" w:firstLine="400" w:firstLineChars="200"/>
        <w:jc w:val="center"/>
        <w:outlineLvl w:val="0"/>
        <w:rPr>
          <w:rFonts w:asciiTheme="minorEastAsia" w:hAnsiTheme="minorEastAsia" w:eastAsiaTheme="minorEastAsia"/>
          <w:b/>
          <w:bCs/>
          <w:color w:val="auto"/>
          <w:sz w:val="32"/>
          <w:szCs w:val="32"/>
          <w:highlight w:val="none"/>
        </w:rPr>
      </w:pPr>
      <w:r>
        <w:rPr>
          <w:rFonts w:asciiTheme="minorEastAsia" w:hAnsiTheme="minorEastAsia" w:eastAsiaTheme="minorEastAsia"/>
          <w:color w:val="auto"/>
          <w:szCs w:val="21"/>
          <w:highlight w:val="none"/>
        </w:rPr>
        <w:br w:type="page"/>
      </w:r>
      <w:bookmarkEnd w:id="9"/>
      <w:bookmarkStart w:id="180" w:name="_Toc21084"/>
      <w:r>
        <w:rPr>
          <w:rFonts w:hint="eastAsia" w:asciiTheme="minorEastAsia" w:hAnsiTheme="minorEastAsia" w:eastAsiaTheme="minorEastAsia"/>
          <w:b/>
          <w:bCs/>
          <w:color w:val="auto"/>
          <w:sz w:val="32"/>
          <w:szCs w:val="32"/>
          <w:highlight w:val="none"/>
        </w:rPr>
        <w:t>第二章 供应商须知</w:t>
      </w:r>
      <w:bookmarkEnd w:id="166"/>
      <w:bookmarkEnd w:id="167"/>
      <w:bookmarkEnd w:id="180"/>
    </w:p>
    <w:p w14:paraId="12544621">
      <w:pPr>
        <w:widowControl/>
        <w:spacing w:line="360" w:lineRule="auto"/>
        <w:jc w:val="center"/>
        <w:outlineLvl w:val="1"/>
        <w:rPr>
          <w:rFonts w:asciiTheme="minorEastAsia" w:hAnsiTheme="minorEastAsia" w:eastAsiaTheme="minorEastAsia"/>
          <w:b/>
          <w:color w:val="auto"/>
          <w:sz w:val="30"/>
          <w:szCs w:val="30"/>
          <w:highlight w:val="none"/>
        </w:rPr>
      </w:pPr>
      <w:bookmarkStart w:id="181" w:name="_Toc1578"/>
      <w:r>
        <w:rPr>
          <w:rFonts w:hint="eastAsia" w:asciiTheme="minorEastAsia" w:hAnsiTheme="minorEastAsia" w:eastAsiaTheme="minorEastAsia"/>
          <w:b/>
          <w:color w:val="auto"/>
          <w:sz w:val="30"/>
          <w:szCs w:val="30"/>
          <w:highlight w:val="none"/>
        </w:rPr>
        <w:t>一、供应商须知前附表</w:t>
      </w:r>
      <w:bookmarkEnd w:id="181"/>
    </w:p>
    <w:tbl>
      <w:tblPr>
        <w:tblStyle w:val="67"/>
        <w:tblW w:w="5107" w:type="pct"/>
        <w:jc w:val="center"/>
        <w:tblLayout w:type="autofit"/>
        <w:tblCellMar>
          <w:top w:w="0" w:type="dxa"/>
          <w:left w:w="0" w:type="dxa"/>
          <w:bottom w:w="0" w:type="dxa"/>
          <w:right w:w="0" w:type="dxa"/>
        </w:tblCellMar>
      </w:tblPr>
      <w:tblGrid>
        <w:gridCol w:w="927"/>
        <w:gridCol w:w="1929"/>
        <w:gridCol w:w="6988"/>
      </w:tblGrid>
      <w:tr w14:paraId="5A3AD5CF">
        <w:tblPrEx>
          <w:tblCellMar>
            <w:top w:w="0" w:type="dxa"/>
            <w:left w:w="0" w:type="dxa"/>
            <w:bottom w:w="0" w:type="dxa"/>
            <w:right w:w="0" w:type="dxa"/>
          </w:tblCellMar>
        </w:tblPrEx>
        <w:trPr>
          <w:trHeight w:val="489"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6132B71">
            <w:pPr>
              <w:autoSpaceDE w:val="0"/>
              <w:autoSpaceDN w:val="0"/>
              <w:spacing w:before="24" w:beforeLines="10" w:after="60"/>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980" w:type="pct"/>
            <w:tcBorders>
              <w:top w:val="single" w:color="auto" w:sz="4" w:space="0"/>
              <w:left w:val="single" w:color="auto" w:sz="4" w:space="0"/>
              <w:bottom w:val="single" w:color="auto" w:sz="4" w:space="0"/>
              <w:right w:val="single" w:color="auto" w:sz="4" w:space="0"/>
            </w:tcBorders>
            <w:vAlign w:val="center"/>
          </w:tcPr>
          <w:p w14:paraId="68766484">
            <w:pPr>
              <w:autoSpaceDE w:val="0"/>
              <w:autoSpaceDN w:val="0"/>
              <w:spacing w:before="24" w:beforeLines="10" w:after="60"/>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3547" w:type="pct"/>
            <w:tcBorders>
              <w:top w:val="single" w:color="auto" w:sz="4" w:space="0"/>
              <w:left w:val="single" w:color="auto" w:sz="4" w:space="0"/>
              <w:bottom w:val="single" w:color="auto" w:sz="4" w:space="0"/>
              <w:right w:val="single" w:color="auto" w:sz="4" w:space="0"/>
            </w:tcBorders>
            <w:vAlign w:val="center"/>
          </w:tcPr>
          <w:p w14:paraId="20FB0D52">
            <w:pPr>
              <w:autoSpaceDE w:val="0"/>
              <w:autoSpaceDN w:val="0"/>
              <w:spacing w:before="24" w:beforeLines="10" w:after="60"/>
              <w:ind w:left="-15" w:leftChars="-7" w:firstLine="15" w:firstLineChars="7"/>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55C77D9C">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1E2949EE">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980" w:type="pct"/>
            <w:tcBorders>
              <w:top w:val="single" w:color="auto" w:sz="4" w:space="0"/>
              <w:left w:val="single" w:color="auto" w:sz="4" w:space="0"/>
              <w:bottom w:val="single" w:color="auto" w:sz="4" w:space="0"/>
              <w:right w:val="single" w:color="auto" w:sz="4" w:space="0"/>
            </w:tcBorders>
            <w:vAlign w:val="center"/>
          </w:tcPr>
          <w:p w14:paraId="3106003C">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3547" w:type="pct"/>
            <w:tcBorders>
              <w:top w:val="single" w:color="auto" w:sz="4" w:space="0"/>
              <w:left w:val="single" w:color="auto" w:sz="4" w:space="0"/>
              <w:bottom w:val="single" w:color="auto" w:sz="4" w:space="0"/>
              <w:right w:val="single" w:color="auto" w:sz="4" w:space="0"/>
            </w:tcBorders>
          </w:tcPr>
          <w:p w14:paraId="507EF2BF">
            <w:pPr>
              <w:spacing w:line="360" w:lineRule="auto"/>
              <w:ind w:left="105" w:leftChars="5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val="en-US" w:eastAsia="zh-CN"/>
              </w:rPr>
              <w:t>福贡县农业农村局</w:t>
            </w:r>
          </w:p>
          <w:p w14:paraId="5CB3917A">
            <w:pPr>
              <w:spacing w:line="360" w:lineRule="auto"/>
              <w:ind w:left="105" w:leftChars="5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地址：福贡县上帕镇石月亮小区二组78号</w:t>
            </w:r>
            <w:r>
              <w:rPr>
                <w:rFonts w:hint="eastAsia" w:ascii="宋体" w:hAnsi="宋体" w:eastAsia="宋体" w:cs="宋体"/>
                <w:color w:val="auto"/>
                <w:sz w:val="21"/>
                <w:szCs w:val="21"/>
                <w:highlight w:val="none"/>
                <w:lang w:val="en-US" w:eastAsia="zh-CN"/>
              </w:rPr>
              <w:t xml:space="preserve"> </w:t>
            </w:r>
          </w:p>
          <w:p w14:paraId="299F7297">
            <w:pPr>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联系人：关海东</w:t>
            </w:r>
          </w:p>
          <w:p w14:paraId="70331F88">
            <w:pPr>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联系电话：13708864895</w:t>
            </w:r>
          </w:p>
        </w:tc>
      </w:tr>
      <w:tr w14:paraId="6A6905F8">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612AAE26">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980" w:type="pct"/>
            <w:tcBorders>
              <w:top w:val="single" w:color="auto" w:sz="4" w:space="0"/>
              <w:left w:val="single" w:color="auto" w:sz="4" w:space="0"/>
              <w:bottom w:val="single" w:color="auto" w:sz="4" w:space="0"/>
              <w:right w:val="single" w:color="auto" w:sz="4" w:space="0"/>
            </w:tcBorders>
            <w:vAlign w:val="center"/>
          </w:tcPr>
          <w:p w14:paraId="3D67D7E6">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3547" w:type="pct"/>
            <w:tcBorders>
              <w:top w:val="single" w:color="auto" w:sz="4" w:space="0"/>
              <w:left w:val="single" w:color="auto" w:sz="4" w:space="0"/>
              <w:bottom w:val="single" w:color="auto" w:sz="4" w:space="0"/>
              <w:right w:val="single" w:color="auto" w:sz="4" w:space="0"/>
            </w:tcBorders>
          </w:tcPr>
          <w:p w14:paraId="7719CB58">
            <w:pPr>
              <w:spacing w:line="360" w:lineRule="auto"/>
              <w:ind w:left="105" w:leftChars="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名称</w:t>
            </w:r>
            <w:r>
              <w:rPr>
                <w:rFonts w:hint="eastAsia" w:ascii="宋体" w:hAnsi="宋体" w:eastAsia="宋体" w:cs="宋体"/>
                <w:color w:val="auto"/>
                <w:sz w:val="21"/>
                <w:szCs w:val="21"/>
                <w:highlight w:val="none"/>
              </w:rPr>
              <w:t>：云南松赛建设工程咨询有限公司</w:t>
            </w:r>
          </w:p>
          <w:p w14:paraId="3A67D071">
            <w:pPr>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地址：云南省昆明市盘龙区山水润城馨园9栋102号二楼</w:t>
            </w:r>
          </w:p>
          <w:p w14:paraId="6AAFDE9B">
            <w:pPr>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联系人：刘号强、罗钦</w:t>
            </w:r>
          </w:p>
          <w:p w14:paraId="37616BFD">
            <w:pPr>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联系电话：18608806617、18787443501</w:t>
            </w:r>
          </w:p>
        </w:tc>
      </w:tr>
      <w:tr w14:paraId="29991371">
        <w:tblPrEx>
          <w:tblCellMar>
            <w:top w:w="0" w:type="dxa"/>
            <w:left w:w="0" w:type="dxa"/>
            <w:bottom w:w="0" w:type="dxa"/>
            <w:right w:w="0" w:type="dxa"/>
          </w:tblCellMar>
        </w:tblPrEx>
        <w:trPr>
          <w:trHeight w:val="495"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A16EF3B">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w:t>
            </w:r>
          </w:p>
        </w:tc>
        <w:tc>
          <w:tcPr>
            <w:tcW w:w="980" w:type="pct"/>
            <w:tcBorders>
              <w:top w:val="single" w:color="auto" w:sz="4" w:space="0"/>
              <w:left w:val="single" w:color="auto" w:sz="4" w:space="0"/>
              <w:bottom w:val="single" w:color="auto" w:sz="4" w:space="0"/>
              <w:right w:val="single" w:color="auto" w:sz="4" w:space="0"/>
            </w:tcBorders>
            <w:vAlign w:val="center"/>
          </w:tcPr>
          <w:p w14:paraId="3CE4991A">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3547" w:type="pct"/>
            <w:tcBorders>
              <w:top w:val="single" w:color="auto" w:sz="4" w:space="0"/>
              <w:left w:val="single" w:color="auto" w:sz="4" w:space="0"/>
              <w:bottom w:val="single" w:color="auto" w:sz="4" w:space="0"/>
              <w:right w:val="single" w:color="auto" w:sz="4" w:space="0"/>
            </w:tcBorders>
            <w:vAlign w:val="center"/>
          </w:tcPr>
          <w:p w14:paraId="28D25F27">
            <w:pPr>
              <w:spacing w:before="120" w:beforeLines="50" w:line="360" w:lineRule="auto"/>
              <w:ind w:left="105" w:leftChars="5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福贡县农田水利设施建设及防灾减灾治理项目</w:t>
            </w:r>
            <w:r>
              <w:rPr>
                <w:rFonts w:hint="eastAsia" w:ascii="宋体" w:hAnsi="宋体" w:eastAsia="宋体" w:cs="宋体"/>
                <w:color w:val="auto"/>
                <w:sz w:val="21"/>
                <w:szCs w:val="21"/>
                <w:highlight w:val="none"/>
                <w:lang w:eastAsia="zh-CN"/>
              </w:rPr>
              <w:t>。</w:t>
            </w:r>
          </w:p>
        </w:tc>
      </w:tr>
      <w:tr w14:paraId="72865DE3">
        <w:tblPrEx>
          <w:tblCellMar>
            <w:top w:w="0" w:type="dxa"/>
            <w:left w:w="0" w:type="dxa"/>
            <w:bottom w:w="0" w:type="dxa"/>
            <w:right w:w="0" w:type="dxa"/>
          </w:tblCellMar>
        </w:tblPrEx>
        <w:trPr>
          <w:trHeight w:val="433"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708B9955">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w:t>
            </w:r>
          </w:p>
        </w:tc>
        <w:tc>
          <w:tcPr>
            <w:tcW w:w="980" w:type="pct"/>
            <w:tcBorders>
              <w:top w:val="single" w:color="auto" w:sz="4" w:space="0"/>
              <w:left w:val="single" w:color="auto" w:sz="4" w:space="0"/>
              <w:bottom w:val="single" w:color="auto" w:sz="4" w:space="0"/>
              <w:right w:val="single" w:color="auto" w:sz="4" w:space="0"/>
            </w:tcBorders>
            <w:vAlign w:val="center"/>
          </w:tcPr>
          <w:p w14:paraId="3686566E">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工程地点</w:t>
            </w:r>
          </w:p>
        </w:tc>
        <w:tc>
          <w:tcPr>
            <w:tcW w:w="3547" w:type="pct"/>
            <w:tcBorders>
              <w:top w:val="single" w:color="auto" w:sz="4" w:space="0"/>
              <w:left w:val="single" w:color="auto" w:sz="4" w:space="0"/>
              <w:bottom w:val="single" w:color="auto" w:sz="4" w:space="0"/>
              <w:right w:val="single" w:color="auto" w:sz="4" w:space="0"/>
            </w:tcBorders>
            <w:vAlign w:val="center"/>
          </w:tcPr>
          <w:p w14:paraId="5AAE79E0">
            <w:pPr>
              <w:spacing w:before="120" w:beforeLines="50" w:line="360" w:lineRule="auto"/>
              <w:ind w:left="105" w:leftChars="5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福贡县</w:t>
            </w:r>
            <w:r>
              <w:rPr>
                <w:rFonts w:hint="eastAsia" w:ascii="宋体" w:hAnsi="宋体" w:cs="宋体"/>
                <w:color w:val="auto"/>
                <w:sz w:val="21"/>
                <w:szCs w:val="21"/>
                <w:highlight w:val="none"/>
                <w:lang w:val="en-US" w:eastAsia="zh-CN"/>
              </w:rPr>
              <w:t>。</w:t>
            </w:r>
          </w:p>
        </w:tc>
      </w:tr>
      <w:tr w14:paraId="1BEB5234">
        <w:tblPrEx>
          <w:tblCellMar>
            <w:top w:w="0" w:type="dxa"/>
            <w:left w:w="0" w:type="dxa"/>
            <w:bottom w:w="0" w:type="dxa"/>
            <w:right w:w="0" w:type="dxa"/>
          </w:tblCellMar>
        </w:tblPrEx>
        <w:trPr>
          <w:trHeight w:val="39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27CCD3AA">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980" w:type="pct"/>
            <w:tcBorders>
              <w:top w:val="single" w:color="auto" w:sz="4" w:space="0"/>
              <w:left w:val="single" w:color="auto" w:sz="4" w:space="0"/>
              <w:bottom w:val="single" w:color="auto" w:sz="4" w:space="0"/>
              <w:right w:val="single" w:color="auto" w:sz="4" w:space="0"/>
            </w:tcBorders>
            <w:vAlign w:val="center"/>
          </w:tcPr>
          <w:p w14:paraId="77E0E085">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3547" w:type="pct"/>
            <w:tcBorders>
              <w:top w:val="single" w:color="auto" w:sz="4" w:space="0"/>
              <w:left w:val="single" w:color="auto" w:sz="4" w:space="0"/>
              <w:bottom w:val="single" w:color="auto" w:sz="4" w:space="0"/>
              <w:right w:val="single" w:color="auto" w:sz="4" w:space="0"/>
            </w:tcBorders>
            <w:vAlign w:val="center"/>
          </w:tcPr>
          <w:p w14:paraId="09123E43">
            <w:pPr>
              <w:spacing w:before="120" w:beforeLines="50" w:line="360" w:lineRule="auto"/>
              <w:ind w:left="105" w:leftChars="5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上级补助</w:t>
            </w:r>
            <w:r>
              <w:rPr>
                <w:rFonts w:hint="eastAsia" w:ascii="宋体" w:hAnsi="宋体" w:eastAsia="宋体" w:cs="宋体"/>
                <w:color w:val="auto"/>
                <w:sz w:val="21"/>
                <w:szCs w:val="21"/>
                <w:highlight w:val="none"/>
                <w:lang w:eastAsia="zh-CN"/>
              </w:rPr>
              <w:t>。</w:t>
            </w:r>
          </w:p>
        </w:tc>
      </w:tr>
      <w:tr w14:paraId="06F14A2D">
        <w:tblPrEx>
          <w:tblCellMar>
            <w:top w:w="0" w:type="dxa"/>
            <w:left w:w="0" w:type="dxa"/>
            <w:bottom w:w="0" w:type="dxa"/>
            <w:right w:w="0" w:type="dxa"/>
          </w:tblCellMar>
        </w:tblPrEx>
        <w:trPr>
          <w:trHeight w:val="42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2DBD61C5">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w:t>
            </w:r>
          </w:p>
        </w:tc>
        <w:tc>
          <w:tcPr>
            <w:tcW w:w="980" w:type="pct"/>
            <w:tcBorders>
              <w:top w:val="single" w:color="auto" w:sz="4" w:space="0"/>
              <w:left w:val="single" w:color="auto" w:sz="4" w:space="0"/>
              <w:bottom w:val="single" w:color="auto" w:sz="4" w:space="0"/>
              <w:right w:val="single" w:color="auto" w:sz="4" w:space="0"/>
            </w:tcBorders>
            <w:vAlign w:val="center"/>
          </w:tcPr>
          <w:p w14:paraId="555C83FA">
            <w:pPr>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3547" w:type="pct"/>
            <w:tcBorders>
              <w:top w:val="single" w:color="auto" w:sz="4" w:space="0"/>
              <w:left w:val="single" w:color="auto" w:sz="4" w:space="0"/>
              <w:bottom w:val="single" w:color="auto" w:sz="4" w:space="0"/>
              <w:right w:val="single" w:color="auto" w:sz="4" w:space="0"/>
            </w:tcBorders>
            <w:vAlign w:val="center"/>
          </w:tcPr>
          <w:p w14:paraId="593FFD9D">
            <w:pPr>
              <w:spacing w:before="120" w:beforeLines="50"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2690FBEC">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71B767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980" w:type="pct"/>
            <w:tcBorders>
              <w:top w:val="single" w:color="auto" w:sz="4" w:space="0"/>
              <w:left w:val="single" w:color="auto" w:sz="4" w:space="0"/>
              <w:bottom w:val="single" w:color="auto" w:sz="4" w:space="0"/>
              <w:right w:val="single" w:color="auto" w:sz="4" w:space="0"/>
            </w:tcBorders>
            <w:vAlign w:val="center"/>
          </w:tcPr>
          <w:p w14:paraId="240B955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采购内容</w:t>
            </w:r>
          </w:p>
        </w:tc>
        <w:tc>
          <w:tcPr>
            <w:tcW w:w="3547" w:type="pct"/>
            <w:tcBorders>
              <w:top w:val="single" w:color="auto" w:sz="4" w:space="0"/>
              <w:left w:val="single" w:color="auto" w:sz="4" w:space="0"/>
              <w:bottom w:val="single" w:color="auto" w:sz="4" w:space="0"/>
              <w:right w:val="single" w:color="auto" w:sz="4" w:space="0"/>
            </w:tcBorders>
            <w:vAlign w:val="center"/>
          </w:tcPr>
          <w:p w14:paraId="2772A321">
            <w:pPr>
              <w:spacing w:line="360" w:lineRule="auto"/>
              <w:ind w:left="105" w:leftChars="50" w:right="105" w:rightChars="5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草果庄园水毁区域开展生态修复，修复124m人行步道、345m自行车道，软基换填，更换破损圆管涵；配套新建化粪池，修复园区景观照明，翻新路面彩绘，同步完成乔灌草植被恢复，施工统一剥离60cm厚表土后期覆土回用；2、</w:t>
            </w:r>
            <w:r>
              <w:rPr>
                <w:rFonts w:hint="eastAsia" w:ascii="宋体" w:hAnsi="宋体" w:eastAsia="宋体" w:cs="宋体"/>
                <w:color w:val="auto"/>
                <w:sz w:val="21"/>
                <w:szCs w:val="21"/>
                <w:highlight w:val="none"/>
                <w:lang w:eastAsia="zh-CN"/>
              </w:rPr>
              <w:t>亚货洛河下游（靠近河口、地势平缓）的河段修建3座拦沙坝，总坝长43.30m，配套消力池、护坦及排水盲管；铺设总长371mPE</w:t>
            </w:r>
            <w:r>
              <w:rPr>
                <w:rFonts w:hint="eastAsia" w:ascii="宋体" w:hAnsi="宋体" w:cs="宋体"/>
                <w:color w:val="auto"/>
                <w:sz w:val="21"/>
                <w:szCs w:val="21"/>
                <w:highlight w:val="none"/>
                <w:lang w:val="en-US" w:eastAsia="zh-CN"/>
              </w:rPr>
              <w:t>管</w:t>
            </w:r>
            <w:r>
              <w:rPr>
                <w:rFonts w:hint="eastAsia" w:ascii="宋体" w:hAnsi="宋体" w:eastAsia="宋体" w:cs="宋体"/>
                <w:color w:val="auto"/>
                <w:sz w:val="21"/>
                <w:szCs w:val="21"/>
                <w:highlight w:val="none"/>
                <w:lang w:eastAsia="zh-CN"/>
              </w:rPr>
              <w:t>，自流灌溉管道并配套沉砂池。</w:t>
            </w:r>
            <w:r>
              <w:rPr>
                <w:rFonts w:hint="eastAsia" w:ascii="宋体" w:hAnsi="宋体" w:eastAsia="宋体" w:cs="宋体"/>
                <w:color w:val="auto"/>
                <w:sz w:val="21"/>
                <w:szCs w:val="21"/>
                <w:highlight w:val="none"/>
                <w:lang w:val="en-US" w:eastAsia="zh-CN"/>
              </w:rPr>
              <w:t>统筹河道防灾治理、灌溉供水与草果庄园农文旅生态修复。</w:t>
            </w:r>
          </w:p>
        </w:tc>
      </w:tr>
      <w:tr w14:paraId="5AD91465">
        <w:tblPrEx>
          <w:tblCellMar>
            <w:top w:w="0" w:type="dxa"/>
            <w:left w:w="0" w:type="dxa"/>
            <w:bottom w:w="0" w:type="dxa"/>
            <w:right w:w="0" w:type="dxa"/>
          </w:tblCellMar>
        </w:tblPrEx>
        <w:trPr>
          <w:trHeight w:val="44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231D4EE6">
            <w:pPr>
              <w:autoSpaceDE w:val="0"/>
              <w:autoSpaceDN w:val="0"/>
              <w:spacing w:before="120" w:beforeLine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980" w:type="pct"/>
            <w:tcBorders>
              <w:top w:val="single" w:color="auto" w:sz="4" w:space="0"/>
              <w:left w:val="single" w:color="auto" w:sz="4" w:space="0"/>
              <w:bottom w:val="single" w:color="auto" w:sz="4" w:space="0"/>
              <w:right w:val="single" w:color="auto" w:sz="4" w:space="0"/>
            </w:tcBorders>
            <w:vAlign w:val="center"/>
          </w:tcPr>
          <w:p w14:paraId="36688FF1">
            <w:pPr>
              <w:pStyle w:val="162"/>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3547" w:type="pct"/>
            <w:tcBorders>
              <w:top w:val="single" w:color="auto" w:sz="4" w:space="0"/>
              <w:left w:val="single" w:color="auto" w:sz="4" w:space="0"/>
              <w:bottom w:val="single" w:color="auto" w:sz="4" w:space="0"/>
              <w:right w:val="single" w:color="auto" w:sz="4" w:space="0"/>
            </w:tcBorders>
            <w:vAlign w:val="center"/>
          </w:tcPr>
          <w:p w14:paraId="6466E7D7">
            <w:pPr>
              <w:spacing w:before="120" w:beforeLines="50"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5个月</w:t>
            </w:r>
            <w:r>
              <w:rPr>
                <w:rFonts w:hint="eastAsia" w:ascii="宋体" w:hAnsi="宋体" w:eastAsia="宋体" w:cs="宋体"/>
                <w:color w:val="auto"/>
                <w:sz w:val="21"/>
                <w:szCs w:val="21"/>
                <w:highlight w:val="none"/>
              </w:rPr>
              <w:t>（自合同签订之日起算）。</w:t>
            </w:r>
          </w:p>
        </w:tc>
      </w:tr>
      <w:tr w14:paraId="7B2780C3">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4F0591B">
            <w:pPr>
              <w:wordWrap w:val="0"/>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980" w:type="pct"/>
            <w:tcBorders>
              <w:top w:val="single" w:color="auto" w:sz="4" w:space="0"/>
              <w:left w:val="single" w:color="auto" w:sz="4" w:space="0"/>
              <w:bottom w:val="single" w:color="auto" w:sz="4" w:space="0"/>
              <w:right w:val="single" w:color="auto" w:sz="4" w:space="0"/>
            </w:tcBorders>
            <w:vAlign w:val="center"/>
          </w:tcPr>
          <w:p w14:paraId="239748A9">
            <w:pPr>
              <w:wordWrap w:val="0"/>
              <w:autoSpaceDE w:val="0"/>
              <w:autoSpaceDN w:val="0"/>
              <w:ind w:left="105" w:leftChars="50" w:right="105" w:rightChar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3547" w:type="pct"/>
            <w:tcBorders>
              <w:top w:val="single" w:color="auto" w:sz="4" w:space="0"/>
              <w:left w:val="single" w:color="auto" w:sz="4" w:space="0"/>
              <w:bottom w:val="single" w:color="auto" w:sz="4" w:space="0"/>
              <w:right w:val="single" w:color="auto" w:sz="4" w:space="0"/>
            </w:tcBorders>
            <w:vAlign w:val="center"/>
          </w:tcPr>
          <w:p w14:paraId="7DCB4BCA">
            <w:pPr>
              <w:pStyle w:val="6"/>
              <w:spacing w:before="120" w:beforeLines="50" w:line="360" w:lineRule="auto"/>
              <w:ind w:left="105" w:leftChars="50" w:right="105" w:rightChars="5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符合国家、地方及行业现行相关标准和规范并满足采购人要求，一次性验收合格。</w:t>
            </w:r>
          </w:p>
        </w:tc>
      </w:tr>
      <w:tr w14:paraId="1BEB693C">
        <w:tblPrEx>
          <w:tblCellMar>
            <w:top w:w="0" w:type="dxa"/>
            <w:left w:w="0" w:type="dxa"/>
            <w:bottom w:w="0" w:type="dxa"/>
            <w:right w:w="0" w:type="dxa"/>
          </w:tblCellMar>
        </w:tblPrEx>
        <w:trPr>
          <w:trHeight w:val="43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583A6C3">
            <w:pPr>
              <w:autoSpaceDE w:val="0"/>
              <w:autoSpaceDN w:val="0"/>
              <w:spacing w:before="120" w:beforeLine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w:t>
            </w:r>
          </w:p>
        </w:tc>
        <w:tc>
          <w:tcPr>
            <w:tcW w:w="980" w:type="pct"/>
            <w:tcBorders>
              <w:top w:val="single" w:color="auto" w:sz="4" w:space="0"/>
              <w:left w:val="single" w:color="auto" w:sz="4" w:space="0"/>
              <w:bottom w:val="single" w:color="auto" w:sz="4" w:space="0"/>
              <w:right w:val="single" w:color="auto" w:sz="4" w:space="0"/>
            </w:tcBorders>
            <w:vAlign w:val="center"/>
          </w:tcPr>
          <w:p w14:paraId="16A14C4D">
            <w:pPr>
              <w:autoSpaceDE w:val="0"/>
              <w:autoSpaceDN w:val="0"/>
              <w:spacing w:before="120" w:beforeLines="5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包件划分</w:t>
            </w:r>
          </w:p>
        </w:tc>
        <w:tc>
          <w:tcPr>
            <w:tcW w:w="3547" w:type="pct"/>
            <w:tcBorders>
              <w:top w:val="single" w:color="auto" w:sz="4" w:space="0"/>
              <w:left w:val="single" w:color="auto" w:sz="4" w:space="0"/>
              <w:bottom w:val="single" w:color="auto" w:sz="4" w:space="0"/>
              <w:right w:val="single" w:color="auto" w:sz="4" w:space="0"/>
            </w:tcBorders>
            <w:vAlign w:val="center"/>
          </w:tcPr>
          <w:p w14:paraId="44F8E80F">
            <w:pPr>
              <w:spacing w:before="120" w:beforeLines="50"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本项目不划分包件。</w:t>
            </w:r>
          </w:p>
        </w:tc>
      </w:tr>
      <w:tr w14:paraId="3D2171FB">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130D7D9">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980" w:type="pct"/>
            <w:tcBorders>
              <w:top w:val="single" w:color="auto" w:sz="4" w:space="0"/>
              <w:left w:val="single" w:color="auto" w:sz="4" w:space="0"/>
              <w:bottom w:val="single" w:color="auto" w:sz="4" w:space="0"/>
              <w:right w:val="single" w:color="auto" w:sz="4" w:space="0"/>
            </w:tcBorders>
            <w:vAlign w:val="center"/>
          </w:tcPr>
          <w:p w14:paraId="39D56A63">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供应商资格要求</w:t>
            </w:r>
          </w:p>
        </w:tc>
        <w:tc>
          <w:tcPr>
            <w:tcW w:w="3547" w:type="pct"/>
            <w:tcBorders>
              <w:top w:val="single" w:color="auto" w:sz="4" w:space="0"/>
              <w:left w:val="single" w:color="auto" w:sz="4" w:space="0"/>
              <w:bottom w:val="single" w:color="auto" w:sz="4" w:space="0"/>
              <w:right w:val="single" w:color="auto" w:sz="4" w:space="0"/>
            </w:tcBorders>
            <w:vAlign w:val="center"/>
          </w:tcPr>
          <w:p w14:paraId="6C402751">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1.满足《中华人民共和国政府采购法》第二十二条规定：</w:t>
            </w:r>
          </w:p>
          <w:p w14:paraId="1937D149">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（1）具有独立承担民事责任的能力：提供合法有效的企业法人营业执照或其他组织法定证明文件。</w:t>
            </w:r>
          </w:p>
          <w:p w14:paraId="3B155E0C">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（2）具有良好的商业信誉和健全的财务会计制度：供应商须提供2025年度经第三方审计机构或会计师事务所出具的审计报告</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标准无保留意见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包括资产负债表、现金流量表、损益表（利润表）、财务报表附注或财务情况说明书。财务审计报告须按相关要求在“注册会计师行业统一监管平台”备案并赋码（注：成立不足一年的，提供成立之日起至今经单位财务审核签字的财务报表）。</w:t>
            </w:r>
          </w:p>
          <w:p w14:paraId="0B68F815">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（3）具有履行合同所需的设备和专业技术能力：提供证明材料或承诺函。</w:t>
            </w:r>
          </w:p>
          <w:p w14:paraId="2F8C25B6">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（4）有依法缴纳税收和社会保障资金的良好记录：提供2026年1月至今任意1个月依法缴纳税收和缴纳社会保障资金的证明材料</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成立未满1个月的</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提供成立以来的证明材料或情况说明；依法免税或不需要缴纳社会保障资金的供应商，应提供相应文件证明其依法免税或不需要缴纳社会保障资金</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1ECE8B4C">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（5）参加政府采购活动前三年内，在经营活动中没有重大违法记录。提供参加政府采购活动前三年内在经营活动中没有重大违法记录的书面声明（新成立的公司按实际成立时间提供）。</w:t>
            </w:r>
          </w:p>
          <w:p w14:paraId="352D5690">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0267A410">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若以联合体形式参与磋商的，联合体各方均须满足。</w:t>
            </w:r>
          </w:p>
          <w:p w14:paraId="1BA9155F">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本项目属于专门面向中小企业采购的项目。根据《财政部司法部关于政府采购支持监狱企业发展有关问题的通知》（财库〔2014〕68号）、《关于促进残疾人就业政府采购政策的通知》（财库〔2017〕141号），在本政府采购活动中，监狱企业、残疾人福利性单位视同小型、微型企业。</w:t>
            </w:r>
          </w:p>
          <w:p w14:paraId="57DB9359">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3.本项目的特定资格要求：</w:t>
            </w:r>
          </w:p>
          <w:p w14:paraId="34A25344">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资质：应具备建设行政主管部门核发的水利水电施工总承包三级及以上资质和市政公用工程施工总承包三级及以上资质，并具备有效的安全生产许可证书；施工企业主要负责人须具备有效的安全生产考核合格证书（A证）</w:t>
            </w:r>
          </w:p>
          <w:p w14:paraId="2840CFCE">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（2）项目主要人员要求：</w:t>
            </w:r>
          </w:p>
          <w:p w14:paraId="531EB42A">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①项目经理要求：具有有效的水利水电工程或市政公用工程专业二级注册建造师证书且在供应商单位注册，具有安全生产考核合格证书（B证），未担任其他在建工程。</w:t>
            </w:r>
          </w:p>
          <w:p w14:paraId="4309887F">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②技术负责人要求：具有水利水电工程或市政公用工程相关专业工程师职称，未担任其他在建工程。</w:t>
            </w:r>
          </w:p>
          <w:p w14:paraId="288426C9">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注：建筑工程相关专业职称包括建筑施工、工程管理、建筑工程、房屋建筑、结构、给排水、暖通、电气等专业职称；市政公用工程相关专业职称包括道路与桥梁、给排水、结构、机电、燃气等专业职称。</w:t>
            </w:r>
          </w:p>
          <w:p w14:paraId="3DDA2CBE">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信誉要求：由采购代理机构通过“信用中国（https://www.creditchina.gov.cn/）”网站对供应商是否被列入失信被执行人、税收违法黑名单、政府采购严重违法失信行为记录名单及“中国政府采购网（http://www.ccgp.gov.cn）”网站对供应商是否被列入“政府采购严重违法失信行为信息记录”以及“国家企业信用信息公示系统”（http://www.gsxt.gov.cn/）网站中是否被列入严重违法失信企业名单（事业单位、其他组织除外）的信息进行查询，并提供给评审委员会。被列入且未移除的供应商将否决其磋商响应资格。（若以联合体形式参与磋商的，联合体各方均须满足）</w:t>
            </w:r>
          </w:p>
          <w:p w14:paraId="1A1A0AC7">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（4）单位负责人为同一人或者存在直接控股、管理关系的不同供应商，不得同时独立参加本项目的磋商。（若以联合体形式参与磋商的，联合体各方均须满足）</w:t>
            </w:r>
          </w:p>
          <w:p w14:paraId="4B2AA69F">
            <w:pPr>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（5）不允许分包、转包。</w:t>
            </w:r>
          </w:p>
        </w:tc>
      </w:tr>
      <w:tr w14:paraId="0ECE9E1F">
        <w:tblPrEx>
          <w:tblCellMar>
            <w:top w:w="0" w:type="dxa"/>
            <w:left w:w="0" w:type="dxa"/>
            <w:bottom w:w="0" w:type="dxa"/>
            <w:right w:w="0" w:type="dxa"/>
          </w:tblCellMar>
        </w:tblPrEx>
        <w:trPr>
          <w:trHeight w:val="840"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71E7CD4">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980" w:type="pct"/>
            <w:tcBorders>
              <w:top w:val="single" w:color="auto" w:sz="4" w:space="0"/>
              <w:left w:val="single" w:color="auto" w:sz="4" w:space="0"/>
              <w:bottom w:val="single" w:color="auto" w:sz="4" w:space="0"/>
              <w:right w:val="single" w:color="auto" w:sz="4" w:space="0"/>
            </w:tcBorders>
            <w:vAlign w:val="center"/>
          </w:tcPr>
          <w:p w14:paraId="77A7B844">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其他</w:t>
            </w:r>
            <w:r>
              <w:rPr>
                <w:rFonts w:hint="eastAsia" w:ascii="宋体" w:hAnsi="宋体" w:eastAsia="宋体" w:cs="宋体"/>
                <w:color w:val="auto"/>
                <w:sz w:val="21"/>
                <w:szCs w:val="21"/>
                <w:highlight w:val="none"/>
              </w:rPr>
              <w:t>内容</w:t>
            </w:r>
          </w:p>
        </w:tc>
        <w:tc>
          <w:tcPr>
            <w:tcW w:w="3547" w:type="pct"/>
            <w:tcBorders>
              <w:top w:val="single" w:color="auto" w:sz="4" w:space="0"/>
              <w:left w:val="single" w:color="auto" w:sz="4" w:space="0"/>
              <w:bottom w:val="single" w:color="auto" w:sz="4" w:space="0"/>
              <w:right w:val="single" w:color="auto" w:sz="4" w:space="0"/>
            </w:tcBorders>
            <w:vAlign w:val="center"/>
          </w:tcPr>
          <w:p w14:paraId="70E5B49C">
            <w:pPr>
              <w:wordWrap w:val="0"/>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1.发布公告的媒介：云南省政府采购网（网址：http://www.yngp.com/）。</w:t>
            </w:r>
          </w:p>
          <w:p w14:paraId="56F772A3">
            <w:pPr>
              <w:wordWrap w:val="0"/>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eastAsia="宋体" w:cs="宋体"/>
                <w:color w:val="auto"/>
                <w:sz w:val="21"/>
                <w:szCs w:val="21"/>
                <w:highlight w:val="none"/>
              </w:rPr>
              <w:t>.响应文件的提交方式：本项目为全流程电子化项目。凡有意参与磋商者，请自行前往政府采购云平台“客户端&amp;驱动下载”网页（网址：https://customer.zcygov.cn/CA-driver-download?utm=web-ca-front.3ddc8fbb.0.0.91c6cff0db1311ec8cfbc9f613d30204）下载并安装“政采云投标客户端”。供应商按照采购文件和政府采购云平台（网址：https://www.zcygov.cn/）的要求编制、加密电子响应文件，响应文件在提交截止时间前未完成上传的，视为撤回响应文件。供应商在政府采购云平台提交电子版响应文件时，请填写参与远程开标活动经办人的联系方式。</w:t>
            </w:r>
          </w:p>
        </w:tc>
      </w:tr>
      <w:tr w14:paraId="64D98865">
        <w:tblPrEx>
          <w:tblCellMar>
            <w:top w:w="0" w:type="dxa"/>
            <w:left w:w="0" w:type="dxa"/>
            <w:bottom w:w="0" w:type="dxa"/>
            <w:right w:w="0" w:type="dxa"/>
          </w:tblCellMar>
        </w:tblPrEx>
        <w:trPr>
          <w:trHeight w:val="416"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2794C96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980" w:type="pct"/>
            <w:tcBorders>
              <w:top w:val="single" w:color="auto" w:sz="4" w:space="0"/>
              <w:left w:val="single" w:color="auto" w:sz="4" w:space="0"/>
              <w:bottom w:val="single" w:color="auto" w:sz="4" w:space="0"/>
              <w:right w:val="single" w:color="auto" w:sz="4" w:space="0"/>
            </w:tcBorders>
            <w:vAlign w:val="center"/>
          </w:tcPr>
          <w:p w14:paraId="7DB97C43">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w:t>
            </w:r>
          </w:p>
          <w:p w14:paraId="658194BE">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w:t>
            </w:r>
          </w:p>
        </w:tc>
        <w:tc>
          <w:tcPr>
            <w:tcW w:w="3547" w:type="pct"/>
            <w:tcBorders>
              <w:top w:val="single" w:color="auto" w:sz="4" w:space="0"/>
              <w:left w:val="single" w:color="auto" w:sz="4" w:space="0"/>
              <w:bottom w:val="single" w:color="auto" w:sz="4" w:space="0"/>
              <w:right w:val="single" w:color="auto" w:sz="4" w:space="0"/>
            </w:tcBorders>
            <w:vAlign w:val="center"/>
          </w:tcPr>
          <w:p w14:paraId="65BB34E8">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本项目接受联合体。以联合体形式参与磋商的，应满足下列要求：</w:t>
            </w:r>
          </w:p>
          <w:p w14:paraId="3644E563">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（1）联合体各成员均须具有独立承担民事责任能力的企业或其他组织，具备合法有效的企业法人营业执照或其他组织法定证明文件；</w:t>
            </w:r>
          </w:p>
          <w:p w14:paraId="3EFB6469">
            <w:pPr>
              <w:spacing w:line="360" w:lineRule="auto"/>
              <w:ind w:left="105" w:leftChars="50" w:right="105" w:rightChars="50"/>
              <w:rPr>
                <w:rFonts w:hint="eastAsia" w:ascii="宋体" w:hAnsi="宋体" w:eastAsia="宋体" w:cs="宋体"/>
                <w:color w:val="auto"/>
                <w:sz w:val="21"/>
                <w:szCs w:val="21"/>
                <w:highlight w:val="cyan"/>
              </w:rPr>
            </w:pPr>
            <w:r>
              <w:rPr>
                <w:rFonts w:hint="eastAsia" w:ascii="宋体" w:hAnsi="宋体" w:eastAsia="宋体" w:cs="宋体"/>
                <w:color w:val="auto"/>
                <w:sz w:val="21"/>
                <w:szCs w:val="21"/>
                <w:highlight w:val="none"/>
              </w:rPr>
              <w:t>（2）联合体各方应当分别具备承担相关工作的资质条件，且组成联合体的单位不得超过</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家；</w:t>
            </w:r>
          </w:p>
          <w:p w14:paraId="25E83777">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（3）联合体各方应签订联合体磋商协议书，明确约定各方拟承担的工作和责任，并在本项目报名后，不得再以自己名义单独报名参与本项目磋商，也不得组成新的联合体或参加其他联合体在本项目中参与磋商；</w:t>
            </w:r>
          </w:p>
          <w:p w14:paraId="2EC39443">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（4）以联合体形式参与磋商的，由联合体牵头人完成报名及磋商文件等资料下载。</w:t>
            </w:r>
          </w:p>
        </w:tc>
      </w:tr>
      <w:tr w14:paraId="63664C3A">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085272B2">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980" w:type="pct"/>
            <w:tcBorders>
              <w:top w:val="single" w:color="auto" w:sz="4" w:space="0"/>
              <w:left w:val="single" w:color="auto" w:sz="4" w:space="0"/>
              <w:bottom w:val="single" w:color="auto" w:sz="4" w:space="0"/>
              <w:right w:val="single" w:color="auto" w:sz="4" w:space="0"/>
            </w:tcBorders>
            <w:vAlign w:val="center"/>
          </w:tcPr>
          <w:p w14:paraId="5E06CEA2">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费用承担</w:t>
            </w:r>
          </w:p>
        </w:tc>
        <w:tc>
          <w:tcPr>
            <w:tcW w:w="3547" w:type="pct"/>
            <w:tcBorders>
              <w:top w:val="single" w:color="auto" w:sz="4" w:space="0"/>
              <w:left w:val="single" w:color="auto" w:sz="4" w:space="0"/>
              <w:bottom w:val="single" w:color="auto" w:sz="4" w:space="0"/>
              <w:right w:val="single" w:color="auto" w:sz="4" w:space="0"/>
            </w:tcBorders>
            <w:vAlign w:val="center"/>
          </w:tcPr>
          <w:p w14:paraId="7E9989B6">
            <w:pPr>
              <w:numPr>
                <w:ilvl w:val="0"/>
                <w:numId w:val="0"/>
              </w:numPr>
              <w:spacing w:line="360" w:lineRule="auto"/>
              <w:ind w:right="105" w:rightChars="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代理服务费：按照云南省建设工程招标投标行业协会关于印发《云南省建设工程及政府采购代理服务收费参考意见》</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云建招协〔2026〕11号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规定的费率，以</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价为计费基数，计算后</w:t>
            </w:r>
            <w:r>
              <w:rPr>
                <w:rFonts w:hint="eastAsia" w:ascii="宋体" w:hAnsi="宋体" w:cs="宋体"/>
                <w:color w:val="auto"/>
                <w:sz w:val="21"/>
                <w:szCs w:val="21"/>
                <w:highlight w:val="none"/>
                <w:lang w:val="en-US" w:eastAsia="zh-CN"/>
              </w:rPr>
              <w:t>下浮5%</w:t>
            </w:r>
            <w:r>
              <w:rPr>
                <w:rFonts w:hint="eastAsia" w:ascii="宋体" w:hAnsi="宋体" w:eastAsia="宋体" w:cs="宋体"/>
                <w:color w:val="auto"/>
                <w:sz w:val="21"/>
                <w:szCs w:val="21"/>
                <w:highlight w:val="none"/>
              </w:rPr>
              <w:t>收取。由本项目的</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人领取</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通知书时一次性支付。</w:t>
            </w:r>
          </w:p>
          <w:p w14:paraId="0A58F71B">
            <w:pPr>
              <w:spacing w:line="360" w:lineRule="auto"/>
              <w:ind w:right="105" w:rightChars="5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其他情形：已开展评审工作后因</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原因造成</w:t>
            </w:r>
            <w:r>
              <w:rPr>
                <w:rFonts w:hint="eastAsia" w:ascii="宋体" w:hAnsi="宋体" w:cs="宋体"/>
                <w:color w:val="auto"/>
                <w:sz w:val="21"/>
                <w:szCs w:val="21"/>
                <w:highlight w:val="none"/>
                <w:lang w:val="en-US" w:eastAsia="zh-CN"/>
              </w:rPr>
              <w:t>采购</w:t>
            </w:r>
            <w:r>
              <w:rPr>
                <w:rFonts w:hint="eastAsia" w:ascii="宋体" w:hAnsi="宋体" w:eastAsia="宋体" w:cs="宋体"/>
                <w:color w:val="auto"/>
                <w:sz w:val="21"/>
                <w:szCs w:val="21"/>
                <w:highlight w:val="none"/>
              </w:rPr>
              <w:t>失败的，</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代理服务费以最高</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限价为计费基数计算的代理报酬的70%计算，由造成此原因的直接</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支付。</w:t>
            </w:r>
          </w:p>
          <w:p w14:paraId="70A8EE35">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在编制</w:t>
            </w:r>
            <w:r>
              <w:rPr>
                <w:rFonts w:hint="eastAsia" w:ascii="宋体" w:hAnsi="宋体" w:eastAsia="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文件时应充分考虑上述费用。</w:t>
            </w:r>
          </w:p>
        </w:tc>
      </w:tr>
      <w:tr w14:paraId="232820F0">
        <w:tblPrEx>
          <w:tblCellMar>
            <w:top w:w="0" w:type="dxa"/>
            <w:left w:w="0" w:type="dxa"/>
            <w:bottom w:w="0" w:type="dxa"/>
            <w:right w:w="0" w:type="dxa"/>
          </w:tblCellMar>
        </w:tblPrEx>
        <w:trPr>
          <w:trHeight w:val="479"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668736B8">
            <w:pPr>
              <w:wordWrap w:val="0"/>
              <w:autoSpaceDE w:val="0"/>
              <w:autoSpaceDN w:val="0"/>
              <w:spacing w:before="6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980" w:type="pct"/>
            <w:tcBorders>
              <w:top w:val="single" w:color="auto" w:sz="4" w:space="0"/>
              <w:left w:val="single" w:color="auto" w:sz="4" w:space="0"/>
              <w:bottom w:val="single" w:color="auto" w:sz="4" w:space="0"/>
              <w:right w:val="single" w:color="auto" w:sz="4" w:space="0"/>
            </w:tcBorders>
            <w:vAlign w:val="center"/>
          </w:tcPr>
          <w:p w14:paraId="6C4B0F07">
            <w:pPr>
              <w:wordWrap w:val="0"/>
              <w:autoSpaceDE w:val="0"/>
              <w:autoSpaceDN w:val="0"/>
              <w:spacing w:before="6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3547" w:type="pct"/>
            <w:tcBorders>
              <w:top w:val="single" w:color="auto" w:sz="4" w:space="0"/>
              <w:left w:val="single" w:color="auto" w:sz="4" w:space="0"/>
              <w:bottom w:val="single" w:color="auto" w:sz="4" w:space="0"/>
              <w:right w:val="single" w:color="auto" w:sz="4" w:space="0"/>
            </w:tcBorders>
            <w:vAlign w:val="center"/>
          </w:tcPr>
          <w:p w14:paraId="168C65BF">
            <w:pPr>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不组织。</w:t>
            </w:r>
          </w:p>
        </w:tc>
      </w:tr>
      <w:tr w14:paraId="44713C4D">
        <w:tblPrEx>
          <w:tblCellMar>
            <w:top w:w="0" w:type="dxa"/>
            <w:left w:w="0" w:type="dxa"/>
            <w:bottom w:w="0" w:type="dxa"/>
            <w:right w:w="0" w:type="dxa"/>
          </w:tblCellMar>
        </w:tblPrEx>
        <w:trPr>
          <w:trHeight w:val="13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58454C7">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980" w:type="pct"/>
            <w:tcBorders>
              <w:top w:val="single" w:color="auto" w:sz="4" w:space="0"/>
              <w:left w:val="single" w:color="auto" w:sz="4" w:space="0"/>
              <w:bottom w:val="single" w:color="auto" w:sz="4" w:space="0"/>
              <w:right w:val="single" w:color="auto" w:sz="4" w:space="0"/>
            </w:tcBorders>
            <w:vAlign w:val="center"/>
          </w:tcPr>
          <w:p w14:paraId="50B53BF8">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供应商的询问及</w:t>
            </w:r>
          </w:p>
          <w:p w14:paraId="53CA8597">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答复的规定</w:t>
            </w:r>
          </w:p>
        </w:tc>
        <w:tc>
          <w:tcPr>
            <w:tcW w:w="3547" w:type="pct"/>
            <w:tcBorders>
              <w:top w:val="single" w:color="auto" w:sz="4" w:space="0"/>
              <w:left w:val="single" w:color="auto" w:sz="4" w:space="0"/>
              <w:bottom w:val="single" w:color="auto" w:sz="4" w:space="0"/>
              <w:right w:val="single" w:color="auto" w:sz="4" w:space="0"/>
            </w:tcBorders>
            <w:vAlign w:val="center"/>
          </w:tcPr>
          <w:p w14:paraId="1B73CC4C">
            <w:pPr>
              <w:pStyle w:val="153"/>
              <w:wordWrap w:val="0"/>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可以向采购人或采购代理机构提出询问或者凭企业数字证书（CA）登录政府采购云平台，通过在线方式提出询问，采购人或者采购代理机构在接到询问后的3个工作日内对供应商依法提出的询问作出答复，但答复的内容不涉及商业秘密。</w:t>
            </w:r>
          </w:p>
        </w:tc>
      </w:tr>
      <w:tr w14:paraId="73C28DDC">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72334C2">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980" w:type="pct"/>
            <w:tcBorders>
              <w:top w:val="single" w:color="auto" w:sz="4" w:space="0"/>
              <w:left w:val="single" w:color="auto" w:sz="4" w:space="0"/>
              <w:bottom w:val="single" w:color="auto" w:sz="4" w:space="0"/>
              <w:right w:val="single" w:color="auto" w:sz="4" w:space="0"/>
            </w:tcBorders>
            <w:vAlign w:val="center"/>
          </w:tcPr>
          <w:p w14:paraId="2CABC7B3">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采购人澄清的</w:t>
            </w:r>
          </w:p>
          <w:p w14:paraId="5518F3F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时间和方法</w:t>
            </w:r>
          </w:p>
        </w:tc>
        <w:tc>
          <w:tcPr>
            <w:tcW w:w="3547" w:type="pct"/>
            <w:tcBorders>
              <w:top w:val="single" w:color="auto" w:sz="4" w:space="0"/>
              <w:left w:val="single" w:color="auto" w:sz="4" w:space="0"/>
              <w:bottom w:val="single" w:color="auto" w:sz="4" w:space="0"/>
              <w:right w:val="single" w:color="auto" w:sz="4" w:space="0"/>
            </w:tcBorders>
            <w:vAlign w:val="center"/>
          </w:tcPr>
          <w:p w14:paraId="3954580C">
            <w:pPr>
              <w:pStyle w:val="153"/>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前，采购人、采购代理机构可以对已发出的采购文件进行必要的澄清，澄清的内容作为采购文件的组成部分，并具有约束力。澄清的内容可能影响采购文件编制的，采购人、采购代理机构应在响应文件提交截止时间5日前，在政府采购云平台通知所有获取采购文件的供应商，但不指明澄清问题的来源。不足5日的，应当顺延响应文件提交截止时间。</w:t>
            </w:r>
          </w:p>
        </w:tc>
      </w:tr>
      <w:tr w14:paraId="72C694E4">
        <w:tblPrEx>
          <w:tblCellMar>
            <w:top w:w="0" w:type="dxa"/>
            <w:left w:w="0" w:type="dxa"/>
            <w:bottom w:w="0" w:type="dxa"/>
            <w:right w:w="0" w:type="dxa"/>
          </w:tblCellMar>
        </w:tblPrEx>
        <w:trPr>
          <w:trHeight w:val="448"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09C93865">
            <w:pPr>
              <w:autoSpaceDE w:val="0"/>
              <w:autoSpaceDN w:val="0"/>
              <w:spacing w:before="120" w:beforeLines="5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980" w:type="pct"/>
            <w:tcBorders>
              <w:top w:val="single" w:color="auto" w:sz="4" w:space="0"/>
              <w:left w:val="single" w:color="auto" w:sz="4" w:space="0"/>
              <w:bottom w:val="single" w:color="auto" w:sz="4" w:space="0"/>
              <w:right w:val="single" w:color="auto" w:sz="4" w:space="0"/>
            </w:tcBorders>
            <w:vAlign w:val="center"/>
          </w:tcPr>
          <w:p w14:paraId="07853DC2">
            <w:pPr>
              <w:autoSpaceDE w:val="0"/>
              <w:autoSpaceDN w:val="0"/>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3547" w:type="pct"/>
            <w:tcBorders>
              <w:top w:val="single" w:color="auto" w:sz="4" w:space="0"/>
              <w:left w:val="single" w:color="auto" w:sz="4" w:space="0"/>
              <w:bottom w:val="single" w:color="auto" w:sz="4" w:space="0"/>
              <w:right w:val="single" w:color="auto" w:sz="4" w:space="0"/>
            </w:tcBorders>
            <w:vAlign w:val="center"/>
          </w:tcPr>
          <w:p w14:paraId="1D9EDE65">
            <w:pPr>
              <w:pStyle w:val="153"/>
              <w:spacing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不允许。</w:t>
            </w:r>
          </w:p>
        </w:tc>
      </w:tr>
      <w:tr w14:paraId="5E8A9A92">
        <w:tblPrEx>
          <w:tblCellMar>
            <w:top w:w="0" w:type="dxa"/>
            <w:left w:w="0" w:type="dxa"/>
            <w:bottom w:w="0" w:type="dxa"/>
            <w:right w:w="0" w:type="dxa"/>
          </w:tblCellMar>
        </w:tblPrEx>
        <w:trPr>
          <w:trHeight w:val="413"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74AE49E">
            <w:pPr>
              <w:wordWrap w:val="0"/>
              <w:autoSpaceDE w:val="0"/>
              <w:autoSpaceDN w:val="0"/>
              <w:spacing w:before="6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980" w:type="pct"/>
            <w:tcBorders>
              <w:top w:val="single" w:color="auto" w:sz="4" w:space="0"/>
              <w:left w:val="single" w:color="auto" w:sz="4" w:space="0"/>
              <w:bottom w:val="single" w:color="auto" w:sz="4" w:space="0"/>
              <w:right w:val="single" w:color="auto" w:sz="4" w:space="0"/>
            </w:tcBorders>
            <w:vAlign w:val="center"/>
          </w:tcPr>
          <w:p w14:paraId="1F31498F">
            <w:pPr>
              <w:wordWrap w:val="0"/>
              <w:autoSpaceDE w:val="0"/>
              <w:autoSpaceDN w:val="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3547" w:type="pct"/>
            <w:tcBorders>
              <w:top w:val="single" w:color="auto" w:sz="4" w:space="0"/>
              <w:left w:val="single" w:color="auto" w:sz="4" w:space="0"/>
              <w:bottom w:val="single" w:color="auto" w:sz="4" w:space="0"/>
              <w:right w:val="single" w:color="auto" w:sz="4" w:space="0"/>
            </w:tcBorders>
            <w:vAlign w:val="center"/>
          </w:tcPr>
          <w:p w14:paraId="40DFA35A">
            <w:pPr>
              <w:pStyle w:val="153"/>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不允许。</w:t>
            </w:r>
          </w:p>
        </w:tc>
      </w:tr>
      <w:tr w14:paraId="5D565CC0">
        <w:tblPrEx>
          <w:tblCellMar>
            <w:top w:w="0" w:type="dxa"/>
            <w:left w:w="0" w:type="dxa"/>
            <w:bottom w:w="0" w:type="dxa"/>
            <w:right w:w="0" w:type="dxa"/>
          </w:tblCellMar>
        </w:tblPrEx>
        <w:trPr>
          <w:trHeight w:val="416"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0658BBF1">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980" w:type="pct"/>
            <w:tcBorders>
              <w:top w:val="single" w:color="auto" w:sz="4" w:space="0"/>
              <w:left w:val="single" w:color="auto" w:sz="4" w:space="0"/>
              <w:bottom w:val="single" w:color="auto" w:sz="4" w:space="0"/>
              <w:right w:val="single" w:color="auto" w:sz="4" w:space="0"/>
            </w:tcBorders>
            <w:vAlign w:val="center"/>
          </w:tcPr>
          <w:p w14:paraId="152ECB6B">
            <w:pPr>
              <w:spacing w:before="120" w:beforeLines="50" w:line="360"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供应商要求澄清采购文件的截止时间和方法</w:t>
            </w:r>
          </w:p>
        </w:tc>
        <w:tc>
          <w:tcPr>
            <w:tcW w:w="3547" w:type="pct"/>
            <w:tcBorders>
              <w:top w:val="single" w:color="auto" w:sz="4" w:space="0"/>
              <w:left w:val="single" w:color="auto" w:sz="4" w:space="0"/>
              <w:bottom w:val="single" w:color="auto" w:sz="4" w:space="0"/>
              <w:right w:val="single" w:color="auto" w:sz="4" w:space="0"/>
            </w:tcBorders>
            <w:vAlign w:val="center"/>
          </w:tcPr>
          <w:p w14:paraId="3F3E8A8F">
            <w:pPr>
              <w:pStyle w:val="153"/>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5日前。供应商应仔细阅读和检查采购文件的全部内容，如发现缺页或附件不全，应及时向采购人提出，以便补齐。如有疑问，应在响应文件提交截止时间5日前，要求采购人或采购代理机构对采购文件予以澄清。</w:t>
            </w:r>
          </w:p>
        </w:tc>
      </w:tr>
      <w:tr w14:paraId="37D6C34B">
        <w:tblPrEx>
          <w:tblCellMar>
            <w:top w:w="0" w:type="dxa"/>
            <w:left w:w="0" w:type="dxa"/>
            <w:bottom w:w="0" w:type="dxa"/>
            <w:right w:w="0" w:type="dxa"/>
          </w:tblCellMar>
        </w:tblPrEx>
        <w:trPr>
          <w:trHeight w:val="498"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531128E">
            <w:pPr>
              <w:wordWrap w:val="0"/>
              <w:autoSpaceDE w:val="0"/>
              <w:autoSpaceDN w:val="0"/>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980" w:type="pct"/>
            <w:tcBorders>
              <w:top w:val="single" w:color="auto" w:sz="4" w:space="0"/>
              <w:left w:val="single" w:color="auto" w:sz="4" w:space="0"/>
              <w:bottom w:val="single" w:color="auto" w:sz="4" w:space="0"/>
              <w:right w:val="single" w:color="auto" w:sz="4" w:space="0"/>
            </w:tcBorders>
            <w:vAlign w:val="center"/>
          </w:tcPr>
          <w:p w14:paraId="56A1C580">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响应文件提交的</w:t>
            </w:r>
          </w:p>
          <w:p w14:paraId="17229944">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w:t>
            </w:r>
          </w:p>
        </w:tc>
        <w:tc>
          <w:tcPr>
            <w:tcW w:w="3547" w:type="pct"/>
            <w:tcBorders>
              <w:top w:val="single" w:color="auto" w:sz="4" w:space="0"/>
              <w:left w:val="single" w:color="auto" w:sz="4" w:space="0"/>
              <w:bottom w:val="single" w:color="auto" w:sz="4" w:space="0"/>
              <w:right w:val="single" w:color="auto" w:sz="4" w:space="0"/>
            </w:tcBorders>
            <w:vAlign w:val="center"/>
          </w:tcPr>
          <w:p w14:paraId="255E9069">
            <w:pPr>
              <w:pStyle w:val="153"/>
              <w:ind w:left="105" w:leftChars="5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以云南省政府采购网发布的时间为准。</w:t>
            </w:r>
          </w:p>
        </w:tc>
      </w:tr>
      <w:tr w14:paraId="3C88ED9F">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50EE219">
            <w:pPr>
              <w:wordWrap w:val="0"/>
              <w:autoSpaceDE w:val="0"/>
              <w:autoSpaceDN w:val="0"/>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p>
        </w:tc>
        <w:tc>
          <w:tcPr>
            <w:tcW w:w="980" w:type="pct"/>
            <w:tcBorders>
              <w:top w:val="single" w:color="auto" w:sz="4" w:space="0"/>
              <w:left w:val="single" w:color="auto" w:sz="4" w:space="0"/>
              <w:bottom w:val="single" w:color="auto" w:sz="4" w:space="0"/>
              <w:right w:val="single" w:color="auto" w:sz="4" w:space="0"/>
            </w:tcBorders>
            <w:vAlign w:val="center"/>
          </w:tcPr>
          <w:p w14:paraId="6704A85B">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供应商确认收到采购文件澄清的时间</w:t>
            </w:r>
          </w:p>
        </w:tc>
        <w:tc>
          <w:tcPr>
            <w:tcW w:w="3547" w:type="pct"/>
            <w:tcBorders>
              <w:top w:val="single" w:color="auto" w:sz="4" w:space="0"/>
              <w:left w:val="single" w:color="auto" w:sz="4" w:space="0"/>
              <w:bottom w:val="single" w:color="auto" w:sz="4" w:space="0"/>
              <w:right w:val="single" w:color="auto" w:sz="4" w:space="0"/>
            </w:tcBorders>
            <w:vAlign w:val="center"/>
          </w:tcPr>
          <w:p w14:paraId="2D8A4408">
            <w:pPr>
              <w:wordWrap w:val="0"/>
              <w:autoSpaceDE w:val="0"/>
              <w:autoSpaceDN w:val="0"/>
              <w:spacing w:line="360" w:lineRule="auto"/>
              <w:ind w:left="105" w:leftChars="5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时间：在收到相应澄清文件后24小时内</w:t>
            </w:r>
          </w:p>
          <w:p w14:paraId="3F038C13">
            <w:pPr>
              <w:wordWrap w:val="0"/>
              <w:autoSpaceDE w:val="0"/>
              <w:autoSpaceDN w:val="0"/>
              <w:spacing w:line="360" w:lineRule="auto"/>
              <w:ind w:left="105" w:leftChars="5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须知前附表规定的时间前，自行登录云南省政府采购网获取修改内容，无须回复确认已收到该修改内容。</w:t>
            </w:r>
          </w:p>
        </w:tc>
      </w:tr>
      <w:tr w14:paraId="7A1E433D">
        <w:tblPrEx>
          <w:tblCellMar>
            <w:top w:w="0" w:type="dxa"/>
            <w:left w:w="0" w:type="dxa"/>
            <w:bottom w:w="0" w:type="dxa"/>
            <w:right w:w="0" w:type="dxa"/>
          </w:tblCellMar>
        </w:tblPrEx>
        <w:trPr>
          <w:trHeight w:val="13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6C10B657">
            <w:pPr>
              <w:wordWrap w:val="0"/>
              <w:autoSpaceDE w:val="0"/>
              <w:autoSpaceDN w:val="0"/>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w:t>
            </w:r>
          </w:p>
        </w:tc>
        <w:tc>
          <w:tcPr>
            <w:tcW w:w="980" w:type="pct"/>
            <w:tcBorders>
              <w:top w:val="single" w:color="auto" w:sz="4" w:space="0"/>
              <w:left w:val="single" w:color="auto" w:sz="4" w:space="0"/>
              <w:bottom w:val="single" w:color="auto" w:sz="4" w:space="0"/>
              <w:right w:val="single" w:color="auto" w:sz="4" w:space="0"/>
            </w:tcBorders>
            <w:vAlign w:val="center"/>
          </w:tcPr>
          <w:p w14:paraId="58300FAE">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总价最高限价</w:t>
            </w:r>
          </w:p>
        </w:tc>
        <w:tc>
          <w:tcPr>
            <w:tcW w:w="3547" w:type="pct"/>
            <w:tcBorders>
              <w:top w:val="single" w:color="auto" w:sz="4" w:space="0"/>
              <w:left w:val="single" w:color="auto" w:sz="4" w:space="0"/>
              <w:bottom w:val="single" w:color="auto" w:sz="4" w:space="0"/>
              <w:right w:val="single" w:color="auto" w:sz="4" w:space="0"/>
            </w:tcBorders>
            <w:vAlign w:val="center"/>
          </w:tcPr>
          <w:p w14:paraId="03740CA0">
            <w:pPr>
              <w:wordWrap w:val="0"/>
              <w:autoSpaceDE w:val="0"/>
              <w:autoSpaceDN w:val="0"/>
              <w:spacing w:line="360" w:lineRule="auto"/>
              <w:ind w:left="105" w:leftChars="50"/>
              <w:contextualSpacing/>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拦标价（最高投标限价）：2653609</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95元</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大写：贰佰陆拾伍万叁仟陆佰零玖元玖角伍分</w:t>
            </w:r>
            <w:r>
              <w:rPr>
                <w:rFonts w:hint="eastAsia" w:ascii="宋体" w:hAnsi="宋体" w:cs="宋体"/>
                <w:b/>
                <w:bCs/>
                <w:color w:val="auto"/>
                <w:sz w:val="21"/>
                <w:szCs w:val="21"/>
                <w:highlight w:val="none"/>
                <w:lang w:eastAsia="zh-CN"/>
              </w:rPr>
              <w:t>）</w:t>
            </w:r>
            <w:r>
              <w:rPr>
                <w:rFonts w:hint="eastAsia" w:ascii="宋体" w:hAnsi="宋体" w:eastAsia="宋体" w:cs="宋体"/>
                <w:b/>
                <w:bCs/>
                <w:color w:val="auto"/>
                <w:sz w:val="21"/>
                <w:szCs w:val="21"/>
                <w:highlight w:val="none"/>
              </w:rPr>
              <w:t>。</w:t>
            </w:r>
          </w:p>
          <w:p w14:paraId="2AEA507B">
            <w:pPr>
              <w:pStyle w:val="153"/>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注：供应商报价不得高于本项目控制价，否则其响应文件将被否决。</w:t>
            </w:r>
          </w:p>
        </w:tc>
      </w:tr>
      <w:tr w14:paraId="3E467D88">
        <w:tblPrEx>
          <w:tblCellMar>
            <w:top w:w="0" w:type="dxa"/>
            <w:left w:w="0" w:type="dxa"/>
            <w:bottom w:w="0" w:type="dxa"/>
            <w:right w:w="0" w:type="dxa"/>
          </w:tblCellMar>
        </w:tblPrEx>
        <w:trPr>
          <w:trHeight w:val="13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76068314">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w:t>
            </w:r>
          </w:p>
        </w:tc>
        <w:tc>
          <w:tcPr>
            <w:tcW w:w="980" w:type="pct"/>
            <w:tcBorders>
              <w:top w:val="single" w:color="auto" w:sz="4" w:space="0"/>
              <w:left w:val="single" w:color="auto" w:sz="4" w:space="0"/>
              <w:bottom w:val="single" w:color="auto" w:sz="4" w:space="0"/>
              <w:right w:val="single" w:color="auto" w:sz="4" w:space="0"/>
            </w:tcBorders>
            <w:vAlign w:val="center"/>
          </w:tcPr>
          <w:p w14:paraId="72DF8349">
            <w:pPr>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报价方式</w:t>
            </w:r>
          </w:p>
        </w:tc>
        <w:tc>
          <w:tcPr>
            <w:tcW w:w="3547" w:type="pct"/>
            <w:tcBorders>
              <w:top w:val="single" w:color="auto" w:sz="4" w:space="0"/>
              <w:left w:val="single" w:color="auto" w:sz="4" w:space="0"/>
              <w:bottom w:val="single" w:color="auto" w:sz="4" w:space="0"/>
              <w:right w:val="single" w:color="auto" w:sz="4" w:space="0"/>
            </w:tcBorders>
            <w:vAlign w:val="center"/>
          </w:tcPr>
          <w:p w14:paraId="60D9294D">
            <w:pPr>
              <w:wordWrap w:val="0"/>
              <w:autoSpaceDE w:val="0"/>
              <w:autoSpaceDN w:val="0"/>
              <w:spacing w:line="360" w:lineRule="auto"/>
              <w:contextualSpacing/>
              <w:rPr>
                <w:rFonts w:hint="eastAsia" w:ascii="宋体" w:hAnsi="宋体" w:eastAsia="宋体" w:cs="宋体"/>
                <w:b/>
                <w:bCs/>
                <w:color w:val="auto"/>
                <w:sz w:val="21"/>
                <w:szCs w:val="21"/>
                <w:highlight w:val="none"/>
                <w:lang w:eastAsia="zh-CN"/>
              </w:rPr>
            </w:pPr>
            <w:r>
              <w:rPr>
                <w:rFonts w:hint="eastAsia" w:ascii="宋体" w:hAnsi="宋体" w:cs="宋体"/>
                <w:bCs w:val="0"/>
                <w:color w:val="auto"/>
                <w:sz w:val="21"/>
                <w:szCs w:val="21"/>
                <w:highlight w:val="none"/>
                <w:lang w:val="en-US" w:eastAsia="zh-CN"/>
              </w:rPr>
              <w:t>1.</w:t>
            </w:r>
            <w:r>
              <w:rPr>
                <w:rFonts w:hint="eastAsia" w:cs="宋体"/>
                <w:bCs w:val="0"/>
                <w:color w:val="auto"/>
                <w:sz w:val="21"/>
                <w:szCs w:val="21"/>
                <w:highlight w:val="none"/>
                <w:lang w:val="en-US" w:eastAsia="zh-CN"/>
              </w:rPr>
              <w:t>本项目采用</w:t>
            </w:r>
            <w:r>
              <w:rPr>
                <w:rFonts w:hint="eastAsia" w:ascii="宋体" w:hAnsi="宋体" w:eastAsia="宋体" w:cs="宋体"/>
                <w:b/>
                <w:bCs w:val="0"/>
                <w:color w:val="auto"/>
                <w:sz w:val="21"/>
                <w:szCs w:val="21"/>
                <w:highlight w:val="none"/>
                <w:u w:val="single"/>
              </w:rPr>
              <w:t>工程量清单综合单价</w:t>
            </w:r>
            <w:r>
              <w:rPr>
                <w:rFonts w:hint="eastAsia" w:cs="宋体"/>
                <w:bCs w:val="0"/>
                <w:color w:val="auto"/>
                <w:sz w:val="21"/>
                <w:szCs w:val="21"/>
                <w:highlight w:val="none"/>
                <w:lang w:val="en-US" w:eastAsia="zh-CN"/>
              </w:rPr>
              <w:t>的方式报价。</w:t>
            </w:r>
          </w:p>
          <w:p w14:paraId="37C488C4">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cs="宋体"/>
                <w:bCs w:val="0"/>
                <w:color w:val="auto"/>
                <w:sz w:val="21"/>
                <w:szCs w:val="21"/>
                <w:highlight w:val="none"/>
                <w:lang w:val="en-US" w:eastAsia="zh-CN"/>
              </w:rPr>
              <w:t>2.</w:t>
            </w:r>
            <w:r>
              <w:rPr>
                <w:rFonts w:hint="eastAsia" w:ascii="宋体" w:hAnsi="宋体" w:eastAsia="宋体" w:cs="宋体"/>
                <w:bCs w:val="0"/>
                <w:color w:val="auto"/>
                <w:sz w:val="21"/>
                <w:szCs w:val="21"/>
                <w:highlight w:val="none"/>
              </w:rPr>
              <w:t>依据</w:t>
            </w:r>
            <w:r>
              <w:rPr>
                <w:rFonts w:hint="eastAsia" w:cs="宋体"/>
                <w:bCs w:val="0"/>
                <w:color w:val="auto"/>
                <w:sz w:val="21"/>
                <w:szCs w:val="21"/>
                <w:highlight w:val="none"/>
                <w:lang w:eastAsia="zh-CN"/>
              </w:rPr>
              <w:t>《关于推动解决政府采购异常低价问题的通知》二、强化政府采购异常低价审查，本项目对异常低价进行甄别处理</w:t>
            </w:r>
            <w:r>
              <w:rPr>
                <w:rFonts w:hint="eastAsia" w:ascii="宋体" w:hAnsi="宋体" w:eastAsia="宋体" w:cs="宋体"/>
                <w:bCs w:val="0"/>
                <w:color w:val="auto"/>
                <w:sz w:val="21"/>
                <w:szCs w:val="21"/>
                <w:highlight w:val="none"/>
              </w:rPr>
              <w:t>。</w:t>
            </w:r>
            <w:r>
              <w:rPr>
                <w:rFonts w:hint="eastAsia" w:ascii="宋体" w:hAnsi="宋体" w:eastAsia="宋体" w:cs="宋体"/>
                <w:bCs w:val="0"/>
                <w:color w:val="auto"/>
                <w:sz w:val="21"/>
                <w:szCs w:val="21"/>
                <w:highlight w:val="none"/>
                <w:lang w:val="en-US" w:eastAsia="zh-CN"/>
              </w:rPr>
              <w:t>在评审过程中，评审委员会发现供应商报价可能低于预测成本价、影响合同履行的，应在评审委员会要求的时间内，通过</w:t>
            </w:r>
            <w:r>
              <w:rPr>
                <w:rFonts w:hint="eastAsia" w:ascii="宋体" w:hAnsi="宋体" w:eastAsia="宋体" w:cs="宋体"/>
                <w:bCs w:val="0"/>
                <w:color w:val="auto"/>
                <w:sz w:val="21"/>
                <w:szCs w:val="21"/>
                <w:highlight w:val="none"/>
              </w:rPr>
              <w:t>“政府采购云平台”提交详细的书面说明及相关证明材料，以证明其报价的合理性及履约可行性。若</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rPr>
              <w:t>未作任何答复或明确放弃澄清，视为其无法证明报价合理性，</w:t>
            </w:r>
            <w:r>
              <w:rPr>
                <w:rFonts w:hint="eastAsia" w:ascii="宋体" w:hAnsi="宋体" w:eastAsia="宋体" w:cs="宋体"/>
                <w:bCs w:val="0"/>
                <w:color w:val="auto"/>
                <w:sz w:val="21"/>
                <w:szCs w:val="21"/>
                <w:highlight w:val="none"/>
                <w:lang w:val="en-US" w:eastAsia="zh-CN"/>
              </w:rPr>
              <w:t>评审</w:t>
            </w:r>
            <w:r>
              <w:rPr>
                <w:rFonts w:hint="eastAsia" w:ascii="宋体" w:hAnsi="宋体" w:eastAsia="宋体" w:cs="宋体"/>
                <w:bCs w:val="0"/>
                <w:color w:val="auto"/>
                <w:sz w:val="21"/>
                <w:szCs w:val="21"/>
                <w:highlight w:val="none"/>
              </w:rPr>
              <w:t>委员会应直接否决其</w:t>
            </w:r>
            <w:r>
              <w:rPr>
                <w:rFonts w:hint="eastAsia" w:ascii="宋体" w:hAnsi="宋体" w:eastAsia="宋体" w:cs="宋体"/>
                <w:bCs w:val="0"/>
                <w:color w:val="auto"/>
                <w:sz w:val="21"/>
                <w:szCs w:val="21"/>
                <w:highlight w:val="none"/>
                <w:lang w:val="en-US" w:eastAsia="zh-CN"/>
              </w:rPr>
              <w:t>响应</w:t>
            </w:r>
            <w:r>
              <w:rPr>
                <w:rFonts w:hint="eastAsia" w:ascii="宋体" w:hAnsi="宋体" w:eastAsia="宋体" w:cs="宋体"/>
                <w:bCs w:val="0"/>
                <w:color w:val="auto"/>
                <w:sz w:val="21"/>
                <w:szCs w:val="21"/>
                <w:highlight w:val="none"/>
              </w:rPr>
              <w:t>。</w:t>
            </w:r>
          </w:p>
          <w:p w14:paraId="1B13FD7B">
            <w:pPr>
              <w:keepNext w:val="0"/>
              <w:keepLines w:val="0"/>
              <w:pageBreakBefore w:val="0"/>
              <w:widowControl/>
              <w:kinsoku/>
              <w:overflowPunct/>
              <w:autoSpaceDE/>
              <w:autoSpaceDN/>
              <w:bidi w:val="0"/>
              <w:snapToGrid/>
              <w:spacing w:line="348" w:lineRule="auto"/>
              <w:ind w:left="0" w:leftChars="0"/>
              <w:textAlignment w:val="auto"/>
              <w:rPr>
                <w:rFonts w:hint="eastAsia" w:ascii="宋体" w:hAnsi="宋体" w:cs="宋体"/>
                <w:kern w:val="0"/>
                <w:sz w:val="21"/>
                <w:szCs w:val="21"/>
                <w:highlight w:val="none"/>
                <w:lang w:val="en-US" w:eastAsia="zh-CN"/>
              </w:rPr>
            </w:pPr>
            <w:r>
              <w:rPr>
                <w:rFonts w:hint="eastAsia" w:cs="宋体"/>
                <w:bCs w:val="0"/>
                <w:color w:val="auto"/>
                <w:sz w:val="21"/>
                <w:szCs w:val="21"/>
                <w:highlight w:val="none"/>
                <w:lang w:val="en-US" w:eastAsia="zh-CN"/>
              </w:rPr>
              <w:t>3.</w:t>
            </w:r>
            <w:r>
              <w:rPr>
                <w:rFonts w:hint="eastAsia" w:ascii="宋体" w:hAnsi="宋体" w:eastAsia="宋体" w:cs="宋体"/>
                <w:bCs w:val="0"/>
                <w:color w:val="auto"/>
                <w:sz w:val="21"/>
                <w:szCs w:val="21"/>
                <w:highlight w:val="none"/>
                <w:lang w:val="en-US" w:eastAsia="zh-CN"/>
              </w:rPr>
              <w:t>说明材料应包括但不限于：①成本构成明细表，包括材料费、人工费、机械费、管理费、税金等各项费用构成；②主要材料、设备的来源与采购价格依据；③拟采用的施工方案、技术措施及其经济性分析；④风险分析及应对措施；⑤利润水平说明及预期回报分析；⑥其他能证明其报价合理性和履约能力的材料。</w:t>
            </w:r>
          </w:p>
          <w:p w14:paraId="53CBAA6A">
            <w:pPr>
              <w:keepNext w:val="0"/>
              <w:keepLines w:val="0"/>
              <w:pageBreakBefore w:val="0"/>
              <w:widowControl/>
              <w:kinsoku/>
              <w:overflowPunct/>
              <w:autoSpaceDE/>
              <w:autoSpaceDN/>
              <w:bidi w:val="0"/>
              <w:snapToGrid/>
              <w:spacing w:line="348" w:lineRule="auto"/>
              <w:ind w:left="0" w:leftChars="0"/>
              <w:textAlignment w:val="auto"/>
              <w:rPr>
                <w:rFonts w:hint="eastAsia" w:ascii="宋体" w:hAnsi="宋体" w:cs="宋体"/>
                <w:kern w:val="0"/>
                <w:sz w:val="21"/>
                <w:szCs w:val="21"/>
                <w:highlight w:val="none"/>
                <w:lang w:val="en-US" w:eastAsia="zh-CN"/>
              </w:rPr>
            </w:pPr>
            <w:r>
              <w:rPr>
                <w:rFonts w:hint="eastAsia" w:ascii="宋体" w:hAnsi="宋体" w:cs="宋体"/>
                <w:kern w:val="0"/>
                <w:sz w:val="21"/>
                <w:szCs w:val="21"/>
                <w:highlight w:val="none"/>
                <w:lang w:val="en-US" w:eastAsia="zh-CN"/>
              </w:rPr>
              <w:t>4.提交与澄清：供应商应在磋商会议前做好相关材料的准备，未在响应文件中提交材料或提交材料不完整、不充分，不能证明其报价合理性的，应在评审委员会要求的时间内，提交详细的书面说明及相关证明材料，以证明其报价的合理性及履约可行性。若供应商未作任何答复或明确放弃澄清，视为其无法证明报价合理性，评审委员会应直接否决其磋商响应。</w:t>
            </w:r>
          </w:p>
          <w:p w14:paraId="21B6683F">
            <w:pPr>
              <w:pStyle w:val="25"/>
              <w:spacing w:line="360" w:lineRule="auto"/>
              <w:ind w:right="105" w:rightChars="50"/>
              <w:rPr>
                <w:rFonts w:hint="eastAsia" w:ascii="宋体" w:hAnsi="宋体" w:eastAsia="宋体" w:cs="宋体"/>
                <w:bCs w:val="0"/>
                <w:color w:val="auto"/>
                <w:sz w:val="21"/>
                <w:szCs w:val="21"/>
                <w:highlight w:val="none"/>
              </w:rPr>
            </w:pPr>
            <w:r>
              <w:rPr>
                <w:rFonts w:hint="eastAsia" w:cs="宋体"/>
                <w:kern w:val="0"/>
                <w:sz w:val="21"/>
                <w:szCs w:val="21"/>
                <w:highlight w:val="none"/>
                <w:lang w:val="en-US" w:eastAsia="zh-CN"/>
              </w:rPr>
              <w:t>5.</w:t>
            </w:r>
            <w:r>
              <w:rPr>
                <w:rFonts w:hint="eastAsia" w:ascii="宋体" w:hAnsi="宋体" w:cs="宋体"/>
                <w:kern w:val="0"/>
                <w:sz w:val="21"/>
                <w:szCs w:val="21"/>
                <w:highlight w:val="none"/>
                <w:lang w:val="en-US" w:eastAsia="zh-CN"/>
              </w:rPr>
              <w:t>最终报价只能小于或等于一次报价，不能大于一次报价。</w:t>
            </w:r>
          </w:p>
        </w:tc>
      </w:tr>
      <w:tr w14:paraId="1E59C303">
        <w:tblPrEx>
          <w:tblCellMar>
            <w:top w:w="0" w:type="dxa"/>
            <w:left w:w="0" w:type="dxa"/>
            <w:bottom w:w="0" w:type="dxa"/>
            <w:right w:w="0" w:type="dxa"/>
          </w:tblCellMar>
        </w:tblPrEx>
        <w:trPr>
          <w:trHeight w:val="462" w:hRule="atLeast"/>
          <w:jc w:val="center"/>
        </w:trPr>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314A98C8">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w:t>
            </w:r>
          </w:p>
        </w:tc>
        <w:tc>
          <w:tcPr>
            <w:tcW w:w="980" w:type="pct"/>
            <w:tcBorders>
              <w:top w:val="single" w:color="auto" w:sz="4" w:space="0"/>
              <w:left w:val="single" w:color="auto" w:sz="4" w:space="0"/>
              <w:bottom w:val="single" w:color="auto" w:sz="4" w:space="0"/>
              <w:right w:val="single" w:color="auto" w:sz="4" w:space="0"/>
            </w:tcBorders>
            <w:shd w:val="clear" w:color="auto" w:fill="auto"/>
            <w:vAlign w:val="center"/>
          </w:tcPr>
          <w:p w14:paraId="15D40A59">
            <w:pPr>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计价及结算方式</w:t>
            </w:r>
          </w:p>
        </w:tc>
        <w:tc>
          <w:tcPr>
            <w:tcW w:w="3547" w:type="pct"/>
            <w:tcBorders>
              <w:top w:val="single" w:color="auto" w:sz="4" w:space="0"/>
              <w:left w:val="single" w:color="auto" w:sz="4" w:space="0"/>
              <w:bottom w:val="single" w:color="auto" w:sz="4" w:space="0"/>
              <w:right w:val="single" w:color="auto" w:sz="4" w:space="0"/>
            </w:tcBorders>
            <w:shd w:val="clear" w:color="auto" w:fill="auto"/>
            <w:vAlign w:val="center"/>
          </w:tcPr>
          <w:p w14:paraId="49DFC20F">
            <w:pPr>
              <w:adjustRightInd w:val="0"/>
              <w:spacing w:before="120" w:beforeLines="50" w:line="360" w:lineRule="auto"/>
              <w:ind w:left="105" w:leftChars="50" w:right="105" w:rightChars="50"/>
              <w:textAlignment w:val="baseline"/>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1.计价方式：</w:t>
            </w:r>
            <w:r>
              <w:rPr>
                <w:rFonts w:hint="eastAsia" w:ascii="宋体" w:hAnsi="宋体" w:eastAsia="宋体" w:cs="宋体"/>
                <w:color w:val="auto"/>
                <w:sz w:val="21"/>
                <w:szCs w:val="21"/>
                <w:highlight w:val="none"/>
              </w:rPr>
              <w:t>本项目采用固定综合单价的方式进行计价。</w:t>
            </w:r>
          </w:p>
          <w:p w14:paraId="7FC265F4">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2.结算方式：</w:t>
            </w:r>
            <w:r>
              <w:rPr>
                <w:rFonts w:hint="eastAsia" w:ascii="宋体" w:hAnsi="宋体" w:eastAsia="宋体" w:cs="宋体"/>
                <w:color w:val="auto"/>
                <w:sz w:val="21"/>
                <w:szCs w:val="21"/>
                <w:highlight w:val="none"/>
              </w:rPr>
              <w:t>结算时，以实际发生并经审计的工程量结合成交供应商二次报价（最终报价）进行结算。</w:t>
            </w:r>
          </w:p>
        </w:tc>
      </w:tr>
      <w:tr w14:paraId="541FA56C">
        <w:tblPrEx>
          <w:tblCellMar>
            <w:top w:w="0" w:type="dxa"/>
            <w:left w:w="0" w:type="dxa"/>
            <w:bottom w:w="0" w:type="dxa"/>
            <w:right w:w="0" w:type="dxa"/>
          </w:tblCellMar>
        </w:tblPrEx>
        <w:trPr>
          <w:trHeight w:val="462" w:hRule="atLeast"/>
          <w:jc w:val="center"/>
        </w:trPr>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749B048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w:t>
            </w:r>
          </w:p>
        </w:tc>
        <w:tc>
          <w:tcPr>
            <w:tcW w:w="980" w:type="pct"/>
            <w:tcBorders>
              <w:top w:val="single" w:color="auto" w:sz="4" w:space="0"/>
              <w:left w:val="single" w:color="auto" w:sz="4" w:space="0"/>
              <w:bottom w:val="single" w:color="auto" w:sz="4" w:space="0"/>
              <w:right w:val="single" w:color="auto" w:sz="4" w:space="0"/>
            </w:tcBorders>
            <w:shd w:val="clear" w:color="auto" w:fill="auto"/>
            <w:vAlign w:val="center"/>
          </w:tcPr>
          <w:p w14:paraId="7A09C95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二次报价</w:t>
            </w:r>
          </w:p>
        </w:tc>
        <w:tc>
          <w:tcPr>
            <w:tcW w:w="3547" w:type="pct"/>
            <w:tcBorders>
              <w:top w:val="single" w:color="auto" w:sz="4" w:space="0"/>
              <w:left w:val="single" w:color="auto" w:sz="4" w:space="0"/>
              <w:bottom w:val="single" w:color="auto" w:sz="4" w:space="0"/>
              <w:right w:val="single" w:color="auto" w:sz="4" w:space="0"/>
            </w:tcBorders>
            <w:shd w:val="clear" w:color="auto" w:fill="auto"/>
            <w:vAlign w:val="center"/>
          </w:tcPr>
          <w:p w14:paraId="53CCF65D">
            <w:pPr>
              <w:adjustRightInd w:val="0"/>
              <w:spacing w:before="120" w:beforeLines="50" w:line="360" w:lineRule="auto"/>
              <w:ind w:left="105" w:leftChars="50" w:right="105" w:rightChars="5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1.通过资格审查、符合性审查的供应商，获得二次报价（最终报价）的机会。</w:t>
            </w:r>
          </w:p>
          <w:p w14:paraId="6446D14D">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2.供应商在编制响应文件时，需同时编制二次报价（最终报价）的“已标价工程量清单”及磋商总报价，作为二次报价（最终报价）的依据。二次报价（最终报价）时，</w:t>
            </w:r>
            <w:r>
              <w:rPr>
                <w:rFonts w:hint="eastAsia" w:ascii="宋体" w:hAnsi="宋体" w:cs="宋体"/>
                <w:color w:val="auto"/>
                <w:sz w:val="21"/>
                <w:szCs w:val="21"/>
                <w:highlight w:val="none"/>
                <w:lang w:val="en-US" w:eastAsia="zh-CN"/>
              </w:rPr>
              <w:t>同时</w:t>
            </w:r>
            <w:r>
              <w:rPr>
                <w:rFonts w:hint="eastAsia" w:ascii="宋体" w:hAnsi="宋体" w:eastAsia="宋体" w:cs="宋体"/>
                <w:color w:val="auto"/>
                <w:sz w:val="21"/>
                <w:szCs w:val="21"/>
                <w:highlight w:val="none"/>
              </w:rPr>
              <w:t>提交磋商总报价及二次报价“已标价工程量清单”</w:t>
            </w:r>
          </w:p>
          <w:p w14:paraId="568A54BA">
            <w:pPr>
              <w:spacing w:line="360"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3.磋商</w:t>
            </w:r>
            <w:r>
              <w:rPr>
                <w:rFonts w:hint="eastAsia" w:ascii="宋体" w:hAnsi="宋体" w:eastAsia="宋体" w:cs="宋体"/>
                <w:color w:val="auto"/>
                <w:sz w:val="21"/>
                <w:szCs w:val="21"/>
                <w:highlight w:val="none"/>
                <w:lang w:val="en-US" w:eastAsia="zh-CN"/>
              </w:rPr>
              <w:t>评审</w:t>
            </w:r>
            <w:r>
              <w:rPr>
                <w:rFonts w:hint="eastAsia" w:ascii="宋体" w:hAnsi="宋体" w:eastAsia="宋体" w:cs="宋体"/>
                <w:color w:val="auto"/>
                <w:sz w:val="21"/>
                <w:szCs w:val="21"/>
                <w:highlight w:val="none"/>
              </w:rPr>
              <w:t>小组在政府采购云平台上发起二次报价（最终报价）后，供应</w:t>
            </w:r>
            <w:r>
              <w:rPr>
                <w:rFonts w:hint="eastAsia" w:ascii="宋体" w:hAnsi="宋体" w:cs="宋体"/>
                <w:color w:val="auto"/>
                <w:sz w:val="21"/>
                <w:szCs w:val="21"/>
                <w:highlight w:val="none"/>
                <w:lang w:val="en-US" w:eastAsia="zh-CN"/>
              </w:rPr>
              <w:t>商</w:t>
            </w:r>
            <w:r>
              <w:rPr>
                <w:rFonts w:hint="eastAsia" w:ascii="宋体" w:hAnsi="宋体" w:eastAsia="宋体" w:cs="宋体"/>
                <w:color w:val="auto"/>
                <w:sz w:val="21"/>
                <w:szCs w:val="21"/>
                <w:highlight w:val="none"/>
                <w:lang w:val="en-US" w:eastAsia="zh-CN"/>
              </w:rPr>
              <w:t>按照</w:t>
            </w:r>
            <w:r>
              <w:rPr>
                <w:rFonts w:hint="eastAsia" w:ascii="宋体" w:hAnsi="宋体" w:eastAsia="宋体" w:cs="宋体"/>
                <w:color w:val="auto"/>
                <w:sz w:val="21"/>
                <w:szCs w:val="21"/>
                <w:highlight w:val="none"/>
              </w:rPr>
              <w:t>《二次报价表》（最终报价）</w:t>
            </w:r>
            <w:r>
              <w:rPr>
                <w:rFonts w:hint="eastAsia" w:ascii="宋体" w:hAnsi="宋体" w:eastAsia="宋体" w:cs="宋体"/>
                <w:color w:val="auto"/>
                <w:sz w:val="21"/>
                <w:szCs w:val="21"/>
                <w:highlight w:val="none"/>
                <w:lang w:val="en-US" w:eastAsia="zh-CN"/>
              </w:rPr>
              <w:t>格式</w:t>
            </w:r>
            <w:r>
              <w:rPr>
                <w:rFonts w:hint="eastAsia" w:ascii="宋体" w:hAnsi="宋体" w:eastAsia="宋体" w:cs="宋体"/>
                <w:color w:val="auto"/>
                <w:sz w:val="21"/>
                <w:szCs w:val="21"/>
                <w:highlight w:val="none"/>
              </w:rPr>
              <w:t>在规定的时间内进行填报并上传。</w:t>
            </w:r>
          </w:p>
          <w:p w14:paraId="09615E0A">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请供应商务必在规定的时间内进行二次报价（最终报价）及上传经电子签章后的《二次报价表》（最终报价）及二次报价“已标价工程量清单”，同时保持通讯工具畅通。若供应商未在规定的时间内进行二次报价（最终报价）或联系不上的，磋商小组将视为其放弃二次报价（最终报价），并将其响应文件中的磋商总报价作为其最后报价参与评审。</w:t>
            </w:r>
          </w:p>
          <w:p w14:paraId="588DB1C5">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签订前，成交供应商须将已编制完成的二次报价（最终报价）对应的“已标价工程量清单”提交给采购人，用于工程结算使用。二次报价（最终报价）“已标价工程量清单”提交前，应单独装订成册，并按要求签字、盖章。</w:t>
            </w:r>
          </w:p>
        </w:tc>
      </w:tr>
      <w:tr w14:paraId="3862A916">
        <w:tblPrEx>
          <w:tblCellMar>
            <w:top w:w="0" w:type="dxa"/>
            <w:left w:w="0" w:type="dxa"/>
            <w:bottom w:w="0" w:type="dxa"/>
            <w:right w:w="0" w:type="dxa"/>
          </w:tblCellMar>
        </w:tblPrEx>
        <w:trPr>
          <w:trHeight w:val="462"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D1A12E0">
            <w:pPr>
              <w:pStyle w:val="162"/>
              <w:spacing w:before="120" w:beforeLines="5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980" w:type="pct"/>
            <w:tcBorders>
              <w:top w:val="single" w:color="auto" w:sz="4" w:space="0"/>
              <w:left w:val="single" w:color="auto" w:sz="4" w:space="0"/>
              <w:bottom w:val="single" w:color="auto" w:sz="4" w:space="0"/>
              <w:right w:val="single" w:color="auto" w:sz="4" w:space="0"/>
            </w:tcBorders>
            <w:vAlign w:val="center"/>
          </w:tcPr>
          <w:p w14:paraId="4C52F1C4">
            <w:pPr>
              <w:pStyle w:val="162"/>
              <w:spacing w:before="120" w:beforeLine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3547" w:type="pct"/>
            <w:tcBorders>
              <w:top w:val="single" w:color="auto" w:sz="4" w:space="0"/>
              <w:left w:val="single" w:color="auto" w:sz="4" w:space="0"/>
              <w:bottom w:val="single" w:color="auto" w:sz="4" w:space="0"/>
              <w:right w:val="single" w:color="auto" w:sz="4" w:space="0"/>
            </w:tcBorders>
            <w:vAlign w:val="center"/>
          </w:tcPr>
          <w:p w14:paraId="2511D69A">
            <w:pPr>
              <w:pStyle w:val="162"/>
              <w:spacing w:before="120" w:beforeLines="50"/>
              <w:ind w:left="105" w:leftChars="50" w:right="105" w:rightChars="50"/>
              <w:contextualSpacing/>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90</w:t>
            </w:r>
            <w:r>
              <w:rPr>
                <w:rFonts w:hint="eastAsia" w:ascii="宋体" w:hAnsi="宋体" w:eastAsia="宋体" w:cs="宋体"/>
                <w:color w:val="auto"/>
                <w:sz w:val="21"/>
                <w:szCs w:val="21"/>
                <w:highlight w:val="none"/>
              </w:rPr>
              <w:t>日历天</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从响应文件提交截止之日算起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w:t>
            </w:r>
          </w:p>
        </w:tc>
      </w:tr>
      <w:tr w14:paraId="66C7648A">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BFD9459">
            <w:pPr>
              <w:wordWrap w:val="0"/>
              <w:autoSpaceDE w:val="0"/>
              <w:autoSpaceDN w:val="0"/>
              <w:ind w:left="105" w:leftChars="50" w:right="105" w:rightChar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980" w:type="pct"/>
            <w:tcBorders>
              <w:top w:val="single" w:color="auto" w:sz="4" w:space="0"/>
              <w:left w:val="single" w:color="auto" w:sz="4" w:space="0"/>
              <w:bottom w:val="single" w:color="auto" w:sz="4" w:space="0"/>
              <w:right w:val="single" w:color="auto" w:sz="4" w:space="0"/>
            </w:tcBorders>
            <w:vAlign w:val="center"/>
          </w:tcPr>
          <w:p w14:paraId="0A30EEA1">
            <w:pPr>
              <w:pStyle w:val="36"/>
              <w:wordWrap w:val="0"/>
              <w:spacing w:before="120" w:beforeLines="50" w:line="360"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3547" w:type="pct"/>
            <w:tcBorders>
              <w:top w:val="single" w:color="auto" w:sz="4" w:space="0"/>
              <w:left w:val="single" w:color="auto" w:sz="4" w:space="0"/>
              <w:bottom w:val="single" w:color="auto" w:sz="4" w:space="0"/>
              <w:right w:val="single" w:color="auto" w:sz="4" w:space="0"/>
            </w:tcBorders>
            <w:vAlign w:val="center"/>
          </w:tcPr>
          <w:p w14:paraId="123F573B">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sz w:val="21"/>
                <w:szCs w:val="21"/>
                <w:highlight w:val="none"/>
                <w:lang w:eastAsia="zh-CN"/>
              </w:rPr>
              <w:t>不要求递交磋商保证金</w:t>
            </w:r>
          </w:p>
          <w:p w14:paraId="23022384">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■要求递交磋商保证金</w:t>
            </w:r>
          </w:p>
          <w:p w14:paraId="6226D403">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cs="宋体"/>
                <w:bCs w:val="0"/>
                <w:color w:val="auto"/>
                <w:sz w:val="21"/>
                <w:szCs w:val="21"/>
                <w:highlight w:val="none"/>
                <w:lang w:val="en-US" w:eastAsia="zh-CN"/>
              </w:rPr>
              <w:t>1.</w:t>
            </w:r>
            <w:r>
              <w:rPr>
                <w:rFonts w:hint="eastAsia" w:ascii="宋体" w:hAnsi="宋体" w:eastAsia="宋体" w:cs="宋体"/>
                <w:bCs w:val="0"/>
                <w:color w:val="auto"/>
                <w:sz w:val="21"/>
                <w:szCs w:val="21"/>
                <w:highlight w:val="none"/>
                <w:lang w:val="en-US" w:eastAsia="zh-CN"/>
              </w:rPr>
              <w:t>保证金金额：¥</w:t>
            </w:r>
            <w:r>
              <w:rPr>
                <w:rFonts w:hint="eastAsia" w:cs="宋体"/>
                <w:bCs w:val="0"/>
                <w:color w:val="auto"/>
                <w:sz w:val="21"/>
                <w:szCs w:val="21"/>
                <w:highlight w:val="none"/>
                <w:lang w:val="en-US" w:eastAsia="zh-CN"/>
              </w:rPr>
              <w:t>2</w:t>
            </w:r>
            <w:r>
              <w:rPr>
                <w:rFonts w:hint="eastAsia" w:ascii="宋体" w:hAnsi="宋体" w:eastAsia="宋体" w:cs="宋体"/>
                <w:bCs w:val="0"/>
                <w:color w:val="auto"/>
                <w:sz w:val="21"/>
                <w:szCs w:val="21"/>
                <w:highlight w:val="none"/>
                <w:lang w:val="en-US" w:eastAsia="zh-CN"/>
              </w:rPr>
              <w:t>0000.00元（大写：</w:t>
            </w:r>
            <w:r>
              <w:rPr>
                <w:rFonts w:hint="eastAsia" w:cs="宋体"/>
                <w:bCs w:val="0"/>
                <w:color w:val="auto"/>
                <w:sz w:val="21"/>
                <w:szCs w:val="21"/>
                <w:highlight w:val="none"/>
                <w:lang w:val="en-US" w:eastAsia="zh-CN"/>
              </w:rPr>
              <w:t>贰</w:t>
            </w:r>
            <w:r>
              <w:rPr>
                <w:rFonts w:hint="eastAsia" w:ascii="宋体" w:hAnsi="宋体" w:eastAsia="宋体" w:cs="宋体"/>
                <w:bCs w:val="0"/>
                <w:color w:val="auto"/>
                <w:sz w:val="21"/>
                <w:szCs w:val="21"/>
                <w:highlight w:val="none"/>
                <w:lang w:val="en-US" w:eastAsia="zh-CN"/>
              </w:rPr>
              <w:t>万元整）（已根据《云南省发展和改革委员会等部门关于鼓励减免政府投资项目投标保证金的通知》云发改交易管理〔2023〕397号文件、云南省财政厅云财规〔2019〕5号的要求进行减免）。</w:t>
            </w:r>
          </w:p>
          <w:p w14:paraId="18FF4455">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cs="宋体"/>
                <w:bCs w:val="0"/>
                <w:color w:val="auto"/>
                <w:sz w:val="21"/>
                <w:szCs w:val="21"/>
                <w:highlight w:val="none"/>
                <w:lang w:val="en-US" w:eastAsia="zh-CN"/>
              </w:rPr>
              <w:t>2.</w:t>
            </w:r>
            <w:r>
              <w:rPr>
                <w:rFonts w:hint="eastAsia" w:ascii="宋体" w:hAnsi="宋体" w:eastAsia="宋体" w:cs="宋体"/>
                <w:bCs w:val="0"/>
                <w:color w:val="auto"/>
                <w:sz w:val="21"/>
                <w:szCs w:val="21"/>
                <w:highlight w:val="none"/>
                <w:lang w:val="en-US" w:eastAsia="zh-CN"/>
              </w:rPr>
              <w:t>保证金缴纳方式：支票、汇票、本票、转账、电汇、网银、银行保函、保证保险等非现金形式提交。</w:t>
            </w:r>
          </w:p>
          <w:p w14:paraId="2B0E7CDF">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采购代理机构保证金收取信息如下：</w:t>
            </w:r>
          </w:p>
          <w:p w14:paraId="39B8FCA5">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开户单位：云南松赛建设工程咨询有限公司</w:t>
            </w:r>
          </w:p>
          <w:p w14:paraId="7D671ED0">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开户银行：中国建设银行股份有限公司昆明穿金东路支行</w:t>
            </w:r>
          </w:p>
          <w:p w14:paraId="0E782E61">
            <w:pPr>
              <w:pStyle w:val="25"/>
              <w:spacing w:line="360" w:lineRule="auto"/>
              <w:ind w:right="105" w:rightChars="50"/>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账    号：53050190506600000656</w:t>
            </w:r>
          </w:p>
          <w:p w14:paraId="533138D5">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注意事项：</w:t>
            </w:r>
          </w:p>
          <w:p w14:paraId="258733DC">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（1）转账必须是从供应商基本账户汇出，在汇款时须注明“项目名称和</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保证金</w:t>
            </w:r>
            <w:r>
              <w:rPr>
                <w:rFonts w:hint="eastAsia" w:ascii="宋体" w:hAnsi="宋体" w:eastAsia="宋体" w:cs="宋体"/>
                <w:bCs w:val="0"/>
                <w:color w:val="auto"/>
                <w:sz w:val="21"/>
                <w:szCs w:val="21"/>
                <w:highlight w:val="none"/>
                <w:lang w:val="en-US" w:eastAsia="zh-CN"/>
              </w:rPr>
              <w:t>”</w:t>
            </w:r>
            <w:r>
              <w:rPr>
                <w:rFonts w:hint="eastAsia" w:ascii="宋体" w:hAnsi="宋体" w:eastAsia="宋体" w:cs="宋体"/>
                <w:bCs w:val="0"/>
                <w:color w:val="auto"/>
                <w:sz w:val="21"/>
                <w:szCs w:val="21"/>
                <w:highlight w:val="none"/>
                <w:lang w:eastAsia="zh-CN"/>
              </w:rPr>
              <w:t>字样，在</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保证金递交截止</w:t>
            </w:r>
            <w:r>
              <w:rPr>
                <w:rFonts w:hint="eastAsia" w:cs="宋体"/>
                <w:bCs w:val="0"/>
                <w:color w:val="auto"/>
                <w:sz w:val="21"/>
                <w:szCs w:val="21"/>
                <w:highlight w:val="none"/>
                <w:lang w:val="en-US" w:eastAsia="zh-CN"/>
              </w:rPr>
              <w:t>时间</w:t>
            </w:r>
            <w:r>
              <w:rPr>
                <w:rFonts w:hint="eastAsia" w:ascii="宋体" w:hAnsi="宋体" w:eastAsia="宋体" w:cs="宋体"/>
                <w:bCs w:val="0"/>
                <w:color w:val="auto"/>
                <w:sz w:val="21"/>
                <w:szCs w:val="21"/>
                <w:highlight w:val="none"/>
                <w:lang w:eastAsia="zh-CN"/>
              </w:rPr>
              <w:t>前提交至以上账户。保证金缴纳情况以实际到账为准，未到账的保证金一律视为潜在供应商未提交保证金。</w:t>
            </w:r>
          </w:p>
          <w:p w14:paraId="006F954A">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（2）成交人的</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保证金在成交人与</w:t>
            </w:r>
            <w:r>
              <w:rPr>
                <w:rFonts w:hint="eastAsia" w:ascii="宋体" w:hAnsi="宋体" w:eastAsia="宋体" w:cs="宋体"/>
                <w:bCs w:val="0"/>
                <w:color w:val="auto"/>
                <w:sz w:val="21"/>
                <w:szCs w:val="21"/>
                <w:highlight w:val="none"/>
                <w:lang w:val="en-US" w:eastAsia="zh-CN"/>
              </w:rPr>
              <w:t>采购</w:t>
            </w:r>
            <w:r>
              <w:rPr>
                <w:rFonts w:hint="eastAsia" w:ascii="宋体" w:hAnsi="宋体" w:eastAsia="宋体" w:cs="宋体"/>
                <w:bCs w:val="0"/>
                <w:color w:val="auto"/>
                <w:sz w:val="21"/>
                <w:szCs w:val="21"/>
                <w:highlight w:val="none"/>
                <w:lang w:eastAsia="zh-CN"/>
              </w:rPr>
              <w:t>人签订合同和付清相关费用后，5个工作日内退还。</w:t>
            </w:r>
          </w:p>
          <w:p w14:paraId="4BEB93A5">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（3）未成交的供应商在成交通知书发出后5个工作日内，全额退还</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保证金。</w:t>
            </w:r>
          </w:p>
          <w:p w14:paraId="55C13FDD">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（4）对于未能按要求提交</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保证金的</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lang w:eastAsia="zh-CN"/>
              </w:rPr>
              <w:t>，</w:t>
            </w:r>
            <w:r>
              <w:rPr>
                <w:rFonts w:hint="eastAsia" w:ascii="宋体" w:hAnsi="宋体" w:eastAsia="宋体" w:cs="宋体"/>
                <w:bCs w:val="0"/>
                <w:color w:val="auto"/>
                <w:sz w:val="21"/>
                <w:szCs w:val="21"/>
                <w:highlight w:val="none"/>
                <w:lang w:val="en-US" w:eastAsia="zh-CN"/>
              </w:rPr>
              <w:t>采购</w:t>
            </w:r>
            <w:r>
              <w:rPr>
                <w:rFonts w:hint="eastAsia" w:ascii="宋体" w:hAnsi="宋体" w:eastAsia="宋体" w:cs="宋体"/>
                <w:bCs w:val="0"/>
                <w:color w:val="auto"/>
                <w:sz w:val="21"/>
                <w:szCs w:val="21"/>
                <w:highlight w:val="none"/>
                <w:lang w:eastAsia="zh-CN"/>
              </w:rPr>
              <w:t>人将视为不响应</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lang w:eastAsia="zh-CN"/>
              </w:rPr>
              <w:t>文件的实质性要求而予以拒绝。</w:t>
            </w:r>
          </w:p>
          <w:p w14:paraId="50D713FD">
            <w:pPr>
              <w:pStyle w:val="25"/>
              <w:spacing w:line="360" w:lineRule="auto"/>
              <w:ind w:right="105" w:rightChars="50"/>
              <w:rPr>
                <w:rFonts w:hint="eastAsia" w:ascii="宋体" w:hAnsi="宋体" w:eastAsia="宋体" w:cs="宋体"/>
                <w:bCs w:val="0"/>
                <w:color w:val="auto"/>
                <w:sz w:val="21"/>
                <w:szCs w:val="21"/>
                <w:highlight w:val="none"/>
                <w:lang w:eastAsia="zh-CN"/>
              </w:rPr>
            </w:pPr>
            <w:r>
              <w:rPr>
                <w:rFonts w:hint="eastAsia" w:ascii="宋体" w:hAnsi="宋体" w:eastAsia="宋体" w:cs="宋体"/>
                <w:bCs w:val="0"/>
                <w:color w:val="auto"/>
                <w:sz w:val="21"/>
                <w:szCs w:val="21"/>
                <w:highlight w:val="none"/>
                <w:lang w:eastAsia="zh-CN"/>
              </w:rPr>
              <w:t>（</w:t>
            </w:r>
            <w:r>
              <w:rPr>
                <w:rFonts w:hint="eastAsia" w:ascii="宋体" w:hAnsi="宋体" w:eastAsia="宋体" w:cs="宋体"/>
                <w:bCs w:val="0"/>
                <w:color w:val="auto"/>
                <w:sz w:val="21"/>
                <w:szCs w:val="21"/>
                <w:highlight w:val="none"/>
                <w:lang w:val="en-US" w:eastAsia="zh-CN"/>
              </w:rPr>
              <w:t>5）供应商</w:t>
            </w:r>
            <w:r>
              <w:rPr>
                <w:rFonts w:hint="eastAsia" w:ascii="宋体" w:hAnsi="宋体" w:eastAsia="宋体" w:cs="宋体"/>
                <w:bCs w:val="0"/>
                <w:color w:val="auto"/>
                <w:sz w:val="21"/>
                <w:szCs w:val="21"/>
                <w:highlight w:val="none"/>
                <w:lang w:eastAsia="zh-CN"/>
              </w:rPr>
              <w:t>应确保其提交的保函（保险）支持通过核验，包括但不限于经由官方指定平台或第三方查验平台或金融机构官方系统等渠道进行验证。</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lang w:eastAsia="zh-CN"/>
              </w:rPr>
              <w:t>必须在</w:t>
            </w:r>
            <w:bookmarkStart w:id="182" w:name="OLE_LINK4"/>
            <w:r>
              <w:rPr>
                <w:rFonts w:hint="eastAsia" w:ascii="宋体" w:hAnsi="宋体" w:eastAsia="宋体" w:cs="宋体"/>
                <w:bCs w:val="0"/>
                <w:color w:val="auto"/>
                <w:sz w:val="21"/>
                <w:szCs w:val="21"/>
                <w:highlight w:val="none"/>
                <w:lang w:val="en-US" w:eastAsia="zh-CN"/>
              </w:rPr>
              <w:t>响应</w:t>
            </w:r>
            <w:r>
              <w:rPr>
                <w:rFonts w:hint="eastAsia" w:ascii="宋体" w:hAnsi="宋体" w:eastAsia="宋体" w:cs="宋体"/>
                <w:bCs w:val="0"/>
                <w:color w:val="auto"/>
                <w:sz w:val="21"/>
                <w:szCs w:val="21"/>
                <w:highlight w:val="none"/>
                <w:lang w:eastAsia="zh-CN"/>
              </w:rPr>
              <w:t>文件</w:t>
            </w:r>
            <w:bookmarkEnd w:id="182"/>
            <w:r>
              <w:rPr>
                <w:rFonts w:hint="eastAsia" w:ascii="宋体" w:hAnsi="宋体" w:eastAsia="宋体" w:cs="宋体"/>
                <w:bCs w:val="0"/>
                <w:color w:val="auto"/>
                <w:sz w:val="21"/>
                <w:szCs w:val="21"/>
                <w:highlight w:val="none"/>
                <w:lang w:eastAsia="zh-CN"/>
              </w:rPr>
              <w:t>中清晰提供该保函（保险）的【编号/单号】及【官方核验网址或平台名称】，作为辅助核验的关键信息。信息缺失或错误可能导致核验失败。</w:t>
            </w:r>
          </w:p>
          <w:p w14:paraId="7FC940C9">
            <w:pPr>
              <w:pStyle w:val="25"/>
              <w:spacing w:line="360" w:lineRule="auto"/>
              <w:ind w:right="105" w:rightChars="50"/>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lang w:eastAsia="zh-CN"/>
              </w:rPr>
              <w:t>（</w:t>
            </w:r>
            <w:r>
              <w:rPr>
                <w:rFonts w:hint="eastAsia" w:ascii="宋体" w:hAnsi="宋体" w:eastAsia="宋体" w:cs="宋体"/>
                <w:bCs w:val="0"/>
                <w:color w:val="auto"/>
                <w:sz w:val="21"/>
                <w:szCs w:val="21"/>
                <w:highlight w:val="none"/>
                <w:lang w:val="en-US" w:eastAsia="zh-CN"/>
              </w:rPr>
              <w:t>6）</w:t>
            </w:r>
            <w:r>
              <w:rPr>
                <w:rFonts w:hint="eastAsia" w:ascii="宋体" w:hAnsi="宋体" w:eastAsia="宋体" w:cs="宋体"/>
                <w:bCs w:val="0"/>
                <w:color w:val="auto"/>
                <w:sz w:val="21"/>
                <w:szCs w:val="21"/>
                <w:highlight w:val="none"/>
              </w:rPr>
              <w:t>在条件允许的情况下，由代理机构辅助</w:t>
            </w:r>
            <w:r>
              <w:rPr>
                <w:rFonts w:hint="eastAsia" w:ascii="宋体" w:hAnsi="宋体" w:eastAsia="宋体" w:cs="宋体"/>
                <w:bCs w:val="0"/>
                <w:color w:val="auto"/>
                <w:sz w:val="21"/>
                <w:szCs w:val="21"/>
                <w:highlight w:val="none"/>
                <w:lang w:val="en-US" w:eastAsia="zh-CN"/>
              </w:rPr>
              <w:t>评审</w:t>
            </w:r>
            <w:r>
              <w:rPr>
                <w:rFonts w:hint="eastAsia" w:ascii="宋体" w:hAnsi="宋体" w:eastAsia="宋体" w:cs="宋体"/>
                <w:bCs w:val="0"/>
                <w:color w:val="auto"/>
                <w:sz w:val="21"/>
                <w:szCs w:val="21"/>
                <w:highlight w:val="none"/>
              </w:rPr>
              <w:t>委员会对保函（保险）的基本信息（如出具机构、受益人、金额、有效期、格式规范性）进行形式核验。若核验过程中出现异常情况，</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rPr>
              <w:t>须向</w:t>
            </w:r>
            <w:r>
              <w:rPr>
                <w:rFonts w:hint="eastAsia" w:ascii="宋体" w:hAnsi="宋体" w:eastAsia="宋体" w:cs="宋体"/>
                <w:bCs w:val="0"/>
                <w:color w:val="auto"/>
                <w:sz w:val="21"/>
                <w:szCs w:val="21"/>
                <w:highlight w:val="none"/>
                <w:lang w:val="en-US" w:eastAsia="zh-CN"/>
              </w:rPr>
              <w:t>评审</w:t>
            </w:r>
            <w:r>
              <w:rPr>
                <w:rFonts w:hint="eastAsia" w:ascii="宋体" w:hAnsi="宋体" w:eastAsia="宋体" w:cs="宋体"/>
                <w:bCs w:val="0"/>
                <w:color w:val="auto"/>
                <w:sz w:val="21"/>
                <w:szCs w:val="21"/>
                <w:highlight w:val="none"/>
              </w:rPr>
              <w:t>委员会在规定时间内作出解释说明。如</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rPr>
              <w:t>未能在规定时间内作出合理解释，则视为核验不通过，由</w:t>
            </w:r>
            <w:r>
              <w:rPr>
                <w:rFonts w:hint="eastAsia" w:ascii="宋体" w:hAnsi="宋体" w:eastAsia="宋体" w:cs="宋体"/>
                <w:bCs w:val="0"/>
                <w:color w:val="auto"/>
                <w:sz w:val="21"/>
                <w:szCs w:val="21"/>
                <w:highlight w:val="none"/>
                <w:lang w:val="en-US" w:eastAsia="zh-CN"/>
              </w:rPr>
              <w:t>评审</w:t>
            </w:r>
            <w:r>
              <w:rPr>
                <w:rFonts w:hint="eastAsia" w:ascii="宋体" w:hAnsi="宋体" w:eastAsia="宋体" w:cs="宋体"/>
                <w:bCs w:val="0"/>
                <w:color w:val="auto"/>
                <w:sz w:val="21"/>
                <w:szCs w:val="21"/>
                <w:highlight w:val="none"/>
              </w:rPr>
              <w:t>委员会依法否决其</w:t>
            </w:r>
            <w:r>
              <w:rPr>
                <w:rFonts w:hint="eastAsia" w:ascii="宋体" w:hAnsi="宋体" w:eastAsia="宋体" w:cs="宋体"/>
                <w:bCs w:val="0"/>
                <w:color w:val="auto"/>
                <w:sz w:val="21"/>
                <w:szCs w:val="21"/>
                <w:highlight w:val="none"/>
                <w:lang w:val="en-US" w:eastAsia="zh-CN"/>
              </w:rPr>
              <w:t>磋商</w:t>
            </w:r>
            <w:r>
              <w:rPr>
                <w:rFonts w:hint="eastAsia" w:ascii="宋体" w:hAnsi="宋体" w:eastAsia="宋体" w:cs="宋体"/>
                <w:bCs w:val="0"/>
                <w:color w:val="auto"/>
                <w:sz w:val="21"/>
                <w:szCs w:val="21"/>
                <w:highlight w:val="none"/>
              </w:rPr>
              <w:t>。由此产生的一切责任由</w:t>
            </w:r>
            <w:r>
              <w:rPr>
                <w:rFonts w:hint="eastAsia" w:ascii="宋体" w:hAnsi="宋体" w:eastAsia="宋体" w:cs="宋体"/>
                <w:bCs w:val="0"/>
                <w:color w:val="auto"/>
                <w:sz w:val="21"/>
                <w:szCs w:val="21"/>
                <w:highlight w:val="none"/>
                <w:lang w:val="en-US" w:eastAsia="zh-CN"/>
              </w:rPr>
              <w:t>供应商</w:t>
            </w:r>
            <w:r>
              <w:rPr>
                <w:rFonts w:hint="eastAsia" w:ascii="宋体" w:hAnsi="宋体" w:eastAsia="宋体" w:cs="宋体"/>
                <w:bCs w:val="0"/>
                <w:color w:val="auto"/>
                <w:sz w:val="21"/>
                <w:szCs w:val="21"/>
                <w:highlight w:val="none"/>
              </w:rPr>
              <w:t>自行承担。</w:t>
            </w:r>
          </w:p>
        </w:tc>
      </w:tr>
      <w:tr w14:paraId="413C15BE">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0A68F65A">
            <w:pPr>
              <w:autoSpaceDE w:val="0"/>
              <w:autoSpaceDN w:val="0"/>
              <w:spacing w:before="120" w:beforeLines="5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3.5.1</w:t>
            </w:r>
          </w:p>
        </w:tc>
        <w:tc>
          <w:tcPr>
            <w:tcW w:w="980" w:type="pct"/>
            <w:tcBorders>
              <w:top w:val="single" w:color="auto" w:sz="4" w:space="0"/>
              <w:left w:val="single" w:color="auto" w:sz="4" w:space="0"/>
              <w:bottom w:val="single" w:color="auto" w:sz="4" w:space="0"/>
              <w:right w:val="single" w:color="auto" w:sz="4" w:space="0"/>
            </w:tcBorders>
            <w:vAlign w:val="center"/>
          </w:tcPr>
          <w:p w14:paraId="77BF839A">
            <w:pPr>
              <w:spacing w:before="120" w:beforeLines="50" w:line="360"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近年财务状况的</w:t>
            </w:r>
          </w:p>
          <w:p w14:paraId="0928B1E5">
            <w:pPr>
              <w:spacing w:line="360"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年份要求</w:t>
            </w:r>
          </w:p>
        </w:tc>
        <w:tc>
          <w:tcPr>
            <w:tcW w:w="3547" w:type="pct"/>
            <w:tcBorders>
              <w:top w:val="single" w:color="auto" w:sz="4" w:space="0"/>
              <w:left w:val="single" w:color="auto" w:sz="4" w:space="0"/>
              <w:bottom w:val="single" w:color="auto" w:sz="4" w:space="0"/>
              <w:right w:val="single" w:color="auto" w:sz="4" w:space="0"/>
            </w:tcBorders>
            <w:vAlign w:val="center"/>
          </w:tcPr>
          <w:p w14:paraId="793D56E9">
            <w:pPr>
              <w:autoSpaceDE w:val="0"/>
              <w:autoSpaceDN w:val="0"/>
              <w:spacing w:before="120" w:beforeLines="50"/>
              <w:ind w:left="105" w:leftChars="50" w:firstLine="14" w:firstLineChars="7"/>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年度。</w:t>
            </w:r>
          </w:p>
        </w:tc>
      </w:tr>
      <w:tr w14:paraId="5C4A6FC3">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91ADF7C">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3.5.2</w:t>
            </w:r>
          </w:p>
        </w:tc>
        <w:tc>
          <w:tcPr>
            <w:tcW w:w="980" w:type="pct"/>
            <w:tcBorders>
              <w:top w:val="single" w:color="auto" w:sz="4" w:space="0"/>
              <w:left w:val="single" w:color="auto" w:sz="4" w:space="0"/>
              <w:bottom w:val="single" w:color="auto" w:sz="4" w:space="0"/>
              <w:right w:val="single" w:color="auto" w:sz="4" w:space="0"/>
            </w:tcBorders>
            <w:vAlign w:val="center"/>
          </w:tcPr>
          <w:p w14:paraId="56FC5A22">
            <w:pPr>
              <w:spacing w:before="120" w:beforeLines="50" w:line="360" w:lineRule="auto"/>
              <w:ind w:left="105" w:leftChars="50" w:right="105" w:rightChars="5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没有重大违法记录的年份要求</w:t>
            </w:r>
          </w:p>
        </w:tc>
        <w:tc>
          <w:tcPr>
            <w:tcW w:w="3547" w:type="pct"/>
            <w:tcBorders>
              <w:top w:val="single" w:color="auto" w:sz="4" w:space="0"/>
              <w:left w:val="single" w:color="auto" w:sz="4" w:space="0"/>
              <w:bottom w:val="single" w:color="auto" w:sz="4" w:space="0"/>
              <w:right w:val="single" w:color="auto" w:sz="4" w:space="0"/>
            </w:tcBorders>
            <w:vAlign w:val="center"/>
          </w:tcPr>
          <w:p w14:paraId="2A1AAC22">
            <w:pPr>
              <w:wordWrap w:val="0"/>
              <w:autoSpaceDE w:val="0"/>
              <w:autoSpaceDN w:val="0"/>
              <w:ind w:left="105" w:leftChars="50" w:firstLine="14" w:firstLineChars="7"/>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自响应文件提交截止之日起前三年内。</w:t>
            </w:r>
          </w:p>
        </w:tc>
      </w:tr>
      <w:tr w14:paraId="3DE45146">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2EAE7CC2">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w:t>
            </w:r>
          </w:p>
        </w:tc>
        <w:tc>
          <w:tcPr>
            <w:tcW w:w="980" w:type="pct"/>
            <w:tcBorders>
              <w:top w:val="single" w:color="auto" w:sz="4" w:space="0"/>
              <w:left w:val="single" w:color="auto" w:sz="4" w:space="0"/>
              <w:bottom w:val="single" w:color="auto" w:sz="4" w:space="0"/>
              <w:right w:val="single" w:color="auto" w:sz="4" w:space="0"/>
            </w:tcBorders>
            <w:vAlign w:val="center"/>
          </w:tcPr>
          <w:p w14:paraId="76F4EE0C">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响应文件的格式</w:t>
            </w:r>
          </w:p>
        </w:tc>
        <w:tc>
          <w:tcPr>
            <w:tcW w:w="3547" w:type="pct"/>
            <w:tcBorders>
              <w:top w:val="single" w:color="auto" w:sz="4" w:space="0"/>
              <w:left w:val="single" w:color="auto" w:sz="4" w:space="0"/>
              <w:bottom w:val="single" w:color="auto" w:sz="4" w:space="0"/>
              <w:right w:val="single" w:color="auto" w:sz="4" w:space="0"/>
            </w:tcBorders>
            <w:vAlign w:val="center"/>
          </w:tcPr>
          <w:p w14:paraId="621118E1">
            <w:pPr>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1.响应文件全部采用电子文档，必须使用政府采购云平台下载的政采云电子</w:t>
            </w:r>
            <w:r>
              <w:rPr>
                <w:rFonts w:hint="eastAsia" w:ascii="宋体" w:hAnsi="宋体" w:cs="宋体"/>
                <w:color w:val="auto"/>
                <w:sz w:val="21"/>
                <w:szCs w:val="21"/>
                <w:highlight w:val="none"/>
                <w:lang w:val="en-US" w:eastAsia="zh-CN"/>
              </w:rPr>
              <w:t>响应</w:t>
            </w:r>
            <w:r>
              <w:rPr>
                <w:rFonts w:hint="eastAsia" w:ascii="宋体" w:hAnsi="宋体" w:eastAsia="宋体" w:cs="宋体"/>
                <w:color w:val="auto"/>
                <w:sz w:val="21"/>
                <w:szCs w:val="21"/>
                <w:highlight w:val="none"/>
              </w:rPr>
              <w:t>客户端制作，并进行电子签章及加密后上传至政府采购云平台。编制要求见《电子投标文件编制要求》。</w:t>
            </w:r>
          </w:p>
          <w:p w14:paraId="20E92AF4">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2.如供应商提交的响应文件不符合以上要求的或</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时无法读取导入或解密的，其响应文件将不予受理。</w:t>
            </w:r>
          </w:p>
        </w:tc>
      </w:tr>
      <w:tr w14:paraId="4B27C8AF">
        <w:tblPrEx>
          <w:tblCellMar>
            <w:top w:w="0" w:type="dxa"/>
            <w:left w:w="0" w:type="dxa"/>
            <w:bottom w:w="0" w:type="dxa"/>
            <w:right w:w="0" w:type="dxa"/>
          </w:tblCellMar>
        </w:tblPrEx>
        <w:trPr>
          <w:trHeight w:val="578" w:hRule="atLeast"/>
          <w:jc w:val="center"/>
        </w:trPr>
        <w:tc>
          <w:tcPr>
            <w:tcW w:w="471" w:type="pct"/>
            <w:tcBorders>
              <w:top w:val="single" w:color="auto" w:sz="4" w:space="0"/>
              <w:left w:val="single" w:color="auto" w:sz="4" w:space="0"/>
              <w:bottom w:val="single" w:color="auto" w:sz="4" w:space="0"/>
              <w:right w:val="single" w:color="auto" w:sz="4" w:space="0"/>
            </w:tcBorders>
            <w:shd w:val="clear" w:color="auto" w:fill="auto"/>
            <w:vAlign w:val="center"/>
          </w:tcPr>
          <w:p w14:paraId="7B0EC829">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980" w:type="pct"/>
            <w:tcBorders>
              <w:top w:val="single" w:color="auto" w:sz="4" w:space="0"/>
              <w:left w:val="single" w:color="auto" w:sz="4" w:space="0"/>
              <w:bottom w:val="single" w:color="auto" w:sz="4" w:space="0"/>
              <w:right w:val="single" w:color="auto" w:sz="4" w:space="0"/>
            </w:tcBorders>
            <w:shd w:val="clear" w:color="auto" w:fill="auto"/>
            <w:vAlign w:val="center"/>
          </w:tcPr>
          <w:p w14:paraId="0121D604">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响应文件的签署</w:t>
            </w:r>
          </w:p>
        </w:tc>
        <w:tc>
          <w:tcPr>
            <w:tcW w:w="3547" w:type="pct"/>
            <w:tcBorders>
              <w:top w:val="single" w:color="auto" w:sz="4" w:space="0"/>
              <w:left w:val="single" w:color="auto" w:sz="4" w:space="0"/>
              <w:bottom w:val="single" w:color="auto" w:sz="4" w:space="0"/>
              <w:right w:val="single" w:color="auto" w:sz="4" w:space="0"/>
            </w:tcBorders>
            <w:shd w:val="clear" w:color="auto" w:fill="auto"/>
          </w:tcPr>
          <w:p w14:paraId="6C184D89">
            <w:pPr>
              <w:spacing w:before="120" w:beforeLines="50" w:line="360" w:lineRule="auto"/>
              <w:ind w:left="105" w:leftChars="50" w:right="105" w:rightChars="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1.按照第四章“响应文件格式”的要求，采用单位和个人数字证书电子签章，需要企业、法定代表人电子签章。在需要电子签章的地方进行电子签章，无需逐页电子签章。</w:t>
            </w:r>
          </w:p>
          <w:p w14:paraId="49547B95">
            <w:pPr>
              <w:spacing w:line="360" w:lineRule="auto"/>
              <w:ind w:left="105" w:leftChars="50" w:right="105" w:rightChars="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2.已标价工程量清单的签署：已标价工程量清单必须</w:t>
            </w:r>
            <w:r>
              <w:rPr>
                <w:rFonts w:hint="eastAsia" w:ascii="宋体" w:hAnsi="宋体" w:eastAsia="宋体" w:cs="宋体"/>
                <w:color w:val="auto"/>
                <w:kern w:val="0"/>
                <w:sz w:val="21"/>
                <w:szCs w:val="21"/>
                <w:highlight w:val="none"/>
                <w:lang w:val="en-US" w:eastAsia="zh-CN"/>
              </w:rPr>
              <w:t>有</w:t>
            </w:r>
            <w:r>
              <w:rPr>
                <w:rFonts w:hint="eastAsia" w:ascii="宋体" w:hAnsi="宋体" w:eastAsia="宋体" w:cs="宋体"/>
                <w:color w:val="auto"/>
                <w:kern w:val="0"/>
                <w:sz w:val="21"/>
                <w:szCs w:val="21"/>
                <w:highlight w:val="none"/>
              </w:rPr>
              <w:t>注册造价工程师盖章</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水利工程或土木建筑工程</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，并且注册造价工程师的章必须在有效期内。若注册造价工程师为非供应商本单位人员，则响应文件中还需附供应商与注册造价工程师所在造价咨询</w:t>
            </w:r>
            <w:r>
              <w:rPr>
                <w:rFonts w:hint="eastAsia" w:ascii="宋体" w:hAnsi="宋体" w:cs="宋体"/>
                <w:color w:val="auto"/>
                <w:kern w:val="0"/>
                <w:sz w:val="21"/>
                <w:szCs w:val="21"/>
                <w:highlight w:val="none"/>
                <w:lang w:eastAsia="zh-CN"/>
              </w:rPr>
              <w:t>单位签订的</w:t>
            </w:r>
            <w:r>
              <w:rPr>
                <w:rFonts w:hint="eastAsia" w:ascii="宋体" w:hAnsi="宋体" w:eastAsia="宋体" w:cs="宋体"/>
                <w:color w:val="auto"/>
                <w:kern w:val="0"/>
                <w:sz w:val="21"/>
                <w:szCs w:val="21"/>
                <w:highlight w:val="none"/>
              </w:rPr>
              <w:t>委托协议的扫描件，否则其响应文件按否决处理。</w:t>
            </w:r>
          </w:p>
          <w:p w14:paraId="22DB6826">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注：响应文件格式中的《残疾人福利性单位声明函</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中小企业声明函》，非此类单位的供应商，无需进行填写及电子签章。</w:t>
            </w:r>
          </w:p>
        </w:tc>
      </w:tr>
      <w:tr w14:paraId="5A9B6620">
        <w:tblPrEx>
          <w:tblCellMar>
            <w:top w:w="0" w:type="dxa"/>
            <w:left w:w="0" w:type="dxa"/>
            <w:bottom w:w="0" w:type="dxa"/>
            <w:right w:w="0" w:type="dxa"/>
          </w:tblCellMar>
        </w:tblPrEx>
        <w:trPr>
          <w:trHeight w:val="578"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04AC7C7">
            <w:pPr>
              <w:wordWrap w:val="0"/>
              <w:autoSpaceDE w:val="0"/>
              <w:autoSpaceDN w:val="0"/>
              <w:spacing w:before="60" w:after="6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w:t>
            </w:r>
          </w:p>
        </w:tc>
        <w:tc>
          <w:tcPr>
            <w:tcW w:w="980" w:type="pct"/>
            <w:tcBorders>
              <w:top w:val="single" w:color="auto" w:sz="4" w:space="0"/>
              <w:left w:val="single" w:color="auto" w:sz="4" w:space="0"/>
              <w:bottom w:val="single" w:color="auto" w:sz="4" w:space="0"/>
              <w:right w:val="single" w:color="auto" w:sz="4" w:space="0"/>
            </w:tcBorders>
            <w:vAlign w:val="center"/>
          </w:tcPr>
          <w:p w14:paraId="5FDEEDD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响应文件的加密</w:t>
            </w:r>
          </w:p>
        </w:tc>
        <w:tc>
          <w:tcPr>
            <w:tcW w:w="3547" w:type="pct"/>
            <w:tcBorders>
              <w:top w:val="single" w:color="auto" w:sz="4" w:space="0"/>
              <w:left w:val="single" w:color="auto" w:sz="4" w:space="0"/>
              <w:bottom w:val="single" w:color="auto" w:sz="4" w:space="0"/>
              <w:right w:val="single" w:color="auto" w:sz="4" w:space="0"/>
            </w:tcBorders>
          </w:tcPr>
          <w:p w14:paraId="06573510">
            <w:pPr>
              <w:spacing w:before="120" w:beforeLines="50"/>
              <w:ind w:left="105" w:leftChars="5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网上</w:t>
            </w:r>
            <w:r>
              <w:rPr>
                <w:rFonts w:hint="eastAsia" w:ascii="宋体" w:hAnsi="宋体" w:eastAsia="宋体" w:cs="宋体"/>
                <w:color w:val="auto"/>
                <w:sz w:val="21"/>
                <w:szCs w:val="21"/>
                <w:highlight w:val="none"/>
              </w:rPr>
              <w:t>提交</w:t>
            </w:r>
            <w:r>
              <w:rPr>
                <w:rFonts w:hint="eastAsia" w:ascii="宋体" w:hAnsi="宋体" w:eastAsia="宋体" w:cs="宋体"/>
                <w:color w:val="auto"/>
                <w:kern w:val="0"/>
                <w:sz w:val="21"/>
                <w:szCs w:val="21"/>
                <w:highlight w:val="none"/>
              </w:rPr>
              <w:t>的响应文件应使用数字证书</w:t>
            </w:r>
            <w:r>
              <w:rPr>
                <w:rFonts w:hint="eastAsia" w:ascii="宋体" w:hAnsi="宋体" w:eastAsia="宋体" w:cs="宋体"/>
                <w:snapToGrid w:val="0"/>
                <w:color w:val="auto"/>
                <w:kern w:val="0"/>
                <w:sz w:val="21"/>
                <w:szCs w:val="21"/>
                <w:highlight w:val="none"/>
              </w:rPr>
              <w:t>（CA）</w:t>
            </w:r>
            <w:r>
              <w:rPr>
                <w:rFonts w:hint="eastAsia" w:ascii="宋体" w:hAnsi="宋体" w:eastAsia="宋体" w:cs="宋体"/>
                <w:color w:val="auto"/>
                <w:kern w:val="0"/>
                <w:sz w:val="21"/>
                <w:szCs w:val="21"/>
                <w:highlight w:val="none"/>
              </w:rPr>
              <w:t>进行加密</w:t>
            </w:r>
            <w:r>
              <w:rPr>
                <w:rFonts w:hint="eastAsia" w:ascii="宋体" w:hAnsi="宋体" w:eastAsia="宋体" w:cs="宋体"/>
                <w:color w:val="auto"/>
                <w:sz w:val="21"/>
                <w:szCs w:val="21"/>
                <w:highlight w:val="none"/>
              </w:rPr>
              <w:t>。</w:t>
            </w:r>
          </w:p>
        </w:tc>
      </w:tr>
      <w:tr w14:paraId="2CE62EBB">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16A9C620">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w:t>
            </w:r>
          </w:p>
        </w:tc>
        <w:tc>
          <w:tcPr>
            <w:tcW w:w="980" w:type="pct"/>
            <w:tcBorders>
              <w:top w:val="single" w:color="auto" w:sz="4" w:space="0"/>
              <w:left w:val="single" w:color="auto" w:sz="4" w:space="0"/>
              <w:bottom w:val="single" w:color="auto" w:sz="4" w:space="0"/>
              <w:right w:val="single" w:color="auto" w:sz="4" w:space="0"/>
            </w:tcBorders>
            <w:vAlign w:val="center"/>
          </w:tcPr>
          <w:p w14:paraId="0A226DB4">
            <w:pPr>
              <w:wordWrap w:val="0"/>
              <w:autoSpaceDE w:val="0"/>
              <w:autoSpaceDN w:val="0"/>
              <w:spacing w:before="12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响应文件的提交</w:t>
            </w:r>
          </w:p>
        </w:tc>
        <w:tc>
          <w:tcPr>
            <w:tcW w:w="3547" w:type="pct"/>
            <w:tcBorders>
              <w:top w:val="single" w:color="auto" w:sz="4" w:space="0"/>
              <w:left w:val="single" w:color="auto" w:sz="4" w:space="0"/>
              <w:bottom w:val="single" w:color="auto" w:sz="4" w:space="0"/>
              <w:right w:val="single" w:color="auto" w:sz="4" w:space="0"/>
            </w:tcBorders>
          </w:tcPr>
          <w:p w14:paraId="65D74F15">
            <w:pPr>
              <w:widowControl/>
              <w:wordWrap w:val="0"/>
              <w:spacing w:before="120" w:beforeLines="50" w:line="360"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为全流程电子化项目。凡有意参与磋商者，请自行前往政府采购云平台“客户端&amp;驱动下载”网页（网址：https://customer.zcygov.cn/CA-driver-download?utm=web-ca-front.3ddc8fbb.0.0.91c6cff0db1311ec8cfbc9f613d30204）下载并安装“政采云</w:t>
            </w:r>
            <w:r>
              <w:rPr>
                <w:rFonts w:hint="eastAsia" w:ascii="宋体" w:hAnsi="宋体" w:cs="宋体"/>
                <w:color w:val="auto"/>
                <w:sz w:val="21"/>
                <w:szCs w:val="21"/>
                <w:highlight w:val="none"/>
                <w:lang w:val="en-US" w:eastAsia="zh-CN"/>
              </w:rPr>
              <w:t>投标</w:t>
            </w:r>
            <w:r>
              <w:rPr>
                <w:rFonts w:hint="eastAsia" w:ascii="宋体" w:hAnsi="宋体" w:eastAsia="宋体" w:cs="宋体"/>
                <w:color w:val="auto"/>
                <w:sz w:val="21"/>
                <w:szCs w:val="21"/>
                <w:highlight w:val="none"/>
              </w:rPr>
              <w:t>客户端”。供应商按照采购文件和政府采购云平台的要求编制、加密电子响应文件，响应文件在提交截止时间前未完成上传的，视为撤回响应文件。供应商在政府采购云平台提交电子版响应文件时，请填写参与远程开标活动经办人的联系方式。</w:t>
            </w:r>
          </w:p>
          <w:p w14:paraId="1001B76B">
            <w:pPr>
              <w:widowControl/>
              <w:wordWrap w:val="0"/>
              <w:spacing w:line="360"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注：供应商应当在响应文件提交截止时间前完成电子响应文件的上传、提交</w:t>
            </w:r>
            <w:r>
              <w:rPr>
                <w:rFonts w:hint="eastAsia" w:ascii="宋体" w:hAnsi="宋体" w:cs="宋体"/>
                <w:bCs/>
                <w:color w:val="auto"/>
                <w:sz w:val="21"/>
                <w:szCs w:val="21"/>
                <w:highlight w:val="none"/>
                <w:lang w:eastAsia="zh-CN"/>
              </w:rPr>
              <w:t>，在</w:t>
            </w:r>
            <w:r>
              <w:rPr>
                <w:rFonts w:hint="eastAsia" w:ascii="宋体" w:hAnsi="宋体" w:eastAsia="宋体" w:cs="宋体"/>
                <w:bCs/>
                <w:color w:val="auto"/>
                <w:sz w:val="21"/>
                <w:szCs w:val="21"/>
                <w:highlight w:val="none"/>
              </w:rPr>
              <w:t>响应文件提交截止时间前可以补充、修改或者撤回电子响应文件。补充或者修改响应文件的，应当先行撤回原文件，补充、修改后重新上传、提交。响应文件提交截止时间前未完成上传、提交的，视为撤回响应文件。响应文件提交截止时间以后上传提交的，视为无效。</w:t>
            </w:r>
          </w:p>
        </w:tc>
      </w:tr>
      <w:tr w14:paraId="5DEB8DEC">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159B91E1">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980" w:type="pct"/>
            <w:tcBorders>
              <w:top w:val="single" w:color="auto" w:sz="4" w:space="0"/>
              <w:left w:val="single" w:color="auto" w:sz="4" w:space="0"/>
              <w:bottom w:val="single" w:color="auto" w:sz="4" w:space="0"/>
              <w:right w:val="single" w:color="auto" w:sz="4" w:space="0"/>
            </w:tcBorders>
            <w:vAlign w:val="center"/>
          </w:tcPr>
          <w:p w14:paraId="0C382554">
            <w:pPr>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是否退还响应文件</w:t>
            </w:r>
          </w:p>
        </w:tc>
        <w:tc>
          <w:tcPr>
            <w:tcW w:w="3547" w:type="pct"/>
            <w:tcBorders>
              <w:top w:val="single" w:color="auto" w:sz="4" w:space="0"/>
              <w:left w:val="single" w:color="auto" w:sz="4" w:space="0"/>
              <w:bottom w:val="single" w:color="auto" w:sz="4" w:space="0"/>
              <w:right w:val="single" w:color="auto" w:sz="4" w:space="0"/>
            </w:tcBorders>
            <w:vAlign w:val="center"/>
          </w:tcPr>
          <w:p w14:paraId="60FCD105">
            <w:pPr>
              <w:spacing w:before="120" w:beforeLines="50"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14:paraId="643D3854">
        <w:tblPrEx>
          <w:tblCellMar>
            <w:top w:w="0" w:type="dxa"/>
            <w:left w:w="0" w:type="dxa"/>
            <w:bottom w:w="0" w:type="dxa"/>
            <w:right w:w="0" w:type="dxa"/>
          </w:tblCellMar>
        </w:tblPrEx>
        <w:trPr>
          <w:trHeight w:val="58"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0B08029">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980" w:type="pct"/>
            <w:tcBorders>
              <w:top w:val="single" w:color="auto" w:sz="4" w:space="0"/>
              <w:left w:val="single" w:color="auto" w:sz="4" w:space="0"/>
              <w:bottom w:val="single" w:color="auto" w:sz="4" w:space="0"/>
              <w:right w:val="single" w:color="auto" w:sz="4" w:space="0"/>
            </w:tcBorders>
            <w:vAlign w:val="center"/>
          </w:tcPr>
          <w:p w14:paraId="7E316E2C">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开启时间和地点</w:t>
            </w:r>
          </w:p>
        </w:tc>
        <w:tc>
          <w:tcPr>
            <w:tcW w:w="3547" w:type="pct"/>
            <w:tcBorders>
              <w:top w:val="single" w:color="auto" w:sz="4" w:space="0"/>
              <w:left w:val="single" w:color="auto" w:sz="4" w:space="0"/>
              <w:bottom w:val="single" w:color="auto" w:sz="4" w:space="0"/>
              <w:right w:val="single" w:color="auto" w:sz="4" w:space="0"/>
            </w:tcBorders>
          </w:tcPr>
          <w:p w14:paraId="59B60747">
            <w:pPr>
              <w:spacing w:before="120" w:beforeLines="50"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开启时间：同</w:t>
            </w:r>
            <w:r>
              <w:rPr>
                <w:rFonts w:hint="eastAsia" w:ascii="宋体" w:hAnsi="宋体" w:eastAsia="宋体" w:cs="宋体"/>
                <w:color w:val="auto"/>
                <w:sz w:val="21"/>
                <w:szCs w:val="21"/>
                <w:highlight w:val="none"/>
                <w:lang w:val="en-US" w:eastAsia="zh-CN"/>
              </w:rPr>
              <w:t>磋商公告</w:t>
            </w:r>
            <w:r>
              <w:rPr>
                <w:rFonts w:hint="eastAsia" w:ascii="宋体" w:hAnsi="宋体" w:eastAsia="宋体" w:cs="宋体"/>
                <w:color w:val="auto"/>
                <w:sz w:val="21"/>
                <w:szCs w:val="21"/>
                <w:highlight w:val="none"/>
              </w:rPr>
              <w:t>提交截止时间。</w:t>
            </w:r>
          </w:p>
          <w:p w14:paraId="00E53D45">
            <w:pPr>
              <w:autoSpaceDE w:val="0"/>
              <w:autoSpaceDN w:val="0"/>
              <w:spacing w:before="60" w:after="60" w:line="360" w:lineRule="auto"/>
              <w:ind w:left="105" w:leftChars="50" w:right="105" w:rightChars="50" w:firstLine="14" w:firstLineChars="7"/>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开启地点：同</w:t>
            </w:r>
            <w:r>
              <w:rPr>
                <w:rFonts w:hint="eastAsia" w:ascii="宋体" w:hAnsi="宋体" w:eastAsia="宋体" w:cs="宋体"/>
                <w:color w:val="auto"/>
                <w:sz w:val="21"/>
                <w:szCs w:val="21"/>
                <w:highlight w:val="none"/>
                <w:lang w:val="en-US" w:eastAsia="zh-CN"/>
              </w:rPr>
              <w:t>磋商公告</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val="en-US" w:eastAsia="zh-CN"/>
              </w:rPr>
              <w:t>地址</w:t>
            </w:r>
            <w:r>
              <w:rPr>
                <w:rFonts w:hint="eastAsia" w:ascii="宋体" w:hAnsi="宋体" w:eastAsia="宋体" w:cs="宋体"/>
                <w:color w:val="auto"/>
                <w:sz w:val="21"/>
                <w:szCs w:val="21"/>
                <w:highlight w:val="none"/>
              </w:rPr>
              <w:t>。</w:t>
            </w:r>
          </w:p>
        </w:tc>
      </w:tr>
      <w:tr w14:paraId="6FF991CD">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1BA6E787">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p>
        </w:tc>
        <w:tc>
          <w:tcPr>
            <w:tcW w:w="980" w:type="pct"/>
            <w:tcBorders>
              <w:top w:val="single" w:color="auto" w:sz="4" w:space="0"/>
              <w:left w:val="single" w:color="auto" w:sz="4" w:space="0"/>
              <w:bottom w:val="single" w:color="auto" w:sz="4" w:space="0"/>
              <w:right w:val="single" w:color="auto" w:sz="4" w:space="0"/>
            </w:tcBorders>
            <w:vAlign w:val="center"/>
          </w:tcPr>
          <w:p w14:paraId="6D0CE6EE">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开启程序</w:t>
            </w:r>
          </w:p>
        </w:tc>
        <w:tc>
          <w:tcPr>
            <w:tcW w:w="3547" w:type="pct"/>
            <w:tcBorders>
              <w:top w:val="single" w:color="auto" w:sz="4" w:space="0"/>
              <w:left w:val="single" w:color="auto" w:sz="4" w:space="0"/>
              <w:bottom w:val="single" w:color="auto" w:sz="4" w:space="0"/>
              <w:right w:val="single" w:color="auto" w:sz="4" w:space="0"/>
            </w:tcBorders>
          </w:tcPr>
          <w:p w14:paraId="23041DD7">
            <w:pPr>
              <w:spacing w:before="120" w:beforeLines="50" w:line="360" w:lineRule="auto"/>
              <w:ind w:left="105" w:leftChars="50" w:right="105" w:rightChars="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响应文件提交截止时间止，采购代理机构的工作人员登录进入政府采购云平台，按照政府采购云平台的操作流程完成开启程序。</w:t>
            </w:r>
          </w:p>
        </w:tc>
      </w:tr>
      <w:tr w14:paraId="18EE4E0A">
        <w:tblPrEx>
          <w:tblCellMar>
            <w:top w:w="0" w:type="dxa"/>
            <w:left w:w="0" w:type="dxa"/>
            <w:bottom w:w="0" w:type="dxa"/>
            <w:right w:w="0" w:type="dxa"/>
          </w:tblCellMar>
        </w:tblPrEx>
        <w:trPr>
          <w:trHeight w:val="274"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545B575D">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w:t>
            </w:r>
          </w:p>
        </w:tc>
        <w:tc>
          <w:tcPr>
            <w:tcW w:w="980" w:type="pct"/>
            <w:tcBorders>
              <w:top w:val="single" w:color="auto" w:sz="4" w:space="0"/>
              <w:left w:val="single" w:color="auto" w:sz="4" w:space="0"/>
              <w:bottom w:val="single" w:color="auto" w:sz="4" w:space="0"/>
              <w:right w:val="single" w:color="auto" w:sz="4" w:space="0"/>
            </w:tcBorders>
            <w:vAlign w:val="center"/>
          </w:tcPr>
          <w:p w14:paraId="4F336838">
            <w:pPr>
              <w:wordWrap w:val="0"/>
              <w:autoSpaceDE w:val="0"/>
              <w:autoSpaceDN w:val="0"/>
              <w:spacing w:before="60" w:after="60" w:line="360" w:lineRule="auto"/>
              <w:ind w:left="105" w:leftChars="50" w:right="105" w:rightChar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响应文件的解密</w:t>
            </w:r>
          </w:p>
          <w:p w14:paraId="02321998">
            <w:pPr>
              <w:wordWrap w:val="0"/>
              <w:autoSpaceDE w:val="0"/>
              <w:autoSpaceDN w:val="0"/>
              <w:spacing w:before="60" w:after="60" w:line="360" w:lineRule="auto"/>
              <w:ind w:left="105" w:leftChars="50" w:right="105" w:rightChars="50"/>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w:t>
            </w:r>
          </w:p>
        </w:tc>
        <w:tc>
          <w:tcPr>
            <w:tcW w:w="3547" w:type="pct"/>
            <w:tcBorders>
              <w:top w:val="single" w:color="auto" w:sz="4" w:space="0"/>
              <w:left w:val="single" w:color="auto" w:sz="4" w:space="0"/>
              <w:bottom w:val="single" w:color="auto" w:sz="4" w:space="0"/>
              <w:right w:val="single" w:color="auto" w:sz="4" w:space="0"/>
            </w:tcBorders>
          </w:tcPr>
          <w:p w14:paraId="570C8940">
            <w:pPr>
              <w:spacing w:before="120" w:beforeLines="50" w:line="360" w:lineRule="auto"/>
              <w:ind w:left="105" w:leftChars="50" w:right="105" w:rightChars="50"/>
              <w:jc w:val="left"/>
              <w:rPr>
                <w:rFonts w:hint="eastAsia" w:ascii="宋体" w:hAnsi="宋体" w:eastAsia="宋体" w:cs="宋体"/>
                <w:bCs/>
                <w:snapToGrid w:val="0"/>
                <w:color w:val="auto"/>
                <w:sz w:val="21"/>
                <w:szCs w:val="21"/>
                <w:highlight w:val="none"/>
              </w:rPr>
            </w:pPr>
            <w:r>
              <w:rPr>
                <w:rFonts w:hint="eastAsia" w:ascii="宋体" w:hAnsi="宋体" w:eastAsia="宋体" w:cs="宋体"/>
                <w:bCs/>
                <w:color w:val="auto"/>
                <w:sz w:val="21"/>
                <w:szCs w:val="21"/>
                <w:highlight w:val="none"/>
              </w:rPr>
              <w:t>在线解密。供应商须提前在自有场地配置有音视频通话（带摄像头及话筒的电脑）功能的相应设备及稳定网络的环境下，并按政府采购云平台开标大厅中的提示完成</w:t>
            </w:r>
            <w:r>
              <w:rPr>
                <w:rFonts w:hint="eastAsia" w:ascii="宋体" w:hAnsi="宋体" w:cs="宋体"/>
                <w:bCs/>
                <w:color w:val="auto"/>
                <w:sz w:val="21"/>
                <w:szCs w:val="21"/>
                <w:highlight w:val="none"/>
                <w:lang w:val="en-US" w:eastAsia="zh-CN"/>
              </w:rPr>
              <w:t>解密</w:t>
            </w:r>
            <w:r>
              <w:rPr>
                <w:rFonts w:hint="eastAsia" w:ascii="宋体" w:hAnsi="宋体" w:eastAsia="宋体" w:cs="宋体"/>
                <w:bCs/>
                <w:snapToGrid w:val="0"/>
                <w:color w:val="auto"/>
                <w:sz w:val="21"/>
                <w:szCs w:val="21"/>
                <w:highlight w:val="none"/>
              </w:rPr>
              <w:t>。</w:t>
            </w:r>
          </w:p>
          <w:p w14:paraId="16FA3C77">
            <w:pPr>
              <w:pStyle w:val="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注：因供应商原因造成响应文件未解密的，视为撤销其响应文件。</w:t>
            </w:r>
          </w:p>
        </w:tc>
      </w:tr>
      <w:tr w14:paraId="54AE09E6">
        <w:tblPrEx>
          <w:tblCellMar>
            <w:top w:w="0" w:type="dxa"/>
            <w:left w:w="0" w:type="dxa"/>
            <w:bottom w:w="0" w:type="dxa"/>
            <w:right w:w="0" w:type="dxa"/>
          </w:tblCellMar>
        </w:tblPrEx>
        <w:trPr>
          <w:trHeight w:val="435"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0934A0F0">
            <w:pPr>
              <w:wordWrap w:val="0"/>
              <w:autoSpaceDE w:val="0"/>
              <w:autoSpaceDN w:val="0"/>
              <w:spacing w:before="60" w:after="60"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980" w:type="pct"/>
            <w:tcBorders>
              <w:top w:val="single" w:color="auto" w:sz="4" w:space="0"/>
              <w:left w:val="single" w:color="auto" w:sz="4" w:space="0"/>
              <w:bottom w:val="single" w:color="auto" w:sz="4" w:space="0"/>
              <w:right w:val="single" w:color="auto" w:sz="4" w:space="0"/>
            </w:tcBorders>
            <w:vAlign w:val="center"/>
          </w:tcPr>
          <w:p w14:paraId="430EDFB8">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3547" w:type="pct"/>
            <w:tcBorders>
              <w:top w:val="single" w:color="auto" w:sz="4" w:space="0"/>
              <w:left w:val="single" w:color="auto" w:sz="4" w:space="0"/>
              <w:bottom w:val="single" w:color="auto" w:sz="4" w:space="0"/>
              <w:right w:val="single" w:color="auto" w:sz="4" w:space="0"/>
            </w:tcBorders>
            <w:vAlign w:val="center"/>
          </w:tcPr>
          <w:p w14:paraId="2CA96917">
            <w:pPr>
              <w:wordWrap w:val="0"/>
              <w:spacing w:before="120" w:beforeLines="50"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磋商小组人</w:t>
            </w:r>
            <w:r>
              <w:rPr>
                <w:rFonts w:hint="eastAsia" w:ascii="宋体" w:hAnsi="宋体" w:eastAsia="宋体" w:cs="宋体"/>
                <w:color w:val="auto"/>
                <w:kern w:val="2"/>
                <w:sz w:val="21"/>
                <w:szCs w:val="21"/>
                <w:highlight w:val="none"/>
                <w:lang w:val="en-US" w:eastAsia="zh-CN" w:bidi="ar-SA"/>
              </w:rPr>
              <w:t>数：</w:t>
            </w:r>
            <w:r>
              <w:rPr>
                <w:rFonts w:hint="eastAsia" w:ascii="宋体" w:hAnsi="宋体" w:cs="宋体"/>
                <w:color w:val="auto"/>
                <w:kern w:val="2"/>
                <w:sz w:val="21"/>
                <w:szCs w:val="21"/>
                <w:highlight w:val="none"/>
                <w:lang w:val="en-US" w:eastAsia="zh-CN" w:bidi="ar-SA"/>
              </w:rPr>
              <w:t>3</w:t>
            </w:r>
            <w:r>
              <w:rPr>
                <w:rFonts w:hint="eastAsia" w:ascii="宋体" w:hAnsi="宋体" w:eastAsia="宋体" w:cs="宋体"/>
                <w:color w:val="auto"/>
                <w:kern w:val="2"/>
                <w:sz w:val="21"/>
                <w:szCs w:val="21"/>
                <w:highlight w:val="none"/>
                <w:lang w:val="en-US" w:eastAsia="zh-CN" w:bidi="ar-SA"/>
              </w:rPr>
              <w:t>人及以上单数。</w:t>
            </w:r>
          </w:p>
          <w:p w14:paraId="7A3169A0">
            <w:pPr>
              <w:wordWrap w:val="0"/>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评审成员确定方式：由采购人代表和“云南省政府采购评标专家库”中随机抽取的人员组成。</w:t>
            </w:r>
          </w:p>
        </w:tc>
      </w:tr>
      <w:tr w14:paraId="6823EE2E">
        <w:tblPrEx>
          <w:tblCellMar>
            <w:top w:w="0" w:type="dxa"/>
            <w:left w:w="0" w:type="dxa"/>
            <w:bottom w:w="0" w:type="dxa"/>
            <w:right w:w="0" w:type="dxa"/>
          </w:tblCellMar>
        </w:tblPrEx>
        <w:trPr>
          <w:trHeight w:val="567"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33BE9040">
            <w:pPr>
              <w:wordWrap w:val="0"/>
              <w:autoSpaceDE w:val="0"/>
              <w:autoSpaceDN w:val="0"/>
              <w:spacing w:line="360" w:lineRule="auto"/>
              <w:contextualSpacing/>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980" w:type="pct"/>
            <w:tcBorders>
              <w:top w:val="single" w:color="auto" w:sz="4" w:space="0"/>
              <w:left w:val="single" w:color="auto" w:sz="4" w:space="0"/>
              <w:bottom w:val="single" w:color="auto" w:sz="4" w:space="0"/>
              <w:right w:val="single" w:color="auto" w:sz="4" w:space="0"/>
            </w:tcBorders>
            <w:vAlign w:val="center"/>
          </w:tcPr>
          <w:p w14:paraId="30B0BCF8">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是否授权磋商小组</w:t>
            </w:r>
          </w:p>
          <w:p w14:paraId="074E4825">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确定成交供应商</w:t>
            </w:r>
          </w:p>
        </w:tc>
        <w:tc>
          <w:tcPr>
            <w:tcW w:w="3547" w:type="pct"/>
            <w:tcBorders>
              <w:top w:val="single" w:color="auto" w:sz="4" w:space="0"/>
              <w:left w:val="single" w:color="auto" w:sz="4" w:space="0"/>
              <w:bottom w:val="single" w:color="auto" w:sz="4" w:space="0"/>
              <w:right w:val="single" w:color="auto" w:sz="4" w:space="0"/>
            </w:tcBorders>
            <w:vAlign w:val="center"/>
          </w:tcPr>
          <w:p w14:paraId="613262F2">
            <w:pPr>
              <w:spacing w:before="120" w:beforeLines="50" w:line="360" w:lineRule="auto"/>
              <w:ind w:left="105" w:lef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p w14:paraId="650ABDE5">
            <w:pPr>
              <w:spacing w:line="360" w:lineRule="auto"/>
              <w:ind w:left="105" w:leftChars="50" w:right="105" w:right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由磋商小组根据第八章“评审办法”的相关规定推荐1～3名成交候选人，采购人根据磋商小组的推荐顺序确定成交供应商。</w:t>
            </w:r>
          </w:p>
        </w:tc>
      </w:tr>
      <w:tr w14:paraId="0CECE4A4">
        <w:tblPrEx>
          <w:tblCellMar>
            <w:top w:w="0" w:type="dxa"/>
            <w:left w:w="0" w:type="dxa"/>
            <w:bottom w:w="0" w:type="dxa"/>
            <w:right w:w="0" w:type="dxa"/>
          </w:tblCellMar>
        </w:tblPrEx>
        <w:trPr>
          <w:trHeight w:val="416" w:hRule="atLeast"/>
          <w:jc w:val="center"/>
        </w:trPr>
        <w:tc>
          <w:tcPr>
            <w:tcW w:w="471" w:type="pct"/>
            <w:tcBorders>
              <w:top w:val="single" w:color="auto" w:sz="4" w:space="0"/>
              <w:left w:val="single" w:color="auto" w:sz="4" w:space="0"/>
              <w:bottom w:val="single" w:color="auto" w:sz="4" w:space="0"/>
              <w:right w:val="single" w:color="auto" w:sz="4" w:space="0"/>
            </w:tcBorders>
            <w:vAlign w:val="center"/>
          </w:tcPr>
          <w:p w14:paraId="45753B71">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w:t>
            </w:r>
          </w:p>
        </w:tc>
        <w:tc>
          <w:tcPr>
            <w:tcW w:w="980" w:type="pct"/>
            <w:tcBorders>
              <w:top w:val="single" w:color="auto" w:sz="4" w:space="0"/>
              <w:left w:val="single" w:color="auto" w:sz="4" w:space="0"/>
              <w:bottom w:val="single" w:color="auto" w:sz="4" w:space="0"/>
              <w:right w:val="single" w:color="auto" w:sz="4" w:space="0"/>
            </w:tcBorders>
            <w:vAlign w:val="center"/>
          </w:tcPr>
          <w:p w14:paraId="3D764AF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3547" w:type="pct"/>
            <w:tcBorders>
              <w:top w:val="single" w:color="auto" w:sz="4" w:space="0"/>
              <w:left w:val="single" w:color="auto" w:sz="4" w:space="0"/>
              <w:bottom w:val="single" w:color="auto" w:sz="4" w:space="0"/>
              <w:right w:val="single" w:color="auto" w:sz="4" w:space="0"/>
            </w:tcBorders>
            <w:vAlign w:val="center"/>
          </w:tcPr>
          <w:p w14:paraId="7E27F685">
            <w:pPr>
              <w:widowControl/>
              <w:spacing w:line="336"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是否要求成交供应商提交履约保证金：</w:t>
            </w:r>
          </w:p>
          <w:p w14:paraId="5E293D02">
            <w:pPr>
              <w:widowControl/>
              <w:spacing w:line="336"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13ADC861">
            <w:pPr>
              <w:pStyle w:val="340"/>
              <w:tabs>
                <w:tab w:val="left" w:pos="4542"/>
                <w:tab w:val="left" w:pos="5772"/>
                <w:tab w:val="left" w:pos="6507"/>
              </w:tabs>
              <w:spacing w:line="360" w:lineRule="auto"/>
              <w:rPr>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不要求</w:t>
            </w:r>
          </w:p>
          <w:p w14:paraId="470B32EF">
            <w:pPr>
              <w:pStyle w:val="340"/>
              <w:tabs>
                <w:tab w:val="left" w:pos="4542"/>
                <w:tab w:val="left" w:pos="5772"/>
                <w:tab w:val="left" w:pos="6507"/>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履约保证金的形式：</w:t>
            </w:r>
            <w:r>
              <w:rPr>
                <w:rFonts w:hint="eastAsia" w:ascii="宋体" w:hAnsi="宋体" w:eastAsia="宋体" w:cs="宋体"/>
                <w:color w:val="auto"/>
                <w:sz w:val="21"/>
                <w:szCs w:val="21"/>
                <w:highlight w:val="none"/>
                <w:u w:val="single"/>
              </w:rPr>
              <w:t>银行转账或银行保函或保证保险或招标人接受的其他方式。</w:t>
            </w:r>
          </w:p>
          <w:p w14:paraId="7BB74B20">
            <w:pPr>
              <w:pStyle w:val="341"/>
              <w:ind w:left="0" w:leftChars="0" w:firstLine="0" w:firstLineChars="0"/>
              <w:rPr>
                <w:rFonts w:hint="eastAsia"/>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rPr>
              <w:t>合同签约价。</w:t>
            </w:r>
          </w:p>
        </w:tc>
      </w:tr>
      <w:tr w14:paraId="29F1D1AB">
        <w:tblPrEx>
          <w:tblCellMar>
            <w:top w:w="0" w:type="dxa"/>
            <w:left w:w="0" w:type="dxa"/>
            <w:bottom w:w="0" w:type="dxa"/>
            <w:right w:w="0" w:type="dxa"/>
          </w:tblCellMar>
        </w:tblPrEx>
        <w:trPr>
          <w:trHeight w:val="448"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770C3247">
            <w:pPr>
              <w:spacing w:before="120" w:beforeLines="50" w:line="360" w:lineRule="auto"/>
              <w:ind w:left="105" w:leftChars="5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10.需要补充的其他内容</w:t>
            </w:r>
          </w:p>
        </w:tc>
      </w:tr>
      <w:tr w14:paraId="7CEB918A">
        <w:tblPrEx>
          <w:tblCellMar>
            <w:top w:w="0" w:type="dxa"/>
            <w:left w:w="0" w:type="dxa"/>
            <w:bottom w:w="0" w:type="dxa"/>
            <w:right w:w="0" w:type="dxa"/>
          </w:tblCellMar>
        </w:tblPrEx>
        <w:trPr>
          <w:trHeight w:val="4048"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0FEC0C82">
            <w:pPr>
              <w:pStyle w:val="340"/>
              <w:numPr>
                <w:ilvl w:val="0"/>
                <w:numId w:val="0"/>
              </w:numPr>
              <w:tabs>
                <w:tab w:val="left" w:pos="1800"/>
              </w:tabs>
              <w:wordWrap w:val="0"/>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rPr>
              <w:t>中小企业政策：</w:t>
            </w:r>
            <w:r>
              <w:rPr>
                <w:rFonts w:hint="eastAsia" w:ascii="宋体" w:hAnsi="宋体" w:eastAsia="宋体" w:cs="宋体"/>
                <w:color w:val="auto"/>
                <w:kern w:val="2"/>
                <w:sz w:val="21"/>
                <w:szCs w:val="21"/>
                <w:highlight w:val="none"/>
                <w:lang w:val="en-US" w:eastAsia="zh-CN" w:bidi="ar-SA"/>
              </w:rPr>
              <w:t>本项目属于专门面向中小企业采购的项目。</w:t>
            </w:r>
          </w:p>
          <w:p w14:paraId="6F9DD383">
            <w:pPr>
              <w:pStyle w:val="340"/>
              <w:numPr>
                <w:ilvl w:val="0"/>
                <w:numId w:val="0"/>
              </w:numPr>
              <w:tabs>
                <w:tab w:val="left" w:pos="1800"/>
              </w:tabs>
              <w:wordWrap w:val="0"/>
              <w:snapToGrid w:val="0"/>
              <w:spacing w:line="360" w:lineRule="auto"/>
              <w:rPr>
                <w:rFonts w:hint="default" w:ascii="宋体" w:hAnsi="宋体" w:eastAsia="宋体" w:cs="宋体"/>
                <w:b/>
                <w:color w:val="auto"/>
                <w:sz w:val="21"/>
                <w:szCs w:val="21"/>
                <w:highlight w:val="cyan"/>
                <w:lang w:val="en-US" w:eastAsia="zh-CN"/>
              </w:rPr>
            </w:pPr>
            <w:r>
              <w:rPr>
                <w:rFonts w:hint="eastAsia" w:ascii="宋体" w:hAnsi="宋体" w:eastAsia="宋体" w:cs="宋体"/>
                <w:b/>
                <w:color w:val="auto"/>
                <w:sz w:val="21"/>
                <w:szCs w:val="21"/>
                <w:highlight w:val="none"/>
              </w:rPr>
              <w:t>2.本项目采购标的对应所属行业为：</w:t>
            </w:r>
            <w:r>
              <w:rPr>
                <w:rFonts w:hint="eastAsia" w:ascii="宋体" w:hAnsi="宋体" w:cs="宋体"/>
                <w:b/>
                <w:color w:val="auto"/>
                <w:sz w:val="21"/>
                <w:szCs w:val="21"/>
                <w:highlight w:val="none"/>
                <w:lang w:val="en-US" w:eastAsia="zh-CN"/>
              </w:rPr>
              <w:t>建筑业</w:t>
            </w:r>
          </w:p>
          <w:p w14:paraId="14C84DF7">
            <w:pPr>
              <w:pStyle w:val="117"/>
              <w:wordWrap w:val="0"/>
              <w:adjustRightInd w:val="0"/>
              <w:snapToGrid w:val="0"/>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中小微型企业划分标准：中型和小型企业须同时满足所列指标（营业收入、资产总额）的下限，否则下划一档；微型企业只</w:t>
            </w:r>
            <w:r>
              <w:rPr>
                <w:rFonts w:hint="eastAsia" w:ascii="宋体" w:hAnsi="宋体" w:cs="宋体"/>
                <w:color w:val="auto"/>
                <w:kern w:val="2"/>
                <w:sz w:val="21"/>
                <w:szCs w:val="21"/>
                <w:highlight w:val="none"/>
                <w:lang w:eastAsia="zh-CN"/>
              </w:rPr>
              <w:t>需</w:t>
            </w:r>
            <w:r>
              <w:rPr>
                <w:rFonts w:hint="eastAsia" w:ascii="宋体" w:hAnsi="宋体" w:eastAsia="宋体" w:cs="宋体"/>
                <w:color w:val="auto"/>
                <w:kern w:val="2"/>
                <w:sz w:val="21"/>
                <w:szCs w:val="21"/>
                <w:highlight w:val="none"/>
              </w:rPr>
              <w:t>满足所列指标中的一项即可。</w:t>
            </w:r>
          </w:p>
          <w:p w14:paraId="6363BC7E">
            <w:pPr>
              <w:pStyle w:val="117"/>
              <w:wordWrap w:val="0"/>
              <w:adjustRightInd w:val="0"/>
              <w:snapToGrid w:val="0"/>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中型企业：6000万元≤营业收入＜80000万元，5000万元≤资产总额＜80000万元。</w:t>
            </w:r>
          </w:p>
          <w:p w14:paraId="04431DB8">
            <w:pPr>
              <w:pStyle w:val="117"/>
              <w:wordWrap w:val="0"/>
              <w:adjustRightInd w:val="0"/>
              <w:snapToGrid w:val="0"/>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小型企业：300万元≤营业收入＜6000万元，300万元≤资产总额＜5000万元。</w:t>
            </w:r>
          </w:p>
          <w:p w14:paraId="1DD7DD8F">
            <w:pPr>
              <w:pStyle w:val="117"/>
              <w:wordWrap w:val="0"/>
              <w:adjustRightInd w:val="0"/>
              <w:snapToGrid w:val="0"/>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微型企业：营业收入＜300万元，资产总额＜300万元。</w:t>
            </w:r>
          </w:p>
          <w:p w14:paraId="7D5B75E3">
            <w:pPr>
              <w:pStyle w:val="117"/>
              <w:wordWrap w:val="0"/>
              <w:adjustRightInd w:val="0"/>
              <w:snapToGrid w:val="0"/>
              <w:spacing w:line="360" w:lineRule="auto"/>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企业划分指标以现行统计制度为准。营业收入，采用主营业务收入；资产总额，采用资产总计代替。</w:t>
            </w:r>
          </w:p>
          <w:p w14:paraId="38C6757C">
            <w:pPr>
              <w:wordWrap w:val="0"/>
              <w:adjustRightInd w:val="0"/>
              <w:snapToGrid w:val="0"/>
              <w:spacing w:line="360" w:lineRule="auto"/>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val="en-US" w:eastAsia="zh-CN"/>
              </w:rPr>
              <w:t>注：</w:t>
            </w:r>
            <w:r>
              <w:rPr>
                <w:rFonts w:hint="eastAsia" w:ascii="宋体" w:hAnsi="宋体" w:eastAsia="宋体" w:cs="宋体"/>
                <w:b/>
                <w:color w:val="auto"/>
                <w:sz w:val="21"/>
                <w:szCs w:val="21"/>
                <w:highlight w:val="none"/>
              </w:rPr>
              <w:t>《中小企业声明函》格式详见竞争性磋商文件第</w:t>
            </w:r>
            <w:r>
              <w:rPr>
                <w:rFonts w:hint="eastAsia" w:ascii="宋体" w:hAnsi="宋体" w:cs="宋体"/>
                <w:b/>
                <w:color w:val="auto"/>
                <w:sz w:val="21"/>
                <w:szCs w:val="21"/>
                <w:highlight w:val="none"/>
                <w:lang w:val="en-US" w:eastAsia="zh-CN"/>
              </w:rPr>
              <w:t>四</w:t>
            </w:r>
            <w:r>
              <w:rPr>
                <w:rFonts w:hint="eastAsia" w:ascii="宋体" w:hAnsi="宋体" w:eastAsia="宋体" w:cs="宋体"/>
                <w:b/>
                <w:color w:val="auto"/>
                <w:sz w:val="21"/>
                <w:szCs w:val="21"/>
                <w:highlight w:val="none"/>
              </w:rPr>
              <w:t>章 第</w:t>
            </w:r>
            <w:r>
              <w:rPr>
                <w:rFonts w:hint="eastAsia" w:ascii="宋体" w:hAnsi="宋体" w:cs="宋体"/>
                <w:b/>
                <w:color w:val="auto"/>
                <w:sz w:val="21"/>
                <w:szCs w:val="21"/>
                <w:highlight w:val="none"/>
                <w:lang w:val="en-US" w:eastAsia="zh-CN"/>
              </w:rPr>
              <w:t>一</w:t>
            </w:r>
            <w:r>
              <w:rPr>
                <w:rFonts w:hint="eastAsia" w:ascii="宋体" w:hAnsi="宋体" w:eastAsia="宋体" w:cs="宋体"/>
                <w:b/>
                <w:color w:val="auto"/>
                <w:sz w:val="21"/>
                <w:szCs w:val="21"/>
                <w:highlight w:val="none"/>
              </w:rPr>
              <w:t>部</w:t>
            </w:r>
            <w:r>
              <w:rPr>
                <w:rFonts w:hint="eastAsia" w:ascii="宋体" w:hAnsi="宋体" w:cs="宋体"/>
                <w:b/>
                <w:color w:val="auto"/>
                <w:sz w:val="21"/>
                <w:szCs w:val="21"/>
                <w:highlight w:val="none"/>
                <w:lang w:eastAsia="zh-CN"/>
              </w:rPr>
              <w:t>。</w:t>
            </w:r>
          </w:p>
          <w:p w14:paraId="3095DECE">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3.监狱企业</w:t>
            </w:r>
          </w:p>
          <w:p w14:paraId="009146A1">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w:t>
            </w:r>
            <w:r>
              <w:rPr>
                <w:rFonts w:hint="eastAsia" w:ascii="宋体" w:hAnsi="宋体" w:cs="宋体"/>
                <w:color w:val="auto"/>
                <w:sz w:val="21"/>
                <w:szCs w:val="21"/>
                <w:highlight w:val="none"/>
                <w:lang w:eastAsia="zh-CN"/>
              </w:rPr>
              <w:t>〔2014〕68号</w:t>
            </w:r>
            <w:r>
              <w:rPr>
                <w:rFonts w:hint="eastAsia" w:ascii="宋体" w:hAnsi="宋体" w:eastAsia="宋体" w:cs="宋体"/>
                <w:color w:val="auto"/>
                <w:sz w:val="21"/>
                <w:szCs w:val="21"/>
                <w:highlight w:val="none"/>
              </w:rPr>
              <w:t>）的规定，监狱企业参与本项目磋商时，视同小型、微型企业。</w:t>
            </w:r>
          </w:p>
          <w:p w14:paraId="604F2E08">
            <w:pPr>
              <w:wordWrap w:val="0"/>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注：监狱企业参加政府采购活动时，应当提供由省级以上监狱管理局、戒毒管理局</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含新疆生产建设兵团</w:t>
            </w:r>
            <w:r>
              <w:rPr>
                <w:rFonts w:hint="eastAsia" w:ascii="宋体" w:hAnsi="宋体" w:cs="宋体"/>
                <w:b/>
                <w:color w:val="auto"/>
                <w:sz w:val="21"/>
                <w:szCs w:val="21"/>
                <w:highlight w:val="none"/>
                <w:lang w:eastAsia="zh-CN"/>
              </w:rPr>
              <w:t>）</w:t>
            </w:r>
            <w:r>
              <w:rPr>
                <w:rFonts w:hint="eastAsia" w:ascii="宋体" w:hAnsi="宋体" w:eastAsia="宋体" w:cs="宋体"/>
                <w:b/>
                <w:color w:val="auto"/>
                <w:sz w:val="21"/>
                <w:szCs w:val="21"/>
                <w:highlight w:val="none"/>
              </w:rPr>
              <w:t>出具的属于监狱企业的证明文件。</w:t>
            </w:r>
          </w:p>
          <w:p w14:paraId="58A5D4CE">
            <w:pPr>
              <w:wordWrap w:val="0"/>
              <w:adjustRightInd w:val="0"/>
              <w:snapToGrid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4.残疾人福利性单位</w:t>
            </w:r>
          </w:p>
          <w:p w14:paraId="6CE1B75A">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w:t>
            </w:r>
            <w:r>
              <w:rPr>
                <w:rFonts w:hint="eastAsia" w:ascii="宋体" w:hAnsi="宋体" w:cs="宋体"/>
                <w:color w:val="auto"/>
                <w:sz w:val="21"/>
                <w:szCs w:val="21"/>
                <w:highlight w:val="none"/>
                <w:lang w:eastAsia="zh-CN"/>
              </w:rPr>
              <w:t>〔2017〕141号</w:t>
            </w:r>
            <w:r>
              <w:rPr>
                <w:rFonts w:hint="eastAsia" w:ascii="宋体" w:hAnsi="宋体" w:eastAsia="宋体" w:cs="宋体"/>
                <w:color w:val="auto"/>
                <w:sz w:val="21"/>
                <w:szCs w:val="21"/>
                <w:highlight w:val="none"/>
              </w:rPr>
              <w:t>）的规定，残疾人福利性单位参与本项目磋商时，视同小型、微型企业。</w:t>
            </w:r>
          </w:p>
          <w:p w14:paraId="0A6C6F04">
            <w:pPr>
              <w:wordWrap w:val="0"/>
              <w:adjustRightInd w:val="0"/>
              <w:snapToGrid w:val="0"/>
              <w:spacing w:line="360" w:lineRule="auto"/>
              <w:rPr>
                <w:rFonts w:hint="eastAsia" w:ascii="宋体" w:hAnsi="宋体" w:cs="宋体"/>
                <w:b/>
                <w:color w:val="auto"/>
                <w:sz w:val="21"/>
                <w:szCs w:val="21"/>
                <w:highlight w:val="none"/>
                <w:lang w:eastAsia="zh-CN"/>
              </w:rPr>
            </w:pPr>
            <w:r>
              <w:rPr>
                <w:rFonts w:hint="eastAsia" w:ascii="宋体" w:hAnsi="宋体" w:eastAsia="宋体" w:cs="宋体"/>
                <w:b/>
                <w:color w:val="auto"/>
                <w:sz w:val="21"/>
                <w:szCs w:val="21"/>
                <w:highlight w:val="none"/>
              </w:rPr>
              <w:t>注：残疾人福利性单位在参加政府采购活动时，应当提供《残疾人福利性单位声明函》，并对声明的真实性负责。成交单位为残疾人福利性单位的，采购人或者其委托的采购代理机构应当随成交、成交结果同时公告其《残疾人福利性单位声明函》，接受社会监督。《残疾人福利性单位声明函》格式详见竞争性磋商文件第</w:t>
            </w:r>
            <w:r>
              <w:rPr>
                <w:rFonts w:hint="eastAsia" w:ascii="宋体" w:hAnsi="宋体" w:cs="宋体"/>
                <w:b/>
                <w:color w:val="auto"/>
                <w:sz w:val="21"/>
                <w:szCs w:val="21"/>
                <w:highlight w:val="none"/>
                <w:lang w:val="en-US" w:eastAsia="zh-CN"/>
              </w:rPr>
              <w:t>一</w:t>
            </w:r>
            <w:r>
              <w:rPr>
                <w:rFonts w:hint="eastAsia" w:ascii="宋体" w:hAnsi="宋体" w:eastAsia="宋体" w:cs="宋体"/>
                <w:b/>
                <w:color w:val="auto"/>
                <w:sz w:val="21"/>
                <w:szCs w:val="21"/>
                <w:highlight w:val="none"/>
              </w:rPr>
              <w:t>章 第</w:t>
            </w:r>
            <w:r>
              <w:rPr>
                <w:rFonts w:hint="eastAsia" w:ascii="宋体" w:hAnsi="宋体" w:cs="宋体"/>
                <w:b/>
                <w:color w:val="auto"/>
                <w:sz w:val="21"/>
                <w:szCs w:val="21"/>
                <w:highlight w:val="none"/>
                <w:lang w:val="en-US" w:eastAsia="zh-CN"/>
              </w:rPr>
              <w:t>二</w:t>
            </w:r>
            <w:r>
              <w:rPr>
                <w:rFonts w:hint="eastAsia" w:ascii="宋体" w:hAnsi="宋体" w:eastAsia="宋体" w:cs="宋体"/>
                <w:b/>
                <w:color w:val="auto"/>
                <w:sz w:val="21"/>
                <w:szCs w:val="21"/>
                <w:highlight w:val="none"/>
              </w:rPr>
              <w:t>部</w:t>
            </w:r>
            <w:r>
              <w:rPr>
                <w:rFonts w:hint="eastAsia" w:ascii="宋体" w:hAnsi="宋体" w:cs="宋体"/>
                <w:b/>
                <w:color w:val="auto"/>
                <w:sz w:val="21"/>
                <w:szCs w:val="21"/>
                <w:highlight w:val="none"/>
                <w:lang w:eastAsia="zh-CN"/>
              </w:rPr>
              <w:t>。</w:t>
            </w:r>
          </w:p>
          <w:p w14:paraId="0BE90B8C">
            <w:pPr>
              <w:pStyle w:val="117"/>
              <w:wordWrap w:val="0"/>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5.节能环保</w:t>
            </w:r>
          </w:p>
          <w:p w14:paraId="066CB475">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是否适用于本项目：不适用。</w:t>
            </w:r>
          </w:p>
          <w:p w14:paraId="1353A1A2">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磋商产品为节能产品、环境标志产品且能提供有效的认证证书及相关证明材料的（相关证明材料指：最新版的政府采购节能产品、环境标志产品认证机构名录、节能产品政府采购品目清单、环境标志产品政府采购品目清单等），在磋商报价评分时给予对应的磋商分项报价1%的扣除，用扣除后的价格参与评审（若采购需求为政府强制采购产品，则不再对节能进行评审价格的扣除）。</w:t>
            </w:r>
          </w:p>
          <w:p w14:paraId="44F2488D">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相关证明材料可通过中国政府采购网（http://www.ccgp.gov.cn/）、国家发展改革委网站（http://hzs.ndrc.gov.cn/）查阅、下载；国家环境保护部网（http://www.sepa.gov.cn/）查阅、下载。</w:t>
            </w:r>
          </w:p>
          <w:p w14:paraId="04DA64D7">
            <w:pPr>
              <w:wordWrap w:val="0"/>
              <w:adjustRightInd w:val="0"/>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6.细微偏差：</w:t>
            </w:r>
            <w:r>
              <w:rPr>
                <w:rFonts w:hint="eastAsia" w:ascii="宋体" w:hAnsi="宋体" w:eastAsia="宋体" w:cs="宋体"/>
                <w:color w:val="auto"/>
                <w:sz w:val="21"/>
                <w:szCs w:val="21"/>
                <w:highlight w:val="none"/>
                <w:lang w:eastAsia="zh-CN"/>
              </w:rPr>
              <w:t>响应文件的细微偏差是指响应文件在实质上符合磋商文件的要求，但在个别地方存在漏项或者提供了不完整的技术信息和数据等情况，并且补正这些遗漏或者不完整处不会对其他供应商造成不公平的结果。细微偏差不影响响应文件的有效性。</w:t>
            </w:r>
          </w:p>
          <w:p w14:paraId="1825B168">
            <w:pPr>
              <w:wordWrap w:val="0"/>
              <w:adjustRightInd w:val="0"/>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7.同义词语：</w:t>
            </w:r>
            <w:r>
              <w:rPr>
                <w:rFonts w:hint="eastAsia" w:ascii="宋体" w:hAnsi="宋体" w:eastAsia="宋体" w:cs="宋体"/>
                <w:color w:val="auto"/>
                <w:sz w:val="21"/>
                <w:szCs w:val="21"/>
                <w:highlight w:val="none"/>
                <w:lang w:eastAsia="zh-CN"/>
              </w:rPr>
              <w:t>构成磋商文件组成部分的“通用合同条款”“专用合同条款”“技术标准”等章节中出现的措辞“甲方”和“乙方”，在磋商阶段应当分别按“采购人”和“供应商”进行理解，招标人应按采购人理解，投标人应按供应商理解，招标应按采购理解，中标应按成交理解。</w:t>
            </w:r>
          </w:p>
        </w:tc>
      </w:tr>
    </w:tbl>
    <w:p w14:paraId="5D17E548">
      <w:pPr>
        <w:widowControl/>
        <w:spacing w:before="120" w:beforeLines="50" w:line="360" w:lineRule="auto"/>
        <w:jc w:val="center"/>
        <w:rPr>
          <w:rFonts w:asciiTheme="minorEastAsia" w:hAnsiTheme="minorEastAsia" w:eastAsiaTheme="minorEastAsia"/>
          <w:b/>
          <w:color w:val="auto"/>
          <w:sz w:val="30"/>
          <w:szCs w:val="30"/>
          <w:highlight w:val="none"/>
        </w:rPr>
        <w:sectPr>
          <w:footerReference r:id="rId7" w:type="default"/>
          <w:pgSz w:w="11906" w:h="16838"/>
          <w:pgMar w:top="1134" w:right="1134" w:bottom="1134" w:left="1134" w:header="851" w:footer="851" w:gutter="0"/>
          <w:pgNumType w:start="1"/>
          <w:cols w:space="720" w:num="1"/>
          <w:docGrid w:linePitch="312" w:charSpace="0"/>
        </w:sectPr>
      </w:pPr>
      <w:bookmarkStart w:id="183" w:name="_Toc37596287"/>
      <w:bookmarkStart w:id="184" w:name="_Toc340743535"/>
      <w:bookmarkStart w:id="185" w:name="_Toc292983017"/>
      <w:bookmarkStart w:id="186" w:name="_Toc37603102"/>
      <w:bookmarkStart w:id="187" w:name="_Toc381796407"/>
    </w:p>
    <w:p w14:paraId="23AA69E3">
      <w:pPr>
        <w:widowControl/>
        <w:spacing w:line="360" w:lineRule="auto"/>
        <w:jc w:val="center"/>
        <w:outlineLvl w:val="1"/>
        <w:rPr>
          <w:rFonts w:asciiTheme="minorEastAsia" w:hAnsiTheme="minorEastAsia" w:eastAsiaTheme="minorEastAsia"/>
          <w:b/>
          <w:color w:val="auto"/>
          <w:sz w:val="30"/>
          <w:szCs w:val="30"/>
          <w:highlight w:val="none"/>
        </w:rPr>
      </w:pPr>
      <w:bookmarkStart w:id="188" w:name="_Toc8516"/>
      <w:r>
        <w:rPr>
          <w:rFonts w:hint="eastAsia" w:asciiTheme="minorEastAsia" w:hAnsiTheme="minorEastAsia" w:eastAsiaTheme="minorEastAsia"/>
          <w:b/>
          <w:color w:val="auto"/>
          <w:sz w:val="30"/>
          <w:szCs w:val="30"/>
          <w:highlight w:val="none"/>
        </w:rPr>
        <w:t>二、供应商须知正文部分</w:t>
      </w:r>
      <w:bookmarkEnd w:id="183"/>
      <w:bookmarkEnd w:id="184"/>
      <w:bookmarkEnd w:id="188"/>
    </w:p>
    <w:p w14:paraId="5BACE422">
      <w:pPr>
        <w:spacing w:line="360" w:lineRule="auto"/>
        <w:jc w:val="center"/>
        <w:outlineLvl w:val="2"/>
        <w:rPr>
          <w:rFonts w:asciiTheme="minorEastAsia" w:hAnsiTheme="minorEastAsia" w:eastAsiaTheme="minorEastAsia"/>
          <w:b/>
          <w:bCs/>
          <w:color w:val="auto"/>
          <w:sz w:val="28"/>
          <w:szCs w:val="28"/>
          <w:highlight w:val="none"/>
        </w:rPr>
      </w:pPr>
      <w:bookmarkStart w:id="189" w:name="_Toc98033920"/>
      <w:bookmarkStart w:id="190" w:name="_Toc42267618"/>
      <w:bookmarkStart w:id="191" w:name="_Toc42204979"/>
      <w:bookmarkStart w:id="192" w:name="_Toc110405120"/>
      <w:bookmarkStart w:id="193" w:name="_Toc87543804"/>
      <w:bookmarkStart w:id="194" w:name="_Toc98864997"/>
      <w:bookmarkStart w:id="195" w:name="_Toc116583986"/>
      <w:bookmarkStart w:id="196" w:name="_Toc108"/>
      <w:bookmarkStart w:id="197" w:name="_Toc109809298"/>
      <w:bookmarkStart w:id="198" w:name="_Toc87538355"/>
      <w:bookmarkStart w:id="199" w:name="_Toc45976886"/>
      <w:bookmarkStart w:id="200" w:name="_Toc84356238"/>
      <w:bookmarkStart w:id="201" w:name="_Toc45791340"/>
      <w:bookmarkStart w:id="202" w:name="_Toc83753878"/>
      <w:r>
        <w:rPr>
          <w:rFonts w:hint="eastAsia" w:asciiTheme="minorEastAsia" w:hAnsiTheme="minorEastAsia" w:eastAsiaTheme="minorEastAsia"/>
          <w:b/>
          <w:bCs/>
          <w:color w:val="auto"/>
          <w:sz w:val="28"/>
          <w:szCs w:val="28"/>
          <w:highlight w:val="none"/>
        </w:rPr>
        <w:t>1.总则</w:t>
      </w:r>
      <w:bookmarkEnd w:id="185"/>
      <w:bookmarkEnd w:id="186"/>
      <w:bookmarkEnd w:id="187"/>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12B8CECF">
      <w:pPr>
        <w:spacing w:line="360" w:lineRule="auto"/>
        <w:outlineLvl w:val="3"/>
        <w:rPr>
          <w:rFonts w:asciiTheme="minorEastAsia" w:hAnsiTheme="minorEastAsia" w:eastAsiaTheme="minorEastAsia"/>
          <w:b/>
          <w:color w:val="auto"/>
          <w:sz w:val="24"/>
          <w:szCs w:val="24"/>
          <w:highlight w:val="none"/>
        </w:rPr>
      </w:pPr>
      <w:bookmarkStart w:id="203" w:name="_Toc87538356"/>
      <w:bookmarkStart w:id="204" w:name="_Toc42204980"/>
      <w:bookmarkStart w:id="205" w:name="_Toc109809299"/>
      <w:bookmarkStart w:id="206" w:name="_Toc84356239"/>
      <w:bookmarkStart w:id="207" w:name="_Toc13886"/>
      <w:bookmarkStart w:id="208" w:name="_Toc87543805"/>
      <w:bookmarkStart w:id="209" w:name="_Toc83753879"/>
      <w:bookmarkStart w:id="210" w:name="_Toc116583987"/>
      <w:bookmarkStart w:id="211" w:name="_Toc45976887"/>
      <w:bookmarkStart w:id="212" w:name="_Toc81330926"/>
      <w:bookmarkStart w:id="213" w:name="_Toc98864998"/>
      <w:bookmarkStart w:id="214" w:name="_Toc42267619"/>
      <w:bookmarkStart w:id="215" w:name="_Toc45791341"/>
      <w:bookmarkStart w:id="216" w:name="_Toc75783518"/>
      <w:bookmarkStart w:id="217" w:name="_Toc69678416"/>
      <w:bookmarkStart w:id="218" w:name="_Toc110405121"/>
      <w:bookmarkStart w:id="219" w:name="_Toc98033921"/>
      <w:bookmarkStart w:id="220" w:name="_Toc53412203"/>
      <w:r>
        <w:rPr>
          <w:rFonts w:hint="eastAsia" w:asciiTheme="minorEastAsia" w:hAnsiTheme="minorEastAsia" w:eastAsiaTheme="minorEastAsia"/>
          <w:b/>
          <w:color w:val="auto"/>
          <w:sz w:val="24"/>
          <w:szCs w:val="24"/>
          <w:highlight w:val="none"/>
        </w:rPr>
        <w:t>1.1项目概况</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6E2A899">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1.1.1</w:t>
      </w:r>
      <w:r>
        <w:rPr>
          <w:rFonts w:hint="eastAsia" w:asciiTheme="minorEastAsia" w:hAnsiTheme="minorEastAsia" w:eastAsiaTheme="minorEastAsia"/>
          <w:color w:val="auto"/>
          <w:szCs w:val="21"/>
          <w:highlight w:val="none"/>
        </w:rPr>
        <w:t>根据《中华人民共和国政府采购法》《中华人民共和国政府采购法实施条例》（国务院令第658号）、《关于印发</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政府采购竞争性磋商采购方式管理暂行办法</w:t>
      </w:r>
      <w:r>
        <w:rPr>
          <w:rFonts w:hint="eastAsia" w:asciiTheme="minorEastAsia" w:hAnsiTheme="minorEastAsia" w:eastAsiaTheme="minorEastAsia"/>
          <w:color w:val="auto"/>
          <w:szCs w:val="21"/>
          <w:highlight w:val="none"/>
          <w:lang w:eastAsia="zh-CN"/>
        </w:rPr>
        <w:t>〉的通知》</w:t>
      </w:r>
      <w:r>
        <w:rPr>
          <w:rFonts w:hint="eastAsia" w:asciiTheme="minorEastAsia" w:hAnsiTheme="minorEastAsia" w:eastAsiaTheme="minorEastAsia"/>
          <w:color w:val="auto"/>
          <w:szCs w:val="21"/>
          <w:highlight w:val="none"/>
        </w:rPr>
        <w:t>（财库〔2014〕214号）等相关法律法规的规定</w:t>
      </w:r>
      <w:r>
        <w:rPr>
          <w:rFonts w:asciiTheme="minorEastAsia" w:hAnsiTheme="minorEastAsia" w:eastAsiaTheme="minorEastAsia"/>
          <w:color w:val="auto"/>
          <w:szCs w:val="21"/>
          <w:highlight w:val="none"/>
        </w:rPr>
        <w:t>，本项目已具备</w:t>
      </w:r>
      <w:r>
        <w:rPr>
          <w:rFonts w:hint="eastAsia" w:asciiTheme="minorEastAsia" w:hAnsiTheme="minorEastAsia" w:eastAsiaTheme="minorEastAsia"/>
          <w:color w:val="auto"/>
          <w:szCs w:val="21"/>
          <w:highlight w:val="none"/>
        </w:rPr>
        <w:t>采购</w:t>
      </w:r>
      <w:r>
        <w:rPr>
          <w:rFonts w:asciiTheme="minorEastAsia" w:hAnsiTheme="minorEastAsia" w:eastAsiaTheme="minorEastAsia"/>
          <w:color w:val="auto"/>
          <w:szCs w:val="21"/>
          <w:highlight w:val="none"/>
        </w:rPr>
        <w:t>条件，现对本</w:t>
      </w:r>
      <w:r>
        <w:rPr>
          <w:rFonts w:hint="eastAsia" w:asciiTheme="minorEastAsia" w:hAnsiTheme="minorEastAsia" w:eastAsiaTheme="minorEastAsia"/>
          <w:color w:val="auto"/>
          <w:szCs w:val="21"/>
          <w:highlight w:val="none"/>
        </w:rPr>
        <w:t>项目</w:t>
      </w:r>
      <w:r>
        <w:rPr>
          <w:rFonts w:asciiTheme="minorEastAsia" w:hAnsiTheme="minorEastAsia" w:eastAsiaTheme="minorEastAsia"/>
          <w:color w:val="auto"/>
          <w:szCs w:val="21"/>
          <w:highlight w:val="none"/>
        </w:rPr>
        <w:t>进行</w:t>
      </w:r>
      <w:r>
        <w:rPr>
          <w:rFonts w:hint="eastAsia" w:asciiTheme="minorEastAsia" w:hAnsiTheme="minorEastAsia" w:eastAsiaTheme="minorEastAsia"/>
          <w:color w:val="auto"/>
          <w:szCs w:val="21"/>
          <w:highlight w:val="none"/>
        </w:rPr>
        <w:t>竞争性磋商采购</w:t>
      </w:r>
      <w:r>
        <w:rPr>
          <w:rFonts w:asciiTheme="minorEastAsia" w:hAnsiTheme="minorEastAsia" w:eastAsiaTheme="minorEastAsia"/>
          <w:color w:val="auto"/>
          <w:szCs w:val="21"/>
          <w:highlight w:val="none"/>
        </w:rPr>
        <w:t>。</w:t>
      </w:r>
    </w:p>
    <w:p w14:paraId="506AE7C6">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1.1.2采购人名称：详见供应商须知前附表。</w:t>
      </w:r>
    </w:p>
    <w:p w14:paraId="304A69E0">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1.1.3采购代理机构名称：详见供应商须知前附表。</w:t>
      </w:r>
    </w:p>
    <w:p w14:paraId="31CC9323">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1.1.4项目名称：详见供应商须知前附表。</w:t>
      </w:r>
    </w:p>
    <w:p w14:paraId="10357A9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5工程地点：详见供应商须知前附表。</w:t>
      </w:r>
    </w:p>
    <w:p w14:paraId="6EAD84CA">
      <w:pPr>
        <w:spacing w:line="360" w:lineRule="auto"/>
        <w:outlineLvl w:val="3"/>
        <w:rPr>
          <w:rFonts w:asciiTheme="minorEastAsia" w:hAnsiTheme="minorEastAsia" w:eastAsiaTheme="minorEastAsia"/>
          <w:b/>
          <w:color w:val="auto"/>
          <w:sz w:val="24"/>
          <w:szCs w:val="24"/>
          <w:highlight w:val="none"/>
        </w:rPr>
      </w:pPr>
      <w:bookmarkStart w:id="221" w:name="_Toc109809300"/>
      <w:bookmarkStart w:id="222" w:name="_Toc53412204"/>
      <w:bookmarkStart w:id="223" w:name="_Toc84356240"/>
      <w:bookmarkStart w:id="224" w:name="_Toc42204981"/>
      <w:bookmarkStart w:id="225" w:name="_Toc69678417"/>
      <w:bookmarkStart w:id="226" w:name="_Toc98864999"/>
      <w:bookmarkStart w:id="227" w:name="_Toc81330927"/>
      <w:bookmarkStart w:id="228" w:name="_Toc42267620"/>
      <w:bookmarkStart w:id="229" w:name="_Toc75783519"/>
      <w:bookmarkStart w:id="230" w:name="_Toc45976888"/>
      <w:bookmarkStart w:id="231" w:name="_Toc87538357"/>
      <w:bookmarkStart w:id="232" w:name="_Toc98033922"/>
      <w:bookmarkStart w:id="233" w:name="_Toc110405122"/>
      <w:bookmarkStart w:id="234" w:name="_Toc87543806"/>
      <w:bookmarkStart w:id="235" w:name="_Toc25268"/>
      <w:bookmarkStart w:id="236" w:name="_Toc116583988"/>
      <w:bookmarkStart w:id="237" w:name="_Toc83753880"/>
      <w:bookmarkStart w:id="238" w:name="_Toc45791342"/>
      <w:r>
        <w:rPr>
          <w:rFonts w:hint="eastAsia" w:asciiTheme="minorEastAsia" w:hAnsiTheme="minorEastAsia" w:eastAsiaTheme="minorEastAsia"/>
          <w:b/>
          <w:color w:val="auto"/>
          <w:sz w:val="24"/>
          <w:szCs w:val="24"/>
          <w:highlight w:val="none"/>
        </w:rPr>
        <w:t>1.2 资金来源、资金落实情况</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11CC3C96">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1.2.1资金来源：详见供应商须知前附表。</w:t>
      </w:r>
    </w:p>
    <w:p w14:paraId="633CFC10">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1.2.2</w:t>
      </w:r>
      <w:r>
        <w:rPr>
          <w:rFonts w:hint="eastAsia" w:asciiTheme="minorEastAsia" w:hAnsiTheme="minorEastAsia" w:eastAsiaTheme="minorEastAsia"/>
          <w:color w:val="auto"/>
          <w:szCs w:val="21"/>
          <w:highlight w:val="none"/>
        </w:rPr>
        <w:t>资金落实情况：详见供应商须知前附表。</w:t>
      </w:r>
    </w:p>
    <w:p w14:paraId="359EED25">
      <w:pPr>
        <w:spacing w:line="360" w:lineRule="auto"/>
        <w:outlineLvl w:val="3"/>
        <w:rPr>
          <w:rFonts w:asciiTheme="minorEastAsia" w:hAnsiTheme="minorEastAsia" w:eastAsiaTheme="minorEastAsia"/>
          <w:b/>
          <w:color w:val="auto"/>
          <w:sz w:val="24"/>
          <w:szCs w:val="24"/>
          <w:highlight w:val="none"/>
        </w:rPr>
      </w:pPr>
      <w:bookmarkStart w:id="239" w:name="_Toc27136"/>
      <w:bookmarkStart w:id="240" w:name="_Toc110405123"/>
      <w:bookmarkStart w:id="241" w:name="_Toc69678418"/>
      <w:bookmarkStart w:id="242" w:name="_Toc109809301"/>
      <w:bookmarkStart w:id="243" w:name="_Toc98033923"/>
      <w:bookmarkStart w:id="244" w:name="_Toc84356241"/>
      <w:bookmarkStart w:id="245" w:name="_Toc53412205"/>
      <w:bookmarkStart w:id="246" w:name="_Toc87538358"/>
      <w:bookmarkStart w:id="247" w:name="_Toc45976889"/>
      <w:bookmarkStart w:id="248" w:name="_Toc98865000"/>
      <w:bookmarkStart w:id="249" w:name="_Toc83753881"/>
      <w:bookmarkStart w:id="250" w:name="_Toc75783520"/>
      <w:bookmarkStart w:id="251" w:name="_Toc87543807"/>
      <w:bookmarkStart w:id="252" w:name="_Toc42204982"/>
      <w:bookmarkStart w:id="253" w:name="_Toc81330928"/>
      <w:bookmarkStart w:id="254" w:name="_Toc42267621"/>
      <w:bookmarkStart w:id="255" w:name="_Toc45791343"/>
      <w:bookmarkStart w:id="256" w:name="_Toc116583989"/>
      <w:r>
        <w:rPr>
          <w:rFonts w:hint="eastAsia" w:asciiTheme="minorEastAsia" w:hAnsiTheme="minorEastAsia" w:eastAsiaTheme="minorEastAsia"/>
          <w:b/>
          <w:color w:val="auto"/>
          <w:sz w:val="24"/>
          <w:szCs w:val="24"/>
          <w:highlight w:val="none"/>
        </w:rPr>
        <w:t>1.3 采购内容、计划工期、质量</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hint="eastAsia" w:asciiTheme="minorEastAsia" w:hAnsiTheme="minorEastAsia" w:eastAsiaTheme="minorEastAsia"/>
          <w:b/>
          <w:color w:val="auto"/>
          <w:sz w:val="24"/>
          <w:szCs w:val="24"/>
          <w:highlight w:val="none"/>
        </w:rPr>
        <w:t>要求</w:t>
      </w:r>
      <w:bookmarkEnd w:id="256"/>
      <w:r>
        <w:rPr>
          <w:rFonts w:hint="eastAsia" w:asciiTheme="minorEastAsia" w:hAnsiTheme="minorEastAsia" w:eastAsiaTheme="minorEastAsia"/>
          <w:b/>
          <w:color w:val="auto"/>
          <w:sz w:val="24"/>
          <w:szCs w:val="24"/>
          <w:highlight w:val="none"/>
        </w:rPr>
        <w:t>、包件划分</w:t>
      </w:r>
    </w:p>
    <w:p w14:paraId="2CFC7D8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1.3.1采购内容</w:t>
      </w:r>
      <w:r>
        <w:rPr>
          <w:rFonts w:hint="eastAsia" w:cs="宋体" w:asciiTheme="minorEastAsia" w:hAnsiTheme="minorEastAsia" w:eastAsiaTheme="minorEastAsia"/>
          <w:color w:val="auto"/>
          <w:kern w:val="0"/>
          <w:szCs w:val="21"/>
          <w:highlight w:val="none"/>
        </w:rPr>
        <w:t>：</w:t>
      </w:r>
      <w:r>
        <w:rPr>
          <w:rFonts w:hint="eastAsia" w:asciiTheme="minorEastAsia" w:hAnsiTheme="minorEastAsia" w:eastAsiaTheme="minorEastAsia"/>
          <w:color w:val="auto"/>
          <w:szCs w:val="21"/>
          <w:highlight w:val="none"/>
        </w:rPr>
        <w:t>详见供应商须知前附表。</w:t>
      </w:r>
    </w:p>
    <w:p w14:paraId="6D68A31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计划工期：详见供应商须知前附表。</w:t>
      </w:r>
    </w:p>
    <w:p w14:paraId="6246B87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bookmarkStart w:id="257" w:name="OLE_LINK1"/>
      <w:bookmarkStart w:id="258" w:name="OLE_LINK2"/>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质量要求：</w:t>
      </w:r>
      <w:bookmarkEnd w:id="257"/>
      <w:bookmarkEnd w:id="258"/>
      <w:r>
        <w:rPr>
          <w:rFonts w:hint="eastAsia" w:asciiTheme="minorEastAsia" w:hAnsiTheme="minorEastAsia" w:eastAsiaTheme="minorEastAsia"/>
          <w:color w:val="auto"/>
          <w:szCs w:val="21"/>
          <w:highlight w:val="none"/>
        </w:rPr>
        <w:t>详见供应商须知前附表。</w:t>
      </w:r>
    </w:p>
    <w:p w14:paraId="4E20D10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1.3.4包件划分：详见供应商须知前附表。</w:t>
      </w:r>
    </w:p>
    <w:p w14:paraId="5C00D5A9">
      <w:pPr>
        <w:spacing w:line="360" w:lineRule="auto"/>
        <w:outlineLvl w:val="3"/>
        <w:rPr>
          <w:rFonts w:asciiTheme="minorEastAsia" w:hAnsiTheme="minorEastAsia" w:eastAsiaTheme="minorEastAsia"/>
          <w:b/>
          <w:color w:val="auto"/>
          <w:sz w:val="24"/>
          <w:szCs w:val="24"/>
          <w:highlight w:val="none"/>
        </w:rPr>
      </w:pPr>
      <w:bookmarkStart w:id="259" w:name="_Toc84356242"/>
      <w:bookmarkStart w:id="260" w:name="_Toc109809302"/>
      <w:bookmarkStart w:id="261" w:name="_Toc53412206"/>
      <w:bookmarkStart w:id="262" w:name="_Toc83753882"/>
      <w:bookmarkStart w:id="263" w:name="_Toc87543808"/>
      <w:bookmarkStart w:id="264" w:name="_Toc81330929"/>
      <w:bookmarkStart w:id="265" w:name="_Toc116583990"/>
      <w:bookmarkStart w:id="266" w:name="_Toc110405124"/>
      <w:bookmarkStart w:id="267" w:name="_Toc45791344"/>
      <w:bookmarkStart w:id="268" w:name="_Toc69678419"/>
      <w:bookmarkStart w:id="269" w:name="_Toc98033924"/>
      <w:bookmarkStart w:id="270" w:name="_Toc45976890"/>
      <w:bookmarkStart w:id="271" w:name="_Toc2751"/>
      <w:bookmarkStart w:id="272" w:name="_Toc98865001"/>
      <w:bookmarkStart w:id="273" w:name="_Toc42267622"/>
      <w:bookmarkStart w:id="274" w:name="_Toc87538359"/>
      <w:bookmarkStart w:id="275" w:name="_Toc42204983"/>
      <w:bookmarkStart w:id="276" w:name="_Toc75783521"/>
      <w:r>
        <w:rPr>
          <w:rFonts w:hint="eastAsia" w:asciiTheme="minorEastAsia" w:hAnsiTheme="minorEastAsia" w:eastAsiaTheme="minorEastAsia"/>
          <w:b/>
          <w:color w:val="auto"/>
          <w:sz w:val="24"/>
          <w:szCs w:val="24"/>
          <w:highlight w:val="none"/>
        </w:rPr>
        <w:t>1.4 供应商资格要求</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7118A7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1.4.1 供应商资格要求：详见供应商须知前附表。</w:t>
      </w:r>
    </w:p>
    <w:p w14:paraId="66FAABE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1.4.2 </w:t>
      </w:r>
      <w:r>
        <w:rPr>
          <w:rFonts w:hint="eastAsia" w:asciiTheme="minorEastAsia" w:hAnsiTheme="minorEastAsia" w:eastAsiaTheme="minorEastAsia"/>
          <w:color w:val="auto"/>
          <w:szCs w:val="21"/>
          <w:highlight w:val="none"/>
          <w:lang w:eastAsia="zh-CN"/>
        </w:rPr>
        <w:t>其他</w:t>
      </w:r>
      <w:r>
        <w:rPr>
          <w:rFonts w:hint="eastAsia" w:asciiTheme="minorEastAsia" w:hAnsiTheme="minorEastAsia" w:eastAsiaTheme="minorEastAsia"/>
          <w:color w:val="auto"/>
          <w:szCs w:val="21"/>
          <w:highlight w:val="none"/>
        </w:rPr>
        <w:t>内容：详见供应商须知前附表。</w:t>
      </w:r>
    </w:p>
    <w:p w14:paraId="39A2D773">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1.4.3 是否接受联合体磋商：详见供应商须知前附表。</w:t>
      </w:r>
    </w:p>
    <w:p w14:paraId="373038A2">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1.4.4 供应商不得存在下列情形之一：</w:t>
      </w:r>
    </w:p>
    <w:p w14:paraId="4FF9813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（1）被责令停业的；</w:t>
      </w:r>
    </w:p>
    <w:p w14:paraId="31DFA13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（2）被暂停或取消磋商资格的；</w:t>
      </w:r>
    </w:p>
    <w:p w14:paraId="6B39246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（3）财产被接管或冻结的；</w:t>
      </w:r>
    </w:p>
    <w:p w14:paraId="0A35962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（4）在最近三年内有骗取成交或严重违约或重大质量问题的；</w:t>
      </w:r>
    </w:p>
    <w:p w14:paraId="44CEF66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（5）提供虚假材料谋取成交的；</w:t>
      </w:r>
    </w:p>
    <w:p w14:paraId="52D037F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（6）采取不正当手段诋毁、排挤其他供应商的；</w:t>
      </w:r>
    </w:p>
    <w:p w14:paraId="18FF06E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（7）与采购人、其他供应商或者采购代理机构恶意串通的；</w:t>
      </w:r>
    </w:p>
    <w:p w14:paraId="0AB9549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（8）向采购人、采购代理机构行贿或者提供其他不正当利益的；</w:t>
      </w:r>
    </w:p>
    <w:p w14:paraId="02EE076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（9）在招标采购过程中与采购人进行协商报价的；</w:t>
      </w:r>
    </w:p>
    <w:p w14:paraId="009FEF1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（10）拒绝有关部门监督检查或者提供虚假情况的。</w:t>
      </w:r>
    </w:p>
    <w:p w14:paraId="12A4F173">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供应商有第（5）至（9）项情形之一的，成交无效。 </w:t>
      </w:r>
    </w:p>
    <w:p w14:paraId="5CCF7EF1">
      <w:pPr>
        <w:spacing w:line="360" w:lineRule="auto"/>
        <w:outlineLvl w:val="3"/>
        <w:rPr>
          <w:rFonts w:asciiTheme="minorEastAsia" w:hAnsiTheme="minorEastAsia" w:eastAsiaTheme="minorEastAsia"/>
          <w:b/>
          <w:color w:val="auto"/>
          <w:sz w:val="24"/>
          <w:szCs w:val="24"/>
          <w:highlight w:val="none"/>
        </w:rPr>
      </w:pPr>
      <w:bookmarkStart w:id="277" w:name="_Toc45976891"/>
      <w:bookmarkStart w:id="278" w:name="_Toc69678420"/>
      <w:bookmarkStart w:id="279" w:name="_Toc87543809"/>
      <w:bookmarkStart w:id="280" w:name="_Toc98865002"/>
      <w:bookmarkStart w:id="281" w:name="_Toc42267623"/>
      <w:bookmarkStart w:id="282" w:name="_Toc98033925"/>
      <w:bookmarkStart w:id="283" w:name="_Toc110405125"/>
      <w:bookmarkStart w:id="284" w:name="_Toc45791345"/>
      <w:bookmarkStart w:id="285" w:name="_Toc116583991"/>
      <w:bookmarkStart w:id="286" w:name="_Toc53412207"/>
      <w:bookmarkStart w:id="287" w:name="_Toc81330930"/>
      <w:bookmarkStart w:id="288" w:name="_Toc75783522"/>
      <w:bookmarkStart w:id="289" w:name="_Toc84356243"/>
      <w:bookmarkStart w:id="290" w:name="_Toc83753883"/>
      <w:bookmarkStart w:id="291" w:name="_Toc11916"/>
      <w:bookmarkStart w:id="292" w:name="_Toc109809303"/>
      <w:bookmarkStart w:id="293" w:name="_Toc42204984"/>
      <w:bookmarkStart w:id="294" w:name="_Toc87538360"/>
      <w:r>
        <w:rPr>
          <w:rFonts w:hint="eastAsia" w:asciiTheme="minorEastAsia" w:hAnsiTheme="minorEastAsia" w:eastAsiaTheme="minorEastAsia"/>
          <w:b/>
          <w:color w:val="auto"/>
          <w:sz w:val="24"/>
          <w:szCs w:val="24"/>
          <w:highlight w:val="none"/>
        </w:rPr>
        <w:t>1.5 费用承担</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1F45DD25">
      <w:pPr>
        <w:adjustRightInd w:val="0"/>
        <w:snapToGrid w:val="0"/>
        <w:spacing w:line="360" w:lineRule="auto"/>
        <w:ind w:firstLine="420" w:firstLineChars="200"/>
        <w:rPr>
          <w:rFonts w:asciiTheme="minorEastAsia" w:hAnsiTheme="minorEastAsia" w:eastAsiaTheme="minorEastAsia"/>
          <w:color w:val="auto"/>
          <w:szCs w:val="21"/>
          <w:highlight w:val="none"/>
        </w:rPr>
      </w:pPr>
      <w:bookmarkStart w:id="295" w:name="_Toc53412208"/>
      <w:bookmarkStart w:id="296" w:name="_Toc42267624"/>
      <w:bookmarkStart w:id="297" w:name="_Toc42204985"/>
      <w:bookmarkStart w:id="298" w:name="_Toc45976892"/>
      <w:bookmarkStart w:id="299" w:name="_Toc45791346"/>
      <w:r>
        <w:rPr>
          <w:rFonts w:hint="eastAsia" w:asciiTheme="minorEastAsia" w:hAnsiTheme="minorEastAsia" w:eastAsiaTheme="minorEastAsia"/>
          <w:color w:val="auto"/>
          <w:szCs w:val="21"/>
          <w:highlight w:val="none"/>
        </w:rPr>
        <w:t>详见供应商须知前附表。</w:t>
      </w:r>
    </w:p>
    <w:p w14:paraId="56418837">
      <w:pPr>
        <w:spacing w:line="360" w:lineRule="auto"/>
        <w:outlineLvl w:val="3"/>
        <w:rPr>
          <w:rFonts w:asciiTheme="minorEastAsia" w:hAnsiTheme="minorEastAsia" w:eastAsiaTheme="minorEastAsia"/>
          <w:b/>
          <w:color w:val="auto"/>
          <w:sz w:val="24"/>
          <w:szCs w:val="24"/>
          <w:highlight w:val="none"/>
        </w:rPr>
      </w:pPr>
      <w:bookmarkStart w:id="300" w:name="_Toc109809304"/>
      <w:bookmarkStart w:id="301" w:name="_Toc84356244"/>
      <w:bookmarkStart w:id="302" w:name="_Toc87543810"/>
      <w:bookmarkStart w:id="303" w:name="_Toc75783523"/>
      <w:bookmarkStart w:id="304" w:name="_Toc81330931"/>
      <w:bookmarkStart w:id="305" w:name="_Toc110405126"/>
      <w:bookmarkStart w:id="306" w:name="_Toc98033926"/>
      <w:bookmarkStart w:id="307" w:name="_Toc69678421"/>
      <w:bookmarkStart w:id="308" w:name="_Toc83753884"/>
      <w:bookmarkStart w:id="309" w:name="_Toc29495"/>
      <w:bookmarkStart w:id="310" w:name="_Toc116583992"/>
      <w:bookmarkStart w:id="311" w:name="_Toc87538361"/>
      <w:bookmarkStart w:id="312" w:name="_Toc98865003"/>
      <w:r>
        <w:rPr>
          <w:rFonts w:hint="eastAsia" w:asciiTheme="minorEastAsia" w:hAnsiTheme="minorEastAsia" w:eastAsiaTheme="minorEastAsia"/>
          <w:b/>
          <w:color w:val="auto"/>
          <w:sz w:val="24"/>
          <w:szCs w:val="24"/>
          <w:highlight w:val="none"/>
        </w:rPr>
        <w:t>1.6 保密</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B139387">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参与竞争性磋商的各方应对</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和响应文件中的商业、技术等秘密保密，违者应对由此造成的后果承担法律责任。</w:t>
      </w:r>
    </w:p>
    <w:p w14:paraId="290F6AF3">
      <w:pPr>
        <w:spacing w:line="360" w:lineRule="auto"/>
        <w:outlineLvl w:val="3"/>
        <w:rPr>
          <w:rFonts w:asciiTheme="minorEastAsia" w:hAnsiTheme="minorEastAsia" w:eastAsiaTheme="minorEastAsia"/>
          <w:b/>
          <w:color w:val="auto"/>
          <w:sz w:val="24"/>
          <w:szCs w:val="24"/>
          <w:highlight w:val="none"/>
        </w:rPr>
      </w:pPr>
      <w:bookmarkStart w:id="313" w:name="_Toc69678422"/>
      <w:bookmarkStart w:id="314" w:name="_Toc45791347"/>
      <w:bookmarkStart w:id="315" w:name="_Toc87543811"/>
      <w:bookmarkStart w:id="316" w:name="_Toc83753885"/>
      <w:bookmarkStart w:id="317" w:name="_Toc87538362"/>
      <w:bookmarkStart w:id="318" w:name="_Toc45976893"/>
      <w:bookmarkStart w:id="319" w:name="_Toc98865004"/>
      <w:bookmarkStart w:id="320" w:name="_Toc84356245"/>
      <w:bookmarkStart w:id="321" w:name="_Toc116583993"/>
      <w:bookmarkStart w:id="322" w:name="_Toc75783524"/>
      <w:bookmarkStart w:id="323" w:name="_Toc42267625"/>
      <w:bookmarkStart w:id="324" w:name="_Toc53412209"/>
      <w:bookmarkStart w:id="325" w:name="_Toc42204986"/>
      <w:bookmarkStart w:id="326" w:name="_Toc110405127"/>
      <w:bookmarkStart w:id="327" w:name="_Toc109809305"/>
      <w:bookmarkStart w:id="328" w:name="_Toc98033927"/>
      <w:bookmarkStart w:id="329" w:name="_Toc3702"/>
      <w:bookmarkStart w:id="330" w:name="_Toc81330932"/>
      <w:r>
        <w:rPr>
          <w:rFonts w:hint="eastAsia" w:asciiTheme="minorEastAsia" w:hAnsiTheme="minorEastAsia" w:eastAsiaTheme="minorEastAsia"/>
          <w:b/>
          <w:color w:val="auto"/>
          <w:sz w:val="24"/>
          <w:szCs w:val="24"/>
          <w:highlight w:val="none"/>
        </w:rPr>
        <w:t>1.7 语言文字</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4F86BC00">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除专用术语外，与竞争性磋商有关的语言均使用中文。必要时专用术语应附有中文注释。</w:t>
      </w:r>
    </w:p>
    <w:p w14:paraId="7EE73007">
      <w:pPr>
        <w:spacing w:line="360" w:lineRule="auto"/>
        <w:outlineLvl w:val="3"/>
        <w:rPr>
          <w:rFonts w:asciiTheme="minorEastAsia" w:hAnsiTheme="minorEastAsia" w:eastAsiaTheme="minorEastAsia"/>
          <w:b/>
          <w:color w:val="auto"/>
          <w:sz w:val="24"/>
          <w:szCs w:val="24"/>
          <w:highlight w:val="none"/>
        </w:rPr>
      </w:pPr>
      <w:bookmarkStart w:id="331" w:name="_Toc53412210"/>
      <w:bookmarkStart w:id="332" w:name="_Toc83753886"/>
      <w:bookmarkStart w:id="333" w:name="_Toc21668"/>
      <w:bookmarkStart w:id="334" w:name="_Toc87538363"/>
      <w:bookmarkStart w:id="335" w:name="_Toc98865005"/>
      <w:bookmarkStart w:id="336" w:name="_Toc69678423"/>
      <w:bookmarkStart w:id="337" w:name="_Toc45976894"/>
      <w:bookmarkStart w:id="338" w:name="_Toc42204987"/>
      <w:bookmarkStart w:id="339" w:name="_Toc45791348"/>
      <w:bookmarkStart w:id="340" w:name="_Toc42267626"/>
      <w:bookmarkStart w:id="341" w:name="_Toc116583994"/>
      <w:bookmarkStart w:id="342" w:name="_Toc81330933"/>
      <w:bookmarkStart w:id="343" w:name="_Toc75783525"/>
      <w:bookmarkStart w:id="344" w:name="_Toc84356246"/>
      <w:bookmarkStart w:id="345" w:name="_Toc87543812"/>
      <w:bookmarkStart w:id="346" w:name="_Toc109809306"/>
      <w:bookmarkStart w:id="347" w:name="_Toc110405128"/>
      <w:bookmarkStart w:id="348" w:name="_Toc98033928"/>
      <w:r>
        <w:rPr>
          <w:rFonts w:hint="eastAsia" w:asciiTheme="minorEastAsia" w:hAnsiTheme="minorEastAsia" w:eastAsiaTheme="minorEastAsia"/>
          <w:b/>
          <w:color w:val="auto"/>
          <w:sz w:val="24"/>
          <w:szCs w:val="24"/>
          <w:highlight w:val="none"/>
        </w:rPr>
        <w:t>1.8 计量单位</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062A693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所有计量均采用中华人民共和国法定计量单位。</w:t>
      </w:r>
    </w:p>
    <w:p w14:paraId="24123EF7">
      <w:pPr>
        <w:spacing w:line="360" w:lineRule="auto"/>
        <w:outlineLvl w:val="3"/>
        <w:rPr>
          <w:rFonts w:asciiTheme="minorEastAsia" w:hAnsiTheme="minorEastAsia" w:eastAsiaTheme="minorEastAsia"/>
          <w:b/>
          <w:color w:val="auto"/>
          <w:sz w:val="24"/>
          <w:szCs w:val="24"/>
          <w:highlight w:val="none"/>
        </w:rPr>
      </w:pPr>
      <w:bookmarkStart w:id="349" w:name="_Toc84356247"/>
      <w:bookmarkStart w:id="350" w:name="_Toc42204988"/>
      <w:bookmarkStart w:id="351" w:name="_Toc98865006"/>
      <w:bookmarkStart w:id="352" w:name="_Toc32582"/>
      <w:bookmarkStart w:id="353" w:name="_Toc45791349"/>
      <w:bookmarkStart w:id="354" w:name="_Toc109809307"/>
      <w:bookmarkStart w:id="355" w:name="_Toc110405129"/>
      <w:bookmarkStart w:id="356" w:name="_Toc87538364"/>
      <w:bookmarkStart w:id="357" w:name="_Toc81330934"/>
      <w:bookmarkStart w:id="358" w:name="_Toc98033929"/>
      <w:bookmarkStart w:id="359" w:name="_Toc53412211"/>
      <w:bookmarkStart w:id="360" w:name="_Toc83753887"/>
      <w:bookmarkStart w:id="361" w:name="_Toc75783526"/>
      <w:bookmarkStart w:id="362" w:name="_Toc116583995"/>
      <w:bookmarkStart w:id="363" w:name="_Toc42267627"/>
      <w:bookmarkStart w:id="364" w:name="_Toc45976895"/>
      <w:bookmarkStart w:id="365" w:name="_Toc87543813"/>
      <w:bookmarkStart w:id="366" w:name="_Toc69678424"/>
      <w:r>
        <w:rPr>
          <w:rFonts w:hint="eastAsia" w:asciiTheme="minorEastAsia" w:hAnsiTheme="minorEastAsia" w:eastAsiaTheme="minorEastAsia"/>
          <w:b/>
          <w:color w:val="auto"/>
          <w:sz w:val="24"/>
          <w:szCs w:val="24"/>
          <w:highlight w:val="none"/>
        </w:rPr>
        <w:t>1.9 踏勘现场</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6B064C1D">
      <w:pPr>
        <w:spacing w:line="360" w:lineRule="auto"/>
        <w:ind w:firstLine="420" w:firstLineChars="200"/>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r>
        <w:rPr>
          <w:rFonts w:hint="eastAsia" w:cs="宋体" w:asciiTheme="minorEastAsia" w:hAnsiTheme="minorEastAsia" w:eastAsiaTheme="minorEastAsia"/>
          <w:color w:val="auto"/>
          <w:szCs w:val="21"/>
          <w:highlight w:val="none"/>
        </w:rPr>
        <w:t>。</w:t>
      </w:r>
    </w:p>
    <w:p w14:paraId="6BA2F230">
      <w:pPr>
        <w:spacing w:line="360" w:lineRule="auto"/>
        <w:outlineLvl w:val="3"/>
        <w:rPr>
          <w:rFonts w:asciiTheme="minorEastAsia" w:hAnsiTheme="minorEastAsia" w:eastAsiaTheme="minorEastAsia"/>
          <w:b/>
          <w:color w:val="auto"/>
          <w:sz w:val="24"/>
          <w:szCs w:val="24"/>
          <w:highlight w:val="none"/>
        </w:rPr>
      </w:pPr>
      <w:bookmarkStart w:id="367" w:name="_Toc110405130"/>
      <w:bookmarkStart w:id="368" w:name="_Toc42267628"/>
      <w:bookmarkStart w:id="369" w:name="_Toc98865007"/>
      <w:bookmarkStart w:id="370" w:name="_Toc81330935"/>
      <w:bookmarkStart w:id="371" w:name="_Toc87543814"/>
      <w:bookmarkStart w:id="372" w:name="_Toc45976896"/>
      <w:bookmarkStart w:id="373" w:name="_Toc69678425"/>
      <w:bookmarkStart w:id="374" w:name="_Toc109809308"/>
      <w:bookmarkStart w:id="375" w:name="_Toc30991"/>
      <w:bookmarkStart w:id="376" w:name="_Toc87538365"/>
      <w:bookmarkStart w:id="377" w:name="_Toc53412212"/>
      <w:bookmarkStart w:id="378" w:name="_Toc83753888"/>
      <w:bookmarkStart w:id="379" w:name="_Toc45791350"/>
      <w:bookmarkStart w:id="380" w:name="_Toc98033930"/>
      <w:bookmarkStart w:id="381" w:name="_Toc116583996"/>
      <w:bookmarkStart w:id="382" w:name="_Toc75783527"/>
      <w:bookmarkStart w:id="383" w:name="_Toc42204989"/>
      <w:bookmarkStart w:id="384" w:name="_Toc84356248"/>
      <w:r>
        <w:rPr>
          <w:rFonts w:hint="eastAsia" w:asciiTheme="minorEastAsia" w:hAnsiTheme="minorEastAsia" w:eastAsiaTheme="minorEastAsia"/>
          <w:b/>
          <w:color w:val="auto"/>
          <w:sz w:val="24"/>
          <w:szCs w:val="24"/>
          <w:highlight w:val="none"/>
        </w:rPr>
        <w:t>1.10 磋商预备会</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65320CC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1.10.1本次磋商不组织磋商预备会。</w:t>
      </w:r>
    </w:p>
    <w:p w14:paraId="4C220DE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1.10.2供应商的询问及答复的规定：详见供应商须知前附表。</w:t>
      </w:r>
    </w:p>
    <w:p w14:paraId="517D4E2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1.10.3采购人澄清的时间和方法：详见供应商须知前附表。</w:t>
      </w:r>
    </w:p>
    <w:p w14:paraId="4F2C478C">
      <w:pPr>
        <w:spacing w:line="360" w:lineRule="auto"/>
        <w:outlineLvl w:val="3"/>
        <w:rPr>
          <w:rFonts w:asciiTheme="minorEastAsia" w:hAnsiTheme="minorEastAsia" w:eastAsiaTheme="minorEastAsia"/>
          <w:b/>
          <w:color w:val="auto"/>
          <w:sz w:val="24"/>
          <w:szCs w:val="24"/>
          <w:highlight w:val="none"/>
        </w:rPr>
      </w:pPr>
      <w:bookmarkStart w:id="385" w:name="_Toc45791351"/>
      <w:bookmarkStart w:id="386" w:name="_Toc81330936"/>
      <w:bookmarkStart w:id="387" w:name="_Toc42204990"/>
      <w:bookmarkStart w:id="388" w:name="_Toc109809309"/>
      <w:bookmarkStart w:id="389" w:name="_Toc110405131"/>
      <w:bookmarkStart w:id="390" w:name="_Toc84356249"/>
      <w:bookmarkStart w:id="391" w:name="_Toc116583997"/>
      <w:bookmarkStart w:id="392" w:name="_Toc75783528"/>
      <w:bookmarkStart w:id="393" w:name="_Toc87538366"/>
      <w:bookmarkStart w:id="394" w:name="_Toc98865008"/>
      <w:bookmarkStart w:id="395" w:name="_Toc98033931"/>
      <w:bookmarkStart w:id="396" w:name="_Toc53412213"/>
      <w:bookmarkStart w:id="397" w:name="_Toc2836"/>
      <w:bookmarkStart w:id="398" w:name="_Toc87543815"/>
      <w:bookmarkStart w:id="399" w:name="_Toc42267629"/>
      <w:bookmarkStart w:id="400" w:name="_Toc83753889"/>
      <w:bookmarkStart w:id="401" w:name="_Toc69678426"/>
      <w:bookmarkStart w:id="402" w:name="_Toc45976897"/>
      <w:r>
        <w:rPr>
          <w:rFonts w:hint="eastAsia" w:asciiTheme="minorEastAsia" w:hAnsiTheme="minorEastAsia" w:eastAsiaTheme="minorEastAsia"/>
          <w:b/>
          <w:color w:val="auto"/>
          <w:sz w:val="24"/>
          <w:szCs w:val="24"/>
          <w:highlight w:val="none"/>
        </w:rPr>
        <w:t>1.11 分包</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70C198BA">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p>
    <w:p w14:paraId="4E0D13BA">
      <w:pPr>
        <w:spacing w:line="360" w:lineRule="auto"/>
        <w:outlineLvl w:val="3"/>
        <w:rPr>
          <w:rFonts w:asciiTheme="minorEastAsia" w:hAnsiTheme="minorEastAsia" w:eastAsiaTheme="minorEastAsia"/>
          <w:b/>
          <w:color w:val="auto"/>
          <w:sz w:val="24"/>
          <w:szCs w:val="24"/>
          <w:highlight w:val="none"/>
        </w:rPr>
      </w:pPr>
      <w:bookmarkStart w:id="403" w:name="_Toc69678427"/>
      <w:bookmarkStart w:id="404" w:name="_Toc87543816"/>
      <w:bookmarkStart w:id="405" w:name="_Toc45976898"/>
      <w:bookmarkStart w:id="406" w:name="_Toc98033932"/>
      <w:bookmarkStart w:id="407" w:name="_Toc20888"/>
      <w:bookmarkStart w:id="408" w:name="_Toc116583998"/>
      <w:bookmarkStart w:id="409" w:name="_Toc42204991"/>
      <w:bookmarkStart w:id="410" w:name="_Toc87538367"/>
      <w:bookmarkStart w:id="411" w:name="_Toc84356250"/>
      <w:bookmarkStart w:id="412" w:name="_Toc53412214"/>
      <w:bookmarkStart w:id="413" w:name="_Toc98865009"/>
      <w:bookmarkStart w:id="414" w:name="_Toc42267630"/>
      <w:bookmarkStart w:id="415" w:name="_Toc81330937"/>
      <w:bookmarkStart w:id="416" w:name="_Toc75783529"/>
      <w:bookmarkStart w:id="417" w:name="_Toc45791352"/>
      <w:bookmarkStart w:id="418" w:name="_Toc110405132"/>
      <w:bookmarkStart w:id="419" w:name="_Toc83753890"/>
      <w:bookmarkStart w:id="420" w:name="_Toc109809310"/>
      <w:r>
        <w:rPr>
          <w:rFonts w:hint="eastAsia" w:asciiTheme="minorEastAsia" w:hAnsiTheme="minorEastAsia" w:eastAsiaTheme="minorEastAsia"/>
          <w:b/>
          <w:color w:val="auto"/>
          <w:sz w:val="24"/>
          <w:szCs w:val="24"/>
          <w:highlight w:val="none"/>
        </w:rPr>
        <w:t>1.12 偏离</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66BA9FA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p>
    <w:p w14:paraId="208BEF1D">
      <w:pPr>
        <w:spacing w:line="360" w:lineRule="auto"/>
        <w:jc w:val="center"/>
        <w:outlineLvl w:val="2"/>
        <w:rPr>
          <w:rFonts w:asciiTheme="minorEastAsia" w:hAnsiTheme="minorEastAsia" w:eastAsiaTheme="minorEastAsia"/>
          <w:b/>
          <w:bCs/>
          <w:color w:val="auto"/>
          <w:sz w:val="28"/>
          <w:szCs w:val="28"/>
          <w:highlight w:val="none"/>
        </w:rPr>
      </w:pPr>
      <w:bookmarkStart w:id="421" w:name="_Toc83753891"/>
      <w:bookmarkStart w:id="422" w:name="_Toc45976899"/>
      <w:bookmarkStart w:id="423" w:name="_Toc42267631"/>
      <w:bookmarkStart w:id="424" w:name="_Toc42204992"/>
      <w:bookmarkStart w:id="425" w:name="_Toc87538368"/>
      <w:bookmarkStart w:id="426" w:name="_Toc87543817"/>
      <w:bookmarkStart w:id="427" w:name="_Toc45791353"/>
      <w:bookmarkStart w:id="428" w:name="_Toc84356251"/>
      <w:bookmarkStart w:id="429" w:name="_Toc98033933"/>
      <w:bookmarkStart w:id="430" w:name="_Toc116583999"/>
      <w:bookmarkStart w:id="431" w:name="_Toc110405133"/>
      <w:bookmarkStart w:id="432" w:name="_Toc22595"/>
      <w:bookmarkStart w:id="433" w:name="_Toc98865010"/>
      <w:bookmarkStart w:id="434" w:name="_Toc109809311"/>
      <w:r>
        <w:rPr>
          <w:rFonts w:hint="eastAsia" w:asciiTheme="minorEastAsia" w:hAnsiTheme="minorEastAsia" w:eastAsiaTheme="minorEastAsia"/>
          <w:b/>
          <w:bCs/>
          <w:color w:val="auto"/>
          <w:sz w:val="28"/>
          <w:szCs w:val="28"/>
          <w:highlight w:val="none"/>
        </w:rPr>
        <w:t>2.</w:t>
      </w:r>
      <w:bookmarkEnd w:id="421"/>
      <w:bookmarkEnd w:id="422"/>
      <w:bookmarkEnd w:id="423"/>
      <w:bookmarkEnd w:id="424"/>
      <w:bookmarkEnd w:id="425"/>
      <w:bookmarkEnd w:id="426"/>
      <w:bookmarkEnd w:id="427"/>
      <w:bookmarkEnd w:id="428"/>
      <w:bookmarkEnd w:id="429"/>
      <w:r>
        <w:rPr>
          <w:rFonts w:hint="eastAsia" w:asciiTheme="minorEastAsia" w:hAnsiTheme="minorEastAsia" w:eastAsiaTheme="minorEastAsia"/>
          <w:b/>
          <w:bCs/>
          <w:color w:val="auto"/>
          <w:sz w:val="28"/>
          <w:szCs w:val="28"/>
          <w:highlight w:val="none"/>
        </w:rPr>
        <w:t>采购文件</w:t>
      </w:r>
      <w:bookmarkEnd w:id="430"/>
      <w:bookmarkEnd w:id="431"/>
      <w:bookmarkEnd w:id="432"/>
      <w:bookmarkEnd w:id="433"/>
      <w:bookmarkEnd w:id="434"/>
    </w:p>
    <w:p w14:paraId="3360E169">
      <w:pPr>
        <w:spacing w:line="360" w:lineRule="auto"/>
        <w:outlineLvl w:val="3"/>
        <w:rPr>
          <w:rFonts w:asciiTheme="minorEastAsia" w:hAnsiTheme="minorEastAsia" w:eastAsiaTheme="minorEastAsia"/>
          <w:b/>
          <w:color w:val="auto"/>
          <w:sz w:val="24"/>
          <w:szCs w:val="24"/>
          <w:highlight w:val="none"/>
        </w:rPr>
      </w:pPr>
      <w:bookmarkStart w:id="435" w:name="_Toc45976900"/>
      <w:bookmarkStart w:id="436" w:name="_Toc84356252"/>
      <w:bookmarkStart w:id="437" w:name="_Toc53412216"/>
      <w:bookmarkStart w:id="438" w:name="_Toc1486"/>
      <w:bookmarkStart w:id="439" w:name="_Toc42267632"/>
      <w:bookmarkStart w:id="440" w:name="_Toc87543818"/>
      <w:bookmarkStart w:id="441" w:name="_Toc81330939"/>
      <w:bookmarkStart w:id="442" w:name="_Toc98865011"/>
      <w:bookmarkStart w:id="443" w:name="_Toc87538369"/>
      <w:bookmarkStart w:id="444" w:name="_Toc45791354"/>
      <w:bookmarkStart w:id="445" w:name="_Toc42204993"/>
      <w:bookmarkStart w:id="446" w:name="_Toc83753892"/>
      <w:bookmarkStart w:id="447" w:name="_Toc98033934"/>
      <w:bookmarkStart w:id="448" w:name="_Toc116584000"/>
      <w:bookmarkStart w:id="449" w:name="_Toc75783531"/>
      <w:bookmarkStart w:id="450" w:name="_Toc69678429"/>
      <w:bookmarkStart w:id="451" w:name="_Toc109809312"/>
      <w:bookmarkStart w:id="452" w:name="_Toc110405134"/>
      <w:r>
        <w:rPr>
          <w:rFonts w:hint="eastAsia" w:asciiTheme="minorEastAsia" w:hAnsiTheme="minorEastAsia" w:eastAsiaTheme="minorEastAsia"/>
          <w:b/>
          <w:color w:val="auto"/>
          <w:sz w:val="24"/>
          <w:szCs w:val="24"/>
          <w:highlight w:val="none"/>
        </w:rPr>
        <w:t>2.1采购文件的构成</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14:paraId="26B443A0">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采购文件包括以下内容：</w:t>
      </w:r>
    </w:p>
    <w:p w14:paraId="6C9319BA">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第一章 竞争性磋商公告</w:t>
      </w:r>
    </w:p>
    <w:p w14:paraId="624EF525">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第二章 供应商须知</w:t>
      </w:r>
    </w:p>
    <w:p w14:paraId="0A1F80F5">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第三章 合同条款及格式</w:t>
      </w:r>
    </w:p>
    <w:p w14:paraId="75A2FBC9">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第四章 响应文件格式</w:t>
      </w:r>
    </w:p>
    <w:p w14:paraId="08A2447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第五章 采购需求</w:t>
      </w:r>
    </w:p>
    <w:p w14:paraId="542A0344">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第六章 图纸</w:t>
      </w:r>
    </w:p>
    <w:p w14:paraId="6ACC26B6">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第七章 工程量清单</w:t>
      </w:r>
    </w:p>
    <w:p w14:paraId="34F5FA3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第八章 评审办法（综合评分法）</w:t>
      </w:r>
    </w:p>
    <w:p w14:paraId="5B8E0C8A">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1"/>
          <w:highlight w:val="none"/>
        </w:rPr>
        <w:t>2.1.1构成采购文件的其他文件：根据本章第1.10款、第2.2 款和第2.3 款采购人对采购文件所作</w:t>
      </w:r>
      <w:r>
        <w:rPr>
          <w:rFonts w:hint="eastAsia" w:asciiTheme="minorEastAsia" w:hAnsiTheme="minorEastAsia" w:eastAsiaTheme="minorEastAsia"/>
          <w:color w:val="auto"/>
          <w:szCs w:val="28"/>
          <w:highlight w:val="none"/>
        </w:rPr>
        <w:t>的澄清、修改，构成采购文件的组成部分。</w:t>
      </w:r>
    </w:p>
    <w:p w14:paraId="7383F92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2.1.2磋商过程中可能实质性变动的内容：在磋商过程中，磋商小组可以根据</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和磋商情况实质性变动采购需求中的技术、质量标准以及合同条款，但不得变动</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中的其他内容。实质性变动的内容，须经采购人代表确认。</w:t>
      </w:r>
    </w:p>
    <w:p w14:paraId="28FB1488">
      <w:pPr>
        <w:spacing w:line="360" w:lineRule="auto"/>
        <w:outlineLvl w:val="3"/>
        <w:rPr>
          <w:rFonts w:asciiTheme="minorEastAsia" w:hAnsiTheme="minorEastAsia" w:eastAsiaTheme="minorEastAsia"/>
          <w:b/>
          <w:color w:val="auto"/>
          <w:sz w:val="24"/>
          <w:szCs w:val="24"/>
          <w:highlight w:val="none"/>
        </w:rPr>
      </w:pPr>
      <w:bookmarkStart w:id="453" w:name="_Toc116584001"/>
      <w:bookmarkStart w:id="454" w:name="_Toc110405135"/>
      <w:bookmarkStart w:id="455" w:name="_Toc45976901"/>
      <w:bookmarkStart w:id="456" w:name="_Toc83753893"/>
      <w:bookmarkStart w:id="457" w:name="_Toc87543819"/>
      <w:bookmarkStart w:id="458" w:name="_Toc98033935"/>
      <w:bookmarkStart w:id="459" w:name="_Toc45791355"/>
      <w:bookmarkStart w:id="460" w:name="_Toc42204994"/>
      <w:bookmarkStart w:id="461" w:name="_Toc53412217"/>
      <w:bookmarkStart w:id="462" w:name="_Toc69678430"/>
      <w:bookmarkStart w:id="463" w:name="_Toc109809313"/>
      <w:bookmarkStart w:id="464" w:name="_Toc2038"/>
      <w:bookmarkStart w:id="465" w:name="_Toc98865012"/>
      <w:bookmarkStart w:id="466" w:name="_Toc75783532"/>
      <w:bookmarkStart w:id="467" w:name="_Toc87538370"/>
      <w:bookmarkStart w:id="468" w:name="_Toc84356253"/>
      <w:bookmarkStart w:id="469" w:name="_Toc81330940"/>
      <w:bookmarkStart w:id="470" w:name="_Toc42267633"/>
      <w:r>
        <w:rPr>
          <w:rFonts w:hint="eastAsia" w:asciiTheme="minorEastAsia" w:hAnsiTheme="minorEastAsia" w:eastAsiaTheme="minorEastAsia"/>
          <w:b/>
          <w:color w:val="auto"/>
          <w:sz w:val="24"/>
          <w:szCs w:val="24"/>
          <w:highlight w:val="none"/>
        </w:rPr>
        <w:t>2.2采购文件的澄清</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434F6F83">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2.2.1供应商要求澄清采购文件的截止时间和方法：详见供应商须知前附表。供应商应仔细阅读和检查采购文件的全部内容，如发现缺页或附件不全，应及时向采购人提出，以便补齐。如有疑问，应在供应商须知前附表规定的时间前，要求采购人对采购文件予以澄清。</w:t>
      </w:r>
    </w:p>
    <w:p w14:paraId="5975C0B7">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2.2.2响应文件提交的截止时间：详见供应商须知前附表。</w:t>
      </w:r>
    </w:p>
    <w:p w14:paraId="156F1B4D">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2.2.3供应商确认收到</w:t>
      </w:r>
      <w:r>
        <w:rPr>
          <w:rFonts w:hint="eastAsia" w:asciiTheme="minorEastAsia" w:hAnsiTheme="minorEastAsia" w:eastAsiaTheme="minorEastAsia"/>
          <w:snapToGrid w:val="0"/>
          <w:color w:val="auto"/>
          <w:kern w:val="0"/>
          <w:szCs w:val="21"/>
          <w:highlight w:val="none"/>
        </w:rPr>
        <w:t>采购文件</w:t>
      </w:r>
      <w:r>
        <w:rPr>
          <w:rFonts w:hint="eastAsia" w:asciiTheme="minorEastAsia" w:hAnsiTheme="minorEastAsia" w:eastAsiaTheme="minorEastAsia"/>
          <w:color w:val="auto"/>
          <w:szCs w:val="21"/>
          <w:highlight w:val="none"/>
        </w:rPr>
        <w:t>澄清的时间：详</w:t>
      </w:r>
      <w:r>
        <w:rPr>
          <w:rFonts w:hint="eastAsia" w:asciiTheme="minorEastAsia" w:hAnsiTheme="minorEastAsia" w:eastAsiaTheme="minorEastAsia"/>
          <w:color w:val="auto"/>
          <w:szCs w:val="28"/>
          <w:highlight w:val="none"/>
        </w:rPr>
        <w:t>见供应商须知前附表。</w:t>
      </w:r>
    </w:p>
    <w:p w14:paraId="6277253F">
      <w:pPr>
        <w:spacing w:line="360" w:lineRule="auto"/>
        <w:outlineLvl w:val="3"/>
        <w:rPr>
          <w:rFonts w:asciiTheme="minorEastAsia" w:hAnsiTheme="minorEastAsia" w:eastAsiaTheme="minorEastAsia"/>
          <w:b/>
          <w:color w:val="auto"/>
          <w:sz w:val="24"/>
          <w:szCs w:val="24"/>
          <w:highlight w:val="none"/>
        </w:rPr>
      </w:pPr>
      <w:bookmarkStart w:id="471" w:name="_Toc84356254"/>
      <w:bookmarkStart w:id="472" w:name="_Toc98865013"/>
      <w:bookmarkStart w:id="473" w:name="_Toc42204995"/>
      <w:bookmarkStart w:id="474" w:name="_Toc81330941"/>
      <w:bookmarkStart w:id="475" w:name="_Toc116584002"/>
      <w:bookmarkStart w:id="476" w:name="_Toc110405136"/>
      <w:bookmarkStart w:id="477" w:name="_Toc75783533"/>
      <w:bookmarkStart w:id="478" w:name="_Toc53412218"/>
      <w:bookmarkStart w:id="479" w:name="_Toc83753894"/>
      <w:bookmarkStart w:id="480" w:name="_Toc13012"/>
      <w:bookmarkStart w:id="481" w:name="_Toc42267634"/>
      <w:bookmarkStart w:id="482" w:name="_Toc69678431"/>
      <w:bookmarkStart w:id="483" w:name="_Toc98033936"/>
      <w:bookmarkStart w:id="484" w:name="_Toc109809314"/>
      <w:bookmarkStart w:id="485" w:name="_Toc45976902"/>
      <w:bookmarkStart w:id="486" w:name="_Toc87543820"/>
      <w:bookmarkStart w:id="487" w:name="_Toc45791356"/>
      <w:bookmarkStart w:id="488" w:name="_Toc87538371"/>
      <w:r>
        <w:rPr>
          <w:rFonts w:hint="eastAsia" w:asciiTheme="minorEastAsia" w:hAnsiTheme="minorEastAsia" w:eastAsiaTheme="minorEastAsia"/>
          <w:b/>
          <w:color w:val="auto"/>
          <w:sz w:val="24"/>
          <w:szCs w:val="24"/>
          <w:highlight w:val="none"/>
        </w:rPr>
        <w:t>2.3采购文件的修改</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0FDCDEA5">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bookmarkStart w:id="489" w:name="_Toc292983019"/>
      <w:bookmarkStart w:id="490" w:name="_Toc381796409"/>
      <w:r>
        <w:rPr>
          <w:rFonts w:hint="eastAsia" w:asciiTheme="minorEastAsia" w:hAnsiTheme="minorEastAsia" w:eastAsiaTheme="minorEastAsia"/>
          <w:color w:val="auto"/>
          <w:szCs w:val="21"/>
          <w:highlight w:val="none"/>
        </w:rPr>
        <w:t>2.3.1</w:t>
      </w:r>
      <w:r>
        <w:rPr>
          <w:rFonts w:hint="eastAsia" w:asciiTheme="minorEastAsia" w:hAnsiTheme="minorEastAsia" w:eastAsiaTheme="minorEastAsia"/>
          <w:color w:val="auto"/>
          <w:highlight w:val="none"/>
        </w:rPr>
        <w:t>响应文件提交截止时间前，采购人、采购代理机构可以对已发出的采购文件进行必要的澄清，澄清的内容作为采购文件的组成部分，</w:t>
      </w:r>
      <w:r>
        <w:rPr>
          <w:rFonts w:hint="eastAsia" w:asciiTheme="minorEastAsia" w:hAnsiTheme="minorEastAsia" w:eastAsiaTheme="minorEastAsia"/>
          <w:color w:val="auto"/>
          <w:szCs w:val="21"/>
          <w:highlight w:val="none"/>
        </w:rPr>
        <w:t>并具有约束力。</w:t>
      </w:r>
      <w:r>
        <w:rPr>
          <w:rFonts w:hint="eastAsia" w:asciiTheme="minorEastAsia" w:hAnsiTheme="minorEastAsia" w:eastAsiaTheme="minorEastAsia"/>
          <w:color w:val="auto"/>
          <w:highlight w:val="none"/>
        </w:rPr>
        <w:t>澄清的内容可能影响采购文件编制的，采购人、采购代理机构应在响应文件提交截止时间5日前，在政府采购云平台通知所有获取采购文件的供应商，但不指明澄清问题的来源。不足5日的，应当顺延响应文件提交截止时间。</w:t>
      </w:r>
    </w:p>
    <w:p w14:paraId="275623FA">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2.3.2供应商应在响应文件提交截止时间前随时查看有关该项目采购文件的答疑、补遗内容。否则，由此引起的损失由供应商自负。</w:t>
      </w:r>
    </w:p>
    <w:p w14:paraId="2EAF04F7">
      <w:pPr>
        <w:adjustRightInd w:val="0"/>
        <w:snapToGrid w:val="0"/>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2.3.3采购文件、采购文件澄清、采购文件修改文件内容均以网上发布的为准，当采购文件、采购文件澄清、采购文件修改文件内容相互矛盾时，以最后发出的为准</w:t>
      </w:r>
      <w:r>
        <w:rPr>
          <w:rFonts w:asciiTheme="minorEastAsia" w:hAnsiTheme="minorEastAsia" w:eastAsiaTheme="minorEastAsia"/>
          <w:color w:val="auto"/>
          <w:szCs w:val="21"/>
          <w:highlight w:val="none"/>
        </w:rPr>
        <w:t>。</w:t>
      </w:r>
    </w:p>
    <w:p w14:paraId="0B5E34BA">
      <w:pPr>
        <w:spacing w:line="360" w:lineRule="auto"/>
        <w:jc w:val="center"/>
        <w:outlineLvl w:val="2"/>
        <w:rPr>
          <w:rFonts w:asciiTheme="minorEastAsia" w:hAnsiTheme="minorEastAsia" w:eastAsiaTheme="minorEastAsia"/>
          <w:b/>
          <w:bCs/>
          <w:color w:val="auto"/>
          <w:sz w:val="28"/>
          <w:szCs w:val="28"/>
          <w:highlight w:val="none"/>
        </w:rPr>
      </w:pPr>
      <w:bookmarkStart w:id="491" w:name="_Toc87543821"/>
      <w:bookmarkStart w:id="492" w:name="_Toc84356255"/>
      <w:bookmarkStart w:id="493" w:name="_Toc42204996"/>
      <w:bookmarkStart w:id="494" w:name="_Toc87538372"/>
      <w:bookmarkStart w:id="495" w:name="_Toc98865014"/>
      <w:bookmarkStart w:id="496" w:name="_Toc45791357"/>
      <w:bookmarkStart w:id="497" w:name="_Toc45976903"/>
      <w:bookmarkStart w:id="498" w:name="_Toc116584003"/>
      <w:bookmarkStart w:id="499" w:name="_Toc26920"/>
      <w:bookmarkStart w:id="500" w:name="_Toc37603104"/>
      <w:bookmarkStart w:id="501" w:name="_Toc110405137"/>
      <w:bookmarkStart w:id="502" w:name="_Toc109809315"/>
      <w:bookmarkStart w:id="503" w:name="_Toc83753895"/>
      <w:bookmarkStart w:id="504" w:name="_Toc42267635"/>
      <w:bookmarkStart w:id="505" w:name="_Toc98033937"/>
      <w:r>
        <w:rPr>
          <w:rFonts w:hint="eastAsia" w:asciiTheme="minorEastAsia" w:hAnsiTheme="minorEastAsia" w:eastAsiaTheme="minorEastAsia"/>
          <w:b/>
          <w:bCs/>
          <w:color w:val="auto"/>
          <w:sz w:val="28"/>
          <w:szCs w:val="28"/>
          <w:highlight w:val="none"/>
        </w:rPr>
        <w:t>3.响应文件</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38197181">
      <w:pPr>
        <w:spacing w:line="360" w:lineRule="auto"/>
        <w:outlineLvl w:val="3"/>
        <w:rPr>
          <w:rFonts w:asciiTheme="minorEastAsia" w:hAnsiTheme="minorEastAsia" w:eastAsiaTheme="minorEastAsia"/>
          <w:b/>
          <w:color w:val="auto"/>
          <w:sz w:val="24"/>
          <w:szCs w:val="24"/>
          <w:highlight w:val="none"/>
        </w:rPr>
      </w:pPr>
      <w:bookmarkStart w:id="506" w:name="_Toc116584004"/>
      <w:bookmarkStart w:id="507" w:name="_Toc145"/>
      <w:bookmarkStart w:id="508" w:name="_Toc53412220"/>
      <w:bookmarkStart w:id="509" w:name="_Toc42267636"/>
      <w:bookmarkStart w:id="510" w:name="_Toc69678433"/>
      <w:bookmarkStart w:id="511" w:name="_Toc98865015"/>
      <w:bookmarkStart w:id="512" w:name="_Toc87543822"/>
      <w:bookmarkStart w:id="513" w:name="_Toc45976904"/>
      <w:bookmarkStart w:id="514" w:name="_Toc87538373"/>
      <w:bookmarkStart w:id="515" w:name="_Toc110405138"/>
      <w:bookmarkStart w:id="516" w:name="_Toc98033938"/>
      <w:bookmarkStart w:id="517" w:name="_Toc83753896"/>
      <w:bookmarkStart w:id="518" w:name="_Toc42204997"/>
      <w:bookmarkStart w:id="519" w:name="_Toc75783535"/>
      <w:bookmarkStart w:id="520" w:name="_Toc81330943"/>
      <w:bookmarkStart w:id="521" w:name="_Toc45791358"/>
      <w:bookmarkStart w:id="522" w:name="_Toc109809316"/>
      <w:bookmarkStart w:id="523" w:name="_Toc84356256"/>
      <w:r>
        <w:rPr>
          <w:rFonts w:hint="eastAsia" w:asciiTheme="minorEastAsia" w:hAnsiTheme="minorEastAsia" w:eastAsiaTheme="minorEastAsia"/>
          <w:b/>
          <w:color w:val="auto"/>
          <w:sz w:val="24"/>
          <w:szCs w:val="24"/>
          <w:highlight w:val="none"/>
        </w:rPr>
        <w:t>3.1 响应文件的组成</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4324229A">
      <w:pPr>
        <w:pStyle w:val="6"/>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详见第</w:t>
      </w:r>
      <w:r>
        <w:rPr>
          <w:rFonts w:hint="eastAsia" w:cs="宋体" w:asciiTheme="minorEastAsia" w:hAnsiTheme="minorEastAsia" w:eastAsiaTheme="minorEastAsia"/>
          <w:color w:val="auto"/>
          <w:kern w:val="0"/>
          <w:szCs w:val="21"/>
          <w:highlight w:val="none"/>
        </w:rPr>
        <w:t>四</w:t>
      </w:r>
      <w:r>
        <w:rPr>
          <w:rFonts w:hint="eastAsia" w:asciiTheme="minorEastAsia" w:hAnsiTheme="minorEastAsia" w:eastAsiaTheme="minorEastAsia"/>
          <w:color w:val="auto"/>
          <w:szCs w:val="21"/>
          <w:highlight w:val="none"/>
        </w:rPr>
        <w:t>章“响应文件格式”部分。</w:t>
      </w:r>
    </w:p>
    <w:p w14:paraId="5C504563">
      <w:pPr>
        <w:spacing w:line="360" w:lineRule="auto"/>
        <w:outlineLvl w:val="3"/>
        <w:rPr>
          <w:rFonts w:asciiTheme="minorEastAsia" w:hAnsiTheme="minorEastAsia" w:eastAsiaTheme="minorEastAsia"/>
          <w:b/>
          <w:color w:val="auto"/>
          <w:sz w:val="24"/>
          <w:szCs w:val="24"/>
          <w:highlight w:val="none"/>
        </w:rPr>
      </w:pPr>
      <w:bookmarkStart w:id="524" w:name="_Toc42267637"/>
      <w:bookmarkStart w:id="525" w:name="_Toc116584005"/>
      <w:bookmarkStart w:id="526" w:name="_Toc98865016"/>
      <w:bookmarkStart w:id="527" w:name="_Toc84356257"/>
      <w:bookmarkStart w:id="528" w:name="_Toc45791359"/>
      <w:bookmarkStart w:id="529" w:name="_Toc75783536"/>
      <w:bookmarkStart w:id="530" w:name="_Toc81330944"/>
      <w:bookmarkStart w:id="531" w:name="_Toc87538374"/>
      <w:bookmarkStart w:id="532" w:name="_Toc83753897"/>
      <w:bookmarkStart w:id="533" w:name="_Toc110405139"/>
      <w:bookmarkStart w:id="534" w:name="_Toc53412221"/>
      <w:bookmarkStart w:id="535" w:name="_Toc109809317"/>
      <w:bookmarkStart w:id="536" w:name="_Toc98033939"/>
      <w:bookmarkStart w:id="537" w:name="_Toc11669"/>
      <w:bookmarkStart w:id="538" w:name="_Toc69678434"/>
      <w:bookmarkStart w:id="539" w:name="_Toc45976905"/>
      <w:bookmarkStart w:id="540" w:name="_Toc42204998"/>
      <w:bookmarkStart w:id="541" w:name="_Toc87543823"/>
      <w:r>
        <w:rPr>
          <w:rFonts w:hint="eastAsia" w:asciiTheme="minorEastAsia" w:hAnsiTheme="minorEastAsia" w:eastAsiaTheme="minorEastAsia"/>
          <w:b/>
          <w:color w:val="auto"/>
          <w:sz w:val="24"/>
          <w:szCs w:val="24"/>
          <w:highlight w:val="none"/>
        </w:rPr>
        <w:t>3.2 磋商报价</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0E82BFD5">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1</w:t>
      </w:r>
      <w:r>
        <w:rPr>
          <w:rFonts w:hint="eastAsia" w:ascii="宋体" w:hAnsi="宋体"/>
          <w:color w:val="auto"/>
          <w:szCs w:val="21"/>
          <w:highlight w:val="none"/>
        </w:rPr>
        <w:t>总价</w:t>
      </w:r>
      <w:r>
        <w:rPr>
          <w:rFonts w:hint="eastAsia" w:asciiTheme="minorEastAsia" w:hAnsiTheme="minorEastAsia" w:eastAsiaTheme="minorEastAsia"/>
          <w:color w:val="auto"/>
          <w:szCs w:val="21"/>
          <w:highlight w:val="none"/>
        </w:rPr>
        <w:t>最高限价：详见供应商须知前附表。</w:t>
      </w:r>
    </w:p>
    <w:p w14:paraId="49061230">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报价方式：详见供应商须知前附表。</w:t>
      </w:r>
    </w:p>
    <w:p w14:paraId="08F4A40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计价及结算方式：详见供应商须知前附表。</w:t>
      </w:r>
    </w:p>
    <w:p w14:paraId="2C45DCF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.2.4</w:t>
      </w:r>
      <w:r>
        <w:rPr>
          <w:rFonts w:hint="eastAsia" w:asciiTheme="minorEastAsia" w:hAnsiTheme="minorEastAsia" w:eastAsiaTheme="minorEastAsia"/>
          <w:color w:val="auto"/>
          <w:szCs w:val="21"/>
          <w:highlight w:val="none"/>
        </w:rPr>
        <w:t>二次报价：详见供应商须知前附表。</w:t>
      </w:r>
    </w:p>
    <w:p w14:paraId="0F3BA915">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w:t>
      </w:r>
      <w:r>
        <w:rPr>
          <w:rFonts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rPr>
        <w:t>本次竞争性磋商只允许供应商只</w:t>
      </w:r>
      <w:r>
        <w:rPr>
          <w:rFonts w:hint="eastAsia" w:asciiTheme="minorEastAsia" w:hAnsiTheme="minorEastAsia" w:eastAsiaTheme="minorEastAsia"/>
          <w:color w:val="auto"/>
          <w:szCs w:val="21"/>
          <w:highlight w:val="none"/>
          <w:lang w:eastAsia="zh-CN"/>
        </w:rPr>
        <w:t>有</w:t>
      </w:r>
      <w:r>
        <w:rPr>
          <w:rFonts w:hint="eastAsia" w:asciiTheme="minorEastAsia" w:hAnsiTheme="minorEastAsia" w:eastAsiaTheme="minorEastAsia"/>
          <w:color w:val="auto"/>
          <w:szCs w:val="21"/>
          <w:highlight w:val="none"/>
        </w:rPr>
        <w:t>一个有效的磋商报价，任何有选择的报价将不予接受。响应文件中，供应商投报两个或多个报价，又未书面声明其中哪一个有效的，其响应文件按否决处理。</w:t>
      </w:r>
    </w:p>
    <w:p w14:paraId="7ED255E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3.2.6通过资格审查、符合性审查的供应商将进行二次报价，供应商的二次报价是响应文件的有效组成部分。</w:t>
      </w:r>
    </w:p>
    <w:p w14:paraId="66377A5A">
      <w:pPr>
        <w:spacing w:line="360" w:lineRule="auto"/>
        <w:outlineLvl w:val="3"/>
        <w:rPr>
          <w:rFonts w:asciiTheme="minorEastAsia" w:hAnsiTheme="minorEastAsia" w:eastAsiaTheme="minorEastAsia"/>
          <w:b/>
          <w:color w:val="auto"/>
          <w:sz w:val="24"/>
          <w:szCs w:val="24"/>
          <w:highlight w:val="none"/>
        </w:rPr>
      </w:pPr>
      <w:bookmarkStart w:id="542" w:name="_Toc69678435"/>
      <w:bookmarkStart w:id="543" w:name="_Toc45791360"/>
      <w:bookmarkStart w:id="544" w:name="_Toc45976906"/>
      <w:bookmarkStart w:id="545" w:name="_Toc53412222"/>
      <w:bookmarkStart w:id="546" w:name="_Toc75783537"/>
      <w:bookmarkStart w:id="547" w:name="_Toc42267638"/>
      <w:bookmarkStart w:id="548" w:name="_Toc42204999"/>
      <w:bookmarkStart w:id="549" w:name="_Toc98865017"/>
      <w:bookmarkStart w:id="550" w:name="_Toc87538375"/>
      <w:bookmarkStart w:id="551" w:name="_Toc83753898"/>
      <w:bookmarkStart w:id="552" w:name="_Toc116584006"/>
      <w:bookmarkStart w:id="553" w:name="_Toc81330945"/>
      <w:bookmarkStart w:id="554" w:name="_Toc98033940"/>
      <w:bookmarkStart w:id="555" w:name="_Toc9599"/>
      <w:bookmarkStart w:id="556" w:name="_Toc84356258"/>
      <w:bookmarkStart w:id="557" w:name="_Toc110405140"/>
      <w:bookmarkStart w:id="558" w:name="_Toc87543824"/>
      <w:bookmarkStart w:id="559" w:name="_Toc109809318"/>
      <w:r>
        <w:rPr>
          <w:rFonts w:hint="eastAsia" w:asciiTheme="minorEastAsia" w:hAnsiTheme="minorEastAsia" w:eastAsiaTheme="minorEastAsia"/>
          <w:b/>
          <w:color w:val="auto"/>
          <w:sz w:val="24"/>
          <w:szCs w:val="24"/>
          <w:highlight w:val="none"/>
        </w:rPr>
        <w:t>3.3 磋商有效期</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795DC84D">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3.3.1在供应商须知前附表规定的</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有效期内，供应商不得要求撤销或修改其响应文件。</w:t>
      </w:r>
    </w:p>
    <w:p w14:paraId="1DDA2A9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3.3.2出现特殊情况需要延长</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有效期的，采购人将通知所有供应商延长</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有效期。供应商同意延长的，不得要求或被允许修改或撤销其响应文件；供应商拒绝延长的，其</w:t>
      </w:r>
      <w:r>
        <w:rPr>
          <w:rFonts w:hint="eastAsia" w:asciiTheme="minorEastAsia" w:hAnsiTheme="minorEastAsia" w:eastAsiaTheme="minorEastAsia"/>
          <w:color w:val="auto"/>
          <w:szCs w:val="24"/>
          <w:highlight w:val="none"/>
        </w:rPr>
        <w:t>磋商</w:t>
      </w:r>
      <w:r>
        <w:rPr>
          <w:rFonts w:hint="eastAsia" w:asciiTheme="minorEastAsia" w:hAnsiTheme="minorEastAsia" w:eastAsiaTheme="minorEastAsia"/>
          <w:color w:val="auto"/>
          <w:szCs w:val="28"/>
          <w:highlight w:val="none"/>
        </w:rPr>
        <w:t>失效。</w:t>
      </w:r>
    </w:p>
    <w:p w14:paraId="55A1673B">
      <w:pPr>
        <w:spacing w:line="360" w:lineRule="auto"/>
        <w:outlineLvl w:val="3"/>
        <w:rPr>
          <w:rFonts w:asciiTheme="minorEastAsia" w:hAnsiTheme="minorEastAsia" w:eastAsiaTheme="minorEastAsia"/>
          <w:b/>
          <w:color w:val="auto"/>
          <w:sz w:val="24"/>
          <w:szCs w:val="24"/>
          <w:highlight w:val="none"/>
        </w:rPr>
      </w:pPr>
      <w:bookmarkStart w:id="560" w:name="_Toc110405141"/>
      <w:bookmarkStart w:id="561" w:name="_Toc116584007"/>
      <w:bookmarkStart w:id="562" w:name="_Toc83753899"/>
      <w:bookmarkStart w:id="563" w:name="_Toc45976907"/>
      <w:bookmarkStart w:id="564" w:name="_Toc69678436"/>
      <w:bookmarkStart w:id="565" w:name="_Toc84356259"/>
      <w:bookmarkStart w:id="566" w:name="_Toc75783538"/>
      <w:bookmarkStart w:id="567" w:name="_Toc45791361"/>
      <w:bookmarkStart w:id="568" w:name="_Toc81330946"/>
      <w:bookmarkStart w:id="569" w:name="_Toc87538376"/>
      <w:bookmarkStart w:id="570" w:name="_Toc42205000"/>
      <w:bookmarkStart w:id="571" w:name="_Toc30417"/>
      <w:bookmarkStart w:id="572" w:name="_Toc98033941"/>
      <w:bookmarkStart w:id="573" w:name="_Toc87543825"/>
      <w:bookmarkStart w:id="574" w:name="_Toc53412223"/>
      <w:bookmarkStart w:id="575" w:name="_Toc42267639"/>
      <w:bookmarkStart w:id="576" w:name="_Toc98865018"/>
      <w:bookmarkStart w:id="577" w:name="_Toc109809319"/>
      <w:r>
        <w:rPr>
          <w:rFonts w:hint="eastAsia" w:asciiTheme="minorEastAsia" w:hAnsiTheme="minorEastAsia" w:eastAsiaTheme="minorEastAsia"/>
          <w:b/>
          <w:color w:val="auto"/>
          <w:sz w:val="24"/>
          <w:szCs w:val="24"/>
          <w:highlight w:val="none"/>
        </w:rPr>
        <w:t>3.4 磋商保证金</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2C0223F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详见供应商须知前附表。</w:t>
      </w:r>
    </w:p>
    <w:p w14:paraId="692B8DC7">
      <w:pPr>
        <w:spacing w:line="360" w:lineRule="auto"/>
        <w:outlineLvl w:val="3"/>
        <w:rPr>
          <w:rFonts w:asciiTheme="minorEastAsia" w:hAnsiTheme="minorEastAsia" w:eastAsiaTheme="minorEastAsia"/>
          <w:b/>
          <w:color w:val="auto"/>
          <w:sz w:val="24"/>
          <w:szCs w:val="24"/>
          <w:highlight w:val="none"/>
        </w:rPr>
      </w:pPr>
      <w:bookmarkStart w:id="578" w:name="_Toc42267640"/>
      <w:bookmarkStart w:id="579" w:name="_Toc42205001"/>
      <w:bookmarkStart w:id="580" w:name="_Toc109809320"/>
      <w:bookmarkStart w:id="581" w:name="_Toc53412224"/>
      <w:bookmarkStart w:id="582" w:name="_Toc87538377"/>
      <w:bookmarkStart w:id="583" w:name="_Toc116584008"/>
      <w:bookmarkStart w:id="584" w:name="_Toc98865019"/>
      <w:bookmarkStart w:id="585" w:name="_Toc69678437"/>
      <w:bookmarkStart w:id="586" w:name="_Toc83753900"/>
      <w:bookmarkStart w:id="587" w:name="_Toc110405142"/>
      <w:bookmarkStart w:id="588" w:name="_Toc81330947"/>
      <w:bookmarkStart w:id="589" w:name="_Toc84356260"/>
      <w:bookmarkStart w:id="590" w:name="_Toc75783539"/>
      <w:bookmarkStart w:id="591" w:name="_Toc87543826"/>
      <w:bookmarkStart w:id="592" w:name="_Toc45976908"/>
      <w:bookmarkStart w:id="593" w:name="_Toc98033942"/>
      <w:bookmarkStart w:id="594" w:name="_Toc45791362"/>
      <w:bookmarkStart w:id="595" w:name="_Toc30166"/>
      <w:r>
        <w:rPr>
          <w:rFonts w:hint="eastAsia" w:asciiTheme="minorEastAsia" w:hAnsiTheme="minorEastAsia" w:eastAsiaTheme="minorEastAsia"/>
          <w:b/>
          <w:color w:val="auto"/>
          <w:sz w:val="24"/>
          <w:szCs w:val="24"/>
          <w:highlight w:val="none"/>
        </w:rPr>
        <w:t>3.5 资格审查资料</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6EB0893">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3.5.1近年财务状况的年份要求：详见供应商须知前附表。</w:t>
      </w:r>
    </w:p>
    <w:p w14:paraId="41B4BDDA">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3.5.2没有重大违法记录的年份要求：详见供应商须知前附表。</w:t>
      </w:r>
    </w:p>
    <w:p w14:paraId="4DE434DA">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3.5.3其他资格审查资料：详见第四章“响应文件格式”资格审查部分中的内容。</w:t>
      </w:r>
    </w:p>
    <w:p w14:paraId="46CC752C">
      <w:pPr>
        <w:spacing w:line="360" w:lineRule="auto"/>
        <w:outlineLvl w:val="3"/>
        <w:rPr>
          <w:rFonts w:asciiTheme="minorEastAsia" w:hAnsiTheme="minorEastAsia" w:eastAsiaTheme="minorEastAsia"/>
          <w:b/>
          <w:color w:val="auto"/>
          <w:sz w:val="24"/>
          <w:szCs w:val="24"/>
          <w:highlight w:val="none"/>
        </w:rPr>
      </w:pPr>
      <w:bookmarkStart w:id="596" w:name="_Toc45976909"/>
      <w:bookmarkStart w:id="597" w:name="_Toc87538378"/>
      <w:bookmarkStart w:id="598" w:name="_Toc42267641"/>
      <w:bookmarkStart w:id="599" w:name="_Toc53412225"/>
      <w:bookmarkStart w:id="600" w:name="_Toc81330948"/>
      <w:bookmarkStart w:id="601" w:name="_Toc109809321"/>
      <w:bookmarkStart w:id="602" w:name="_Toc42205002"/>
      <w:bookmarkStart w:id="603" w:name="_Toc87543827"/>
      <w:bookmarkStart w:id="604" w:name="_Toc98033943"/>
      <w:bookmarkStart w:id="605" w:name="_Toc1352"/>
      <w:bookmarkStart w:id="606" w:name="_Toc83753901"/>
      <w:bookmarkStart w:id="607" w:name="_Toc84356261"/>
      <w:bookmarkStart w:id="608" w:name="_Toc45791363"/>
      <w:bookmarkStart w:id="609" w:name="_Toc116584009"/>
      <w:bookmarkStart w:id="610" w:name="_Toc110405143"/>
      <w:bookmarkStart w:id="611" w:name="_Toc69678438"/>
      <w:bookmarkStart w:id="612" w:name="_Toc75783540"/>
      <w:bookmarkStart w:id="613" w:name="_Toc98865020"/>
      <w:r>
        <w:rPr>
          <w:rFonts w:hint="eastAsia" w:asciiTheme="minorEastAsia" w:hAnsiTheme="minorEastAsia" w:eastAsiaTheme="minorEastAsia"/>
          <w:b/>
          <w:color w:val="auto"/>
          <w:sz w:val="24"/>
          <w:szCs w:val="24"/>
          <w:highlight w:val="none"/>
        </w:rPr>
        <w:t>3.6 备选磋商方案</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2CB7FAF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除供应商须知前附表另有规定外，供应商不得</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备选磋商方案。允许供应商</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备选磋商方案的，只有成交供应商所</w:t>
      </w:r>
      <w:r>
        <w:rPr>
          <w:rFonts w:hint="eastAsia" w:asciiTheme="minorEastAsia" w:hAnsiTheme="minorEastAsia" w:eastAsiaTheme="minorEastAsia"/>
          <w:color w:val="auto"/>
          <w:szCs w:val="28"/>
          <w:highlight w:val="none"/>
        </w:rPr>
        <w:t>提交</w:t>
      </w:r>
      <w:r>
        <w:rPr>
          <w:rFonts w:hint="eastAsia" w:asciiTheme="minorEastAsia" w:hAnsiTheme="minorEastAsia" w:eastAsiaTheme="minorEastAsia"/>
          <w:color w:val="auto"/>
          <w:szCs w:val="21"/>
          <w:highlight w:val="none"/>
        </w:rPr>
        <w:t>的备选磋商方案方可予以考虑。磋商小组认为成交供应商的备选磋商方案优于其按照采购文件要求编制的磋商方案的，采购人可以接受该备选磋商方案。</w:t>
      </w:r>
    </w:p>
    <w:p w14:paraId="2924AC3B">
      <w:pPr>
        <w:spacing w:line="360" w:lineRule="auto"/>
        <w:outlineLvl w:val="3"/>
        <w:rPr>
          <w:rFonts w:asciiTheme="minorEastAsia" w:hAnsiTheme="minorEastAsia" w:eastAsiaTheme="minorEastAsia"/>
          <w:b/>
          <w:color w:val="auto"/>
          <w:sz w:val="24"/>
          <w:szCs w:val="24"/>
          <w:highlight w:val="none"/>
        </w:rPr>
      </w:pPr>
      <w:bookmarkStart w:id="614" w:name="_Toc53412226"/>
      <w:bookmarkStart w:id="615" w:name="_Toc69678439"/>
      <w:bookmarkStart w:id="616" w:name="_Toc87538379"/>
      <w:bookmarkStart w:id="617" w:name="_Toc87543828"/>
      <w:bookmarkStart w:id="618" w:name="_Toc83753902"/>
      <w:bookmarkStart w:id="619" w:name="_Toc81330949"/>
      <w:bookmarkStart w:id="620" w:name="_Toc45976910"/>
      <w:bookmarkStart w:id="621" w:name="_Toc45791364"/>
      <w:bookmarkStart w:id="622" w:name="_Toc98865021"/>
      <w:bookmarkStart w:id="623" w:name="_Toc116584010"/>
      <w:bookmarkStart w:id="624" w:name="_Toc110405144"/>
      <w:bookmarkStart w:id="625" w:name="_Toc42267642"/>
      <w:bookmarkStart w:id="626" w:name="_Toc84356262"/>
      <w:bookmarkStart w:id="627" w:name="_Toc98033944"/>
      <w:bookmarkStart w:id="628" w:name="_Toc16675"/>
      <w:bookmarkStart w:id="629" w:name="_Toc109809322"/>
      <w:bookmarkStart w:id="630" w:name="_Toc42205003"/>
      <w:bookmarkStart w:id="631" w:name="_Toc75783541"/>
      <w:r>
        <w:rPr>
          <w:rFonts w:hint="eastAsia" w:asciiTheme="minorEastAsia" w:hAnsiTheme="minorEastAsia" w:eastAsiaTheme="minorEastAsia"/>
          <w:b/>
          <w:color w:val="auto"/>
          <w:sz w:val="24"/>
          <w:szCs w:val="24"/>
          <w:highlight w:val="none"/>
        </w:rPr>
        <w:t>3.7 响应文件的编制</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7EF0119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3.7.1响应</w:t>
      </w:r>
      <w:r>
        <w:rPr>
          <w:rFonts w:asciiTheme="minorEastAsia" w:hAnsiTheme="minorEastAsia" w:eastAsiaTheme="minorEastAsia"/>
          <w:color w:val="auto"/>
          <w:szCs w:val="21"/>
          <w:highlight w:val="none"/>
        </w:rPr>
        <w:t>文件</w:t>
      </w:r>
      <w:r>
        <w:rPr>
          <w:rFonts w:hint="eastAsia" w:asciiTheme="minorEastAsia" w:hAnsiTheme="minorEastAsia" w:eastAsiaTheme="minorEastAsia"/>
          <w:color w:val="auto"/>
          <w:szCs w:val="21"/>
          <w:highlight w:val="none"/>
        </w:rPr>
        <w:t>的</w:t>
      </w:r>
      <w:r>
        <w:rPr>
          <w:rFonts w:asciiTheme="minorEastAsia" w:hAnsiTheme="minorEastAsia" w:eastAsiaTheme="minorEastAsia"/>
          <w:color w:val="auto"/>
          <w:szCs w:val="21"/>
          <w:highlight w:val="none"/>
        </w:rPr>
        <w:t>格式：详</w:t>
      </w:r>
      <w:r>
        <w:rPr>
          <w:rFonts w:hint="eastAsia" w:asciiTheme="minorEastAsia" w:hAnsiTheme="minorEastAsia" w:eastAsiaTheme="minorEastAsia"/>
          <w:color w:val="auto"/>
          <w:szCs w:val="21"/>
          <w:highlight w:val="none"/>
        </w:rPr>
        <w:t>见供应商须知前附表。</w:t>
      </w:r>
    </w:p>
    <w:p w14:paraId="5AE0F7D2">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3.7.2响应文件应当对采购文件中有关采购内容、磋商总报价、项目经理、技术负责人、计划工期、质量标准等实质性内容作出响应。</w:t>
      </w:r>
    </w:p>
    <w:p w14:paraId="03902542">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3.7.3响应文件的签署：</w:t>
      </w:r>
      <w:r>
        <w:rPr>
          <w:rFonts w:hint="eastAsia" w:asciiTheme="minorEastAsia" w:hAnsiTheme="minorEastAsia" w:eastAsiaTheme="minorEastAsia"/>
          <w:color w:val="auto"/>
          <w:highlight w:val="none"/>
        </w:rPr>
        <w:t>见供应商须知前附表。</w:t>
      </w:r>
    </w:p>
    <w:p w14:paraId="4BF21304">
      <w:pPr>
        <w:spacing w:line="360" w:lineRule="auto"/>
        <w:jc w:val="center"/>
        <w:outlineLvl w:val="2"/>
        <w:rPr>
          <w:rFonts w:asciiTheme="minorEastAsia" w:hAnsiTheme="minorEastAsia" w:eastAsiaTheme="minorEastAsia"/>
          <w:b/>
          <w:bCs/>
          <w:color w:val="auto"/>
          <w:sz w:val="28"/>
          <w:szCs w:val="28"/>
          <w:highlight w:val="none"/>
        </w:rPr>
      </w:pPr>
      <w:bookmarkStart w:id="632" w:name="_Toc292983020"/>
      <w:bookmarkStart w:id="633" w:name="_Toc87543829"/>
      <w:bookmarkStart w:id="634" w:name="_Toc37603105"/>
      <w:bookmarkStart w:id="635" w:name="_Toc45791365"/>
      <w:bookmarkStart w:id="636" w:name="_Toc87538380"/>
      <w:bookmarkStart w:id="637" w:name="_Toc24563"/>
      <w:bookmarkStart w:id="638" w:name="_Toc98865022"/>
      <w:bookmarkStart w:id="639" w:name="_Toc109809323"/>
      <w:bookmarkStart w:id="640" w:name="_Toc83753903"/>
      <w:bookmarkStart w:id="641" w:name="_Toc45976911"/>
      <w:bookmarkStart w:id="642" w:name="_Toc98033945"/>
      <w:bookmarkStart w:id="643" w:name="_Toc110405145"/>
      <w:bookmarkStart w:id="644" w:name="_Toc84356263"/>
      <w:bookmarkStart w:id="645" w:name="_Toc42205004"/>
      <w:bookmarkStart w:id="646" w:name="_Toc42267643"/>
      <w:bookmarkStart w:id="647" w:name="_Toc381796410"/>
      <w:bookmarkStart w:id="648" w:name="_Toc116584011"/>
      <w:r>
        <w:rPr>
          <w:rFonts w:hint="eastAsia" w:asciiTheme="minorEastAsia" w:hAnsiTheme="minorEastAsia" w:eastAsiaTheme="minorEastAsia"/>
          <w:b/>
          <w:bCs/>
          <w:color w:val="auto"/>
          <w:sz w:val="28"/>
          <w:szCs w:val="28"/>
          <w:highlight w:val="none"/>
        </w:rPr>
        <w:t>4.响应文件的</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Pr>
          <w:rFonts w:hint="eastAsia" w:asciiTheme="minorEastAsia" w:hAnsiTheme="minorEastAsia" w:eastAsiaTheme="minorEastAsia"/>
          <w:b/>
          <w:bCs/>
          <w:color w:val="auto"/>
          <w:sz w:val="28"/>
          <w:szCs w:val="28"/>
          <w:highlight w:val="none"/>
        </w:rPr>
        <w:t>提交</w:t>
      </w:r>
      <w:bookmarkEnd w:id="648"/>
    </w:p>
    <w:p w14:paraId="20D06994">
      <w:pPr>
        <w:spacing w:line="360" w:lineRule="auto"/>
        <w:outlineLvl w:val="3"/>
        <w:rPr>
          <w:rFonts w:asciiTheme="minorEastAsia" w:hAnsiTheme="minorEastAsia" w:eastAsiaTheme="minorEastAsia"/>
          <w:b/>
          <w:color w:val="auto"/>
          <w:sz w:val="24"/>
          <w:szCs w:val="24"/>
          <w:highlight w:val="none"/>
        </w:rPr>
      </w:pPr>
      <w:bookmarkStart w:id="649" w:name="_Toc83753904"/>
      <w:bookmarkStart w:id="650" w:name="_Toc110405146"/>
      <w:bookmarkStart w:id="651" w:name="_Toc87538381"/>
      <w:bookmarkStart w:id="652" w:name="_Toc84356264"/>
      <w:bookmarkStart w:id="653" w:name="_Toc98033946"/>
      <w:bookmarkStart w:id="654" w:name="_Toc116584012"/>
      <w:bookmarkStart w:id="655" w:name="_Toc53412228"/>
      <w:bookmarkStart w:id="656" w:name="_Toc45976912"/>
      <w:bookmarkStart w:id="657" w:name="_Toc81330951"/>
      <w:bookmarkStart w:id="658" w:name="_Toc42205005"/>
      <w:bookmarkStart w:id="659" w:name="_Toc109809324"/>
      <w:bookmarkStart w:id="660" w:name="_Toc42267644"/>
      <w:bookmarkStart w:id="661" w:name="_Toc87543830"/>
      <w:bookmarkStart w:id="662" w:name="_Toc45791366"/>
      <w:bookmarkStart w:id="663" w:name="_Toc75783543"/>
      <w:bookmarkStart w:id="664" w:name="_Toc98865023"/>
      <w:bookmarkStart w:id="665" w:name="_Toc69678441"/>
      <w:bookmarkStart w:id="666" w:name="_Toc6542"/>
      <w:r>
        <w:rPr>
          <w:rFonts w:hint="eastAsia" w:asciiTheme="minorEastAsia" w:hAnsiTheme="minorEastAsia" w:eastAsiaTheme="minorEastAsia"/>
          <w:b/>
          <w:color w:val="auto"/>
          <w:sz w:val="24"/>
          <w:szCs w:val="24"/>
          <w:highlight w:val="none"/>
        </w:rPr>
        <w:t>4.1响应文件的</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Fonts w:hint="eastAsia" w:asciiTheme="minorEastAsia" w:hAnsiTheme="minorEastAsia" w:eastAsiaTheme="minorEastAsia"/>
          <w:b/>
          <w:color w:val="auto"/>
          <w:sz w:val="24"/>
          <w:szCs w:val="24"/>
          <w:highlight w:val="none"/>
        </w:rPr>
        <w:t>加密</w:t>
      </w:r>
    </w:p>
    <w:p w14:paraId="766F2688">
      <w:pPr>
        <w:spacing w:line="360" w:lineRule="auto"/>
        <w:ind w:firstLine="420" w:firstLineChars="200"/>
        <w:jc w:val="left"/>
        <w:rPr>
          <w:rFonts w:asciiTheme="minorEastAsia" w:hAnsiTheme="minorEastAsia" w:eastAsiaTheme="minorEastAsia"/>
          <w:color w:val="auto"/>
          <w:szCs w:val="28"/>
          <w:highlight w:val="none"/>
        </w:rPr>
      </w:pPr>
      <w:bookmarkStart w:id="667" w:name="_Toc69678442"/>
      <w:bookmarkStart w:id="668" w:name="_Toc53412229"/>
      <w:bookmarkStart w:id="669" w:name="_Toc110405147"/>
      <w:bookmarkStart w:id="670" w:name="_Toc42267645"/>
      <w:bookmarkStart w:id="671" w:name="_Toc42205006"/>
      <w:bookmarkStart w:id="672" w:name="_Toc45976913"/>
      <w:bookmarkStart w:id="673" w:name="_Toc75783544"/>
      <w:bookmarkStart w:id="674" w:name="_Toc84356265"/>
      <w:bookmarkStart w:id="675" w:name="_Toc17162"/>
      <w:bookmarkStart w:id="676" w:name="_Toc98033947"/>
      <w:bookmarkStart w:id="677" w:name="_Toc109809325"/>
      <w:bookmarkStart w:id="678" w:name="_Toc45791367"/>
      <w:bookmarkStart w:id="679" w:name="_Toc98865024"/>
      <w:bookmarkStart w:id="680" w:name="_Toc81330952"/>
      <w:bookmarkStart w:id="681" w:name="_Toc83753905"/>
      <w:bookmarkStart w:id="682" w:name="_Toc87543831"/>
      <w:bookmarkStart w:id="683" w:name="_Toc87538382"/>
      <w:r>
        <w:rPr>
          <w:rFonts w:hint="eastAsia" w:asciiTheme="minorEastAsia" w:hAnsiTheme="minorEastAsia" w:eastAsiaTheme="minorEastAsia"/>
          <w:color w:val="auto"/>
          <w:szCs w:val="28"/>
          <w:highlight w:val="none"/>
        </w:rPr>
        <w:t>4.1.1响应文件的加密：见供应商须知前附表。</w:t>
      </w:r>
    </w:p>
    <w:p w14:paraId="21263275">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4.1.2未按本章第4.1.1项要求加密的响应文件，采购人不予受理。</w:t>
      </w:r>
    </w:p>
    <w:p w14:paraId="516A8081">
      <w:pPr>
        <w:spacing w:line="360" w:lineRule="auto"/>
        <w:outlineLvl w:val="3"/>
        <w:rPr>
          <w:rFonts w:asciiTheme="minorEastAsia" w:hAnsiTheme="minorEastAsia" w:eastAsiaTheme="minorEastAsia"/>
          <w:b/>
          <w:color w:val="auto"/>
          <w:sz w:val="24"/>
          <w:szCs w:val="24"/>
          <w:highlight w:val="none"/>
        </w:rPr>
      </w:pPr>
      <w:bookmarkStart w:id="684" w:name="_Toc116584013"/>
      <w:r>
        <w:rPr>
          <w:rFonts w:hint="eastAsia" w:asciiTheme="minorEastAsia" w:hAnsiTheme="minorEastAsia" w:eastAsiaTheme="minorEastAsia"/>
          <w:b/>
          <w:color w:val="auto"/>
          <w:sz w:val="24"/>
          <w:szCs w:val="24"/>
          <w:highlight w:val="none"/>
        </w:rPr>
        <w:t>4.2 响应文件的</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hint="eastAsia" w:asciiTheme="minorEastAsia" w:hAnsiTheme="minorEastAsia" w:eastAsiaTheme="minorEastAsia"/>
          <w:b/>
          <w:color w:val="auto"/>
          <w:sz w:val="24"/>
          <w:szCs w:val="24"/>
          <w:highlight w:val="none"/>
        </w:rPr>
        <w:t>提交</w:t>
      </w:r>
      <w:bookmarkEnd w:id="684"/>
    </w:p>
    <w:p w14:paraId="7DD0B212">
      <w:pPr>
        <w:spacing w:line="360" w:lineRule="auto"/>
        <w:ind w:firstLine="420" w:firstLineChars="200"/>
        <w:jc w:val="left"/>
        <w:rPr>
          <w:rFonts w:asciiTheme="minorEastAsia" w:hAnsiTheme="minorEastAsia" w:eastAsiaTheme="minorEastAsia"/>
          <w:color w:val="auto"/>
          <w:szCs w:val="28"/>
          <w:highlight w:val="none"/>
        </w:rPr>
      </w:pPr>
      <w:bookmarkStart w:id="685" w:name="_Toc98033948"/>
      <w:bookmarkStart w:id="686" w:name="_Toc14942"/>
      <w:bookmarkStart w:id="687" w:name="_Toc42205007"/>
      <w:bookmarkStart w:id="688" w:name="_Toc87538383"/>
      <w:bookmarkStart w:id="689" w:name="_Toc83753906"/>
      <w:bookmarkStart w:id="690" w:name="_Toc45976914"/>
      <w:bookmarkStart w:id="691" w:name="_Toc81330953"/>
      <w:bookmarkStart w:id="692" w:name="_Toc84356266"/>
      <w:bookmarkStart w:id="693" w:name="_Toc42267646"/>
      <w:bookmarkStart w:id="694" w:name="_Toc45791368"/>
      <w:bookmarkStart w:id="695" w:name="_Toc53412230"/>
      <w:bookmarkStart w:id="696" w:name="_Toc110405148"/>
      <w:bookmarkStart w:id="697" w:name="_Toc75783545"/>
      <w:bookmarkStart w:id="698" w:name="_Toc98865025"/>
      <w:bookmarkStart w:id="699" w:name="_Toc69678443"/>
      <w:bookmarkStart w:id="700" w:name="_Toc87543832"/>
      <w:bookmarkStart w:id="701" w:name="_Toc109809326"/>
      <w:r>
        <w:rPr>
          <w:rFonts w:hint="eastAsia" w:asciiTheme="minorEastAsia" w:hAnsiTheme="minorEastAsia" w:eastAsiaTheme="minorEastAsia"/>
          <w:color w:val="auto"/>
          <w:szCs w:val="28"/>
          <w:highlight w:val="none"/>
        </w:rPr>
        <w:t>4.2.</w:t>
      </w:r>
      <w:r>
        <w:rPr>
          <w:rFonts w:asciiTheme="minorEastAsia" w:hAnsiTheme="minorEastAsia" w:eastAsiaTheme="minorEastAsia"/>
          <w:color w:val="auto"/>
          <w:szCs w:val="28"/>
          <w:highlight w:val="none"/>
        </w:rPr>
        <w:t>1</w:t>
      </w:r>
      <w:r>
        <w:rPr>
          <w:rFonts w:hint="eastAsia" w:asciiTheme="minorEastAsia" w:hAnsiTheme="minorEastAsia" w:eastAsiaTheme="minorEastAsia"/>
          <w:color w:val="auto"/>
          <w:szCs w:val="28"/>
          <w:highlight w:val="none"/>
        </w:rPr>
        <w:t>响应文件的提交：见供应商须知前附表。</w:t>
      </w:r>
    </w:p>
    <w:p w14:paraId="4A4C5B3E">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4.2.</w:t>
      </w:r>
      <w:r>
        <w:rPr>
          <w:rFonts w:asciiTheme="minorEastAsia" w:hAnsiTheme="minorEastAsia" w:eastAsiaTheme="minorEastAsia"/>
          <w:color w:val="auto"/>
          <w:szCs w:val="28"/>
          <w:highlight w:val="none"/>
        </w:rPr>
        <w:t>2</w:t>
      </w:r>
      <w:r>
        <w:rPr>
          <w:rFonts w:hint="eastAsia" w:asciiTheme="minorEastAsia" w:hAnsiTheme="minorEastAsia" w:eastAsiaTheme="minorEastAsia"/>
          <w:color w:val="auto"/>
          <w:szCs w:val="28"/>
          <w:highlight w:val="none"/>
        </w:rPr>
        <w:t>除供应商须知前附表另有规定外，供应商所提交的响应文件不予退还。</w:t>
      </w:r>
    </w:p>
    <w:p w14:paraId="6E55395B">
      <w:pPr>
        <w:spacing w:line="360" w:lineRule="auto"/>
        <w:outlineLvl w:val="3"/>
        <w:rPr>
          <w:rFonts w:asciiTheme="minorEastAsia" w:hAnsiTheme="minorEastAsia" w:eastAsiaTheme="minorEastAsia"/>
          <w:b/>
          <w:color w:val="auto"/>
          <w:sz w:val="24"/>
          <w:szCs w:val="24"/>
          <w:highlight w:val="none"/>
        </w:rPr>
      </w:pPr>
      <w:bookmarkStart w:id="702" w:name="_Toc116584014"/>
      <w:r>
        <w:rPr>
          <w:rFonts w:hint="eastAsia" w:asciiTheme="minorEastAsia" w:hAnsiTheme="minorEastAsia" w:eastAsiaTheme="minorEastAsia"/>
          <w:b/>
          <w:color w:val="auto"/>
          <w:sz w:val="24"/>
          <w:szCs w:val="24"/>
          <w:highlight w:val="none"/>
        </w:rPr>
        <w:t>4.3响应文件修改和撤回</w:t>
      </w:r>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56863E1C">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4.3.1在本章第2.2.2项规定的</w:t>
      </w:r>
      <w:r>
        <w:rPr>
          <w:rFonts w:hint="eastAsia" w:asciiTheme="minorEastAsia" w:hAnsiTheme="minorEastAsia" w:eastAsiaTheme="minorEastAsia"/>
          <w:color w:val="auto"/>
          <w:szCs w:val="21"/>
          <w:highlight w:val="none"/>
        </w:rPr>
        <w:t>响应文件提交截止时间</w:t>
      </w:r>
      <w:r>
        <w:rPr>
          <w:rFonts w:hint="eastAsia" w:asciiTheme="minorEastAsia" w:hAnsiTheme="minorEastAsia" w:eastAsiaTheme="minorEastAsia"/>
          <w:color w:val="auto"/>
          <w:szCs w:val="28"/>
          <w:highlight w:val="none"/>
        </w:rPr>
        <w:t>前，供应商可以修改或撤回已在网上提交的响应文件，无需通知采购人和采购代理机构。</w:t>
      </w:r>
    </w:p>
    <w:p w14:paraId="7709A14B">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4.3.2修改的响应文件应按照本章第3条、第4条的规定进行编制和提交。</w:t>
      </w:r>
    </w:p>
    <w:p w14:paraId="477DB461">
      <w:pPr>
        <w:spacing w:line="360" w:lineRule="auto"/>
        <w:jc w:val="center"/>
        <w:outlineLvl w:val="2"/>
        <w:rPr>
          <w:rFonts w:asciiTheme="minorEastAsia" w:hAnsiTheme="minorEastAsia" w:eastAsiaTheme="minorEastAsia"/>
          <w:b/>
          <w:bCs/>
          <w:color w:val="auto"/>
          <w:sz w:val="28"/>
          <w:szCs w:val="28"/>
          <w:highlight w:val="none"/>
        </w:rPr>
      </w:pPr>
      <w:bookmarkStart w:id="703" w:name="_Toc98033949"/>
      <w:bookmarkStart w:id="704" w:name="_Toc110405149"/>
      <w:bookmarkStart w:id="705" w:name="_Toc21759"/>
      <w:bookmarkStart w:id="706" w:name="_Toc37603106"/>
      <w:bookmarkStart w:id="707" w:name="_Toc45791369"/>
      <w:bookmarkStart w:id="708" w:name="_Toc87543833"/>
      <w:bookmarkStart w:id="709" w:name="_Toc42205008"/>
      <w:bookmarkStart w:id="710" w:name="_Toc42267647"/>
      <w:bookmarkStart w:id="711" w:name="_Toc292983021"/>
      <w:bookmarkStart w:id="712" w:name="_Toc381796411"/>
      <w:bookmarkStart w:id="713" w:name="_Toc87538384"/>
      <w:bookmarkStart w:id="714" w:name="_Toc116584015"/>
      <w:bookmarkStart w:id="715" w:name="_Toc98865026"/>
      <w:bookmarkStart w:id="716" w:name="_Toc83753907"/>
      <w:bookmarkStart w:id="717" w:name="_Toc84356267"/>
      <w:bookmarkStart w:id="718" w:name="_Toc109809327"/>
      <w:bookmarkStart w:id="719" w:name="_Toc45976915"/>
      <w:r>
        <w:rPr>
          <w:rFonts w:hint="eastAsia" w:asciiTheme="minorEastAsia" w:hAnsiTheme="minorEastAsia" w:eastAsiaTheme="minorEastAsia"/>
          <w:b/>
          <w:bCs/>
          <w:color w:val="auto"/>
          <w:sz w:val="28"/>
          <w:szCs w:val="28"/>
          <w:highlight w:val="none"/>
        </w:rPr>
        <w:t>5.</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hint="eastAsia" w:asciiTheme="minorEastAsia" w:hAnsiTheme="minorEastAsia" w:eastAsiaTheme="minorEastAsia"/>
          <w:b/>
          <w:bCs/>
          <w:color w:val="auto"/>
          <w:sz w:val="28"/>
          <w:szCs w:val="28"/>
          <w:highlight w:val="none"/>
        </w:rPr>
        <w:t>开启</w:t>
      </w:r>
    </w:p>
    <w:p w14:paraId="3C7DCA13">
      <w:pPr>
        <w:spacing w:line="360" w:lineRule="auto"/>
        <w:outlineLvl w:val="3"/>
        <w:rPr>
          <w:rFonts w:asciiTheme="minorEastAsia" w:hAnsiTheme="minorEastAsia" w:eastAsiaTheme="minorEastAsia"/>
          <w:b/>
          <w:color w:val="auto"/>
          <w:sz w:val="24"/>
          <w:szCs w:val="24"/>
          <w:highlight w:val="none"/>
        </w:rPr>
      </w:pPr>
      <w:bookmarkStart w:id="720" w:name="_Toc42267648"/>
      <w:bookmarkStart w:id="721" w:name="_Toc110405150"/>
      <w:bookmarkStart w:id="722" w:name="_Toc12148"/>
      <w:bookmarkStart w:id="723" w:name="_Toc83753908"/>
      <w:bookmarkStart w:id="724" w:name="_Toc98865027"/>
      <w:bookmarkStart w:id="725" w:name="_Toc75783547"/>
      <w:bookmarkStart w:id="726" w:name="_Toc42205009"/>
      <w:bookmarkStart w:id="727" w:name="_Toc84356268"/>
      <w:bookmarkStart w:id="728" w:name="_Toc109809328"/>
      <w:bookmarkStart w:id="729" w:name="_Toc81330955"/>
      <w:bookmarkStart w:id="730" w:name="_Toc45791370"/>
      <w:bookmarkStart w:id="731" w:name="_Toc45976916"/>
      <w:bookmarkStart w:id="732" w:name="_Toc53412232"/>
      <w:bookmarkStart w:id="733" w:name="_Toc98033950"/>
      <w:bookmarkStart w:id="734" w:name="_Toc87538385"/>
      <w:bookmarkStart w:id="735" w:name="_Toc87543834"/>
      <w:bookmarkStart w:id="736" w:name="_Toc69678445"/>
      <w:bookmarkStart w:id="737" w:name="_Toc116584016"/>
      <w:r>
        <w:rPr>
          <w:rFonts w:hint="eastAsia" w:asciiTheme="minorEastAsia" w:hAnsiTheme="minorEastAsia" w:eastAsiaTheme="minorEastAsia"/>
          <w:b/>
          <w:color w:val="auto"/>
          <w:sz w:val="24"/>
          <w:szCs w:val="24"/>
          <w:highlight w:val="none"/>
        </w:rPr>
        <w:t>5.1</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hint="eastAsia" w:asciiTheme="minorEastAsia" w:hAnsiTheme="minorEastAsia" w:eastAsiaTheme="minorEastAsia"/>
          <w:b/>
          <w:color w:val="auto"/>
          <w:sz w:val="24"/>
          <w:szCs w:val="24"/>
          <w:highlight w:val="none"/>
        </w:rPr>
        <w:t>开启时间和地点</w:t>
      </w:r>
      <w:bookmarkEnd w:id="737"/>
    </w:p>
    <w:p w14:paraId="40BE16C4">
      <w:pPr>
        <w:spacing w:line="360" w:lineRule="auto"/>
        <w:ind w:firstLine="420" w:firstLineChars="200"/>
        <w:jc w:val="left"/>
        <w:rPr>
          <w:rFonts w:asciiTheme="minorEastAsia" w:hAnsiTheme="minorEastAsia" w:eastAsiaTheme="minorEastAsia"/>
          <w:color w:val="auto"/>
          <w:szCs w:val="28"/>
          <w:highlight w:val="none"/>
        </w:rPr>
      </w:pPr>
      <w:bookmarkStart w:id="738" w:name="_Toc110405151"/>
      <w:bookmarkStart w:id="739" w:name="_Toc75783548"/>
      <w:bookmarkStart w:id="740" w:name="_Toc98865028"/>
      <w:bookmarkStart w:id="741" w:name="_Toc98033951"/>
      <w:bookmarkStart w:id="742" w:name="_Toc45791371"/>
      <w:bookmarkStart w:id="743" w:name="_Toc109809329"/>
      <w:bookmarkStart w:id="744" w:name="_Toc42267649"/>
      <w:bookmarkStart w:id="745" w:name="_Toc87538386"/>
      <w:bookmarkStart w:id="746" w:name="_Toc84356269"/>
      <w:bookmarkStart w:id="747" w:name="_Toc42205010"/>
      <w:bookmarkStart w:id="748" w:name="_Toc53412233"/>
      <w:bookmarkStart w:id="749" w:name="_Toc45976917"/>
      <w:bookmarkStart w:id="750" w:name="_Toc69678446"/>
      <w:bookmarkStart w:id="751" w:name="_Toc81330956"/>
      <w:bookmarkStart w:id="752" w:name="_Toc23677"/>
      <w:bookmarkStart w:id="753" w:name="_Toc83753909"/>
      <w:bookmarkStart w:id="754" w:name="_Toc87543835"/>
      <w:r>
        <w:rPr>
          <w:rFonts w:hint="eastAsia" w:asciiTheme="minorEastAsia" w:hAnsiTheme="minorEastAsia" w:eastAsiaTheme="minorEastAsia"/>
          <w:color w:val="auto"/>
          <w:szCs w:val="28"/>
          <w:highlight w:val="none"/>
        </w:rPr>
        <w:t>详见供应商须知前附表。</w:t>
      </w:r>
    </w:p>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14:paraId="75E34B9F">
      <w:pPr>
        <w:spacing w:line="360" w:lineRule="auto"/>
        <w:outlineLvl w:val="3"/>
        <w:rPr>
          <w:rFonts w:asciiTheme="minorEastAsia" w:hAnsiTheme="minorEastAsia" w:eastAsiaTheme="minorEastAsia"/>
          <w:b/>
          <w:color w:val="auto"/>
          <w:sz w:val="24"/>
          <w:szCs w:val="24"/>
          <w:highlight w:val="none"/>
        </w:rPr>
      </w:pPr>
      <w:bookmarkStart w:id="755" w:name="_Toc87538387"/>
      <w:bookmarkStart w:id="756" w:name="_Toc87543836"/>
      <w:bookmarkStart w:id="757" w:name="_Toc69678447"/>
      <w:bookmarkStart w:id="758" w:name="_Toc109809330"/>
      <w:bookmarkStart w:id="759" w:name="_Toc83753910"/>
      <w:bookmarkStart w:id="760" w:name="_Toc45791372"/>
      <w:bookmarkStart w:id="761" w:name="_Toc98865029"/>
      <w:bookmarkStart w:id="762" w:name="_Toc42267650"/>
      <w:bookmarkStart w:id="763" w:name="_Toc42205011"/>
      <w:bookmarkStart w:id="764" w:name="_Toc110405152"/>
      <w:bookmarkStart w:id="765" w:name="_Toc75783549"/>
      <w:bookmarkStart w:id="766" w:name="_Toc84356270"/>
      <w:bookmarkStart w:id="767" w:name="_Toc98033952"/>
      <w:bookmarkStart w:id="768" w:name="_Toc81330957"/>
      <w:bookmarkStart w:id="769" w:name="_Toc53412234"/>
      <w:bookmarkStart w:id="770" w:name="_Toc45976918"/>
      <w:bookmarkStart w:id="771" w:name="_Toc116584017"/>
      <w:bookmarkStart w:id="772" w:name="_Toc11738"/>
      <w:bookmarkStart w:id="773" w:name="_Toc116584018"/>
      <w:bookmarkStart w:id="774" w:name="_Toc75783550"/>
      <w:bookmarkStart w:id="775" w:name="_Toc83753911"/>
      <w:bookmarkStart w:id="776" w:name="_Toc110405153"/>
      <w:bookmarkStart w:id="777" w:name="_Toc42205012"/>
      <w:bookmarkStart w:id="778" w:name="_Toc45976919"/>
      <w:bookmarkStart w:id="779" w:name="_Toc84356271"/>
      <w:bookmarkStart w:id="780" w:name="_Toc18249"/>
      <w:bookmarkStart w:id="781" w:name="_Toc42267651"/>
      <w:bookmarkStart w:id="782" w:name="_Toc87543837"/>
      <w:bookmarkStart w:id="783" w:name="_Toc81330958"/>
      <w:bookmarkStart w:id="784" w:name="_Toc69678448"/>
      <w:bookmarkStart w:id="785" w:name="_Toc98033953"/>
      <w:bookmarkStart w:id="786" w:name="_Toc53412235"/>
      <w:bookmarkStart w:id="787" w:name="_Toc45791373"/>
      <w:bookmarkStart w:id="788" w:name="_Toc87538388"/>
      <w:bookmarkStart w:id="789" w:name="_Toc98865030"/>
      <w:bookmarkStart w:id="790" w:name="_Toc109809331"/>
      <w:r>
        <w:rPr>
          <w:rFonts w:hint="eastAsia" w:asciiTheme="minorEastAsia" w:hAnsiTheme="minorEastAsia" w:eastAsiaTheme="minorEastAsia"/>
          <w:b/>
          <w:color w:val="auto"/>
          <w:sz w:val="24"/>
          <w:szCs w:val="24"/>
          <w:highlight w:val="none"/>
        </w:rPr>
        <w:t>5.2</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hint="eastAsia" w:asciiTheme="minorEastAsia" w:hAnsiTheme="minorEastAsia" w:eastAsiaTheme="minorEastAsia"/>
          <w:b/>
          <w:color w:val="auto"/>
          <w:sz w:val="24"/>
          <w:szCs w:val="24"/>
          <w:highlight w:val="none"/>
        </w:rPr>
        <w:t xml:space="preserve"> 开启程序</w:t>
      </w:r>
    </w:p>
    <w:p w14:paraId="7AB4F4A1">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详见供应商须知前附表。</w:t>
      </w:r>
    </w:p>
    <w:p w14:paraId="73BE88C8">
      <w:pPr>
        <w:spacing w:line="360" w:lineRule="auto"/>
        <w:outlineLvl w:val="3"/>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5.3响应文件的解密方式</w:t>
      </w:r>
      <w:bookmarkEnd w:id="773"/>
    </w:p>
    <w:p w14:paraId="6F9266C6">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详见供应商须知前附表。</w:t>
      </w:r>
    </w:p>
    <w:p w14:paraId="5E7DBF86">
      <w:pPr>
        <w:spacing w:line="360" w:lineRule="auto"/>
        <w:outlineLvl w:val="3"/>
        <w:rPr>
          <w:rFonts w:asciiTheme="minorEastAsia" w:hAnsiTheme="minorEastAsia" w:eastAsiaTheme="minorEastAsia"/>
          <w:b/>
          <w:color w:val="auto"/>
          <w:sz w:val="24"/>
          <w:szCs w:val="24"/>
          <w:highlight w:val="none"/>
        </w:rPr>
      </w:pPr>
      <w:bookmarkStart w:id="791" w:name="_Toc116584019"/>
      <w:r>
        <w:rPr>
          <w:rFonts w:hint="eastAsia" w:asciiTheme="minorEastAsia" w:hAnsiTheme="minorEastAsia" w:eastAsiaTheme="minorEastAsia"/>
          <w:b/>
          <w:color w:val="auto"/>
          <w:sz w:val="24"/>
          <w:szCs w:val="24"/>
          <w:highlight w:val="none"/>
        </w:rPr>
        <w:t>5.4响应文件有下列情形之一的，采购人不予受理</w:t>
      </w:r>
      <w:bookmarkEnd w:id="791"/>
    </w:p>
    <w:p w14:paraId="192972CA">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5.4.1在2.2.2项规定的</w:t>
      </w:r>
      <w:r>
        <w:rPr>
          <w:rFonts w:hint="eastAsia" w:asciiTheme="minorEastAsia" w:hAnsiTheme="minorEastAsia" w:eastAsiaTheme="minorEastAsia"/>
          <w:color w:val="auto"/>
          <w:szCs w:val="21"/>
          <w:highlight w:val="none"/>
        </w:rPr>
        <w:t>响应文件提交截止时间</w:t>
      </w:r>
      <w:r>
        <w:rPr>
          <w:rFonts w:hint="eastAsia" w:asciiTheme="minorEastAsia" w:hAnsiTheme="minorEastAsia" w:eastAsiaTheme="minorEastAsia"/>
          <w:color w:val="auto"/>
          <w:szCs w:val="28"/>
          <w:highlight w:val="none"/>
        </w:rPr>
        <w:t>以后上传或未成功上传响应文件的。</w:t>
      </w:r>
    </w:p>
    <w:p w14:paraId="66257391">
      <w:pPr>
        <w:spacing w:line="360" w:lineRule="auto"/>
        <w:ind w:firstLine="420" w:firstLineChars="200"/>
        <w:jc w:val="left"/>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8"/>
          <w:highlight w:val="none"/>
        </w:rPr>
        <w:t>5.4.2供应商提交的电子响应文件格式不符合3.7.1项要求或无法读取导入的。</w:t>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45CF66C1">
      <w:pPr>
        <w:spacing w:line="360" w:lineRule="auto"/>
        <w:jc w:val="center"/>
        <w:outlineLvl w:val="2"/>
        <w:rPr>
          <w:rFonts w:asciiTheme="minorEastAsia" w:hAnsiTheme="minorEastAsia" w:eastAsiaTheme="minorEastAsia"/>
          <w:b/>
          <w:bCs/>
          <w:color w:val="auto"/>
          <w:sz w:val="28"/>
          <w:szCs w:val="28"/>
          <w:highlight w:val="none"/>
        </w:rPr>
      </w:pPr>
      <w:bookmarkStart w:id="792" w:name="_Toc87543838"/>
      <w:bookmarkStart w:id="793" w:name="_Toc45791374"/>
      <w:bookmarkStart w:id="794" w:name="_Toc109809332"/>
      <w:bookmarkStart w:id="795" w:name="_Toc98865031"/>
      <w:bookmarkStart w:id="796" w:name="_Toc116584021"/>
      <w:bookmarkStart w:id="797" w:name="_Toc42267652"/>
      <w:bookmarkStart w:id="798" w:name="_Toc87538389"/>
      <w:bookmarkStart w:id="799" w:name="_Toc42205013"/>
      <w:bookmarkStart w:id="800" w:name="_Toc110405154"/>
      <w:bookmarkStart w:id="801" w:name="_Toc19868"/>
      <w:bookmarkStart w:id="802" w:name="_Toc83753912"/>
      <w:bookmarkStart w:id="803" w:name="_Toc98033954"/>
      <w:bookmarkStart w:id="804" w:name="_Toc84356272"/>
      <w:bookmarkStart w:id="805" w:name="_Toc45976920"/>
      <w:r>
        <w:rPr>
          <w:rFonts w:hint="eastAsia" w:asciiTheme="minorEastAsia" w:hAnsiTheme="minorEastAsia" w:eastAsiaTheme="minorEastAsia"/>
          <w:b/>
          <w:bCs/>
          <w:color w:val="auto"/>
          <w:sz w:val="28"/>
          <w:szCs w:val="28"/>
          <w:highlight w:val="none"/>
        </w:rPr>
        <w:t>6.评审</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40A5D53A">
      <w:pPr>
        <w:spacing w:line="360" w:lineRule="auto"/>
        <w:outlineLvl w:val="3"/>
        <w:rPr>
          <w:rFonts w:asciiTheme="minorEastAsia" w:hAnsiTheme="minorEastAsia" w:eastAsiaTheme="minorEastAsia"/>
          <w:b/>
          <w:color w:val="auto"/>
          <w:sz w:val="24"/>
          <w:szCs w:val="24"/>
          <w:highlight w:val="none"/>
        </w:rPr>
      </w:pPr>
      <w:bookmarkStart w:id="806" w:name="_Toc69678450"/>
      <w:bookmarkStart w:id="807" w:name="_Toc45791375"/>
      <w:bookmarkStart w:id="808" w:name="_Toc42205014"/>
      <w:bookmarkStart w:id="809" w:name="_Toc87543839"/>
      <w:bookmarkStart w:id="810" w:name="_Toc109809333"/>
      <w:bookmarkStart w:id="811" w:name="_Toc45976921"/>
      <w:bookmarkStart w:id="812" w:name="_Toc4399"/>
      <w:bookmarkStart w:id="813" w:name="_Toc42267653"/>
      <w:bookmarkStart w:id="814" w:name="_Toc110405155"/>
      <w:bookmarkStart w:id="815" w:name="_Toc116584022"/>
      <w:bookmarkStart w:id="816" w:name="_Toc75783552"/>
      <w:bookmarkStart w:id="817" w:name="_Toc53412237"/>
      <w:bookmarkStart w:id="818" w:name="_Toc84356273"/>
      <w:bookmarkStart w:id="819" w:name="_Toc83753913"/>
      <w:bookmarkStart w:id="820" w:name="_Toc81330960"/>
      <w:bookmarkStart w:id="821" w:name="_Toc98033955"/>
      <w:bookmarkStart w:id="822" w:name="_Toc87538390"/>
      <w:bookmarkStart w:id="823" w:name="_Toc98865032"/>
      <w:r>
        <w:rPr>
          <w:rFonts w:hint="eastAsia" w:asciiTheme="minorEastAsia" w:hAnsiTheme="minorEastAsia" w:eastAsiaTheme="minorEastAsia"/>
          <w:b/>
          <w:color w:val="auto"/>
          <w:sz w:val="24"/>
          <w:szCs w:val="24"/>
          <w:highlight w:val="none"/>
        </w:rPr>
        <w:t>6.1 磋商小组</w:t>
      </w:r>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34F1E71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8"/>
          <w:highlight w:val="none"/>
        </w:rPr>
        <w:t>6.1.1 本项目的评审工作由采购人依法组建的磋商小组负责。磋商小组</w:t>
      </w:r>
      <w:r>
        <w:rPr>
          <w:rFonts w:asciiTheme="minorEastAsia" w:hAnsiTheme="minorEastAsia" w:eastAsiaTheme="minorEastAsia"/>
          <w:color w:val="auto"/>
          <w:szCs w:val="21"/>
          <w:highlight w:val="none"/>
        </w:rPr>
        <w:t>由</w:t>
      </w:r>
      <w:r>
        <w:rPr>
          <w:rFonts w:hint="eastAsia" w:asciiTheme="minorEastAsia" w:hAnsiTheme="minorEastAsia" w:eastAsiaTheme="minorEastAsia"/>
          <w:color w:val="auto"/>
          <w:szCs w:val="28"/>
          <w:highlight w:val="none"/>
        </w:rPr>
        <w:t>采购人代表及</w:t>
      </w:r>
      <w:r>
        <w:rPr>
          <w:rFonts w:asciiTheme="minorEastAsia" w:hAnsiTheme="minorEastAsia" w:eastAsiaTheme="minorEastAsia"/>
          <w:color w:val="auto"/>
          <w:szCs w:val="21"/>
          <w:highlight w:val="none"/>
        </w:rPr>
        <w:t>有关技术、经济等方面的</w:t>
      </w:r>
      <w:r>
        <w:rPr>
          <w:rFonts w:hint="eastAsia" w:asciiTheme="minorEastAsia" w:hAnsiTheme="minorEastAsia" w:eastAsiaTheme="minorEastAsia"/>
          <w:color w:val="auto"/>
          <w:szCs w:val="21"/>
          <w:highlight w:val="none"/>
        </w:rPr>
        <w:t>人员</w:t>
      </w:r>
      <w:r>
        <w:rPr>
          <w:rFonts w:asciiTheme="minorEastAsia" w:hAnsiTheme="minorEastAsia" w:eastAsiaTheme="minorEastAsia"/>
          <w:color w:val="auto"/>
          <w:szCs w:val="21"/>
          <w:highlight w:val="none"/>
        </w:rPr>
        <w:t>组成。</w:t>
      </w:r>
      <w:r>
        <w:rPr>
          <w:rFonts w:hint="eastAsia" w:asciiTheme="minorEastAsia" w:hAnsiTheme="minorEastAsia" w:eastAsiaTheme="minorEastAsia"/>
          <w:color w:val="auto"/>
          <w:szCs w:val="28"/>
          <w:highlight w:val="none"/>
        </w:rPr>
        <w:t>磋商小组</w:t>
      </w:r>
      <w:r>
        <w:rPr>
          <w:rFonts w:asciiTheme="minorEastAsia" w:hAnsiTheme="minorEastAsia" w:eastAsiaTheme="minorEastAsia"/>
          <w:color w:val="auto"/>
          <w:szCs w:val="21"/>
          <w:highlight w:val="none"/>
        </w:rPr>
        <w:t>成员人数以及技术、经济等方面</w:t>
      </w:r>
      <w:r>
        <w:rPr>
          <w:rFonts w:hint="eastAsia" w:asciiTheme="minorEastAsia" w:hAnsiTheme="minorEastAsia" w:eastAsiaTheme="minorEastAsia"/>
          <w:color w:val="auto"/>
          <w:szCs w:val="21"/>
          <w:highlight w:val="none"/>
        </w:rPr>
        <w:t>人员</w:t>
      </w:r>
      <w:r>
        <w:rPr>
          <w:rFonts w:asciiTheme="minorEastAsia" w:hAnsiTheme="minorEastAsia" w:eastAsiaTheme="minorEastAsia"/>
          <w:color w:val="auto"/>
          <w:szCs w:val="21"/>
          <w:highlight w:val="none"/>
        </w:rPr>
        <w:t>的确定方式详见供应商须知前附表。</w:t>
      </w:r>
    </w:p>
    <w:p w14:paraId="3F3C239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6.1.2</w:t>
      </w:r>
      <w:r>
        <w:rPr>
          <w:rFonts w:hint="eastAsia" w:asciiTheme="minorEastAsia" w:hAnsiTheme="minorEastAsia" w:eastAsiaTheme="minorEastAsia"/>
          <w:color w:val="auto"/>
          <w:szCs w:val="28"/>
          <w:highlight w:val="none"/>
        </w:rPr>
        <w:t>磋商小组</w:t>
      </w:r>
      <w:r>
        <w:rPr>
          <w:rFonts w:asciiTheme="minorEastAsia" w:hAnsiTheme="minorEastAsia" w:eastAsiaTheme="minorEastAsia"/>
          <w:color w:val="auto"/>
          <w:szCs w:val="21"/>
          <w:highlight w:val="none"/>
        </w:rPr>
        <w:t>成员有下列情形之一的，应当回避：</w:t>
      </w:r>
    </w:p>
    <w:p w14:paraId="012E52D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（1）采购人或供应商的主要负责人的近亲属；</w:t>
      </w:r>
    </w:p>
    <w:p w14:paraId="692BD22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（2）项目主管部门或者行政监督部门的人员；</w:t>
      </w:r>
    </w:p>
    <w:p w14:paraId="512ACF4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（3）与供应商有经济利益关系，可能影响对磋商公正评审的；</w:t>
      </w:r>
    </w:p>
    <w:p w14:paraId="725FC929">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（4）曾因在招标、评</w:t>
      </w:r>
      <w:r>
        <w:rPr>
          <w:rFonts w:hint="eastAsia" w:asciiTheme="minorEastAsia" w:hAnsiTheme="minorEastAsia" w:eastAsiaTheme="minorEastAsia"/>
          <w:color w:val="auto"/>
          <w:szCs w:val="21"/>
          <w:highlight w:val="none"/>
        </w:rPr>
        <w:t>标</w:t>
      </w:r>
      <w:r>
        <w:rPr>
          <w:rFonts w:asciiTheme="minorEastAsia" w:hAnsiTheme="minorEastAsia" w:eastAsiaTheme="minorEastAsia"/>
          <w:color w:val="auto"/>
          <w:szCs w:val="21"/>
          <w:highlight w:val="none"/>
        </w:rPr>
        <w:t>以及其他与招标</w:t>
      </w:r>
      <w:r>
        <w:rPr>
          <w:rFonts w:hint="eastAsia" w:asciiTheme="minorEastAsia" w:hAnsiTheme="minorEastAsia" w:eastAsiaTheme="minorEastAsia"/>
          <w:color w:val="auto"/>
          <w:szCs w:val="21"/>
          <w:highlight w:val="none"/>
        </w:rPr>
        <w:t>投标</w:t>
      </w:r>
      <w:r>
        <w:rPr>
          <w:rFonts w:asciiTheme="minorEastAsia" w:hAnsiTheme="minorEastAsia" w:eastAsiaTheme="minorEastAsia"/>
          <w:color w:val="auto"/>
          <w:szCs w:val="21"/>
          <w:highlight w:val="none"/>
        </w:rPr>
        <w:t>有关活动中从事违法行为而受过行政处罚或刑事处罚的。</w:t>
      </w:r>
    </w:p>
    <w:p w14:paraId="5FB52453">
      <w:pPr>
        <w:spacing w:line="360" w:lineRule="auto"/>
        <w:outlineLvl w:val="3"/>
        <w:rPr>
          <w:rFonts w:asciiTheme="minorEastAsia" w:hAnsiTheme="minorEastAsia" w:eastAsiaTheme="minorEastAsia"/>
          <w:b/>
          <w:color w:val="auto"/>
          <w:sz w:val="24"/>
          <w:szCs w:val="24"/>
          <w:highlight w:val="none"/>
        </w:rPr>
      </w:pPr>
      <w:bookmarkStart w:id="824" w:name="_Toc87538391"/>
      <w:bookmarkStart w:id="825" w:name="_Toc109809334"/>
      <w:bookmarkStart w:id="826" w:name="_Toc110405156"/>
      <w:bookmarkStart w:id="827" w:name="_Toc84356274"/>
      <w:bookmarkStart w:id="828" w:name="_Toc75783553"/>
      <w:bookmarkStart w:id="829" w:name="_Toc42205015"/>
      <w:bookmarkStart w:id="830" w:name="_Toc69678451"/>
      <w:bookmarkStart w:id="831" w:name="_Toc45791376"/>
      <w:bookmarkStart w:id="832" w:name="_Toc98865033"/>
      <w:bookmarkStart w:id="833" w:name="_Toc87543840"/>
      <w:bookmarkStart w:id="834" w:name="_Toc81330961"/>
      <w:bookmarkStart w:id="835" w:name="_Toc116584023"/>
      <w:bookmarkStart w:id="836" w:name="_Toc42267654"/>
      <w:bookmarkStart w:id="837" w:name="_Toc45976922"/>
      <w:bookmarkStart w:id="838" w:name="_Toc6014"/>
      <w:bookmarkStart w:id="839" w:name="_Toc83753914"/>
      <w:bookmarkStart w:id="840" w:name="_Toc98033956"/>
      <w:bookmarkStart w:id="841" w:name="_Toc53412238"/>
      <w:r>
        <w:rPr>
          <w:rFonts w:hint="eastAsia" w:asciiTheme="minorEastAsia" w:hAnsiTheme="minorEastAsia" w:eastAsiaTheme="minorEastAsia"/>
          <w:b/>
          <w:color w:val="auto"/>
          <w:sz w:val="24"/>
          <w:szCs w:val="24"/>
          <w:highlight w:val="none"/>
        </w:rPr>
        <w:t>6.2 评审原则</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14:paraId="433F7CD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评审活动应遵循公平、公正、科学和择优的原则。</w:t>
      </w:r>
    </w:p>
    <w:p w14:paraId="75A5F5A9">
      <w:pPr>
        <w:spacing w:line="360" w:lineRule="auto"/>
        <w:outlineLvl w:val="3"/>
        <w:rPr>
          <w:rFonts w:asciiTheme="minorEastAsia" w:hAnsiTheme="minorEastAsia" w:eastAsiaTheme="minorEastAsia"/>
          <w:b/>
          <w:color w:val="auto"/>
          <w:sz w:val="24"/>
          <w:szCs w:val="24"/>
          <w:highlight w:val="none"/>
        </w:rPr>
      </w:pPr>
      <w:bookmarkStart w:id="842" w:name="_Toc69678452"/>
      <w:bookmarkStart w:id="843" w:name="_Toc83753915"/>
      <w:bookmarkStart w:id="844" w:name="_Toc42267655"/>
      <w:bookmarkStart w:id="845" w:name="_Toc98865034"/>
      <w:bookmarkStart w:id="846" w:name="_Toc87543841"/>
      <w:bookmarkStart w:id="847" w:name="_Toc42205016"/>
      <w:bookmarkStart w:id="848" w:name="_Toc21353"/>
      <w:bookmarkStart w:id="849" w:name="_Toc110405157"/>
      <w:bookmarkStart w:id="850" w:name="_Toc116584024"/>
      <w:bookmarkStart w:id="851" w:name="_Toc84356275"/>
      <w:bookmarkStart w:id="852" w:name="_Toc45976923"/>
      <w:bookmarkStart w:id="853" w:name="_Toc98033957"/>
      <w:bookmarkStart w:id="854" w:name="_Toc45791377"/>
      <w:bookmarkStart w:id="855" w:name="_Toc109809335"/>
      <w:bookmarkStart w:id="856" w:name="_Toc75783554"/>
      <w:bookmarkStart w:id="857" w:name="_Toc87538392"/>
      <w:bookmarkStart w:id="858" w:name="_Toc53412239"/>
      <w:bookmarkStart w:id="859" w:name="_Toc81330962"/>
      <w:r>
        <w:rPr>
          <w:rFonts w:hint="eastAsia" w:asciiTheme="minorEastAsia" w:hAnsiTheme="minorEastAsia" w:eastAsiaTheme="minorEastAsia"/>
          <w:b/>
          <w:color w:val="auto"/>
          <w:sz w:val="24"/>
          <w:szCs w:val="24"/>
          <w:highlight w:val="none"/>
        </w:rPr>
        <w:t>6.3 评审</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7ACE4A41">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磋商小组按照第八章“评审办法”规定的方法、评审因素、标准和程序对响应文件进行评审，第八章“评审办法”没有规定的方法、评审因素和标准，不得作为评审依据。</w:t>
      </w:r>
    </w:p>
    <w:p w14:paraId="5703952D">
      <w:pPr>
        <w:spacing w:line="360" w:lineRule="auto"/>
        <w:jc w:val="center"/>
        <w:outlineLvl w:val="2"/>
        <w:rPr>
          <w:rFonts w:asciiTheme="minorEastAsia" w:hAnsiTheme="minorEastAsia" w:eastAsiaTheme="minorEastAsia"/>
          <w:b/>
          <w:bCs/>
          <w:color w:val="auto"/>
          <w:sz w:val="28"/>
          <w:szCs w:val="28"/>
          <w:highlight w:val="none"/>
        </w:rPr>
      </w:pPr>
      <w:bookmarkStart w:id="860" w:name="_Toc37603107"/>
      <w:bookmarkStart w:id="861" w:name="_Toc110405158"/>
      <w:bookmarkStart w:id="862" w:name="_Toc83753916"/>
      <w:bookmarkStart w:id="863" w:name="_Toc292983022"/>
      <w:bookmarkStart w:id="864" w:name="_Toc87543842"/>
      <w:bookmarkStart w:id="865" w:name="_Toc11599"/>
      <w:bookmarkStart w:id="866" w:name="_Toc98865035"/>
      <w:bookmarkStart w:id="867" w:name="_Toc98033958"/>
      <w:bookmarkStart w:id="868" w:name="_Toc45976924"/>
      <w:bookmarkStart w:id="869" w:name="_Toc87538393"/>
      <w:bookmarkStart w:id="870" w:name="_Toc381796412"/>
      <w:bookmarkStart w:id="871" w:name="_Toc45791378"/>
      <w:bookmarkStart w:id="872" w:name="_Toc42205017"/>
      <w:bookmarkStart w:id="873" w:name="_Toc84356276"/>
      <w:bookmarkStart w:id="874" w:name="_Toc42267656"/>
      <w:bookmarkStart w:id="875" w:name="_Toc109809336"/>
      <w:bookmarkStart w:id="876" w:name="_Toc116584025"/>
      <w:r>
        <w:rPr>
          <w:rFonts w:hint="eastAsia" w:asciiTheme="minorEastAsia" w:hAnsiTheme="minorEastAsia" w:eastAsiaTheme="minorEastAsia"/>
          <w:b/>
          <w:bCs/>
          <w:color w:val="auto"/>
          <w:sz w:val="28"/>
          <w:szCs w:val="28"/>
          <w:highlight w:val="none"/>
        </w:rPr>
        <w:t>7.合同授予</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p w14:paraId="3F7EB90A">
      <w:pPr>
        <w:spacing w:line="360" w:lineRule="auto"/>
        <w:outlineLvl w:val="3"/>
        <w:rPr>
          <w:rFonts w:asciiTheme="minorEastAsia" w:hAnsiTheme="minorEastAsia" w:eastAsiaTheme="minorEastAsia"/>
          <w:b/>
          <w:color w:val="auto"/>
          <w:sz w:val="24"/>
          <w:szCs w:val="24"/>
          <w:highlight w:val="none"/>
        </w:rPr>
      </w:pPr>
      <w:bookmarkStart w:id="877" w:name="_Toc116584026"/>
      <w:bookmarkStart w:id="878" w:name="_Toc79967649"/>
      <w:bookmarkStart w:id="879" w:name="_Toc18460"/>
      <w:bookmarkStart w:id="880" w:name="_Toc79968010"/>
      <w:bookmarkStart w:id="881" w:name="_Toc98033959"/>
      <w:bookmarkStart w:id="882" w:name="_Toc98865036"/>
      <w:bookmarkStart w:id="883" w:name="_Toc48639300"/>
      <w:bookmarkStart w:id="884" w:name="_Toc109809337"/>
      <w:bookmarkStart w:id="885" w:name="_Toc70503243"/>
      <w:bookmarkStart w:id="886" w:name="_Toc52091975"/>
      <w:bookmarkStart w:id="887" w:name="_Toc45900551"/>
      <w:bookmarkStart w:id="888" w:name="_Toc45452769"/>
      <w:bookmarkStart w:id="889" w:name="_Toc87543843"/>
      <w:bookmarkStart w:id="890" w:name="_Toc110405159"/>
      <w:bookmarkStart w:id="891" w:name="_Toc42205018"/>
      <w:bookmarkStart w:id="892" w:name="_Toc42267657"/>
      <w:bookmarkStart w:id="893" w:name="_Toc50559278"/>
      <w:bookmarkStart w:id="894" w:name="_Toc124133181"/>
      <w:bookmarkStart w:id="895" w:name="_Toc45900555"/>
      <w:bookmarkStart w:id="896" w:name="_Toc81660933"/>
      <w:bookmarkStart w:id="897" w:name="_Toc81661145"/>
      <w:bookmarkStart w:id="898" w:name="_Toc45452773"/>
      <w:bookmarkStart w:id="899" w:name="_Toc50559282"/>
      <w:bookmarkStart w:id="900" w:name="_Toc81660839"/>
      <w:bookmarkStart w:id="901" w:name="_Toc45976929"/>
      <w:bookmarkStart w:id="902" w:name="_Toc45791383"/>
      <w:bookmarkStart w:id="903" w:name="_Toc42205022"/>
      <w:bookmarkStart w:id="904" w:name="_Toc42267661"/>
      <w:bookmarkStart w:id="905" w:name="_Toc83753920"/>
      <w:bookmarkStart w:id="906" w:name="_Toc84356280"/>
      <w:bookmarkStart w:id="907" w:name="_Toc87538397"/>
      <w:r>
        <w:rPr>
          <w:rFonts w:hint="eastAsia" w:asciiTheme="minorEastAsia" w:hAnsiTheme="minorEastAsia" w:eastAsiaTheme="minorEastAsia"/>
          <w:b/>
          <w:color w:val="auto"/>
          <w:sz w:val="24"/>
          <w:szCs w:val="24"/>
          <w:highlight w:val="none"/>
        </w:rPr>
        <w:t>7.1定标方式</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p w14:paraId="7B8D785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除供应商须知前附表规定磋商小组直接确定成交供应商外，采购人依据磋商小组推荐的成交候选人顺序确定成交供应商，磋商小组推荐的成交候选人的人数见供应商须知前附表。</w:t>
      </w:r>
    </w:p>
    <w:bookmarkEnd w:id="894"/>
    <w:p w14:paraId="7D4F8FC7">
      <w:pPr>
        <w:spacing w:line="360" w:lineRule="auto"/>
        <w:outlineLvl w:val="3"/>
        <w:rPr>
          <w:rFonts w:asciiTheme="minorEastAsia" w:hAnsiTheme="minorEastAsia" w:eastAsiaTheme="minorEastAsia"/>
          <w:b/>
          <w:color w:val="auto"/>
          <w:sz w:val="24"/>
          <w:szCs w:val="24"/>
          <w:highlight w:val="none"/>
        </w:rPr>
      </w:pPr>
      <w:bookmarkStart w:id="908" w:name="_Toc42267658"/>
      <w:bookmarkStart w:id="909" w:name="_Toc70503244"/>
      <w:bookmarkStart w:id="910" w:name="_Toc45452770"/>
      <w:bookmarkStart w:id="911" w:name="_Toc45900552"/>
      <w:bookmarkStart w:id="912" w:name="_Toc52091976"/>
      <w:bookmarkStart w:id="913" w:name="_Toc50559279"/>
      <w:bookmarkStart w:id="914" w:name="_Toc48639301"/>
      <w:bookmarkStart w:id="915" w:name="_Toc42205019"/>
      <w:bookmarkStart w:id="916" w:name="_Toc98865037"/>
      <w:bookmarkStart w:id="917" w:name="_Toc79968011"/>
      <w:bookmarkStart w:id="918" w:name="_Toc110405160"/>
      <w:bookmarkStart w:id="919" w:name="_Toc116584027"/>
      <w:bookmarkStart w:id="920" w:name="_Toc79967650"/>
      <w:bookmarkStart w:id="921" w:name="_Toc18918"/>
      <w:bookmarkStart w:id="922" w:name="_Toc98033960"/>
      <w:bookmarkStart w:id="923" w:name="_Toc87543844"/>
      <w:bookmarkStart w:id="924" w:name="_Toc109809338"/>
      <w:r>
        <w:rPr>
          <w:rFonts w:hint="eastAsia" w:asciiTheme="minorEastAsia" w:hAnsiTheme="minorEastAsia" w:eastAsiaTheme="minorEastAsia"/>
          <w:b/>
          <w:color w:val="auto"/>
          <w:sz w:val="24"/>
          <w:szCs w:val="24"/>
          <w:highlight w:val="none"/>
        </w:rPr>
        <w:t>7.2成交</w:t>
      </w:r>
      <w:bookmarkEnd w:id="908"/>
      <w:bookmarkEnd w:id="909"/>
      <w:bookmarkEnd w:id="910"/>
      <w:bookmarkEnd w:id="911"/>
      <w:bookmarkEnd w:id="912"/>
      <w:bookmarkEnd w:id="913"/>
      <w:bookmarkEnd w:id="914"/>
      <w:bookmarkEnd w:id="915"/>
      <w:r>
        <w:rPr>
          <w:rFonts w:hint="eastAsia" w:asciiTheme="minorEastAsia" w:hAnsiTheme="minorEastAsia" w:eastAsiaTheme="minorEastAsia"/>
          <w:b/>
          <w:color w:val="auto"/>
          <w:sz w:val="24"/>
          <w:szCs w:val="24"/>
          <w:highlight w:val="none"/>
        </w:rPr>
        <w:t>结果</w:t>
      </w:r>
      <w:bookmarkEnd w:id="916"/>
      <w:bookmarkEnd w:id="917"/>
      <w:bookmarkEnd w:id="918"/>
      <w:bookmarkEnd w:id="919"/>
      <w:bookmarkEnd w:id="920"/>
      <w:bookmarkEnd w:id="921"/>
      <w:bookmarkEnd w:id="922"/>
      <w:bookmarkEnd w:id="923"/>
      <w:bookmarkEnd w:id="924"/>
    </w:p>
    <w:p w14:paraId="704BB934">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7.2.1采购代理机构应当在评审结束后2个工作日内将评审报告送采购人确认。</w:t>
      </w:r>
    </w:p>
    <w:p w14:paraId="240D001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7.2.2采购人应当在收到评审报告后5个工作日内，按照评审报告中推荐的成交候选人顺序确定成交供应商。</w:t>
      </w:r>
    </w:p>
    <w:p w14:paraId="21C96A78">
      <w:pPr>
        <w:adjustRightInd w:val="0"/>
        <w:snapToGrid w:val="0"/>
        <w:spacing w:line="360" w:lineRule="auto"/>
        <w:ind w:firstLine="420" w:firstLineChars="200"/>
        <w:rPr>
          <w:rFonts w:asciiTheme="minorEastAsia" w:hAnsiTheme="minorEastAsia" w:eastAsiaTheme="minorEastAsia"/>
          <w:color w:val="auto"/>
          <w:szCs w:val="28"/>
          <w:highlight w:val="none"/>
        </w:rPr>
      </w:pPr>
      <w:r>
        <w:rPr>
          <w:rFonts w:hint="eastAsia" w:asciiTheme="minorEastAsia" w:hAnsiTheme="minorEastAsia" w:eastAsiaTheme="minorEastAsia"/>
          <w:color w:val="auto"/>
          <w:szCs w:val="21"/>
          <w:highlight w:val="none"/>
        </w:rPr>
        <w:t>7.2.3采购代理机构应当自成交供应商确定之日起2个工作日内，</w:t>
      </w:r>
      <w:r>
        <w:rPr>
          <w:rFonts w:hint="eastAsia" w:cs="宋体" w:asciiTheme="minorEastAsia" w:hAnsiTheme="minorEastAsia" w:eastAsiaTheme="minorEastAsia"/>
          <w:snapToGrid w:val="0"/>
          <w:color w:val="auto"/>
          <w:kern w:val="0"/>
          <w:szCs w:val="21"/>
          <w:highlight w:val="none"/>
        </w:rPr>
        <w:t>在省级以上财政部门指定的政府采购信息发布媒体上公告成交结果，同时向成交供应商发出成交通知书</w:t>
      </w:r>
      <w:r>
        <w:rPr>
          <w:rFonts w:hint="eastAsia" w:asciiTheme="minorEastAsia" w:hAnsiTheme="minorEastAsia" w:eastAsiaTheme="minorEastAsia"/>
          <w:color w:val="auto"/>
          <w:szCs w:val="21"/>
          <w:highlight w:val="none"/>
        </w:rPr>
        <w:t>。</w:t>
      </w:r>
    </w:p>
    <w:p w14:paraId="47063797">
      <w:pPr>
        <w:spacing w:line="360" w:lineRule="auto"/>
        <w:outlineLvl w:val="3"/>
        <w:rPr>
          <w:rFonts w:asciiTheme="minorEastAsia" w:hAnsiTheme="minorEastAsia" w:eastAsiaTheme="minorEastAsia"/>
          <w:b/>
          <w:color w:val="auto"/>
          <w:sz w:val="24"/>
          <w:szCs w:val="24"/>
          <w:highlight w:val="none"/>
        </w:rPr>
      </w:pPr>
      <w:bookmarkStart w:id="925" w:name="_Toc45452771"/>
      <w:bookmarkStart w:id="926" w:name="_Toc70503245"/>
      <w:bookmarkStart w:id="927" w:name="_Toc42267659"/>
      <w:bookmarkStart w:id="928" w:name="_Toc109809339"/>
      <w:bookmarkStart w:id="929" w:name="_Toc87543845"/>
      <w:bookmarkStart w:id="930" w:name="_Toc116584028"/>
      <w:bookmarkStart w:id="931" w:name="_Toc42205020"/>
      <w:bookmarkStart w:id="932" w:name="_Toc45900553"/>
      <w:bookmarkStart w:id="933" w:name="_Toc98865038"/>
      <w:bookmarkStart w:id="934" w:name="_Toc50559280"/>
      <w:bookmarkStart w:id="935" w:name="_Toc98033961"/>
      <w:bookmarkStart w:id="936" w:name="_Toc79967651"/>
      <w:bookmarkStart w:id="937" w:name="_Toc52091977"/>
      <w:bookmarkStart w:id="938" w:name="_Toc48639302"/>
      <w:bookmarkStart w:id="939" w:name="_Toc10977"/>
      <w:bookmarkStart w:id="940" w:name="_Toc110405161"/>
      <w:bookmarkStart w:id="941" w:name="_Toc79968012"/>
      <w:r>
        <w:rPr>
          <w:rFonts w:hint="eastAsia" w:asciiTheme="minorEastAsia" w:hAnsiTheme="minorEastAsia" w:eastAsiaTheme="minorEastAsia"/>
          <w:b/>
          <w:color w:val="auto"/>
          <w:sz w:val="24"/>
          <w:szCs w:val="24"/>
          <w:highlight w:val="none"/>
        </w:rPr>
        <w:t>7.3履约担保</w:t>
      </w:r>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p w14:paraId="548F65F5">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7.3.1成交供应商与采购人签订合同前应当按照供应商须知前附表规定的金额、担保形式向采购人提交履约担保。</w:t>
      </w:r>
    </w:p>
    <w:p w14:paraId="1C475A7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7.3.2成交供应商不能按照供应商须知前附表要求提交履约担保的，视为放弃成交资格。</w:t>
      </w:r>
    </w:p>
    <w:p w14:paraId="78678297">
      <w:pPr>
        <w:spacing w:line="360" w:lineRule="auto"/>
        <w:outlineLvl w:val="3"/>
        <w:rPr>
          <w:rFonts w:asciiTheme="minorEastAsia" w:hAnsiTheme="minorEastAsia" w:eastAsiaTheme="minorEastAsia"/>
          <w:b/>
          <w:color w:val="auto"/>
          <w:sz w:val="24"/>
          <w:szCs w:val="24"/>
          <w:highlight w:val="none"/>
        </w:rPr>
      </w:pPr>
      <w:bookmarkStart w:id="942" w:name="_Toc42267660"/>
      <w:bookmarkStart w:id="943" w:name="_Toc42205021"/>
      <w:bookmarkStart w:id="944" w:name="_Toc45452772"/>
      <w:bookmarkStart w:id="945" w:name="_Toc116584029"/>
      <w:bookmarkStart w:id="946" w:name="_Toc79967652"/>
      <w:bookmarkStart w:id="947" w:name="_Toc79968013"/>
      <w:bookmarkStart w:id="948" w:name="_Toc87543846"/>
      <w:bookmarkStart w:id="949" w:name="_Toc110405162"/>
      <w:bookmarkStart w:id="950" w:name="_Toc48639303"/>
      <w:bookmarkStart w:id="951" w:name="_Toc98033962"/>
      <w:bookmarkStart w:id="952" w:name="_Toc45900554"/>
      <w:bookmarkStart w:id="953" w:name="_Toc52091978"/>
      <w:bookmarkStart w:id="954" w:name="_Toc32278"/>
      <w:bookmarkStart w:id="955" w:name="_Toc98865039"/>
      <w:bookmarkStart w:id="956" w:name="_Toc109809340"/>
      <w:bookmarkStart w:id="957" w:name="_Toc70503246"/>
      <w:bookmarkStart w:id="958" w:name="_Toc50559281"/>
      <w:bookmarkStart w:id="959" w:name="_Toc124133182"/>
      <w:r>
        <w:rPr>
          <w:rFonts w:hint="eastAsia" w:asciiTheme="minorEastAsia" w:hAnsiTheme="minorEastAsia" w:eastAsiaTheme="minorEastAsia"/>
          <w:b/>
          <w:color w:val="auto"/>
          <w:sz w:val="24"/>
          <w:szCs w:val="24"/>
          <w:highlight w:val="none"/>
        </w:rPr>
        <w:t>7.4签订合同</w:t>
      </w:r>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3609CD7F">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7.4.1 采购人和成交供应商应当自成交通知书发出之日起30天内，根据采购文件和成交供应商的响应文件订立书面合同。成交供应商无正当理由拒签合同的，采购人取消其成交资格。</w:t>
      </w:r>
    </w:p>
    <w:p w14:paraId="311D57A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7.4.2 成交通知书发出后，采购人无正当理由拒签合同，且给成交供应商造成损失的，应当赔偿损失。</w:t>
      </w:r>
    </w:p>
    <w:bookmarkEnd w:id="895"/>
    <w:bookmarkEnd w:id="896"/>
    <w:bookmarkEnd w:id="897"/>
    <w:bookmarkEnd w:id="898"/>
    <w:bookmarkEnd w:id="899"/>
    <w:bookmarkEnd w:id="900"/>
    <w:p w14:paraId="4DB9802F">
      <w:pPr>
        <w:spacing w:line="360" w:lineRule="auto"/>
        <w:jc w:val="center"/>
        <w:outlineLvl w:val="2"/>
        <w:rPr>
          <w:rFonts w:asciiTheme="minorEastAsia" w:hAnsiTheme="minorEastAsia" w:eastAsiaTheme="minorEastAsia"/>
          <w:b/>
          <w:bCs/>
          <w:color w:val="auto"/>
          <w:sz w:val="28"/>
          <w:szCs w:val="28"/>
          <w:highlight w:val="none"/>
        </w:rPr>
      </w:pPr>
      <w:bookmarkStart w:id="960" w:name="_Toc116584030"/>
      <w:bookmarkStart w:id="961" w:name="_Toc87543847"/>
      <w:bookmarkStart w:id="962" w:name="_Toc98033963"/>
      <w:bookmarkStart w:id="963" w:name="_Toc109809341"/>
      <w:bookmarkStart w:id="964" w:name="_Toc110405163"/>
      <w:bookmarkStart w:id="965" w:name="_Toc26229"/>
      <w:bookmarkStart w:id="966" w:name="_Toc98865040"/>
      <w:r>
        <w:rPr>
          <w:rFonts w:hint="eastAsia" w:asciiTheme="minorEastAsia" w:hAnsiTheme="minorEastAsia" w:eastAsiaTheme="minorEastAsia"/>
          <w:b/>
          <w:bCs/>
          <w:color w:val="auto"/>
          <w:sz w:val="28"/>
          <w:szCs w:val="28"/>
          <w:highlight w:val="none"/>
        </w:rPr>
        <w:t>8.重新</w:t>
      </w:r>
      <w:bookmarkEnd w:id="901"/>
      <w:bookmarkEnd w:id="902"/>
      <w:bookmarkEnd w:id="903"/>
      <w:bookmarkEnd w:id="904"/>
      <w:r>
        <w:rPr>
          <w:rFonts w:hint="eastAsia" w:asciiTheme="minorEastAsia" w:hAnsiTheme="minorEastAsia" w:eastAsiaTheme="minorEastAsia"/>
          <w:b/>
          <w:bCs/>
          <w:color w:val="auto"/>
          <w:sz w:val="28"/>
          <w:szCs w:val="28"/>
          <w:highlight w:val="none"/>
        </w:rPr>
        <w:t>采购</w:t>
      </w:r>
      <w:bookmarkEnd w:id="905"/>
      <w:bookmarkEnd w:id="906"/>
      <w:bookmarkEnd w:id="907"/>
      <w:bookmarkEnd w:id="960"/>
      <w:bookmarkEnd w:id="961"/>
      <w:bookmarkEnd w:id="962"/>
      <w:bookmarkEnd w:id="963"/>
      <w:bookmarkEnd w:id="964"/>
      <w:bookmarkEnd w:id="965"/>
      <w:bookmarkEnd w:id="966"/>
    </w:p>
    <w:p w14:paraId="607759F9">
      <w:pPr>
        <w:spacing w:line="360" w:lineRule="auto"/>
        <w:outlineLvl w:val="3"/>
        <w:rPr>
          <w:rFonts w:asciiTheme="minorEastAsia" w:hAnsiTheme="minorEastAsia" w:eastAsiaTheme="minorEastAsia"/>
          <w:b/>
          <w:color w:val="auto"/>
          <w:sz w:val="24"/>
          <w:szCs w:val="24"/>
          <w:highlight w:val="none"/>
        </w:rPr>
      </w:pPr>
      <w:bookmarkStart w:id="967" w:name="_Toc110405164"/>
      <w:bookmarkStart w:id="968" w:name="_Toc98033964"/>
      <w:bookmarkStart w:id="969" w:name="_Toc116584031"/>
      <w:bookmarkStart w:id="970" w:name="_Toc98865041"/>
      <w:bookmarkStart w:id="971" w:name="_Toc109809342"/>
      <w:bookmarkStart w:id="972" w:name="_Toc31249"/>
      <w:bookmarkStart w:id="973" w:name="_Toc87543848"/>
      <w:r>
        <w:rPr>
          <w:rFonts w:hint="eastAsia" w:asciiTheme="minorEastAsia" w:hAnsiTheme="minorEastAsia" w:eastAsiaTheme="minorEastAsia"/>
          <w:b/>
          <w:color w:val="auto"/>
          <w:sz w:val="24"/>
          <w:szCs w:val="24"/>
          <w:highlight w:val="none"/>
        </w:rPr>
        <w:t>8</w:t>
      </w:r>
      <w:r>
        <w:rPr>
          <w:rFonts w:asciiTheme="minorEastAsia" w:hAnsiTheme="minorEastAsia" w:eastAsiaTheme="minorEastAsia"/>
          <w:b/>
          <w:color w:val="auto"/>
          <w:sz w:val="24"/>
          <w:szCs w:val="24"/>
          <w:highlight w:val="none"/>
        </w:rPr>
        <w:t>.1</w:t>
      </w:r>
      <w:r>
        <w:rPr>
          <w:rFonts w:hint="eastAsia" w:asciiTheme="minorEastAsia" w:hAnsiTheme="minorEastAsia" w:eastAsiaTheme="minorEastAsia"/>
          <w:b/>
          <w:color w:val="auto"/>
          <w:sz w:val="24"/>
          <w:szCs w:val="24"/>
          <w:highlight w:val="none"/>
        </w:rPr>
        <w:t>有下列情形之一的，采购人将重新采购</w:t>
      </w:r>
      <w:bookmarkEnd w:id="967"/>
      <w:bookmarkEnd w:id="968"/>
      <w:bookmarkEnd w:id="969"/>
      <w:bookmarkEnd w:id="970"/>
      <w:bookmarkEnd w:id="971"/>
      <w:bookmarkEnd w:id="972"/>
      <w:bookmarkEnd w:id="973"/>
    </w:p>
    <w:p w14:paraId="5DC3898F">
      <w:pPr>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8.1.1响应文件</w:t>
      </w:r>
      <w:r>
        <w:rPr>
          <w:rFonts w:hint="eastAsia" w:ascii="宋体" w:hAnsi="宋体"/>
          <w:color w:val="auto"/>
          <w:highlight w:val="none"/>
        </w:rPr>
        <w:t>提交</w:t>
      </w:r>
      <w:r>
        <w:rPr>
          <w:rFonts w:ascii="宋体" w:hAnsi="宋体"/>
          <w:color w:val="auto"/>
          <w:highlight w:val="none"/>
        </w:rPr>
        <w:t>截止时间止，提交响应文件的供应商少于3个的，采购人应当重新采购。</w:t>
      </w:r>
    </w:p>
    <w:p w14:paraId="31812691">
      <w:pPr>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8.1.2</w:t>
      </w:r>
      <w:r>
        <w:rPr>
          <w:rFonts w:hint="eastAsia" w:ascii="宋体" w:hAnsi="宋体"/>
          <w:color w:val="auto"/>
          <w:highlight w:val="none"/>
        </w:rPr>
        <w:t>经磋商小组评审后，有效供应商数量少于3个的。</w:t>
      </w:r>
    </w:p>
    <w:p w14:paraId="42B14691">
      <w:pPr>
        <w:pStyle w:val="6"/>
        <w:rPr>
          <w:color w:val="auto"/>
          <w:highlight w:val="none"/>
        </w:rPr>
      </w:pPr>
      <w:r>
        <w:rPr>
          <w:rFonts w:hint="eastAsia" w:ascii="宋体" w:hAnsi="宋体"/>
          <w:color w:val="auto"/>
          <w:highlight w:val="none"/>
        </w:rPr>
        <w:t>8.1.3法律规定的其他应当重新采购的情形。</w:t>
      </w:r>
    </w:p>
    <w:p w14:paraId="25ED03DE">
      <w:pPr>
        <w:spacing w:line="360" w:lineRule="auto"/>
        <w:jc w:val="center"/>
        <w:outlineLvl w:val="2"/>
        <w:rPr>
          <w:rFonts w:asciiTheme="minorEastAsia" w:hAnsiTheme="minorEastAsia" w:eastAsiaTheme="minorEastAsia"/>
          <w:b/>
          <w:bCs/>
          <w:color w:val="auto"/>
          <w:sz w:val="28"/>
          <w:szCs w:val="28"/>
          <w:highlight w:val="none"/>
        </w:rPr>
      </w:pPr>
      <w:bookmarkStart w:id="974" w:name="_Toc98033965"/>
      <w:bookmarkStart w:id="975" w:name="_Toc45976930"/>
      <w:bookmarkStart w:id="976" w:name="_Toc83753921"/>
      <w:bookmarkStart w:id="977" w:name="_Toc84356281"/>
      <w:bookmarkStart w:id="978" w:name="_Toc116584032"/>
      <w:bookmarkStart w:id="979" w:name="_Toc42205023"/>
      <w:bookmarkStart w:id="980" w:name="_Toc45791384"/>
      <w:bookmarkStart w:id="981" w:name="_Toc87538398"/>
      <w:bookmarkStart w:id="982" w:name="_Toc42267662"/>
      <w:bookmarkStart w:id="983" w:name="_Toc110405165"/>
      <w:bookmarkStart w:id="984" w:name="_Toc98865042"/>
      <w:bookmarkStart w:id="985" w:name="_Toc109809343"/>
      <w:bookmarkStart w:id="986" w:name="_Toc16641"/>
      <w:bookmarkStart w:id="987" w:name="_Toc87543849"/>
      <w:r>
        <w:rPr>
          <w:rFonts w:hint="eastAsia" w:asciiTheme="minorEastAsia" w:hAnsiTheme="minorEastAsia" w:eastAsiaTheme="minorEastAsia"/>
          <w:b/>
          <w:bCs/>
          <w:color w:val="auto"/>
          <w:sz w:val="28"/>
          <w:szCs w:val="28"/>
          <w:highlight w:val="none"/>
        </w:rPr>
        <w:t>9.纪律和监督</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14:paraId="10BA114D">
      <w:pPr>
        <w:spacing w:line="360" w:lineRule="auto"/>
        <w:outlineLvl w:val="3"/>
        <w:rPr>
          <w:rFonts w:asciiTheme="minorEastAsia" w:hAnsiTheme="minorEastAsia" w:eastAsiaTheme="minorEastAsia"/>
          <w:b/>
          <w:color w:val="auto"/>
          <w:sz w:val="24"/>
          <w:szCs w:val="24"/>
          <w:highlight w:val="none"/>
        </w:rPr>
      </w:pPr>
      <w:bookmarkStart w:id="988" w:name="_Toc45791385"/>
      <w:bookmarkStart w:id="989" w:name="_Toc53412247"/>
      <w:bookmarkStart w:id="990" w:name="_Toc109809344"/>
      <w:bookmarkStart w:id="991" w:name="_Toc98033966"/>
      <w:bookmarkStart w:id="992" w:name="_Toc110405166"/>
      <w:bookmarkStart w:id="993" w:name="_Toc42267663"/>
      <w:bookmarkStart w:id="994" w:name="_Toc45976931"/>
      <w:bookmarkStart w:id="995" w:name="_Toc69678460"/>
      <w:bookmarkStart w:id="996" w:name="_Toc84356282"/>
      <w:bookmarkStart w:id="997" w:name="_Toc75783562"/>
      <w:bookmarkStart w:id="998" w:name="_Toc87538399"/>
      <w:bookmarkStart w:id="999" w:name="_Toc98865043"/>
      <w:bookmarkStart w:id="1000" w:name="_Toc42205024"/>
      <w:bookmarkStart w:id="1001" w:name="_Toc81330970"/>
      <w:bookmarkStart w:id="1002" w:name="_Toc83753922"/>
      <w:bookmarkStart w:id="1003" w:name="_Toc28437"/>
      <w:bookmarkStart w:id="1004" w:name="_Toc116584033"/>
      <w:bookmarkStart w:id="1005" w:name="_Toc87543850"/>
      <w:r>
        <w:rPr>
          <w:rFonts w:hint="eastAsia" w:asciiTheme="minorEastAsia" w:hAnsiTheme="minorEastAsia" w:eastAsiaTheme="minorEastAsia"/>
          <w:b/>
          <w:color w:val="auto"/>
          <w:sz w:val="24"/>
          <w:szCs w:val="24"/>
          <w:highlight w:val="none"/>
        </w:rPr>
        <w:t>9.1 对采购人的纪律要求</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14:paraId="4D366C8C">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采购人</w:t>
      </w:r>
      <w:r>
        <w:rPr>
          <w:rFonts w:hint="eastAsia" w:asciiTheme="minorEastAsia" w:hAnsiTheme="minorEastAsia" w:eastAsiaTheme="minorEastAsia"/>
          <w:color w:val="auto"/>
          <w:szCs w:val="21"/>
          <w:highlight w:val="none"/>
          <w:lang w:eastAsia="zh-CN"/>
        </w:rPr>
        <w:t>不得泄露</w:t>
      </w:r>
      <w:r>
        <w:rPr>
          <w:rFonts w:hint="eastAsia" w:asciiTheme="minorEastAsia" w:hAnsiTheme="minorEastAsia" w:eastAsiaTheme="minorEastAsia"/>
          <w:color w:val="auto"/>
          <w:szCs w:val="21"/>
          <w:highlight w:val="none"/>
        </w:rPr>
        <w:t>采购活动中应当保密的情况和资料，不得与供应商串通损害国家利益、社会公共利益或者他人合法权益。</w:t>
      </w:r>
    </w:p>
    <w:p w14:paraId="3BEF0BD4">
      <w:pPr>
        <w:spacing w:line="360" w:lineRule="auto"/>
        <w:outlineLvl w:val="3"/>
        <w:rPr>
          <w:rFonts w:asciiTheme="minorEastAsia" w:hAnsiTheme="minorEastAsia" w:eastAsiaTheme="minorEastAsia"/>
          <w:b/>
          <w:color w:val="auto"/>
          <w:sz w:val="24"/>
          <w:szCs w:val="24"/>
          <w:highlight w:val="none"/>
        </w:rPr>
      </w:pPr>
      <w:bookmarkStart w:id="1006" w:name="_Toc83753923"/>
      <w:bookmarkStart w:id="1007" w:name="_Toc53412248"/>
      <w:bookmarkStart w:id="1008" w:name="_Toc84356283"/>
      <w:bookmarkStart w:id="1009" w:name="_Toc69678461"/>
      <w:bookmarkStart w:id="1010" w:name="_Toc116584034"/>
      <w:bookmarkStart w:id="1011" w:name="_Toc42205025"/>
      <w:bookmarkStart w:id="1012" w:name="_Toc928"/>
      <w:bookmarkStart w:id="1013" w:name="_Toc42267664"/>
      <w:bookmarkStart w:id="1014" w:name="_Toc87538400"/>
      <w:bookmarkStart w:id="1015" w:name="_Toc98033967"/>
      <w:bookmarkStart w:id="1016" w:name="_Toc75783563"/>
      <w:bookmarkStart w:id="1017" w:name="_Toc45791386"/>
      <w:bookmarkStart w:id="1018" w:name="_Toc81330971"/>
      <w:bookmarkStart w:id="1019" w:name="_Toc45976932"/>
      <w:bookmarkStart w:id="1020" w:name="_Toc110405167"/>
      <w:bookmarkStart w:id="1021" w:name="_Toc109809345"/>
      <w:bookmarkStart w:id="1022" w:name="_Toc98865044"/>
      <w:bookmarkStart w:id="1023" w:name="_Toc87543851"/>
      <w:r>
        <w:rPr>
          <w:rFonts w:hint="eastAsia" w:asciiTheme="minorEastAsia" w:hAnsiTheme="minorEastAsia" w:eastAsiaTheme="minorEastAsia"/>
          <w:b/>
          <w:color w:val="auto"/>
          <w:sz w:val="24"/>
          <w:szCs w:val="24"/>
          <w:highlight w:val="none"/>
        </w:rPr>
        <w:t>9.2 对供应商的纪律要求</w:t>
      </w:r>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p w14:paraId="5CA59D1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供应商不得相互串通磋商或者与采购人串通磋商，不得向采购人或者磋商小组成员行贿谋取成交，不得以他人名义磋商或者以其他方式弄虚作假骗取成交；供应商不得以任何方式干扰、影响评审工作。</w:t>
      </w:r>
    </w:p>
    <w:p w14:paraId="5888ED86">
      <w:pPr>
        <w:spacing w:line="360" w:lineRule="auto"/>
        <w:outlineLvl w:val="3"/>
        <w:rPr>
          <w:rFonts w:asciiTheme="minorEastAsia" w:hAnsiTheme="minorEastAsia" w:eastAsiaTheme="minorEastAsia"/>
          <w:b/>
          <w:color w:val="auto"/>
          <w:sz w:val="24"/>
          <w:szCs w:val="24"/>
          <w:highlight w:val="none"/>
        </w:rPr>
      </w:pPr>
      <w:bookmarkStart w:id="1024" w:name="_Toc98033968"/>
      <w:bookmarkStart w:id="1025" w:name="_Toc69678462"/>
      <w:bookmarkStart w:id="1026" w:name="_Toc87543852"/>
      <w:bookmarkStart w:id="1027" w:name="_Toc116584035"/>
      <w:bookmarkStart w:id="1028" w:name="_Toc13146"/>
      <w:bookmarkStart w:id="1029" w:name="_Toc45791387"/>
      <w:bookmarkStart w:id="1030" w:name="_Toc83753924"/>
      <w:bookmarkStart w:id="1031" w:name="_Toc45976933"/>
      <w:bookmarkStart w:id="1032" w:name="_Toc42205026"/>
      <w:bookmarkStart w:id="1033" w:name="_Toc81330972"/>
      <w:bookmarkStart w:id="1034" w:name="_Toc98865045"/>
      <w:bookmarkStart w:id="1035" w:name="_Toc75783564"/>
      <w:bookmarkStart w:id="1036" w:name="_Toc109809346"/>
      <w:bookmarkStart w:id="1037" w:name="_Toc42267665"/>
      <w:bookmarkStart w:id="1038" w:name="_Toc84356284"/>
      <w:bookmarkStart w:id="1039" w:name="_Toc110405168"/>
      <w:bookmarkStart w:id="1040" w:name="_Toc53412249"/>
      <w:bookmarkStart w:id="1041" w:name="_Toc87538401"/>
      <w:r>
        <w:rPr>
          <w:rFonts w:hint="eastAsia" w:asciiTheme="minorEastAsia" w:hAnsiTheme="minorEastAsia" w:eastAsiaTheme="minorEastAsia"/>
          <w:b/>
          <w:color w:val="auto"/>
          <w:sz w:val="24"/>
          <w:szCs w:val="24"/>
          <w:highlight w:val="none"/>
        </w:rPr>
        <w:t>9.3 对磋商小组成员的纪律要求</w:t>
      </w:r>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14:paraId="180D09EB">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磋商小组成员不得收受他人的财物或者其他好处，不得向他人</w:t>
      </w:r>
      <w:r>
        <w:rPr>
          <w:rFonts w:hint="eastAsia" w:asciiTheme="minorEastAsia" w:hAnsiTheme="minorEastAsia" w:eastAsiaTheme="minorEastAsia"/>
          <w:color w:val="auto"/>
          <w:szCs w:val="21"/>
          <w:highlight w:val="none"/>
          <w:lang w:eastAsia="zh-CN"/>
        </w:rPr>
        <w:t>透露</w:t>
      </w:r>
      <w:r>
        <w:rPr>
          <w:rFonts w:hint="eastAsia" w:asciiTheme="minorEastAsia" w:hAnsiTheme="minorEastAsia" w:eastAsiaTheme="minorEastAsia"/>
          <w:color w:val="auto"/>
          <w:szCs w:val="21"/>
          <w:highlight w:val="none"/>
        </w:rPr>
        <w:t>对响应文件的评审和比较、成交候选人的推荐情况以及评审有关的其他情况。在评审活动中，磋商小组成员不得擅离职守，影响评审程序正常进行，不得使用第八章“评审办法”没有规定的评审因素和标准进行评审。</w:t>
      </w:r>
    </w:p>
    <w:p w14:paraId="474246DA">
      <w:pPr>
        <w:spacing w:line="360" w:lineRule="auto"/>
        <w:outlineLvl w:val="3"/>
        <w:rPr>
          <w:rFonts w:asciiTheme="minorEastAsia" w:hAnsiTheme="minorEastAsia" w:eastAsiaTheme="minorEastAsia"/>
          <w:b/>
          <w:color w:val="auto"/>
          <w:sz w:val="24"/>
          <w:szCs w:val="24"/>
          <w:highlight w:val="none"/>
        </w:rPr>
      </w:pPr>
      <w:bookmarkStart w:id="1042" w:name="_Toc45791388"/>
      <w:bookmarkStart w:id="1043" w:name="_Toc110405169"/>
      <w:bookmarkStart w:id="1044" w:name="_Toc98033969"/>
      <w:bookmarkStart w:id="1045" w:name="_Toc45976934"/>
      <w:bookmarkStart w:id="1046" w:name="_Toc87538402"/>
      <w:bookmarkStart w:id="1047" w:name="_Toc109809347"/>
      <w:bookmarkStart w:id="1048" w:name="_Toc16136"/>
      <w:bookmarkStart w:id="1049" w:name="_Toc53412250"/>
      <w:bookmarkStart w:id="1050" w:name="_Toc83753925"/>
      <w:bookmarkStart w:id="1051" w:name="_Toc42267666"/>
      <w:bookmarkStart w:id="1052" w:name="_Toc84356285"/>
      <w:bookmarkStart w:id="1053" w:name="_Toc69678463"/>
      <w:bookmarkStart w:id="1054" w:name="_Toc87543853"/>
      <w:bookmarkStart w:id="1055" w:name="_Toc42205027"/>
      <w:bookmarkStart w:id="1056" w:name="_Toc75783565"/>
      <w:bookmarkStart w:id="1057" w:name="_Toc116584036"/>
      <w:bookmarkStart w:id="1058" w:name="_Toc81330973"/>
      <w:bookmarkStart w:id="1059" w:name="_Toc98865046"/>
      <w:r>
        <w:rPr>
          <w:rFonts w:hint="eastAsia" w:asciiTheme="minorEastAsia" w:hAnsiTheme="minorEastAsia" w:eastAsiaTheme="minorEastAsia"/>
          <w:b/>
          <w:color w:val="auto"/>
          <w:sz w:val="24"/>
          <w:szCs w:val="24"/>
          <w:highlight w:val="none"/>
        </w:rPr>
        <w:t>9.4 对与评审活动有关的工作人员的纪律要求</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14:paraId="54A4E1C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与评审活动有关的工作人员不得收受他人的财物或者其他好处，不得向他人</w:t>
      </w:r>
      <w:r>
        <w:rPr>
          <w:rFonts w:hint="eastAsia" w:asciiTheme="minorEastAsia" w:hAnsiTheme="minorEastAsia" w:eastAsiaTheme="minorEastAsia"/>
          <w:color w:val="auto"/>
          <w:szCs w:val="21"/>
          <w:highlight w:val="none"/>
          <w:lang w:eastAsia="zh-CN"/>
        </w:rPr>
        <w:t>透露</w:t>
      </w:r>
      <w:r>
        <w:rPr>
          <w:rFonts w:hint="eastAsia" w:asciiTheme="minorEastAsia" w:hAnsiTheme="minorEastAsia" w:eastAsiaTheme="minorEastAsia"/>
          <w:color w:val="auto"/>
          <w:szCs w:val="21"/>
          <w:highlight w:val="none"/>
        </w:rPr>
        <w:t>对响应文件的评审和比较、成交候选人的推荐情况以及评审有关的其他情况。在评审活动中，与评审活动有关的工作人员不得擅离职守，影响评审程序正常进行。</w:t>
      </w:r>
    </w:p>
    <w:p w14:paraId="54774FAF">
      <w:pPr>
        <w:spacing w:line="360" w:lineRule="auto"/>
        <w:outlineLvl w:val="3"/>
        <w:rPr>
          <w:rFonts w:asciiTheme="minorEastAsia" w:hAnsiTheme="minorEastAsia" w:eastAsiaTheme="minorEastAsia"/>
          <w:b/>
          <w:color w:val="auto"/>
          <w:sz w:val="24"/>
          <w:szCs w:val="24"/>
          <w:highlight w:val="none"/>
        </w:rPr>
      </w:pPr>
      <w:bookmarkStart w:id="1060" w:name="_Toc116584037"/>
      <w:r>
        <w:rPr>
          <w:rFonts w:hint="eastAsia" w:asciiTheme="minorEastAsia" w:hAnsiTheme="minorEastAsia" w:eastAsiaTheme="minorEastAsia"/>
          <w:b/>
          <w:color w:val="auto"/>
          <w:sz w:val="24"/>
          <w:szCs w:val="24"/>
          <w:highlight w:val="none"/>
        </w:rPr>
        <w:t>9</w:t>
      </w:r>
      <w:r>
        <w:rPr>
          <w:rFonts w:asciiTheme="minorEastAsia" w:hAnsiTheme="minorEastAsia" w:eastAsiaTheme="minorEastAsia"/>
          <w:b/>
          <w:color w:val="auto"/>
          <w:sz w:val="24"/>
          <w:szCs w:val="24"/>
          <w:highlight w:val="none"/>
        </w:rPr>
        <w:t>.5</w:t>
      </w:r>
      <w:r>
        <w:rPr>
          <w:rFonts w:hint="eastAsia" w:asciiTheme="minorEastAsia" w:hAnsiTheme="minorEastAsia" w:eastAsiaTheme="minorEastAsia"/>
          <w:b/>
          <w:color w:val="auto"/>
          <w:sz w:val="24"/>
          <w:szCs w:val="24"/>
          <w:highlight w:val="none"/>
        </w:rPr>
        <w:t>质疑</w:t>
      </w:r>
      <w:bookmarkEnd w:id="1060"/>
    </w:p>
    <w:p w14:paraId="0038E118">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9.5.1</w:t>
      </w:r>
      <w:r>
        <w:rPr>
          <w:rFonts w:hint="eastAsia" w:asciiTheme="minorEastAsia" w:hAnsiTheme="minorEastAsia" w:eastAsiaTheme="minorEastAsia"/>
          <w:color w:val="auto"/>
          <w:szCs w:val="21"/>
          <w:highlight w:val="none"/>
        </w:rPr>
        <w:t>供应商认为采购文件、采购过程和成交结果使自己的权益受到损害的，应当在知道或者应知其权益受到损害之日起7个工作日内，登录政府采购云平台向采购人或采购代理机构在线提起质疑。质疑内容不得含有虚假、恶意成分。当事人对自己提出的主张，有责任提供证据，提出质疑时应同时提交相关证据材料和注明事实的确切来源。</w:t>
      </w:r>
    </w:p>
    <w:p w14:paraId="211FF424">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9.5.2</w:t>
      </w:r>
      <w:r>
        <w:rPr>
          <w:rFonts w:hint="eastAsia" w:asciiTheme="minorEastAsia" w:hAnsiTheme="minorEastAsia" w:eastAsiaTheme="minorEastAsia"/>
          <w:color w:val="auto"/>
          <w:szCs w:val="21"/>
          <w:highlight w:val="none"/>
        </w:rPr>
        <w:t>供应商应知其权益受到损害之日，是指：</w:t>
      </w:r>
    </w:p>
    <w:p w14:paraId="61E5D92D">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（1）对可以质疑的竞争性磋商提出质疑的，为供应商获取采购文件之日；</w:t>
      </w:r>
    </w:p>
    <w:p w14:paraId="49C9823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（2）对采购过程提出质疑的，为各采购程序环节结束之日；</w:t>
      </w:r>
    </w:p>
    <w:p w14:paraId="529657C5">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（3）对成交结果提出质疑的，为成交结果公告期限届满之日。</w:t>
      </w:r>
    </w:p>
    <w:p w14:paraId="6CB1F2D6">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w:t>
      </w:r>
      <w:r>
        <w:rPr>
          <w:rFonts w:hint="eastAsia" w:asciiTheme="minorEastAsia" w:hAnsiTheme="minorEastAsia" w:eastAsiaTheme="minorEastAsia"/>
          <w:color w:val="auto"/>
          <w:szCs w:val="21"/>
          <w:highlight w:val="none"/>
        </w:rPr>
        <w:t>3采购人、采购代理机构应在收到供应商的质疑后7个工作日内作出答复，但答复的内容不涉及商业秘密。</w:t>
      </w:r>
    </w:p>
    <w:p w14:paraId="01BDE685">
      <w:pPr>
        <w:adjustRightInd w:val="0"/>
        <w:snapToGrid w:val="0"/>
        <w:spacing w:line="360" w:lineRule="auto"/>
        <w:ind w:firstLine="420" w:firstLineChars="200"/>
        <w:rPr>
          <w:rFonts w:cs="宋体"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9.5.</w:t>
      </w:r>
      <w:r>
        <w:rPr>
          <w:rFonts w:hint="eastAsia" w:asciiTheme="minorEastAsia" w:hAnsiTheme="minorEastAsia" w:eastAsiaTheme="minorEastAsia"/>
          <w:color w:val="auto"/>
          <w:szCs w:val="21"/>
          <w:highlight w:val="none"/>
        </w:rPr>
        <w:t>4参与政府采购活动的供应商对评审过程或者结果提出质疑的，采购人或采购代理机构可以组织原磋商小组协助处理质疑事项，并依据磋商小组出具的意见进行答复。质疑答复导致成交结果改变的，采购人或采购代理机构应当将相关情况报告财政部门。</w:t>
      </w:r>
    </w:p>
    <w:p w14:paraId="6D4129A5">
      <w:pPr>
        <w:spacing w:line="360" w:lineRule="auto"/>
        <w:outlineLvl w:val="3"/>
        <w:rPr>
          <w:rFonts w:asciiTheme="minorEastAsia" w:hAnsiTheme="minorEastAsia" w:eastAsiaTheme="minorEastAsia"/>
          <w:b/>
          <w:color w:val="auto"/>
          <w:sz w:val="24"/>
          <w:szCs w:val="24"/>
          <w:highlight w:val="none"/>
        </w:rPr>
      </w:pPr>
      <w:bookmarkStart w:id="1061" w:name="_Toc116584038"/>
      <w:r>
        <w:rPr>
          <w:rFonts w:asciiTheme="minorEastAsia" w:hAnsiTheme="minorEastAsia" w:eastAsiaTheme="minorEastAsia"/>
          <w:b/>
          <w:color w:val="auto"/>
          <w:sz w:val="24"/>
          <w:szCs w:val="24"/>
          <w:highlight w:val="none"/>
        </w:rPr>
        <w:t>9.6</w:t>
      </w:r>
      <w:r>
        <w:rPr>
          <w:rFonts w:hint="eastAsia" w:asciiTheme="minorEastAsia" w:hAnsiTheme="minorEastAsia" w:eastAsiaTheme="minorEastAsia"/>
          <w:b/>
          <w:color w:val="auto"/>
          <w:sz w:val="24"/>
          <w:szCs w:val="24"/>
          <w:highlight w:val="none"/>
        </w:rPr>
        <w:t>投诉</w:t>
      </w:r>
      <w:bookmarkEnd w:id="1061"/>
    </w:p>
    <w:p w14:paraId="77E79B06">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投诉必须首先经过质疑程序。质疑人对采购人、采购代理机构的答复不满意，或者采购人、采购代理机构未在规定的时间内</w:t>
      </w:r>
      <w:r>
        <w:rPr>
          <w:rFonts w:hint="eastAsia" w:asciiTheme="minorEastAsia" w:hAnsiTheme="minorEastAsia" w:eastAsiaTheme="minorEastAsia"/>
          <w:color w:val="auto"/>
          <w:szCs w:val="21"/>
          <w:highlight w:val="none"/>
          <w:lang w:eastAsia="zh-CN"/>
        </w:rPr>
        <w:t>作出</w:t>
      </w:r>
      <w:r>
        <w:rPr>
          <w:rFonts w:hint="eastAsia" w:asciiTheme="minorEastAsia" w:hAnsiTheme="minorEastAsia" w:eastAsiaTheme="minorEastAsia"/>
          <w:color w:val="auto"/>
          <w:szCs w:val="21"/>
          <w:highlight w:val="none"/>
        </w:rPr>
        <w:t>答复的，可以在答复期满后1</w:t>
      </w:r>
      <w:r>
        <w:rPr>
          <w:rFonts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rPr>
        <w:t>个工作日内书面向同级财政部门提起投诉。</w:t>
      </w:r>
    </w:p>
    <w:p w14:paraId="0B331E4F">
      <w:pPr>
        <w:spacing w:line="360" w:lineRule="auto"/>
        <w:jc w:val="center"/>
        <w:outlineLvl w:val="2"/>
        <w:rPr>
          <w:rFonts w:asciiTheme="minorEastAsia" w:hAnsiTheme="minorEastAsia" w:eastAsiaTheme="minorEastAsia"/>
          <w:b/>
          <w:bCs/>
          <w:color w:val="auto"/>
          <w:sz w:val="28"/>
          <w:szCs w:val="28"/>
          <w:highlight w:val="none"/>
        </w:rPr>
      </w:pPr>
      <w:bookmarkStart w:id="1062" w:name="_Toc98033971"/>
      <w:bookmarkStart w:id="1063" w:name="_Toc110405172"/>
      <w:bookmarkStart w:id="1064" w:name="_Toc18346"/>
      <w:bookmarkStart w:id="1065" w:name="_Toc45976936"/>
      <w:bookmarkStart w:id="1066" w:name="_Toc116584039"/>
      <w:bookmarkStart w:id="1067" w:name="_Toc42267668"/>
      <w:bookmarkStart w:id="1068" w:name="_Toc87538404"/>
      <w:bookmarkStart w:id="1069" w:name="_Toc42205029"/>
      <w:bookmarkStart w:id="1070" w:name="_Toc45791390"/>
      <w:bookmarkStart w:id="1071" w:name="_Toc83753927"/>
      <w:bookmarkStart w:id="1072" w:name="_Toc98865048"/>
      <w:bookmarkStart w:id="1073" w:name="_Toc109809349"/>
      <w:bookmarkStart w:id="1074" w:name="_Toc87543855"/>
      <w:bookmarkStart w:id="1075" w:name="_Toc84356287"/>
      <w:r>
        <w:rPr>
          <w:rFonts w:hint="eastAsia" w:asciiTheme="minorEastAsia" w:hAnsiTheme="minorEastAsia" w:eastAsiaTheme="minorEastAsia"/>
          <w:b/>
          <w:bCs/>
          <w:color w:val="auto"/>
          <w:sz w:val="28"/>
          <w:szCs w:val="28"/>
          <w:highlight w:val="none"/>
        </w:rPr>
        <w:t>10.需要补充的其他内容</w:t>
      </w:r>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p>
    <w:p w14:paraId="431E6A2E">
      <w:pPr>
        <w:adjustRightInd w:val="0"/>
        <w:snapToGrid w:val="0"/>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需要补充的其他内容：详</w:t>
      </w:r>
      <w:r>
        <w:rPr>
          <w:rFonts w:asciiTheme="minorEastAsia" w:hAnsiTheme="minorEastAsia" w:eastAsiaTheme="minorEastAsia"/>
          <w:color w:val="auto"/>
          <w:szCs w:val="21"/>
          <w:highlight w:val="none"/>
        </w:rPr>
        <w:t>见</w:t>
      </w:r>
      <w:r>
        <w:rPr>
          <w:rFonts w:hint="eastAsia" w:asciiTheme="minorEastAsia" w:hAnsiTheme="minorEastAsia" w:eastAsiaTheme="minorEastAsia"/>
          <w:color w:val="auto"/>
          <w:szCs w:val="21"/>
          <w:highlight w:val="none"/>
        </w:rPr>
        <w:t>供应商须知前附表。</w:t>
      </w:r>
    </w:p>
    <w:p w14:paraId="00DC4A5F">
      <w:pPr>
        <w:widowControl/>
        <w:spacing w:line="360" w:lineRule="auto"/>
        <w:jc w:val="left"/>
        <w:rPr>
          <w:rFonts w:asciiTheme="minorEastAsia" w:hAnsiTheme="minorEastAsia" w:eastAsiaTheme="minorEastAsia"/>
          <w:color w:val="auto"/>
          <w:szCs w:val="21"/>
          <w:highlight w:val="none"/>
        </w:rPr>
      </w:pPr>
      <w:bookmarkStart w:id="1076" w:name="_Toc292983024"/>
      <w:bookmarkStart w:id="1077" w:name="_Toc42205030"/>
      <w:bookmarkStart w:id="1078" w:name="_Toc29357076"/>
      <w:bookmarkStart w:id="1079" w:name="_Toc37603108"/>
      <w:r>
        <w:rPr>
          <w:rFonts w:asciiTheme="minorEastAsia" w:hAnsiTheme="minorEastAsia" w:eastAsiaTheme="minorEastAsia"/>
          <w:color w:val="auto"/>
          <w:szCs w:val="21"/>
          <w:highlight w:val="none"/>
        </w:rPr>
        <w:br w:type="page"/>
      </w:r>
    </w:p>
    <w:p w14:paraId="1E1DC1F5">
      <w:pPr>
        <w:autoSpaceDE w:val="0"/>
        <w:autoSpaceDN w:val="0"/>
        <w:adjustRightInd w:val="0"/>
        <w:spacing w:line="360" w:lineRule="auto"/>
        <w:jc w:val="left"/>
        <w:rPr>
          <w:rFonts w:cs="宋体" w:asciiTheme="minorEastAsia" w:hAnsiTheme="minorEastAsia" w:eastAsiaTheme="minorEastAsia"/>
          <w:color w:val="auto"/>
          <w:kern w:val="0"/>
          <w:sz w:val="24"/>
          <w:szCs w:val="24"/>
          <w:highlight w:val="none"/>
        </w:rPr>
      </w:pPr>
      <w:r>
        <w:rPr>
          <w:rFonts w:hint="eastAsia" w:cs="宋体" w:asciiTheme="minorEastAsia" w:hAnsiTheme="minorEastAsia" w:eastAsiaTheme="minorEastAsia"/>
          <w:color w:val="auto"/>
          <w:kern w:val="0"/>
          <w:sz w:val="24"/>
          <w:szCs w:val="24"/>
          <w:highlight w:val="none"/>
        </w:rPr>
        <w:t>附件：电子投标文件编制要求</w:t>
      </w:r>
    </w:p>
    <w:p w14:paraId="76A68442">
      <w:pPr>
        <w:autoSpaceDE w:val="0"/>
        <w:autoSpaceDN w:val="0"/>
        <w:adjustRightInd w:val="0"/>
        <w:spacing w:line="360" w:lineRule="auto"/>
        <w:jc w:val="center"/>
        <w:rPr>
          <w:rFonts w:cs="黑体" w:asciiTheme="minorEastAsia" w:hAnsiTheme="minorEastAsia" w:eastAsiaTheme="minorEastAsia"/>
          <w:color w:val="auto"/>
          <w:kern w:val="0"/>
          <w:sz w:val="32"/>
          <w:szCs w:val="32"/>
          <w:highlight w:val="none"/>
        </w:rPr>
      </w:pPr>
      <w:r>
        <w:rPr>
          <w:rFonts w:hint="eastAsia" w:cs="黑体" w:asciiTheme="minorEastAsia" w:hAnsiTheme="minorEastAsia" w:eastAsiaTheme="minorEastAsia"/>
          <w:color w:val="auto"/>
          <w:kern w:val="0"/>
          <w:sz w:val="32"/>
          <w:szCs w:val="32"/>
          <w:highlight w:val="none"/>
        </w:rPr>
        <w:t>电子投标文件编制要求</w:t>
      </w:r>
    </w:p>
    <w:p w14:paraId="6D2CBC6A">
      <w:pPr>
        <w:autoSpaceDE w:val="0"/>
        <w:autoSpaceDN w:val="0"/>
        <w:adjustRightInd w:val="0"/>
        <w:spacing w:line="360" w:lineRule="auto"/>
        <w:ind w:firstLine="420" w:firstLineChars="200"/>
        <w:jc w:val="left"/>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1</w:t>
      </w:r>
      <w:r>
        <w:rPr>
          <w:rFonts w:hint="eastAsia" w:cs="宋体" w:asciiTheme="minorEastAsia" w:hAnsiTheme="minorEastAsia" w:eastAsiaTheme="minorEastAsia"/>
          <w:color w:val="auto"/>
          <w:kern w:val="0"/>
          <w:szCs w:val="21"/>
          <w:highlight w:val="none"/>
        </w:rPr>
        <w:t>.电子投标文件的制作应使用“政采云投标客户端”，供应商下载“政采云投标客户端”，通过“政采云投标客户端”编制并生成加密的投标文件。</w:t>
      </w:r>
    </w:p>
    <w:p w14:paraId="68452E69">
      <w:pPr>
        <w:autoSpaceDE w:val="0"/>
        <w:autoSpaceDN w:val="0"/>
        <w:adjustRightInd w:val="0"/>
        <w:spacing w:line="360" w:lineRule="auto"/>
        <w:ind w:firstLine="420" w:firstLineChars="200"/>
        <w:jc w:val="left"/>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2</w:t>
      </w:r>
      <w:r>
        <w:rPr>
          <w:rFonts w:hint="eastAsia" w:cs="宋体" w:asciiTheme="minorEastAsia" w:hAnsiTheme="minorEastAsia" w:eastAsiaTheme="minorEastAsia"/>
          <w:color w:val="auto"/>
          <w:kern w:val="0"/>
          <w:szCs w:val="21"/>
          <w:highlight w:val="none"/>
        </w:rPr>
        <w:t>.“政采云投标客户端”提供数字证书（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）对投标文件进行加密功能。投标人对网上提交的投标文件应加密。如果供应商使用某个数字证书（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）对投标文件进行了数字证书（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）加密，需要在开标时使用该数字证书（</w:t>
      </w:r>
      <w:r>
        <w:rPr>
          <w:rFonts w:cs="宋体" w:asciiTheme="minorEastAsia" w:hAnsiTheme="minorEastAsia" w:eastAsiaTheme="minorEastAsia"/>
          <w:color w:val="auto"/>
          <w:kern w:val="0"/>
          <w:szCs w:val="21"/>
          <w:highlight w:val="none"/>
        </w:rPr>
        <w:t>CA</w:t>
      </w:r>
      <w:r>
        <w:rPr>
          <w:rFonts w:hint="eastAsia" w:cs="宋体" w:asciiTheme="minorEastAsia" w:hAnsiTheme="minorEastAsia" w:eastAsiaTheme="minorEastAsia"/>
          <w:color w:val="auto"/>
          <w:kern w:val="0"/>
          <w:szCs w:val="21"/>
          <w:highlight w:val="none"/>
        </w:rPr>
        <w:t>）进行解密，才能读取或导入投标文件，因供应商原因造成投标文件未解密的，视为撤回其投标文件。</w:t>
      </w:r>
    </w:p>
    <w:p w14:paraId="41124E62">
      <w:pPr>
        <w:autoSpaceDE w:val="0"/>
        <w:autoSpaceDN w:val="0"/>
        <w:adjustRightInd w:val="0"/>
        <w:spacing w:line="360" w:lineRule="auto"/>
        <w:ind w:firstLine="420" w:firstLineChars="200"/>
        <w:jc w:val="left"/>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3</w:t>
      </w:r>
      <w:r>
        <w:rPr>
          <w:rFonts w:hint="eastAsia" w:cs="宋体" w:asciiTheme="minorEastAsia" w:hAnsiTheme="minorEastAsia" w:eastAsiaTheme="minorEastAsia"/>
          <w:color w:val="auto"/>
          <w:kern w:val="0"/>
          <w:szCs w:val="21"/>
          <w:highlight w:val="none"/>
        </w:rPr>
        <w:t>.网上提交投标文件应根据采购文件要求，在投标截止时间前将电子投标文件通过政府采购云平台（网址</w:t>
      </w:r>
      <w:r>
        <w:rPr>
          <w:rFonts w:hint="eastAsia" w:cs="宋体" w:asciiTheme="minorEastAsia" w:hAnsiTheme="minorEastAsia" w:eastAsiaTheme="minorEastAsia"/>
          <w:color w:val="auto"/>
          <w:kern w:val="0"/>
          <w:szCs w:val="21"/>
          <w:highlight w:val="none"/>
          <w:lang w:eastAsia="zh-CN"/>
        </w:rPr>
        <w:t>：</w:t>
      </w:r>
      <w:r>
        <w:rPr>
          <w:rFonts w:hint="eastAsia" w:cs="宋体" w:asciiTheme="minorEastAsia" w:hAnsiTheme="minorEastAsia" w:eastAsiaTheme="minorEastAsia"/>
          <w:color w:val="auto"/>
          <w:kern w:val="0"/>
          <w:szCs w:val="21"/>
          <w:highlight w:val="none"/>
        </w:rPr>
        <w:t>https://www.zcygov.cn/）上传至对应的项目，系统自动生成投标回执，以表明上传成功。</w:t>
      </w:r>
    </w:p>
    <w:p w14:paraId="7655D014">
      <w:pPr>
        <w:autoSpaceDE w:val="0"/>
        <w:autoSpaceDN w:val="0"/>
        <w:adjustRightInd w:val="0"/>
        <w:spacing w:line="360" w:lineRule="auto"/>
        <w:ind w:firstLine="420" w:firstLineChars="200"/>
        <w:jc w:val="left"/>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kern w:val="0"/>
          <w:szCs w:val="21"/>
          <w:highlight w:val="none"/>
        </w:rPr>
        <w:t>4</w:t>
      </w:r>
      <w:r>
        <w:rPr>
          <w:rFonts w:hint="eastAsia" w:cs="宋体" w:asciiTheme="minorEastAsia" w:hAnsiTheme="minorEastAsia" w:eastAsiaTheme="minorEastAsia"/>
          <w:color w:val="auto"/>
          <w:kern w:val="0"/>
          <w:szCs w:val="21"/>
          <w:highlight w:val="none"/>
        </w:rPr>
        <w:t>.该投标文件制作要求如果与采购文件规定不一致，以此投标文件制作要求为准。</w:t>
      </w:r>
    </w:p>
    <w:p w14:paraId="551C7E3C">
      <w:pPr>
        <w:widowControl/>
        <w:spacing w:line="360" w:lineRule="auto"/>
        <w:jc w:val="left"/>
        <w:rPr>
          <w:rFonts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type="page"/>
      </w:r>
    </w:p>
    <w:p w14:paraId="41239E16">
      <w:pPr>
        <w:spacing w:line="360" w:lineRule="auto"/>
        <w:jc w:val="center"/>
        <w:outlineLvl w:val="0"/>
        <w:rPr>
          <w:rFonts w:asciiTheme="minorEastAsia" w:hAnsiTheme="minorEastAsia" w:eastAsiaTheme="minorEastAsia"/>
          <w:b/>
          <w:bCs/>
          <w:color w:val="auto"/>
          <w:sz w:val="32"/>
          <w:szCs w:val="32"/>
          <w:highlight w:val="none"/>
        </w:rPr>
      </w:pPr>
      <w:bookmarkStart w:id="1080" w:name="_Toc27840"/>
      <w:bookmarkStart w:id="1081" w:name="_Toc162706907"/>
      <w:bookmarkStart w:id="1082" w:name="_Toc132362637"/>
      <w:bookmarkStart w:id="1083" w:name="_Toc9435"/>
      <w:r>
        <w:rPr>
          <w:rFonts w:hint="eastAsia" w:asciiTheme="minorEastAsia" w:hAnsiTheme="minorEastAsia" w:eastAsiaTheme="minorEastAsia"/>
          <w:b/>
          <w:bCs/>
          <w:color w:val="auto"/>
          <w:sz w:val="32"/>
          <w:szCs w:val="32"/>
          <w:highlight w:val="none"/>
        </w:rPr>
        <w:t>第三章 合同</w:t>
      </w:r>
      <w:bookmarkStart w:id="1084" w:name="_Toc229583213"/>
      <w:r>
        <w:rPr>
          <w:rFonts w:hint="eastAsia" w:asciiTheme="minorEastAsia" w:hAnsiTheme="minorEastAsia" w:eastAsiaTheme="minorEastAsia"/>
          <w:b/>
          <w:bCs/>
          <w:color w:val="auto"/>
          <w:sz w:val="32"/>
          <w:szCs w:val="32"/>
          <w:highlight w:val="none"/>
        </w:rPr>
        <w:t>条款及格式</w:t>
      </w:r>
      <w:bookmarkEnd w:id="1080"/>
      <w:bookmarkEnd w:id="1081"/>
      <w:bookmarkEnd w:id="1082"/>
      <w:bookmarkEnd w:id="1083"/>
    </w:p>
    <w:p w14:paraId="0E74871D">
      <w:pPr>
        <w:widowControl/>
        <w:spacing w:before="120" w:beforeLines="50" w:after="120" w:afterLines="50" w:line="360" w:lineRule="auto"/>
        <w:jc w:val="center"/>
        <w:rPr>
          <w:rFonts w:ascii="宋体" w:hAnsi="宋体" w:cs="宋体"/>
          <w:b/>
          <w:bCs/>
          <w:color w:val="auto"/>
          <w:kern w:val="0"/>
          <w:sz w:val="24"/>
          <w:szCs w:val="24"/>
          <w:highlight w:val="none"/>
        </w:rPr>
      </w:pPr>
      <w:r>
        <w:rPr>
          <w:rFonts w:ascii="宋体" w:hAnsi="宋体" w:cs="宋体"/>
          <w:b/>
          <w:bCs/>
          <w:color w:val="auto"/>
          <w:kern w:val="0"/>
          <w:sz w:val="24"/>
          <w:szCs w:val="24"/>
          <w:highlight w:val="none"/>
        </w:rPr>
        <w:t>（</w:t>
      </w:r>
      <w:r>
        <w:rPr>
          <w:rFonts w:hint="eastAsia" w:ascii="宋体" w:hAnsi="宋体" w:cs="宋体"/>
          <w:b/>
          <w:bCs/>
          <w:color w:val="auto"/>
          <w:kern w:val="0"/>
          <w:sz w:val="24"/>
          <w:szCs w:val="24"/>
          <w:highlight w:val="none"/>
        </w:rPr>
        <w:t>本合同内容仅供参考，甲乙双方可根据国家相关法律法规及本项目的情况另行约定</w:t>
      </w:r>
      <w:r>
        <w:rPr>
          <w:rFonts w:ascii="宋体" w:hAnsi="宋体" w:cs="宋体"/>
          <w:b/>
          <w:bCs/>
          <w:color w:val="auto"/>
          <w:kern w:val="0"/>
          <w:sz w:val="24"/>
          <w:szCs w:val="24"/>
          <w:highlight w:val="none"/>
        </w:rPr>
        <w:t>）</w:t>
      </w:r>
    </w:p>
    <w:bookmarkEnd w:id="1084"/>
    <w:p w14:paraId="27702433">
      <w:pPr>
        <w:ind w:right="1470"/>
        <w:jc w:val="center"/>
        <w:rPr>
          <w:b/>
          <w:bCs/>
          <w:color w:val="auto"/>
          <w:sz w:val="48"/>
          <w:szCs w:val="56"/>
          <w:highlight w:val="none"/>
        </w:rPr>
      </w:pPr>
    </w:p>
    <w:p w14:paraId="14298901">
      <w:pPr>
        <w:ind w:right="1470"/>
        <w:jc w:val="center"/>
        <w:rPr>
          <w:b/>
          <w:bCs/>
          <w:color w:val="auto"/>
          <w:sz w:val="48"/>
          <w:szCs w:val="56"/>
          <w:highlight w:val="none"/>
        </w:rPr>
      </w:pPr>
    </w:p>
    <w:p w14:paraId="1879A1FD">
      <w:pPr>
        <w:ind w:right="1470"/>
        <w:jc w:val="center"/>
        <w:rPr>
          <w:b/>
          <w:bCs/>
          <w:color w:val="auto"/>
          <w:sz w:val="48"/>
          <w:szCs w:val="56"/>
          <w:highlight w:val="none"/>
        </w:rPr>
      </w:pPr>
    </w:p>
    <w:p w14:paraId="0D482A59">
      <w:pPr>
        <w:ind w:right="1470"/>
        <w:jc w:val="center"/>
        <w:rPr>
          <w:b/>
          <w:bCs/>
          <w:color w:val="auto"/>
          <w:sz w:val="48"/>
          <w:szCs w:val="56"/>
          <w:highlight w:val="none"/>
        </w:rPr>
      </w:pPr>
    </w:p>
    <w:p w14:paraId="248D5E18">
      <w:pPr>
        <w:ind w:right="1470"/>
        <w:jc w:val="center"/>
        <w:rPr>
          <w:b/>
          <w:bCs/>
          <w:color w:val="auto"/>
          <w:sz w:val="48"/>
          <w:szCs w:val="56"/>
          <w:highlight w:val="none"/>
        </w:rPr>
      </w:pPr>
    </w:p>
    <w:p w14:paraId="5E5F7650">
      <w:pPr>
        <w:jc w:val="center"/>
        <w:rPr>
          <w:b/>
          <w:bCs/>
          <w:color w:val="auto"/>
          <w:sz w:val="48"/>
          <w:szCs w:val="56"/>
          <w:highlight w:val="none"/>
        </w:rPr>
      </w:pPr>
      <w:r>
        <w:rPr>
          <w:b/>
          <w:bCs/>
          <w:color w:val="auto"/>
          <w:sz w:val="48"/>
          <w:szCs w:val="56"/>
          <w:highlight w:val="none"/>
        </w:rPr>
        <w:t>政府采购合同</w:t>
      </w:r>
    </w:p>
    <w:p w14:paraId="0F4AD2BA">
      <w:pPr>
        <w:pStyle w:val="25"/>
        <w:rPr>
          <w:rFonts w:ascii="Times New Roman" w:hAnsi="Times New Roman"/>
          <w:color w:val="auto"/>
          <w:highlight w:val="none"/>
        </w:rPr>
      </w:pPr>
    </w:p>
    <w:p w14:paraId="4482E01E">
      <w:pPr>
        <w:spacing w:line="600" w:lineRule="auto"/>
        <w:ind w:right="1470" w:firstLine="1273" w:firstLineChars="398"/>
        <w:rPr>
          <w:color w:val="auto"/>
          <w:sz w:val="32"/>
          <w:szCs w:val="40"/>
          <w:highlight w:val="none"/>
        </w:rPr>
      </w:pPr>
    </w:p>
    <w:p w14:paraId="6BDCC1BA">
      <w:pPr>
        <w:spacing w:line="600" w:lineRule="auto"/>
        <w:ind w:right="1470" w:firstLine="1273" w:firstLineChars="398"/>
        <w:rPr>
          <w:color w:val="auto"/>
          <w:sz w:val="32"/>
          <w:szCs w:val="40"/>
          <w:highlight w:val="none"/>
        </w:rPr>
      </w:pPr>
    </w:p>
    <w:p w14:paraId="0F00ECD1">
      <w:pPr>
        <w:spacing w:line="600" w:lineRule="auto"/>
        <w:ind w:right="1470" w:firstLine="1273" w:firstLineChars="398"/>
        <w:rPr>
          <w:color w:val="auto"/>
          <w:sz w:val="32"/>
          <w:szCs w:val="40"/>
          <w:highlight w:val="none"/>
        </w:rPr>
      </w:pPr>
    </w:p>
    <w:p w14:paraId="3189C54D">
      <w:pPr>
        <w:spacing w:line="600" w:lineRule="auto"/>
        <w:ind w:right="1470" w:firstLine="1273" w:firstLineChars="398"/>
        <w:rPr>
          <w:color w:val="auto"/>
          <w:sz w:val="32"/>
          <w:szCs w:val="40"/>
          <w:highlight w:val="none"/>
        </w:rPr>
      </w:pPr>
    </w:p>
    <w:p w14:paraId="0D62D75E">
      <w:pPr>
        <w:spacing w:line="600" w:lineRule="auto"/>
        <w:ind w:right="1470"/>
        <w:rPr>
          <w:color w:val="auto"/>
          <w:sz w:val="32"/>
          <w:szCs w:val="40"/>
          <w:highlight w:val="none"/>
        </w:rPr>
      </w:pPr>
    </w:p>
    <w:p w14:paraId="23ECF410">
      <w:pPr>
        <w:spacing w:line="360" w:lineRule="auto"/>
        <w:ind w:right="1469" w:firstLine="1593" w:firstLineChars="498"/>
        <w:rPr>
          <w:color w:val="auto"/>
          <w:sz w:val="32"/>
          <w:szCs w:val="40"/>
          <w:highlight w:val="none"/>
          <w:u w:val="single"/>
        </w:rPr>
      </w:pPr>
      <w:r>
        <w:rPr>
          <w:color w:val="auto"/>
          <w:sz w:val="32"/>
          <w:szCs w:val="40"/>
          <w:highlight w:val="none"/>
        </w:rPr>
        <w:t>项目名称：</w:t>
      </w:r>
      <w:r>
        <w:rPr>
          <w:rFonts w:hint="eastAsia"/>
          <w:color w:val="auto"/>
          <w:sz w:val="32"/>
          <w:szCs w:val="40"/>
          <w:highlight w:val="none"/>
          <w:u w:val="single"/>
        </w:rPr>
        <w:t xml:space="preserve">                           </w:t>
      </w:r>
    </w:p>
    <w:p w14:paraId="545BC528">
      <w:pPr>
        <w:spacing w:line="360" w:lineRule="auto"/>
        <w:ind w:right="1469" w:firstLine="1593" w:firstLineChars="498"/>
        <w:rPr>
          <w:b/>
          <w:bCs/>
          <w:color w:val="auto"/>
          <w:sz w:val="32"/>
          <w:szCs w:val="40"/>
          <w:highlight w:val="none"/>
        </w:rPr>
      </w:pPr>
      <w:r>
        <w:rPr>
          <w:color w:val="auto"/>
          <w:sz w:val="32"/>
          <w:szCs w:val="40"/>
          <w:highlight w:val="none"/>
        </w:rPr>
        <w:t>合同编号（系统编号）：</w:t>
      </w:r>
      <w:r>
        <w:rPr>
          <w:rFonts w:hint="eastAsia"/>
          <w:color w:val="auto"/>
          <w:sz w:val="32"/>
          <w:szCs w:val="40"/>
          <w:highlight w:val="none"/>
          <w:u w:val="single"/>
        </w:rPr>
        <w:t xml:space="preserve">               </w:t>
      </w:r>
    </w:p>
    <w:p w14:paraId="5FA763F9">
      <w:pPr>
        <w:spacing w:line="360" w:lineRule="auto"/>
        <w:ind w:right="1469" w:firstLine="1593" w:firstLineChars="498"/>
        <w:rPr>
          <w:color w:val="auto"/>
          <w:sz w:val="32"/>
          <w:szCs w:val="40"/>
          <w:highlight w:val="none"/>
        </w:rPr>
      </w:pPr>
      <w:r>
        <w:rPr>
          <w:color w:val="auto"/>
          <w:sz w:val="32"/>
          <w:szCs w:val="40"/>
          <w:highlight w:val="none"/>
        </w:rPr>
        <w:t>（自编号：如有）</w:t>
      </w:r>
      <w:r>
        <w:rPr>
          <w:rFonts w:hint="eastAsia"/>
          <w:color w:val="auto"/>
          <w:sz w:val="32"/>
          <w:szCs w:val="40"/>
          <w:highlight w:val="none"/>
          <w:u w:val="single"/>
        </w:rPr>
        <w:t xml:space="preserve">                     </w:t>
      </w:r>
    </w:p>
    <w:p w14:paraId="33B33C7F">
      <w:pPr>
        <w:spacing w:line="360" w:lineRule="auto"/>
        <w:ind w:right="1469" w:firstLine="1593" w:firstLineChars="498"/>
        <w:rPr>
          <w:color w:val="auto"/>
          <w:sz w:val="32"/>
          <w:szCs w:val="40"/>
          <w:highlight w:val="none"/>
        </w:rPr>
      </w:pPr>
      <w:r>
        <w:rPr>
          <w:color w:val="auto"/>
          <w:sz w:val="32"/>
          <w:szCs w:val="40"/>
          <w:highlight w:val="none"/>
        </w:rPr>
        <w:t>甲方：</w:t>
      </w:r>
      <w:r>
        <w:rPr>
          <w:rFonts w:hint="eastAsia"/>
          <w:color w:val="auto"/>
          <w:sz w:val="32"/>
          <w:szCs w:val="40"/>
          <w:highlight w:val="none"/>
          <w:u w:val="single"/>
        </w:rPr>
        <w:t xml:space="preserve">                               </w:t>
      </w:r>
    </w:p>
    <w:p w14:paraId="7E24A355">
      <w:pPr>
        <w:spacing w:line="360" w:lineRule="auto"/>
        <w:ind w:right="1469" w:firstLine="1593" w:firstLineChars="498"/>
        <w:rPr>
          <w:color w:val="auto"/>
          <w:sz w:val="32"/>
          <w:szCs w:val="40"/>
          <w:highlight w:val="none"/>
          <w:u w:val="single"/>
        </w:rPr>
      </w:pPr>
      <w:r>
        <w:rPr>
          <w:color w:val="auto"/>
          <w:sz w:val="32"/>
          <w:szCs w:val="40"/>
          <w:highlight w:val="none"/>
        </w:rPr>
        <w:t>乙方：</w:t>
      </w:r>
      <w:r>
        <w:rPr>
          <w:rFonts w:hint="eastAsia"/>
          <w:color w:val="auto"/>
          <w:sz w:val="32"/>
          <w:szCs w:val="40"/>
          <w:highlight w:val="none"/>
          <w:u w:val="single"/>
        </w:rPr>
        <w:t xml:space="preserve">                               </w:t>
      </w:r>
    </w:p>
    <w:p w14:paraId="5E9AF3DB">
      <w:pPr>
        <w:rPr>
          <w:color w:val="auto"/>
          <w:highlight w:val="none"/>
        </w:rPr>
      </w:pPr>
    </w:p>
    <w:p w14:paraId="7989FBAF">
      <w:pPr>
        <w:rPr>
          <w:color w:val="auto"/>
          <w:highlight w:val="none"/>
        </w:rPr>
      </w:pPr>
    </w:p>
    <w:p w14:paraId="3D8974B1">
      <w:pPr>
        <w:rPr>
          <w:color w:val="auto"/>
          <w:highlight w:val="none"/>
        </w:rPr>
      </w:pPr>
    </w:p>
    <w:p w14:paraId="5D4E778D">
      <w:pPr>
        <w:rPr>
          <w:rFonts w:ascii="宋体" w:hAnsi="宋体"/>
          <w:color w:val="auto"/>
          <w:highlight w:val="none"/>
        </w:rPr>
      </w:pPr>
      <w:bookmarkStart w:id="1085" w:name="_Toc195028498"/>
      <w:bookmarkStart w:id="1086" w:name="_Toc14869"/>
      <w:bookmarkStart w:id="1087" w:name="_Toc1763"/>
      <w:r>
        <w:rPr>
          <w:rFonts w:hint="eastAsia" w:ascii="宋体" w:hAnsi="宋体"/>
          <w:color w:val="auto"/>
          <w:highlight w:val="none"/>
        </w:rPr>
        <w:br w:type="page"/>
      </w:r>
    </w:p>
    <w:bookmarkEnd w:id="1085"/>
    <w:bookmarkEnd w:id="1086"/>
    <w:bookmarkEnd w:id="1087"/>
    <w:p w14:paraId="264D407B">
      <w:pPr>
        <w:pStyle w:val="441"/>
        <w:keepNext w:val="0"/>
        <w:keepLines w:val="0"/>
        <w:adjustRightInd w:val="0"/>
        <w:snapToGrid w:val="0"/>
        <w:spacing w:before="0" w:line="360" w:lineRule="auto"/>
        <w:jc w:val="center"/>
        <w:outlineLvl w:val="1"/>
        <w:rPr>
          <w:rFonts w:ascii="宋体" w:hAnsi="宋体"/>
          <w:color w:val="auto"/>
          <w:highlight w:val="none"/>
        </w:rPr>
      </w:pPr>
      <w:bookmarkStart w:id="1088" w:name="_Toc11393"/>
      <w:bookmarkStart w:id="1089" w:name="_Toc29204"/>
      <w:r>
        <w:rPr>
          <w:rFonts w:hint="eastAsia" w:ascii="宋体" w:hAnsi="宋体"/>
          <w:color w:val="auto"/>
          <w:highlight w:val="none"/>
        </w:rPr>
        <w:t>第一部分 合同协议书</w:t>
      </w:r>
      <w:bookmarkEnd w:id="1088"/>
      <w:bookmarkEnd w:id="1089"/>
    </w:p>
    <w:p w14:paraId="7CAF6381">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发包人（全称）：</w:t>
      </w:r>
      <w:r>
        <w:rPr>
          <w:rFonts w:hint="eastAsia" w:ascii="宋体" w:hAnsi="宋体" w:cs="宋体"/>
          <w:b/>
          <w:color w:val="auto"/>
          <w:szCs w:val="21"/>
          <w:highlight w:val="none"/>
          <w:u w:val="single"/>
        </w:rPr>
        <w:t xml:space="preserve">                      </w:t>
      </w:r>
    </w:p>
    <w:p w14:paraId="6F894E3C">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承包人（全称）：</w:t>
      </w:r>
      <w:r>
        <w:rPr>
          <w:rFonts w:hint="eastAsia" w:ascii="宋体" w:hAnsi="宋体" w:cs="宋体"/>
          <w:b/>
          <w:color w:val="auto"/>
          <w:szCs w:val="21"/>
          <w:highlight w:val="none"/>
          <w:u w:val="single"/>
        </w:rPr>
        <w:t xml:space="preserve">                      </w:t>
      </w:r>
    </w:p>
    <w:p w14:paraId="018B561A">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根据《中华人民共和国民法典》《中华人民共和国建筑法》及有关法律法规规定，遵循平等、自愿、公平和诚实信用的原则，双方就</w:t>
      </w:r>
      <w:r>
        <w:rPr>
          <w:rFonts w:hint="eastAsia" w:ascii="宋体" w:hAnsi="宋体"/>
          <w:color w:val="auto"/>
          <w:szCs w:val="21"/>
          <w:highlight w:val="none"/>
          <w:u w:val="single"/>
          <w:lang w:eastAsia="zh-CN"/>
        </w:rPr>
        <w:t>福贡县农田水利设施建设及防灾减灾治理项目</w:t>
      </w:r>
      <w:r>
        <w:rPr>
          <w:rFonts w:hint="eastAsia" w:ascii="宋体" w:hAnsi="宋体"/>
          <w:color w:val="auto"/>
          <w:szCs w:val="21"/>
          <w:highlight w:val="none"/>
        </w:rPr>
        <w:t>协商一致，共同达成如下协议：</w:t>
      </w:r>
    </w:p>
    <w:p w14:paraId="5972D220">
      <w:pPr>
        <w:wordWrap w:val="0"/>
        <w:topLinePunct/>
        <w:adjustRightInd w:val="0"/>
        <w:snapToGrid w:val="0"/>
        <w:spacing w:line="360" w:lineRule="auto"/>
        <w:ind w:firstLine="422" w:firstLineChars="200"/>
        <w:rPr>
          <w:rFonts w:ascii="宋体" w:hAnsi="宋体"/>
          <w:b/>
          <w:bCs/>
          <w:color w:val="auto"/>
          <w:szCs w:val="21"/>
          <w:highlight w:val="none"/>
        </w:rPr>
      </w:pPr>
      <w:bookmarkStart w:id="1090" w:name="_Toc22776"/>
      <w:r>
        <w:rPr>
          <w:rFonts w:hint="eastAsia" w:ascii="宋体" w:hAnsi="宋体"/>
          <w:b/>
          <w:bCs/>
          <w:color w:val="auto"/>
          <w:szCs w:val="21"/>
          <w:highlight w:val="none"/>
        </w:rPr>
        <w:t>一、工程概况</w:t>
      </w:r>
      <w:bookmarkEnd w:id="1090"/>
    </w:p>
    <w:p w14:paraId="24F3F5B0">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1.工程名称：</w:t>
      </w:r>
      <w:r>
        <w:rPr>
          <w:rFonts w:hint="eastAsia" w:ascii="宋体" w:hAnsi="宋体"/>
          <w:color w:val="auto"/>
          <w:szCs w:val="21"/>
          <w:highlight w:val="none"/>
          <w:u w:val="single"/>
          <w:lang w:eastAsia="zh-CN"/>
        </w:rPr>
        <w:t>福贡县农田水利设施建设及防灾减灾治理项目</w:t>
      </w:r>
      <w:r>
        <w:rPr>
          <w:rFonts w:hint="eastAsia" w:ascii="宋体" w:hAnsi="宋体"/>
          <w:color w:val="auto"/>
          <w:szCs w:val="21"/>
          <w:highlight w:val="none"/>
        </w:rPr>
        <w:t>。</w:t>
      </w:r>
    </w:p>
    <w:p w14:paraId="3E251AA2">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2.工程地点：</w:t>
      </w:r>
      <w:r>
        <w:rPr>
          <w:rFonts w:hint="eastAsia" w:ascii="宋体" w:hAnsi="宋体"/>
          <w:color w:val="auto"/>
          <w:szCs w:val="21"/>
          <w:highlight w:val="none"/>
          <w:u w:val="single"/>
        </w:rPr>
        <w:t>云南省怒江傈僳族自治州福贡县境内</w:t>
      </w:r>
      <w:r>
        <w:rPr>
          <w:rFonts w:hint="eastAsia" w:ascii="宋体" w:hAnsi="宋体"/>
          <w:color w:val="auto"/>
          <w:szCs w:val="21"/>
          <w:highlight w:val="none"/>
        </w:rPr>
        <w:t>。</w:t>
      </w:r>
    </w:p>
    <w:p w14:paraId="307B8D72">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3.工程内容：</w:t>
      </w:r>
      <w:r>
        <w:rPr>
          <w:rFonts w:hint="eastAsia" w:ascii="宋体" w:hAnsi="宋体"/>
          <w:color w:val="auto"/>
          <w:szCs w:val="21"/>
          <w:highlight w:val="none"/>
          <w:u w:val="single"/>
        </w:rPr>
        <w:t>草果庄园水毁区域开展生态修复，修复120m人行步道、345m自行车道，软基换填，新建钢筋混凝土暗板涵</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配套修复化粪池，修复园区景观照明，翻新路面彩绘，同步完成乔灌草植被恢复，施工统一剥离60cm厚表土后期覆土回用；亚货洛河下游（靠近河口、地势平缓）的河段修建3座拦沙坝，总坝长43.30m，配套消力池、护坦及排水盲管；铺设总长371mPE自流灌溉管道并配套沉砂池。统筹河道防灾治理、灌溉供水与草果庄园农文旅生态修复。</w:t>
      </w:r>
    </w:p>
    <w:p w14:paraId="0EEE2B07">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4.工程承包范围：</w:t>
      </w:r>
      <w:r>
        <w:rPr>
          <w:rFonts w:hint="eastAsia" w:ascii="宋体" w:hAnsi="宋体"/>
          <w:color w:val="auto"/>
          <w:szCs w:val="21"/>
          <w:highlight w:val="none"/>
          <w:u w:val="single"/>
        </w:rPr>
        <w:t>完成</w:t>
      </w:r>
      <w:r>
        <w:rPr>
          <w:rFonts w:hint="eastAsia" w:ascii="宋体" w:hAnsi="宋体"/>
          <w:color w:val="auto"/>
          <w:szCs w:val="21"/>
          <w:highlight w:val="none"/>
          <w:u w:val="single"/>
          <w:lang w:eastAsia="zh-CN"/>
        </w:rPr>
        <w:t>福贡县农田水利设施建设及防灾减灾治理项目</w:t>
      </w:r>
      <w:r>
        <w:rPr>
          <w:rFonts w:hint="eastAsia" w:ascii="宋体" w:hAnsi="宋体"/>
          <w:color w:val="auto"/>
          <w:szCs w:val="21"/>
          <w:highlight w:val="none"/>
          <w:u w:val="single"/>
        </w:rPr>
        <w:t>的所有工作内容</w:t>
      </w:r>
      <w:r>
        <w:rPr>
          <w:rFonts w:hint="eastAsia" w:ascii="宋体" w:hAnsi="宋体"/>
          <w:color w:val="auto"/>
          <w:szCs w:val="21"/>
          <w:highlight w:val="none"/>
        </w:rPr>
        <w:t>。</w:t>
      </w:r>
    </w:p>
    <w:p w14:paraId="61F57280">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注：发包人保留调整以上工作范围的权利，承包人须无条件予以配合且不得据此提出任何索赔要求</w:t>
      </w:r>
      <w:r>
        <w:rPr>
          <w:rFonts w:hint="eastAsia" w:ascii="宋体" w:hAnsi="宋体"/>
          <w:color w:val="auto"/>
          <w:szCs w:val="21"/>
          <w:highlight w:val="none"/>
        </w:rPr>
        <w:t>。</w:t>
      </w:r>
    </w:p>
    <w:p w14:paraId="203672DE">
      <w:pPr>
        <w:wordWrap w:val="0"/>
        <w:topLinePunct/>
        <w:adjustRightInd w:val="0"/>
        <w:snapToGrid w:val="0"/>
        <w:spacing w:line="360" w:lineRule="auto"/>
        <w:ind w:firstLine="422" w:firstLineChars="200"/>
        <w:rPr>
          <w:rFonts w:ascii="宋体" w:hAnsi="宋体"/>
          <w:b/>
          <w:bCs/>
          <w:color w:val="auto"/>
          <w:szCs w:val="21"/>
          <w:highlight w:val="none"/>
        </w:rPr>
      </w:pPr>
      <w:bookmarkStart w:id="1091" w:name="_Toc653"/>
      <w:r>
        <w:rPr>
          <w:rFonts w:hint="eastAsia" w:ascii="宋体" w:hAnsi="宋体"/>
          <w:b/>
          <w:bCs/>
          <w:color w:val="auto"/>
          <w:szCs w:val="21"/>
          <w:highlight w:val="none"/>
        </w:rPr>
        <w:t>二、计划工期</w:t>
      </w:r>
      <w:bookmarkEnd w:id="1091"/>
    </w:p>
    <w:p w14:paraId="63E1645F">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14:paraId="58D4736A">
      <w:pPr>
        <w:wordWrap w:val="0"/>
        <w:topLinePunct/>
        <w:adjustRightInd w:val="0"/>
        <w:snapToGrid w:val="0"/>
        <w:spacing w:line="360" w:lineRule="auto"/>
        <w:ind w:firstLine="422" w:firstLineChars="200"/>
        <w:rPr>
          <w:rFonts w:ascii="宋体" w:hAnsi="宋体"/>
          <w:b/>
          <w:bCs/>
          <w:color w:val="auto"/>
          <w:szCs w:val="21"/>
          <w:highlight w:val="none"/>
        </w:rPr>
      </w:pPr>
      <w:bookmarkStart w:id="1092" w:name="_Toc3331"/>
      <w:r>
        <w:rPr>
          <w:rFonts w:hint="eastAsia" w:ascii="宋体" w:hAnsi="宋体"/>
          <w:b/>
          <w:bCs/>
          <w:color w:val="auto"/>
          <w:szCs w:val="21"/>
          <w:highlight w:val="none"/>
        </w:rPr>
        <w:t>三、质量标准</w:t>
      </w:r>
      <w:bookmarkEnd w:id="1092"/>
    </w:p>
    <w:p w14:paraId="695CA0B7">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u w:val="single"/>
        </w:rPr>
        <w:t>符合现行的国家、地方相关质量标准和技术规范，并确保一次性验收合格</w:t>
      </w:r>
      <w:r>
        <w:rPr>
          <w:rFonts w:hint="eastAsia" w:ascii="宋体" w:hAnsi="宋体"/>
          <w:color w:val="auto"/>
          <w:szCs w:val="21"/>
          <w:highlight w:val="none"/>
        </w:rPr>
        <w:t>。</w:t>
      </w:r>
    </w:p>
    <w:p w14:paraId="218E8C4F">
      <w:pPr>
        <w:wordWrap w:val="0"/>
        <w:topLinePunct/>
        <w:adjustRightInd w:val="0"/>
        <w:snapToGrid w:val="0"/>
        <w:spacing w:line="360" w:lineRule="auto"/>
        <w:ind w:firstLine="422" w:firstLineChars="200"/>
        <w:rPr>
          <w:rFonts w:ascii="宋体" w:hAnsi="宋体"/>
          <w:b/>
          <w:bCs/>
          <w:color w:val="auto"/>
          <w:szCs w:val="21"/>
          <w:highlight w:val="none"/>
        </w:rPr>
      </w:pPr>
      <w:bookmarkStart w:id="1093" w:name="_Toc18991"/>
      <w:r>
        <w:rPr>
          <w:rFonts w:hint="eastAsia" w:ascii="宋体" w:hAnsi="宋体"/>
          <w:b/>
          <w:bCs/>
          <w:color w:val="auto"/>
          <w:szCs w:val="21"/>
          <w:highlight w:val="none"/>
        </w:rPr>
        <w:t>四、签约合同价与合同价格形式</w:t>
      </w:r>
      <w:bookmarkEnd w:id="1093"/>
    </w:p>
    <w:p w14:paraId="74A987E4">
      <w:pPr>
        <w:wordWrap w:val="0"/>
        <w:topLinePunct/>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1.签约合同价为：</w:t>
      </w:r>
    </w:p>
    <w:p w14:paraId="26CF23D3">
      <w:pPr>
        <w:wordWrap w:val="0"/>
        <w:topLinePunct/>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暂估人民币（大写）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739E2200">
      <w:pPr>
        <w:pStyle w:val="55"/>
        <w:ind w:left="0" w:leftChars="0" w:firstLine="420" w:firstLineChars="200"/>
        <w:rPr>
          <w:rFonts w:ascii="宋体" w:hAnsi="宋体" w:cs="宋体"/>
          <w:color w:val="auto"/>
          <w:highlight w:val="none"/>
        </w:rPr>
      </w:pPr>
      <w:r>
        <w:rPr>
          <w:rFonts w:hint="eastAsia" w:ascii="宋体" w:hAnsi="宋体" w:cs="宋体"/>
          <w:color w:val="auto"/>
          <w:highlight w:val="none"/>
        </w:rPr>
        <w:t>注：结算时，按照实际发生并经发包人、监理、第三方审计机构共同审定后的工程量，结合承包人的成交单价进行结算。</w:t>
      </w:r>
    </w:p>
    <w:p w14:paraId="148B5DBA">
      <w:pPr>
        <w:pStyle w:val="55"/>
        <w:ind w:left="0" w:leftChars="0" w:firstLine="420" w:firstLineChars="200"/>
        <w:rPr>
          <w:rFonts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b/>
          <w:bCs/>
          <w:color w:val="auto"/>
          <w:highlight w:val="none"/>
          <w:u w:val="single"/>
        </w:rPr>
        <w:t>固定综合单价</w:t>
      </w:r>
      <w:r>
        <w:rPr>
          <w:rFonts w:hint="eastAsia" w:ascii="宋体" w:hAnsi="宋体" w:cs="宋体"/>
          <w:color w:val="auto"/>
          <w:highlight w:val="none"/>
        </w:rPr>
        <w:t>。</w:t>
      </w:r>
    </w:p>
    <w:p w14:paraId="419768A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3.已标价工程量清单：</w:t>
      </w:r>
      <w:r>
        <w:rPr>
          <w:rFonts w:hint="eastAsia" w:ascii="宋体" w:hAnsi="宋体" w:cs="宋体"/>
          <w:color w:val="auto"/>
          <w:szCs w:val="21"/>
          <w:highlight w:val="none"/>
          <w:u w:val="single"/>
        </w:rPr>
        <w:t>详见响应文件</w:t>
      </w:r>
      <w:r>
        <w:rPr>
          <w:rFonts w:hint="eastAsia" w:ascii="宋体" w:hAnsi="宋体" w:cs="宋体"/>
          <w:color w:val="auto"/>
          <w:szCs w:val="21"/>
          <w:highlight w:val="none"/>
        </w:rPr>
        <w:t>。</w:t>
      </w:r>
    </w:p>
    <w:p w14:paraId="6895F44D">
      <w:pPr>
        <w:wordWrap w:val="0"/>
        <w:topLinePunct/>
        <w:adjustRightInd w:val="0"/>
        <w:snapToGrid w:val="0"/>
        <w:spacing w:line="360" w:lineRule="auto"/>
        <w:ind w:firstLine="422" w:firstLineChars="200"/>
        <w:rPr>
          <w:rFonts w:ascii="宋体" w:hAnsi="宋体"/>
          <w:b/>
          <w:bCs/>
          <w:color w:val="auto"/>
          <w:szCs w:val="21"/>
          <w:highlight w:val="none"/>
        </w:rPr>
      </w:pPr>
      <w:bookmarkStart w:id="1094" w:name="_Toc26231"/>
      <w:r>
        <w:rPr>
          <w:rFonts w:hint="eastAsia" w:ascii="宋体" w:hAnsi="宋体"/>
          <w:b/>
          <w:bCs/>
          <w:color w:val="auto"/>
          <w:szCs w:val="21"/>
          <w:highlight w:val="none"/>
        </w:rPr>
        <w:t>五、项目经理</w:t>
      </w:r>
      <w:bookmarkEnd w:id="1094"/>
    </w:p>
    <w:p w14:paraId="5BCA2BED">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承包人项目经理：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60409E5">
      <w:pPr>
        <w:wordWrap w:val="0"/>
        <w:topLinePunct/>
        <w:adjustRightInd w:val="0"/>
        <w:snapToGrid w:val="0"/>
        <w:spacing w:line="360" w:lineRule="auto"/>
        <w:ind w:firstLine="422" w:firstLineChars="200"/>
        <w:rPr>
          <w:rFonts w:ascii="宋体" w:hAnsi="宋体"/>
          <w:b/>
          <w:bCs/>
          <w:color w:val="auto"/>
          <w:szCs w:val="21"/>
          <w:highlight w:val="none"/>
        </w:rPr>
      </w:pPr>
      <w:bookmarkStart w:id="1095" w:name="_Toc6631"/>
      <w:r>
        <w:rPr>
          <w:rFonts w:hint="eastAsia" w:ascii="宋体" w:hAnsi="宋体"/>
          <w:b/>
          <w:bCs/>
          <w:color w:val="auto"/>
          <w:szCs w:val="21"/>
          <w:highlight w:val="none"/>
        </w:rPr>
        <w:t>六、合同文件构成</w:t>
      </w:r>
      <w:bookmarkEnd w:id="1095"/>
    </w:p>
    <w:p w14:paraId="13FC9E7D">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本协议书与下列文件一起构成合同文件：</w:t>
      </w:r>
    </w:p>
    <w:p w14:paraId="5D58E478">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（1）成交通知书；</w:t>
      </w:r>
    </w:p>
    <w:p w14:paraId="3641BF3D">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（2）磋商函； </w:t>
      </w:r>
    </w:p>
    <w:p w14:paraId="1352535E">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（3）专用合同条款及其附件；</w:t>
      </w:r>
    </w:p>
    <w:p w14:paraId="5854E635">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（4）通用合同条款；</w:t>
      </w:r>
    </w:p>
    <w:p w14:paraId="4C106DC6">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（5）已标价工程量清单；</w:t>
      </w:r>
    </w:p>
    <w:p w14:paraId="2D501BB3">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（6）其他合同文件。</w:t>
      </w:r>
    </w:p>
    <w:p w14:paraId="7543628A">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在合同订立及履行过程中形成的与合同有关的文件均构成合同文件组成部分。</w:t>
      </w:r>
    </w:p>
    <w:p w14:paraId="35283109">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61EDE522">
      <w:pPr>
        <w:wordWrap w:val="0"/>
        <w:topLinePunct/>
        <w:adjustRightInd w:val="0"/>
        <w:snapToGrid w:val="0"/>
        <w:spacing w:line="360" w:lineRule="auto"/>
        <w:ind w:firstLine="422" w:firstLineChars="200"/>
        <w:rPr>
          <w:rFonts w:ascii="宋体" w:hAnsi="宋体"/>
          <w:b/>
          <w:bCs/>
          <w:color w:val="auto"/>
          <w:szCs w:val="21"/>
          <w:highlight w:val="none"/>
        </w:rPr>
      </w:pPr>
      <w:bookmarkStart w:id="1096" w:name="_Toc7085"/>
      <w:r>
        <w:rPr>
          <w:rFonts w:hint="eastAsia" w:ascii="宋体" w:hAnsi="宋体"/>
          <w:b/>
          <w:bCs/>
          <w:color w:val="auto"/>
          <w:szCs w:val="21"/>
          <w:highlight w:val="none"/>
        </w:rPr>
        <w:t>七、承诺</w:t>
      </w:r>
      <w:bookmarkEnd w:id="1096"/>
    </w:p>
    <w:p w14:paraId="7E7C3266">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1.发包人承诺按照法律规定履行项目审批手续、筹集工程建设资金并按照合同约定的期限和方式支付合同价款。</w:t>
      </w:r>
    </w:p>
    <w:p w14:paraId="7DA66637">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2.承包人承诺按照法律规定及合同约定组织完成工程施工，确保工程质量和安全，不进行转包及违法分包，并在缺陷责任期及保修期内承担相应的工程维修责任。</w:t>
      </w:r>
    </w:p>
    <w:p w14:paraId="73AC5339">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3.发包人和承包人通过招投标形式签订合同的，双方理解并承诺不再就同一工程另行签订与合同实质性内容相背离的协议。</w:t>
      </w:r>
    </w:p>
    <w:p w14:paraId="3501ACAA">
      <w:pPr>
        <w:wordWrap w:val="0"/>
        <w:topLinePunct/>
        <w:adjustRightInd w:val="0"/>
        <w:snapToGrid w:val="0"/>
        <w:spacing w:line="360" w:lineRule="auto"/>
        <w:ind w:firstLine="422" w:firstLineChars="200"/>
        <w:rPr>
          <w:rFonts w:ascii="宋体" w:hAnsi="宋体"/>
          <w:b/>
          <w:bCs/>
          <w:color w:val="auto"/>
          <w:szCs w:val="21"/>
          <w:highlight w:val="none"/>
        </w:rPr>
      </w:pPr>
      <w:bookmarkStart w:id="1097" w:name="_Toc25415"/>
      <w:r>
        <w:rPr>
          <w:rFonts w:hint="eastAsia" w:ascii="宋体" w:hAnsi="宋体"/>
          <w:b/>
          <w:bCs/>
          <w:color w:val="auto"/>
          <w:szCs w:val="21"/>
          <w:highlight w:val="none"/>
        </w:rPr>
        <w:t>八、词语含义</w:t>
      </w:r>
      <w:bookmarkEnd w:id="1097"/>
    </w:p>
    <w:p w14:paraId="1C49D272">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本协议书中词语含义与第二部分通用合同条款中赋予的含义相同。</w:t>
      </w:r>
    </w:p>
    <w:p w14:paraId="571B2D57">
      <w:pPr>
        <w:wordWrap w:val="0"/>
        <w:topLinePunct/>
        <w:adjustRightInd w:val="0"/>
        <w:snapToGrid w:val="0"/>
        <w:spacing w:line="360" w:lineRule="auto"/>
        <w:ind w:firstLine="422" w:firstLineChars="200"/>
        <w:rPr>
          <w:rFonts w:ascii="宋体" w:hAnsi="宋体"/>
          <w:b/>
          <w:bCs/>
          <w:color w:val="auto"/>
          <w:szCs w:val="21"/>
          <w:highlight w:val="none"/>
        </w:rPr>
      </w:pPr>
      <w:bookmarkStart w:id="1098" w:name="_Toc549"/>
      <w:r>
        <w:rPr>
          <w:rFonts w:hint="eastAsia" w:ascii="宋体" w:hAnsi="宋体"/>
          <w:b/>
          <w:bCs/>
          <w:color w:val="auto"/>
          <w:szCs w:val="21"/>
          <w:highlight w:val="none"/>
        </w:rPr>
        <w:t>九、签订时间</w:t>
      </w:r>
      <w:bookmarkEnd w:id="1098"/>
    </w:p>
    <w:p w14:paraId="48A738D9">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本合同于</w:t>
      </w:r>
      <w:r>
        <w:rPr>
          <w:rFonts w:hint="eastAsia" w:ascii="宋体" w:hAnsi="宋体"/>
          <w:color w:val="auto"/>
          <w:szCs w:val="21"/>
          <w:highlight w:val="none"/>
          <w:u w:val="single"/>
        </w:rPr>
        <w:t xml:space="preserve">                       </w:t>
      </w:r>
      <w:r>
        <w:rPr>
          <w:rFonts w:hint="eastAsia" w:ascii="宋体" w:hAnsi="宋体"/>
          <w:color w:val="auto"/>
          <w:szCs w:val="21"/>
          <w:highlight w:val="none"/>
        </w:rPr>
        <w:t>签订。</w:t>
      </w:r>
    </w:p>
    <w:p w14:paraId="523CB94B">
      <w:pPr>
        <w:wordWrap w:val="0"/>
        <w:topLinePunct/>
        <w:adjustRightInd w:val="0"/>
        <w:snapToGrid w:val="0"/>
        <w:spacing w:line="360" w:lineRule="auto"/>
        <w:ind w:firstLine="422" w:firstLineChars="200"/>
        <w:rPr>
          <w:rFonts w:ascii="宋体" w:hAnsi="宋体"/>
          <w:b/>
          <w:bCs/>
          <w:color w:val="auto"/>
          <w:szCs w:val="21"/>
          <w:highlight w:val="none"/>
        </w:rPr>
      </w:pPr>
      <w:bookmarkStart w:id="1099" w:name="_Toc28475"/>
      <w:r>
        <w:rPr>
          <w:rFonts w:hint="eastAsia" w:ascii="宋体" w:hAnsi="宋体"/>
          <w:b/>
          <w:bCs/>
          <w:color w:val="auto"/>
          <w:szCs w:val="21"/>
          <w:highlight w:val="none"/>
        </w:rPr>
        <w:t>十、签订地点</w:t>
      </w:r>
      <w:bookmarkEnd w:id="1099"/>
    </w:p>
    <w:p w14:paraId="7E9D51A0">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本合同在</w:t>
      </w:r>
      <w:r>
        <w:rPr>
          <w:rFonts w:hint="eastAsia" w:ascii="宋体" w:hAnsi="宋体"/>
          <w:color w:val="auto"/>
          <w:szCs w:val="21"/>
          <w:highlight w:val="none"/>
          <w:u w:val="single"/>
        </w:rPr>
        <w:t xml:space="preserve">                       </w:t>
      </w:r>
      <w:r>
        <w:rPr>
          <w:rFonts w:hint="eastAsia" w:ascii="宋体" w:hAnsi="宋体"/>
          <w:color w:val="auto"/>
          <w:szCs w:val="21"/>
          <w:highlight w:val="none"/>
        </w:rPr>
        <w:t>签订。</w:t>
      </w:r>
    </w:p>
    <w:p w14:paraId="74517017">
      <w:pPr>
        <w:wordWrap w:val="0"/>
        <w:topLinePunct/>
        <w:adjustRightInd w:val="0"/>
        <w:snapToGrid w:val="0"/>
        <w:spacing w:line="360" w:lineRule="auto"/>
        <w:ind w:firstLine="422" w:firstLineChars="200"/>
        <w:rPr>
          <w:rFonts w:ascii="宋体" w:hAnsi="宋体"/>
          <w:b/>
          <w:bCs/>
          <w:color w:val="auto"/>
          <w:szCs w:val="21"/>
          <w:highlight w:val="none"/>
        </w:rPr>
      </w:pPr>
      <w:r>
        <w:rPr>
          <w:rFonts w:hint="eastAsia" w:ascii="宋体" w:hAnsi="宋体"/>
          <w:b/>
          <w:bCs/>
          <w:color w:val="auto"/>
          <w:szCs w:val="21"/>
          <w:highlight w:val="none"/>
        </w:rPr>
        <w:t>十一、补充协议</w:t>
      </w:r>
    </w:p>
    <w:p w14:paraId="7346240E">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合同未尽事宜，合同当事人另行签订补充协议，补充协议是合同的组成部分。</w:t>
      </w:r>
    </w:p>
    <w:p w14:paraId="64E2171C">
      <w:pPr>
        <w:wordWrap w:val="0"/>
        <w:topLinePunct/>
        <w:adjustRightInd w:val="0"/>
        <w:snapToGrid w:val="0"/>
        <w:spacing w:line="360" w:lineRule="auto"/>
        <w:ind w:firstLine="422" w:firstLineChars="200"/>
        <w:rPr>
          <w:rFonts w:ascii="宋体" w:hAnsi="宋体"/>
          <w:b/>
          <w:bCs/>
          <w:color w:val="auto"/>
          <w:szCs w:val="21"/>
          <w:highlight w:val="none"/>
        </w:rPr>
      </w:pPr>
      <w:bookmarkStart w:id="1100" w:name="_Toc3970"/>
      <w:r>
        <w:rPr>
          <w:rFonts w:hint="eastAsia" w:ascii="宋体" w:hAnsi="宋体"/>
          <w:b/>
          <w:bCs/>
          <w:color w:val="auto"/>
          <w:szCs w:val="21"/>
          <w:highlight w:val="none"/>
        </w:rPr>
        <w:t>十二、合同生效</w:t>
      </w:r>
      <w:bookmarkEnd w:id="1100"/>
    </w:p>
    <w:p w14:paraId="509D67E9">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生效。</w:t>
      </w:r>
    </w:p>
    <w:p w14:paraId="41A82E36">
      <w:pPr>
        <w:wordWrap w:val="0"/>
        <w:topLinePunct/>
        <w:adjustRightInd w:val="0"/>
        <w:snapToGrid w:val="0"/>
        <w:spacing w:line="360" w:lineRule="auto"/>
        <w:ind w:firstLine="422" w:firstLineChars="200"/>
        <w:rPr>
          <w:rFonts w:ascii="宋体" w:hAnsi="宋体"/>
          <w:b/>
          <w:bCs/>
          <w:color w:val="auto"/>
          <w:szCs w:val="21"/>
          <w:highlight w:val="none"/>
        </w:rPr>
      </w:pPr>
      <w:bookmarkStart w:id="1101" w:name="_Toc14946"/>
      <w:r>
        <w:rPr>
          <w:rFonts w:hint="eastAsia" w:ascii="宋体" w:hAnsi="宋体"/>
          <w:b/>
          <w:bCs/>
          <w:color w:val="auto"/>
          <w:szCs w:val="21"/>
          <w:highlight w:val="none"/>
        </w:rPr>
        <w:t>十三、合同份数</w:t>
      </w:r>
      <w:bookmarkEnd w:id="1101"/>
    </w:p>
    <w:p w14:paraId="6C019BEA">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份，均具有同等法律效力，发包人执</w:t>
      </w:r>
      <w:r>
        <w:rPr>
          <w:rFonts w:hint="eastAsia" w:ascii="宋体" w:hAnsi="宋体"/>
          <w:color w:val="auto"/>
          <w:szCs w:val="21"/>
          <w:highlight w:val="none"/>
          <w:u w:val="single"/>
        </w:rPr>
        <w:t xml:space="preserve">     </w:t>
      </w:r>
      <w:r>
        <w:rPr>
          <w:rFonts w:hint="eastAsia" w:ascii="宋体" w:hAnsi="宋体"/>
          <w:color w:val="auto"/>
          <w:szCs w:val="21"/>
          <w:highlight w:val="none"/>
        </w:rPr>
        <w:t>份，承包人执</w:t>
      </w:r>
      <w:r>
        <w:rPr>
          <w:rFonts w:hint="eastAsia" w:ascii="宋体" w:hAnsi="宋体"/>
          <w:color w:val="auto"/>
          <w:szCs w:val="21"/>
          <w:highlight w:val="none"/>
          <w:u w:val="single"/>
        </w:rPr>
        <w:t xml:space="preserve">     </w:t>
      </w:r>
      <w:r>
        <w:rPr>
          <w:rFonts w:hint="eastAsia" w:ascii="宋体" w:hAnsi="宋体"/>
          <w:color w:val="auto"/>
          <w:szCs w:val="21"/>
          <w:highlight w:val="none"/>
        </w:rPr>
        <w:t>份。</w:t>
      </w:r>
    </w:p>
    <w:p w14:paraId="14C75918">
      <w:pPr>
        <w:rPr>
          <w:rFonts w:ascii="宋体" w:hAnsi="宋体" w:cs="宋体"/>
          <w:bCs/>
          <w:color w:val="auto"/>
          <w:szCs w:val="21"/>
          <w:highlight w:val="none"/>
        </w:rPr>
      </w:pPr>
      <w:r>
        <w:rPr>
          <w:rFonts w:hint="eastAsia" w:ascii="宋体" w:hAnsi="宋体" w:cs="宋体"/>
          <w:bCs/>
          <w:color w:val="auto"/>
          <w:szCs w:val="21"/>
          <w:highlight w:val="none"/>
        </w:rPr>
        <w:br w:type="page"/>
      </w:r>
    </w:p>
    <w:tbl>
      <w:tblPr>
        <w:tblStyle w:val="67"/>
        <w:tblW w:w="8789" w:type="dxa"/>
        <w:jc w:val="center"/>
        <w:tblLayout w:type="fixed"/>
        <w:tblCellMar>
          <w:top w:w="0" w:type="dxa"/>
          <w:left w:w="108" w:type="dxa"/>
          <w:bottom w:w="0" w:type="dxa"/>
          <w:right w:w="108" w:type="dxa"/>
        </w:tblCellMar>
      </w:tblPr>
      <w:tblGrid>
        <w:gridCol w:w="1952"/>
        <w:gridCol w:w="2117"/>
        <w:gridCol w:w="1709"/>
        <w:gridCol w:w="3011"/>
      </w:tblGrid>
      <w:tr w14:paraId="4158DAE3">
        <w:tblPrEx>
          <w:tblCellMar>
            <w:top w:w="0" w:type="dxa"/>
            <w:left w:w="108" w:type="dxa"/>
            <w:bottom w:w="0" w:type="dxa"/>
            <w:right w:w="108" w:type="dxa"/>
          </w:tblCellMar>
        </w:tblPrEx>
        <w:trPr>
          <w:cantSplit/>
          <w:jc w:val="center"/>
        </w:trPr>
        <w:tc>
          <w:tcPr>
            <w:tcW w:w="1952" w:type="dxa"/>
            <w:vAlign w:val="center"/>
          </w:tcPr>
          <w:p w14:paraId="3EB1B593">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发包人：</w:t>
            </w:r>
          </w:p>
        </w:tc>
        <w:tc>
          <w:tcPr>
            <w:tcW w:w="2117" w:type="dxa"/>
            <w:vAlign w:val="center"/>
          </w:tcPr>
          <w:p w14:paraId="428FA9A9">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公章</w:t>
            </w:r>
            <w:r>
              <w:rPr>
                <w:rFonts w:hint="eastAsia" w:ascii="宋体" w:hAnsi="宋体" w:cs="宋体"/>
                <w:color w:val="auto"/>
                <w:szCs w:val="21"/>
                <w:highlight w:val="none"/>
                <w:lang w:eastAsia="zh-CN"/>
              </w:rPr>
              <w:t>）</w:t>
            </w:r>
          </w:p>
        </w:tc>
        <w:tc>
          <w:tcPr>
            <w:tcW w:w="1709" w:type="dxa"/>
            <w:vAlign w:val="center"/>
          </w:tcPr>
          <w:p w14:paraId="1C6C8965">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承包人：</w:t>
            </w:r>
          </w:p>
        </w:tc>
        <w:tc>
          <w:tcPr>
            <w:tcW w:w="3011" w:type="dxa"/>
            <w:vAlign w:val="center"/>
          </w:tcPr>
          <w:p w14:paraId="0ADFA8BC">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公章</w:t>
            </w:r>
            <w:r>
              <w:rPr>
                <w:rFonts w:hint="eastAsia" w:ascii="宋体" w:hAnsi="宋体" w:cs="宋体"/>
                <w:color w:val="auto"/>
                <w:szCs w:val="21"/>
                <w:highlight w:val="none"/>
                <w:lang w:eastAsia="zh-CN"/>
              </w:rPr>
              <w:t>）</w:t>
            </w:r>
          </w:p>
        </w:tc>
      </w:tr>
      <w:tr w14:paraId="50BEFB67">
        <w:tblPrEx>
          <w:tblCellMar>
            <w:top w:w="0" w:type="dxa"/>
            <w:left w:w="108" w:type="dxa"/>
            <w:bottom w:w="0" w:type="dxa"/>
            <w:right w:w="108" w:type="dxa"/>
          </w:tblCellMar>
        </w:tblPrEx>
        <w:trPr>
          <w:cantSplit/>
          <w:jc w:val="center"/>
        </w:trPr>
        <w:tc>
          <w:tcPr>
            <w:tcW w:w="1952" w:type="dxa"/>
            <w:vAlign w:val="center"/>
          </w:tcPr>
          <w:p w14:paraId="08D1FED9">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法定代表人或其委托代理人：</w:t>
            </w:r>
          </w:p>
        </w:tc>
        <w:tc>
          <w:tcPr>
            <w:tcW w:w="2117" w:type="dxa"/>
            <w:vAlign w:val="center"/>
          </w:tcPr>
          <w:p w14:paraId="7B2A9023">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input691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r>
              <w:rPr>
                <w:rFonts w:hint="eastAsia" w:ascii="宋体" w:hAnsi="宋体" w:cs="宋体"/>
                <w:color w:val="auto"/>
                <w:szCs w:val="21"/>
                <w:highlight w:val="none"/>
              </w:rPr>
              <w:t>（签字）</w:t>
            </w:r>
          </w:p>
        </w:tc>
        <w:tc>
          <w:tcPr>
            <w:tcW w:w="1709" w:type="dxa"/>
            <w:vAlign w:val="center"/>
          </w:tcPr>
          <w:p w14:paraId="2AE88F98">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法定代表人或其委托代理人：</w:t>
            </w:r>
          </w:p>
        </w:tc>
        <w:tc>
          <w:tcPr>
            <w:tcW w:w="3011" w:type="dxa"/>
            <w:vAlign w:val="center"/>
          </w:tcPr>
          <w:p w14:paraId="36D97DE1">
            <w:pPr>
              <w:topLinePunct/>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input692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r>
              <w:rPr>
                <w:rFonts w:hint="eastAsia" w:ascii="宋体" w:hAnsi="宋体" w:cs="宋体"/>
                <w:color w:val="auto"/>
                <w:szCs w:val="21"/>
                <w:highlight w:val="none"/>
              </w:rPr>
              <w:t>（签字）</w:t>
            </w:r>
          </w:p>
        </w:tc>
      </w:tr>
      <w:tr w14:paraId="5F2B7FFD">
        <w:tblPrEx>
          <w:tblCellMar>
            <w:top w:w="0" w:type="dxa"/>
            <w:left w:w="108" w:type="dxa"/>
            <w:bottom w:w="0" w:type="dxa"/>
            <w:right w:w="108" w:type="dxa"/>
          </w:tblCellMar>
        </w:tblPrEx>
        <w:trPr>
          <w:cantSplit/>
          <w:jc w:val="center"/>
        </w:trPr>
        <w:tc>
          <w:tcPr>
            <w:tcW w:w="1952" w:type="dxa"/>
            <w:vAlign w:val="center"/>
          </w:tcPr>
          <w:p w14:paraId="49BF7004">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地    址：</w:t>
            </w:r>
          </w:p>
        </w:tc>
        <w:tc>
          <w:tcPr>
            <w:tcW w:w="2117" w:type="dxa"/>
            <w:vAlign w:val="center"/>
          </w:tcPr>
          <w:p w14:paraId="50391BE0">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input695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39EF32B9">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地    址：</w:t>
            </w:r>
          </w:p>
        </w:tc>
        <w:tc>
          <w:tcPr>
            <w:tcW w:w="3011" w:type="dxa"/>
            <w:vAlign w:val="center"/>
          </w:tcPr>
          <w:p w14:paraId="2879AE96">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input696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r w14:paraId="05E760B0">
        <w:tblPrEx>
          <w:tblCellMar>
            <w:top w:w="0" w:type="dxa"/>
            <w:left w:w="108" w:type="dxa"/>
            <w:bottom w:w="0" w:type="dxa"/>
            <w:right w:w="108" w:type="dxa"/>
          </w:tblCellMar>
        </w:tblPrEx>
        <w:trPr>
          <w:cantSplit/>
          <w:jc w:val="center"/>
        </w:trPr>
        <w:tc>
          <w:tcPr>
            <w:tcW w:w="1952" w:type="dxa"/>
            <w:vAlign w:val="center"/>
          </w:tcPr>
          <w:p w14:paraId="22DA0266">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法定代表人：</w:t>
            </w:r>
          </w:p>
        </w:tc>
        <w:tc>
          <w:tcPr>
            <w:tcW w:w="2117" w:type="dxa"/>
            <w:vAlign w:val="center"/>
          </w:tcPr>
          <w:p w14:paraId="209AD5B4">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input699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6F051B47">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法定代表人：</w:t>
            </w:r>
          </w:p>
        </w:tc>
        <w:tc>
          <w:tcPr>
            <w:tcW w:w="3011" w:type="dxa"/>
            <w:vAlign w:val="center"/>
          </w:tcPr>
          <w:p w14:paraId="31F4582C">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input700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r w14:paraId="45FDFEC2">
        <w:tblPrEx>
          <w:tblCellMar>
            <w:top w:w="0" w:type="dxa"/>
            <w:left w:w="108" w:type="dxa"/>
            <w:bottom w:w="0" w:type="dxa"/>
            <w:right w:w="108" w:type="dxa"/>
          </w:tblCellMar>
        </w:tblPrEx>
        <w:trPr>
          <w:cantSplit/>
          <w:jc w:val="center"/>
        </w:trPr>
        <w:tc>
          <w:tcPr>
            <w:tcW w:w="1952" w:type="dxa"/>
            <w:vAlign w:val="center"/>
          </w:tcPr>
          <w:p w14:paraId="1874E51B">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委托代理人：</w:t>
            </w:r>
          </w:p>
        </w:tc>
        <w:tc>
          <w:tcPr>
            <w:tcW w:w="2117" w:type="dxa"/>
            <w:vAlign w:val="center"/>
          </w:tcPr>
          <w:p w14:paraId="5785F3E1">
            <w:pPr>
              <w:topLinePunct/>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input701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48E9EBFC">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委托代理人：</w:t>
            </w:r>
          </w:p>
        </w:tc>
        <w:tc>
          <w:tcPr>
            <w:tcW w:w="3011" w:type="dxa"/>
            <w:vAlign w:val="center"/>
          </w:tcPr>
          <w:p w14:paraId="510EF5F1">
            <w:pPr>
              <w:topLinePunct/>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input702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r w14:paraId="6DD090A1">
        <w:tblPrEx>
          <w:tblCellMar>
            <w:top w:w="0" w:type="dxa"/>
            <w:left w:w="108" w:type="dxa"/>
            <w:bottom w:w="0" w:type="dxa"/>
            <w:right w:w="108" w:type="dxa"/>
          </w:tblCellMar>
        </w:tblPrEx>
        <w:trPr>
          <w:cantSplit/>
          <w:jc w:val="center"/>
        </w:trPr>
        <w:tc>
          <w:tcPr>
            <w:tcW w:w="1952" w:type="dxa"/>
            <w:vAlign w:val="center"/>
          </w:tcPr>
          <w:p w14:paraId="3C233B02">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    话：</w:t>
            </w:r>
          </w:p>
        </w:tc>
        <w:tc>
          <w:tcPr>
            <w:tcW w:w="2117" w:type="dxa"/>
            <w:vAlign w:val="center"/>
          </w:tcPr>
          <w:p w14:paraId="2E9B9019">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input703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20F3D6CA">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电    话：</w:t>
            </w:r>
          </w:p>
        </w:tc>
        <w:tc>
          <w:tcPr>
            <w:tcW w:w="3011" w:type="dxa"/>
            <w:vAlign w:val="center"/>
          </w:tcPr>
          <w:p w14:paraId="4583D6B4">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input704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r w14:paraId="14E0AFAC">
        <w:tblPrEx>
          <w:tblCellMar>
            <w:top w:w="0" w:type="dxa"/>
            <w:left w:w="108" w:type="dxa"/>
            <w:bottom w:w="0" w:type="dxa"/>
            <w:right w:w="108" w:type="dxa"/>
          </w:tblCellMar>
        </w:tblPrEx>
        <w:trPr>
          <w:cantSplit/>
          <w:jc w:val="center"/>
        </w:trPr>
        <w:tc>
          <w:tcPr>
            <w:tcW w:w="1952" w:type="dxa"/>
            <w:vAlign w:val="center"/>
          </w:tcPr>
          <w:p w14:paraId="75495723">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开户银行：</w:t>
            </w:r>
          </w:p>
        </w:tc>
        <w:tc>
          <w:tcPr>
            <w:tcW w:w="2117" w:type="dxa"/>
            <w:vAlign w:val="center"/>
          </w:tcPr>
          <w:p w14:paraId="19A0D43A">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input709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49FA67F2">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开户银行：</w:t>
            </w:r>
          </w:p>
        </w:tc>
        <w:tc>
          <w:tcPr>
            <w:tcW w:w="3011" w:type="dxa"/>
            <w:vAlign w:val="center"/>
          </w:tcPr>
          <w:p w14:paraId="26729591">
            <w:pPr>
              <w:topLinePunct/>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input710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r w14:paraId="0B408D82">
        <w:tblPrEx>
          <w:tblCellMar>
            <w:top w:w="0" w:type="dxa"/>
            <w:left w:w="108" w:type="dxa"/>
            <w:bottom w:w="0" w:type="dxa"/>
            <w:right w:w="108" w:type="dxa"/>
          </w:tblCellMar>
        </w:tblPrEx>
        <w:trPr>
          <w:cantSplit/>
          <w:jc w:val="center"/>
        </w:trPr>
        <w:tc>
          <w:tcPr>
            <w:tcW w:w="1952" w:type="dxa"/>
            <w:vAlign w:val="center"/>
          </w:tcPr>
          <w:p w14:paraId="0AC024B7">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账    号：</w:t>
            </w:r>
          </w:p>
        </w:tc>
        <w:tc>
          <w:tcPr>
            <w:tcW w:w="2117" w:type="dxa"/>
            <w:vAlign w:val="center"/>
          </w:tcPr>
          <w:p w14:paraId="084D420C">
            <w:pPr>
              <w:topLinePunct/>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input711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c>
          <w:tcPr>
            <w:tcW w:w="1709" w:type="dxa"/>
            <w:vAlign w:val="center"/>
          </w:tcPr>
          <w:p w14:paraId="16EB775E">
            <w:pPr>
              <w:topLinePunct/>
              <w:adjustRightInd w:val="0"/>
              <w:snapToGrid w:val="0"/>
              <w:spacing w:line="360" w:lineRule="auto"/>
              <w:jc w:val="center"/>
              <w:rPr>
                <w:rFonts w:ascii="宋体" w:hAnsi="宋体" w:cs="宋体"/>
                <w:color w:val="auto"/>
                <w:szCs w:val="21"/>
                <w:highlight w:val="none"/>
              </w:rPr>
            </w:pPr>
            <w:r>
              <w:rPr>
                <w:rFonts w:hint="eastAsia" w:ascii="宋体" w:hAnsi="宋体" w:cs="宋体"/>
                <w:color w:val="auto"/>
                <w:szCs w:val="21"/>
                <w:highlight w:val="none"/>
              </w:rPr>
              <w:t>账    号：</w:t>
            </w:r>
          </w:p>
        </w:tc>
        <w:tc>
          <w:tcPr>
            <w:tcW w:w="3011" w:type="dxa"/>
            <w:vAlign w:val="center"/>
          </w:tcPr>
          <w:p w14:paraId="624EFCAE">
            <w:pPr>
              <w:topLinePunct/>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fldChar w:fldCharType="begin"/>
            </w:r>
            <w:r>
              <w:rPr>
                <w:rFonts w:hint="eastAsia" w:ascii="宋体" w:hAnsi="宋体" w:cs="宋体"/>
                <w:color w:val="auto"/>
                <w:szCs w:val="21"/>
                <w:highlight w:val="none"/>
                <w:u w:val="single"/>
              </w:rPr>
              <w:instrText xml:space="preserve"> AUTOTEXT  input719 \* MERGEFORMAT </w:instrText>
            </w:r>
            <w:r>
              <w:rPr>
                <w:rFonts w:hint="eastAsia" w:ascii="宋体" w:hAnsi="宋体" w:cs="宋体"/>
                <w:color w:val="auto"/>
                <w:szCs w:val="21"/>
                <w:highlight w:val="none"/>
                <w:u w:val="single"/>
              </w:rPr>
              <w:fldChar w:fldCharType="separate"/>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fldChar w:fldCharType="end"/>
            </w:r>
          </w:p>
        </w:tc>
      </w:tr>
    </w:tbl>
    <w:p w14:paraId="46817617">
      <w:pPr>
        <w:rPr>
          <w:rFonts w:ascii="宋体" w:hAnsi="宋体"/>
          <w:color w:val="auto"/>
          <w:szCs w:val="21"/>
          <w:highlight w:val="none"/>
        </w:rPr>
      </w:pPr>
      <w:r>
        <w:rPr>
          <w:rFonts w:ascii="宋体" w:hAnsi="宋体"/>
          <w:color w:val="auto"/>
          <w:szCs w:val="21"/>
          <w:highlight w:val="none"/>
        </w:rPr>
        <w:br w:type="page"/>
      </w:r>
    </w:p>
    <w:p w14:paraId="6F9C1D3B">
      <w:pPr>
        <w:pStyle w:val="441"/>
        <w:keepNext w:val="0"/>
        <w:keepLines w:val="0"/>
        <w:adjustRightInd w:val="0"/>
        <w:snapToGrid w:val="0"/>
        <w:spacing w:before="0" w:line="360" w:lineRule="auto"/>
        <w:jc w:val="center"/>
        <w:outlineLvl w:val="1"/>
        <w:rPr>
          <w:rFonts w:ascii="宋体" w:hAnsi="宋体"/>
          <w:color w:val="auto"/>
          <w:highlight w:val="none"/>
        </w:rPr>
      </w:pPr>
      <w:bookmarkStart w:id="1102" w:name="_Toc195028499"/>
      <w:bookmarkStart w:id="1103" w:name="_Toc6962"/>
      <w:bookmarkStart w:id="1104" w:name="_Toc30466"/>
      <w:bookmarkStart w:id="1105" w:name="_Toc4341"/>
      <w:bookmarkStart w:id="1106" w:name="_Toc15966"/>
      <w:r>
        <w:rPr>
          <w:rFonts w:hint="eastAsia" w:ascii="宋体" w:hAnsi="宋体"/>
          <w:color w:val="auto"/>
          <w:highlight w:val="none"/>
        </w:rPr>
        <w:t>第二部分 通用合同条款</w:t>
      </w:r>
      <w:bookmarkEnd w:id="1102"/>
      <w:bookmarkEnd w:id="1103"/>
      <w:bookmarkEnd w:id="1104"/>
      <w:bookmarkEnd w:id="1105"/>
      <w:bookmarkEnd w:id="1106"/>
    </w:p>
    <w:p w14:paraId="531A4835">
      <w:pPr>
        <w:adjustRightInd w:val="0"/>
        <w:snapToGrid w:val="0"/>
        <w:spacing w:line="360" w:lineRule="auto"/>
        <w:outlineLvl w:val="2"/>
        <w:rPr>
          <w:rFonts w:ascii="宋体" w:hAnsi="宋体" w:cs="宋体"/>
          <w:b/>
          <w:color w:val="auto"/>
          <w:szCs w:val="21"/>
          <w:highlight w:val="none"/>
        </w:rPr>
      </w:pPr>
      <w:bookmarkStart w:id="1107" w:name="_Toc17047"/>
      <w:r>
        <w:rPr>
          <w:rFonts w:hint="eastAsia" w:ascii="宋体" w:hAnsi="宋体" w:cs="宋体"/>
          <w:b/>
          <w:color w:val="auto"/>
          <w:szCs w:val="21"/>
          <w:highlight w:val="none"/>
        </w:rPr>
        <w:t>1. 一般约定</w:t>
      </w:r>
      <w:bookmarkEnd w:id="1107"/>
    </w:p>
    <w:p w14:paraId="3251091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1.1词语定义与解释</w:t>
      </w:r>
    </w:p>
    <w:p w14:paraId="69D7CB5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合同协议书、通用合同条款、专用合同条款中的下列词语具有本款所赋予的含义：</w:t>
      </w:r>
    </w:p>
    <w:p w14:paraId="16A1BE9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 合同</w:t>
      </w:r>
    </w:p>
    <w:p w14:paraId="5618D6A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11F0C3C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1.1.1.2 合同协议书：是指构成合同的由发包人和承包人共同签署的称为“合同协议书”的书面文件。</w:t>
      </w:r>
    </w:p>
    <w:p w14:paraId="5C9378B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1.1.1.3 中标通知书：是指构成合同的由发包人通知承包人中标的书面文件。</w:t>
      </w:r>
    </w:p>
    <w:p w14:paraId="208AF30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1.1.1.4 投标函：是指构成合同的由承包人填写并签署的用于投标的称为“投标函”的文件。</w:t>
      </w:r>
    </w:p>
    <w:p w14:paraId="0D991DC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1.1.1.5 投标函附录：是指构成合同的附在投标函后的称为“投标函附录”的文件。</w:t>
      </w:r>
    </w:p>
    <w:p w14:paraId="4617CF1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1.1.1.6 技术标准和要求：是指构成合同的施工应当遵守的或指导施工的国家、行业或地方的技术标准和要求，以及合同约定的技术标准和要求。</w:t>
      </w:r>
    </w:p>
    <w:p w14:paraId="1A701B2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14:paraId="59CEFF7C">
      <w:pPr>
        <w:autoSpaceDE w:val="0"/>
        <w:autoSpaceDN w:val="0"/>
        <w:adjustRightInd w:val="0"/>
        <w:spacing w:line="360" w:lineRule="auto"/>
        <w:ind w:firstLine="409" w:firstLineChars="195"/>
        <w:rPr>
          <w:rFonts w:ascii="宋体" w:hAnsi="宋体" w:cs="宋体"/>
          <w:color w:val="auto"/>
          <w:szCs w:val="21"/>
          <w:highlight w:val="none"/>
        </w:rPr>
      </w:pPr>
      <w:r>
        <w:rPr>
          <w:rFonts w:hint="eastAsia" w:ascii="宋体" w:hAnsi="宋体" w:cs="宋体"/>
          <w:color w:val="auto"/>
          <w:szCs w:val="21"/>
          <w:highlight w:val="none"/>
        </w:rPr>
        <w:t>1.1.1.8 已标价工程量清单：是指构成合同的由承包人按照规定的格式和要求填写并标明价格的工程量清单，包括说明和表格。</w:t>
      </w:r>
    </w:p>
    <w:p w14:paraId="752C2118">
      <w:pPr>
        <w:autoSpaceDE w:val="0"/>
        <w:autoSpaceDN w:val="0"/>
        <w:adjustRightInd w:val="0"/>
        <w:spacing w:line="360" w:lineRule="auto"/>
        <w:ind w:firstLine="409" w:firstLineChars="195"/>
        <w:rPr>
          <w:rFonts w:ascii="宋体" w:hAnsi="宋体" w:cs="宋体"/>
          <w:color w:val="auto"/>
          <w:szCs w:val="21"/>
          <w:highlight w:val="none"/>
        </w:rPr>
      </w:pPr>
      <w:r>
        <w:rPr>
          <w:rFonts w:hint="eastAsia" w:ascii="宋体" w:hAnsi="宋体" w:cs="宋体"/>
          <w:color w:val="auto"/>
          <w:szCs w:val="21"/>
          <w:highlight w:val="none"/>
        </w:rPr>
        <w:t>1.1.1.9 预算书：是指构成合同的由承包人按照发包人规定的格式和要求编制的工程预算文件。</w:t>
      </w:r>
    </w:p>
    <w:p w14:paraId="38FE88E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1.1.1.10 其他合同文件：是指经合同当事人约定的与工程施工有关的具有合同约束力的文件或书面协议。合同当事人可以在专用合同条款中进行约定。</w:t>
      </w:r>
    </w:p>
    <w:p w14:paraId="17D626F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 合同当事人及其他相关方</w:t>
      </w:r>
    </w:p>
    <w:p w14:paraId="0DA2661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1.1.2.1 合同当事人：是指发包人和（或）承包人。</w:t>
      </w:r>
    </w:p>
    <w:p w14:paraId="2A326FD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1.1.2.2 发包人：是指与承包人签订合同协议书的当事人及取得该当事人资格的合法继承人。</w:t>
      </w:r>
    </w:p>
    <w:p w14:paraId="6BF8965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1.1.2.3 承包人：是指与发包人签订合同协议书的，具有相应工程施工承包资质的当事人及取得该当事人资格的合法继承人。</w:t>
      </w:r>
    </w:p>
    <w:p w14:paraId="3AAD6E2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1.1.2.4 监理人：是指在专用合同条款中指明的，受发包人委托按照法律规定进行工程监督管理的法人或其他组织。</w:t>
      </w:r>
    </w:p>
    <w:p w14:paraId="2A67146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1.1.2.5 设计人：是指在专用合同条款中指明的，受发包人委托负责工程设计并具备相应工程设计资质的法人或其他组织。</w:t>
      </w:r>
    </w:p>
    <w:p w14:paraId="4F86652B">
      <w:pPr>
        <w:spacing w:line="360" w:lineRule="auto"/>
        <w:ind w:firstLine="409" w:firstLineChars="195"/>
        <w:rPr>
          <w:rFonts w:ascii="宋体" w:hAnsi="宋体" w:cs="宋体"/>
          <w:color w:val="auto"/>
          <w:szCs w:val="21"/>
          <w:highlight w:val="none"/>
        </w:rPr>
      </w:pPr>
      <w:r>
        <w:rPr>
          <w:rFonts w:hint="eastAsia" w:ascii="宋体" w:hAnsi="宋体" w:cs="宋体"/>
          <w:color w:val="auto"/>
          <w:szCs w:val="21"/>
          <w:highlight w:val="none"/>
        </w:rPr>
        <w:t>1.1.2.6 分包人：是指按照法律规定和合同约定，分包部分工程或工作，并与承包人签订分包合同的具有相应资质的法人。</w:t>
      </w:r>
    </w:p>
    <w:p w14:paraId="71E413D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1.1.2.7 发包人代表：是指由发包人任命并派驻施工现场在发包人授权范围内行使发包人权利的人。</w:t>
      </w:r>
    </w:p>
    <w:p w14:paraId="55D9E43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1.1.2.8 项目经理：是指由承包人任命并派驻施工现场，在承包人授权范围内负责合同履行，且按照法律规定具有相应资格的项目负责人。</w:t>
      </w:r>
    </w:p>
    <w:p w14:paraId="2313F19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1.1.2.9 总监理工程师：是指由监理人任命并派驻施工现场进行工程监理的总负责人。</w:t>
      </w:r>
    </w:p>
    <w:p w14:paraId="4F26D8E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 工程和设备</w:t>
      </w:r>
    </w:p>
    <w:p w14:paraId="205C33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1.1.3.1 工程：是指与合同协议书中工程承包范围对应的永久工程和（或）临时工程。</w:t>
      </w:r>
    </w:p>
    <w:p w14:paraId="0C4181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1.1.3.2 永久工程：是指按合同约定建造并移交给发包人的工程，包括工程设备。</w:t>
      </w:r>
    </w:p>
    <w:p w14:paraId="48106EB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1.1.3.3 临时工程：是指为完成合同约定的永久工程所修建的各类临时性工程，不包括施工设备。</w:t>
      </w:r>
    </w:p>
    <w:p w14:paraId="397392E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1.1.3.4 单位工程：是指在合同协议书中指明的，具备独立施工条件并能形成独立使用功能的永久工程。</w:t>
      </w:r>
    </w:p>
    <w:p w14:paraId="21D7ABD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1.1.3.5 工程设备：是指构成永久工程的机电设备、金属结构设备、仪器及其他类似的设备和装置。</w:t>
      </w:r>
    </w:p>
    <w:p w14:paraId="69E938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1.1.3.6 施工设备：是指为完成合同约定的各项工作所需的设备、器具和其他物品，但不包括工程设备、临时工程和材料。</w:t>
      </w:r>
    </w:p>
    <w:p w14:paraId="33281EB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1.1.3.7 施工现场：是指用于工程施工的场所，以及在专用合同条款中指明作为施工场所组成部分的其他场所，包括永久占地和临时占地。</w:t>
      </w:r>
    </w:p>
    <w:p w14:paraId="2530665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1.1.3.8临时设施：是指为完成合同约定的各项工作所服务的临时性生产和生活设施。</w:t>
      </w:r>
    </w:p>
    <w:p w14:paraId="4CD3197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1.1.3.9 永久占地：是指专用合同条款中指明为实施工程需永久占用的土地。</w:t>
      </w:r>
    </w:p>
    <w:p w14:paraId="59846F0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1.1.3.10 临时占地：是指专用合同条款中指明为实施工程需要临时占用的土地。</w:t>
      </w:r>
    </w:p>
    <w:p w14:paraId="48A42AF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 日期和期限</w:t>
      </w:r>
    </w:p>
    <w:p w14:paraId="5D124F1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227189D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1.1.4.2 竣工日期：包括计划竣工日期和实际竣工日期。计划竣工日期是指合同协议书约定的竣工日期；实际竣工日期按照第13.2.3项〔竣工日期〕的约定确定。 </w:t>
      </w:r>
    </w:p>
    <w:p w14:paraId="78C0C394">
      <w:pPr>
        <w:spacing w:line="360" w:lineRule="auto"/>
        <w:ind w:firstLine="426" w:firstLineChars="203"/>
        <w:rPr>
          <w:rFonts w:ascii="宋体" w:hAnsi="宋体" w:cs="宋体"/>
          <w:color w:val="auto"/>
          <w:szCs w:val="21"/>
          <w:highlight w:val="none"/>
        </w:rPr>
      </w:pPr>
      <w:r>
        <w:rPr>
          <w:rFonts w:hint="eastAsia" w:ascii="宋体" w:hAnsi="宋体" w:cs="宋体"/>
          <w:color w:val="auto"/>
          <w:szCs w:val="21"/>
          <w:highlight w:val="none"/>
        </w:rPr>
        <w:t>1.1.4.3 工期：是指在合同协议书约定的承包人完成工程所需的期限，包括按照合同约定所作的期限变更。</w:t>
      </w:r>
    </w:p>
    <w:p w14:paraId="161C0ED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1.1.4.4 缺陷责任期：是指承包人按照合同约定承担缺陷修复义务，且发包人预留质量保证金（已缴纳履约保证金的除外）的期限，自工程实际竣工日期起计算。</w:t>
      </w:r>
    </w:p>
    <w:p w14:paraId="4D72DEC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1.1.4.5 保修期：是指承包人按照合同约定对工程承担保修责任的期限，从工程竣工验收合格之日起计算。</w:t>
      </w:r>
    </w:p>
    <w:p w14:paraId="4AD9050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1.1.4.6 基准日期：招标发包的工程以投标截止日前28天的日期为基准日期，直接发包的工程以合同签订日前28天的日期为基准日期。</w:t>
      </w:r>
    </w:p>
    <w:p w14:paraId="02A2D91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1.1.4.7 天：除特别指明外，均指日历天。合同中按天计算时间的，开始当天不计入，从次日开始计算，期限最后一天的截止时间为当天24:00时。</w:t>
      </w:r>
    </w:p>
    <w:p w14:paraId="3C6F821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 合同价格和费用</w:t>
      </w:r>
    </w:p>
    <w:p w14:paraId="1CDE059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1.1.5.1 签约合同价：是指发包人和承包人在合同协议书中确定的总金额，包括安全文明施工费、暂估价及暂列金额等。</w:t>
      </w:r>
    </w:p>
    <w:p w14:paraId="0C8A72C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1.1.5.2 合同价格：是指发包人用于支付承包人按照合同约定完成承包范围内全部工作的金额，包括合同履行过程中按合同约定发生的价格变化。</w:t>
      </w:r>
    </w:p>
    <w:p w14:paraId="366180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1.1.5.3 费用：是指为履行合同所发生的或将要发生的所有必需的开支，包括管理费和应分摊的其他费用，但不包括利润。</w:t>
      </w:r>
    </w:p>
    <w:p w14:paraId="557A4B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1.1.5.4 暂估价：是指发包人在工程量清单或预算书中提供的用于支付必然发生但暂时不能确定价格的材料、工程设备的单价、专业工程以及服务工作的金额。</w:t>
      </w:r>
    </w:p>
    <w:p w14:paraId="4F9E849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0F50B4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1.1.5.6 计日工：是指合同履行过程中，承包人完成发包人提出的零星工作或需要采用计日工计价的变更工作时，按合同中约定的单价计价的一种方式。</w:t>
      </w:r>
    </w:p>
    <w:p w14:paraId="261AF65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1.1.5.7 质量保证金：是指按照第15.3款〔质量保证金〕约定承包人用于保证其在缺陷责任期内履行缺陷修补义务的担保。</w:t>
      </w:r>
    </w:p>
    <w:p w14:paraId="7369EC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1.1.5.8 总价项目：是指在现行国家、行业以及地方的计量规则中无工程量计算规则，在已标价工程量清单或预算书中以总价或以费率形式计算的项目。</w:t>
      </w:r>
    </w:p>
    <w:p w14:paraId="41B15C3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1.1.6 其他</w:t>
      </w:r>
    </w:p>
    <w:p w14:paraId="4C2A7F5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1.1.6.1 书面形式：是指合同文件、信函、电报、传真等可以有形地表现所载内容的形式。</w:t>
      </w:r>
    </w:p>
    <w:p w14:paraId="1565228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1.2语言文字</w:t>
      </w:r>
    </w:p>
    <w:p w14:paraId="63E94AC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合同以中国的汉语简体文字编写、解释和说明。合同当事人在专用合同条款中约定使用两种以上语言时，汉语为优先解释和说明合同的语言。</w:t>
      </w:r>
    </w:p>
    <w:p w14:paraId="07E7DDE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1.3法律</w:t>
      </w:r>
    </w:p>
    <w:p w14:paraId="65381C8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合同所称法律是指中华人民共和国法律、行政法规、部门规章，以及工程所在地的地方性法规、自治条例、单行条例和地方政府规章等。</w:t>
      </w:r>
    </w:p>
    <w:p w14:paraId="34AABFA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合同当事人可以在专用合同条款中约定合同适用的其他规范性文件。</w:t>
      </w:r>
    </w:p>
    <w:p w14:paraId="15866ED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1.4 标准和规范</w:t>
      </w:r>
    </w:p>
    <w:p w14:paraId="6157D2E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1.4.1 适用于工程的国家标准、行业标准、工程所在地的地方性标准，以及相应的规范、规程等，合同当事人有特别要求的，应在专用合同条款中约定。</w:t>
      </w:r>
    </w:p>
    <w:p w14:paraId="0143A23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1.4.2 发包人要求使用国外标准、规范的，发包人负责提供原文版本和中文译本，并在专用合同条款中约定提供标准规范的名称、份数和时间。</w:t>
      </w:r>
    </w:p>
    <w:p w14:paraId="1AB3FDB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061828A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1.5 合同文件的优先顺序</w:t>
      </w:r>
    </w:p>
    <w:p w14:paraId="67DB3F6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组成合同的各项文件应互相解释，互为说明。除专用合同条款另有约定外，解释合同文件的优先顺序如下：</w:t>
      </w:r>
    </w:p>
    <w:p w14:paraId="611B45B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（1）合同协议书；</w:t>
      </w:r>
    </w:p>
    <w:p w14:paraId="6E4F4F8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（2）中标通知书（如果有）；</w:t>
      </w:r>
    </w:p>
    <w:p w14:paraId="73ABEA0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（3）投标函及其附录（如果有）；</w:t>
      </w:r>
    </w:p>
    <w:p w14:paraId="253D061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（4）专用合同条款及其附件；</w:t>
      </w:r>
    </w:p>
    <w:p w14:paraId="311FCFE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（5）通用合同条款；</w:t>
      </w:r>
    </w:p>
    <w:p w14:paraId="2C780DE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（6）技术标准和要求；</w:t>
      </w:r>
    </w:p>
    <w:p w14:paraId="14B99B0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（7）图纸；</w:t>
      </w:r>
    </w:p>
    <w:p w14:paraId="2F7E168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（8）已标价工程量清单或预算书；</w:t>
      </w:r>
    </w:p>
    <w:p w14:paraId="13339DA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（9）其他合同文件。</w:t>
      </w:r>
    </w:p>
    <w:p w14:paraId="3E33CA43">
      <w:pPr>
        <w:spacing w:line="360" w:lineRule="auto"/>
        <w:ind w:firstLine="447" w:firstLineChars="213"/>
        <w:rPr>
          <w:rFonts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w:t>
      </w:r>
    </w:p>
    <w:p w14:paraId="63E347D3">
      <w:pPr>
        <w:spacing w:line="360" w:lineRule="auto"/>
        <w:ind w:firstLine="447" w:firstLineChars="213"/>
        <w:rPr>
          <w:rFonts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在合同订立及履行过程中形成的与合同有关的文件均构成合同文件组成部分，并根据其性质确定优先解释顺序。</w:t>
      </w:r>
    </w:p>
    <w:p w14:paraId="2147618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1.6图纸和承包人文件</w:t>
      </w:r>
    </w:p>
    <w:p w14:paraId="4A75B69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 图纸的提供和交底</w:t>
      </w:r>
    </w:p>
    <w:p w14:paraId="20EA6E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5CAF9E5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因发包人未按合同约定提供图纸导致承包人费用增加和（或）工期延误的，按照第7.5.1项〔因发包人原因导致工期延误〕约定办理。</w:t>
      </w:r>
    </w:p>
    <w:p w14:paraId="585B758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 图纸的错误</w:t>
      </w:r>
    </w:p>
    <w:p w14:paraId="47B8C62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1695FD7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1.6.3 图纸的修改和补充</w:t>
      </w:r>
    </w:p>
    <w:p w14:paraId="132A76E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图纸需要修改和补充的，应经图纸原设计人及审批部门同意，并由监理人在工程或工程相应部位施工前将修改后的图纸或补充图纸提交给承包人，承包人应按修改或补充后的图纸施工。</w:t>
      </w:r>
    </w:p>
    <w:p w14:paraId="5F207B9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1.6.4 承包人文件</w:t>
      </w:r>
    </w:p>
    <w:p w14:paraId="7C3263D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承包人应按照专用合同条款的约定提供应当由其编制的与工程施工有关的文件，并按照专用合同条款约定的期限、数量和形式提交监理人，并由监理人报送发包人。</w:t>
      </w:r>
    </w:p>
    <w:p w14:paraId="342CFEF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3D3EAE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1.6.5 图纸和承包人文件的保管</w:t>
      </w:r>
    </w:p>
    <w:p w14:paraId="28C9F92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除专用合同条款另有约定外，承包人应在施工现场另外保存一套完整的图纸和承包人文件，供发包人、监理人及有关人员进行工程检查时使用。</w:t>
      </w:r>
    </w:p>
    <w:p w14:paraId="6768A12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1.7联络</w:t>
      </w:r>
    </w:p>
    <w:p w14:paraId="33FAB69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1.7.1 与合同有关的通知、批准、证明、证书、指示、指令、要求、请求、同意、意见、确定和决定等，均应采用书面形式，并应在合同约定的期限内送达接收人和送达地点。</w:t>
      </w:r>
    </w:p>
    <w:p w14:paraId="343BE13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1.7.2 发包人和承包人应在专用合同条款中约定各自的送达接收人和送达地点。任何一方合同当事人指定的接收人或送达地点发生变动的，应提前3天以书面形式通知对方。</w:t>
      </w:r>
    </w:p>
    <w:p w14:paraId="783C392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 发包人和承包人应当及时签收另一方</w:t>
      </w:r>
      <w:r>
        <w:rPr>
          <w:rFonts w:hint="eastAsia" w:ascii="宋体" w:hAnsi="宋体" w:cs="宋体"/>
          <w:color w:val="auto"/>
          <w:szCs w:val="21"/>
          <w:highlight w:val="none"/>
          <w:lang w:eastAsia="zh-CN"/>
        </w:rPr>
        <w:t>送达</w:t>
      </w:r>
      <w:r>
        <w:rPr>
          <w:rFonts w:hint="eastAsia" w:ascii="宋体" w:hAnsi="宋体" w:cs="宋体"/>
          <w:color w:val="auto"/>
          <w:szCs w:val="21"/>
          <w:highlight w:val="none"/>
        </w:rPr>
        <w:t>地点和指定接收人的来往信函。拒不签收的，由此增加的费用和（或）延误的工期由拒绝接收一方承担。</w:t>
      </w:r>
    </w:p>
    <w:p w14:paraId="396940CB">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1.8严禁贿赂</w:t>
      </w:r>
    </w:p>
    <w:p w14:paraId="15E78B6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合同当事人不得以贿赂或变相贿赂的方式，谋取非法利益或损害对方权益。因一方合同当事人的贿赂造成对方损失的，应赔偿损失，并承担相应的法律责任。</w:t>
      </w:r>
    </w:p>
    <w:p w14:paraId="6EDCD31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14:paraId="289A711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1.9化石、文物</w:t>
      </w:r>
    </w:p>
    <w:p w14:paraId="47F2776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BDC36D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发包人、监理人和承包人应按有关政府行政管理部门要求采取妥善的保护措施，由此增加的费用和（或）延误的工期由发包人承担。</w:t>
      </w:r>
    </w:p>
    <w:p w14:paraId="0A2F957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承包人发现文物后不及时报告或隐瞒不报，致使文物丢失或损坏的，应赔偿损失，并承担相应的法律责任。</w:t>
      </w:r>
    </w:p>
    <w:p w14:paraId="5E85D025">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1.10交通运输</w:t>
      </w:r>
    </w:p>
    <w:p w14:paraId="4E8EF41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1.10.1 出入现场的权利</w:t>
      </w:r>
    </w:p>
    <w:p w14:paraId="5D369EE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137AAC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14:paraId="642B42C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1.10.2 场外交通</w:t>
      </w:r>
    </w:p>
    <w:p w14:paraId="6AAD109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0C61BA2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1.10.3场内交通</w:t>
      </w:r>
    </w:p>
    <w:p w14:paraId="1C2F79C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6460B58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6D2169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场外交通和场内交通的边界由合同当事人在专用合同条款中约定。</w:t>
      </w:r>
    </w:p>
    <w:p w14:paraId="35EA113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1.10.4 超大件和超重件的运输</w:t>
      </w:r>
    </w:p>
    <w:p w14:paraId="6FA3AD6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7540C96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1.10.5 道路和桥梁的损坏责任</w:t>
      </w:r>
    </w:p>
    <w:p w14:paraId="517C0F4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因承包人运输造成施工场地内外公共道路和桥梁损坏的，由承包人承担修复损坏的全部费用和可能引起的赔偿。</w:t>
      </w:r>
    </w:p>
    <w:p w14:paraId="1F62BE9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1.10.6 水路和航空运输</w:t>
      </w:r>
    </w:p>
    <w:p w14:paraId="2A361EE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本款前述各项的内容适用于水路运输和航空运输，其中“道路”一词的</w:t>
      </w:r>
      <w:r>
        <w:rPr>
          <w:rFonts w:hint="eastAsia" w:ascii="宋体" w:hAnsi="宋体" w:cs="宋体"/>
          <w:color w:val="auto"/>
          <w:szCs w:val="21"/>
          <w:highlight w:val="none"/>
          <w:lang w:eastAsia="zh-CN"/>
        </w:rPr>
        <w:t>含义</w:t>
      </w:r>
      <w:r>
        <w:rPr>
          <w:rFonts w:hint="eastAsia" w:ascii="宋体" w:hAnsi="宋体" w:cs="宋体"/>
          <w:color w:val="auto"/>
          <w:szCs w:val="21"/>
          <w:highlight w:val="none"/>
        </w:rPr>
        <w:t>包括河道、航线、船闸、机场、码头、堤防以及水路或航空运输中其他相似结构物；“车辆”一词的</w:t>
      </w:r>
      <w:r>
        <w:rPr>
          <w:rFonts w:hint="eastAsia" w:ascii="宋体" w:hAnsi="宋体" w:cs="宋体"/>
          <w:color w:val="auto"/>
          <w:szCs w:val="21"/>
          <w:highlight w:val="none"/>
          <w:lang w:eastAsia="zh-CN"/>
        </w:rPr>
        <w:t>含义</w:t>
      </w:r>
      <w:r>
        <w:rPr>
          <w:rFonts w:hint="eastAsia" w:ascii="宋体" w:hAnsi="宋体" w:cs="宋体"/>
          <w:color w:val="auto"/>
          <w:szCs w:val="21"/>
          <w:highlight w:val="none"/>
        </w:rPr>
        <w:t>包括船舶和飞机等。</w:t>
      </w:r>
    </w:p>
    <w:p w14:paraId="794CC71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 xml:space="preserve">1.11知识产权 </w:t>
      </w:r>
    </w:p>
    <w:p w14:paraId="117F375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5879F67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59F11D7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1204C0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1.11.4 除专用合同条款另有约定外，承包人在合同签订前和签订时已确定采用的专利、专有技术、技术秘密的使用费已包含在签约合同价中。</w:t>
      </w:r>
    </w:p>
    <w:p w14:paraId="5B68B00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1.12保密</w:t>
      </w:r>
    </w:p>
    <w:p w14:paraId="5A37295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除法律规定或合同另有约定外，未经发包人同意，承包人不得将发包人提供的图纸、文件以及声明需要保密的资料信息等商业秘密泄露给第三方。</w:t>
      </w:r>
    </w:p>
    <w:p w14:paraId="113A763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除法律规定或合同另有约定外，未经承包人同意，发包人不得将承包人提供的技术秘密及声明需要保密的资料信息等商业秘密泄露给第三方。</w:t>
      </w:r>
    </w:p>
    <w:p w14:paraId="0AD5832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1.13工程量清单错误的修正</w:t>
      </w:r>
    </w:p>
    <w:p w14:paraId="3C1650D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除专用合同条款另有约定外，发包人提供的工程量清单，应被认为是准确的和完整的。出现下列情形之一时，发包人应予以修正，并相应调整合同价格：</w:t>
      </w:r>
    </w:p>
    <w:p w14:paraId="3F27BC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（1）工程量清单存在缺项、漏项的；</w:t>
      </w:r>
    </w:p>
    <w:p w14:paraId="7265C27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（2）工程量清单偏差超出专用合同条款约定的工程量偏差范围的；</w:t>
      </w:r>
    </w:p>
    <w:p w14:paraId="44E2529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（3）未按照国家现行计量规范强制性规定计量的。</w:t>
      </w:r>
    </w:p>
    <w:p w14:paraId="3986E1A4">
      <w:pPr>
        <w:adjustRightInd w:val="0"/>
        <w:snapToGrid w:val="0"/>
        <w:spacing w:line="360" w:lineRule="auto"/>
        <w:outlineLvl w:val="2"/>
        <w:rPr>
          <w:rFonts w:ascii="宋体" w:hAnsi="宋体" w:cs="宋体"/>
          <w:b/>
          <w:color w:val="auto"/>
          <w:szCs w:val="21"/>
          <w:highlight w:val="none"/>
        </w:rPr>
      </w:pPr>
      <w:bookmarkStart w:id="1108" w:name="_Toc7378"/>
      <w:r>
        <w:rPr>
          <w:rFonts w:hint="eastAsia" w:ascii="宋体" w:hAnsi="宋体" w:cs="宋体"/>
          <w:b/>
          <w:color w:val="auto"/>
          <w:szCs w:val="21"/>
          <w:highlight w:val="none"/>
        </w:rPr>
        <w:t>2. 发包人</w:t>
      </w:r>
      <w:bookmarkEnd w:id="1108"/>
    </w:p>
    <w:p w14:paraId="068B1D4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2.1 许可或批准</w:t>
      </w:r>
    </w:p>
    <w:p w14:paraId="21F0132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121C770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因发包人原因未能及时办理完毕前述许可、批准或备案，由发包人承担由此增加的费用和（或）延误的工期，并支付承包人合理的利润。</w:t>
      </w:r>
    </w:p>
    <w:p w14:paraId="690ED43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2.2 发包人代表</w:t>
      </w:r>
    </w:p>
    <w:p w14:paraId="78EFC37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212B117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发包人代表不能按照合同约定履行其职责及义务，并导致合同无法继续正常履行的，承包人可以要求发包人撤换发包人代表。</w:t>
      </w:r>
    </w:p>
    <w:p w14:paraId="0C48C1B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不属于法定必须监理的工程，监理人的职权可以由发包人代表或发包人指定的其他人员行使。</w:t>
      </w:r>
    </w:p>
    <w:p w14:paraId="5E3D578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2.3 发包人人员</w:t>
      </w:r>
    </w:p>
    <w:p w14:paraId="72530CF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发包人应要求在施工现场的发包人人员遵守法律及有关安全、质量、环境保护、文明施工等规定，并保障承包人免于承受因发包人人员未遵守上述要求给承包人造成的损失和责任。</w:t>
      </w:r>
    </w:p>
    <w:p w14:paraId="77261BED">
      <w:pPr>
        <w:spacing w:line="360" w:lineRule="auto"/>
        <w:rPr>
          <w:rFonts w:ascii="宋体" w:hAnsi="宋体" w:cs="宋体"/>
          <w:color w:val="auto"/>
          <w:szCs w:val="21"/>
          <w:highlight w:val="none"/>
        </w:rPr>
      </w:pPr>
      <w:r>
        <w:rPr>
          <w:rFonts w:hint="eastAsia" w:ascii="宋体" w:hAnsi="宋体" w:cs="宋体"/>
          <w:color w:val="auto"/>
          <w:szCs w:val="21"/>
          <w:highlight w:val="none"/>
        </w:rPr>
        <w:t>发包人人员包括发包人代表及其他由发包人派驻施工现场的人员。</w:t>
      </w:r>
    </w:p>
    <w:p w14:paraId="0C0A4105">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 xml:space="preserve">2.4 施工现场、施工条件和基础资料的提供  </w:t>
      </w:r>
    </w:p>
    <w:p w14:paraId="006D224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2.4.1 提供施工现场</w:t>
      </w:r>
    </w:p>
    <w:p w14:paraId="75C8BFE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除专用合同条款另有约定外，发包人应最迟于开工日期7天前向承包人移交施工现场。</w:t>
      </w:r>
    </w:p>
    <w:p w14:paraId="3175FC8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2.4.2 提供施工条件</w:t>
      </w:r>
    </w:p>
    <w:p w14:paraId="1665615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除专用合同条款另有约定外，发包人应负责提供施工所需要的条件，包括：</w:t>
      </w:r>
    </w:p>
    <w:p w14:paraId="4A543D7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（1）将施工用水、电力、通讯线路等施工所必需的条件接至施工现场内；</w:t>
      </w:r>
    </w:p>
    <w:p w14:paraId="1CC5F50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（2）保证向承包人提供正常施工所需要的进入施工现场的交通条件；</w:t>
      </w:r>
    </w:p>
    <w:p w14:paraId="7156441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（3）协调处理施工现场周围地下管线和邻近建筑物、构筑物、古树名木的保护工作，并承担相关费用；</w:t>
      </w:r>
    </w:p>
    <w:p w14:paraId="157E2C4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（4）按照专用合同条款约定应提供的其他设施和条件。</w:t>
      </w:r>
    </w:p>
    <w:p w14:paraId="24763DA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2.4.3 提供基础资料</w:t>
      </w:r>
    </w:p>
    <w:p w14:paraId="6727BB3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7A45B90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按照法律规定确需在开工后方能提供的基础资料，发包人应尽其努力及时地在相应工程施工前的合理期限内提供，合理期限应以不影响承包人的正常施工为限。</w:t>
      </w:r>
    </w:p>
    <w:p w14:paraId="5FD8BE3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2.4.4 逾期提供的责任</w:t>
      </w:r>
    </w:p>
    <w:p w14:paraId="1905974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因发包人原因未能按合同约定及时向承包人提供施工现场、施工条件、基础资料的，由发包人承担由此增加的费用和（或）延误的工期。</w:t>
      </w:r>
    </w:p>
    <w:p w14:paraId="06883B3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2.5 资金来源证明及支付担保</w:t>
      </w:r>
    </w:p>
    <w:p w14:paraId="33551D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除专用合同条款另有约定外，发包人应在收到承包人要求提供资金来源证明的书面通知后28天内，向承包人提供能够按照合同约定支付合同价款的相应资金来源证明。</w:t>
      </w:r>
    </w:p>
    <w:p w14:paraId="634B348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14:paraId="572B326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2.6 支付合同价款</w:t>
      </w:r>
    </w:p>
    <w:p w14:paraId="2F3A647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发包人应按合同约定向承包人及时支付合同价款。</w:t>
      </w:r>
    </w:p>
    <w:p w14:paraId="6E2C7C5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2.7 组织竣工验收</w:t>
      </w:r>
    </w:p>
    <w:p w14:paraId="3BAB43B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发包人应按合同约定及时组织竣工验收。</w:t>
      </w:r>
    </w:p>
    <w:p w14:paraId="3452889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2.8 现场统一管理协议</w:t>
      </w:r>
    </w:p>
    <w:p w14:paraId="5D4F0E6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发包人应与承包人、由发包人直接发包的专业工程的承包人签订施工现场统一管理协议，明确各方的权利义务。施工现场统一管理协议作为专用合同条款的附件。</w:t>
      </w:r>
    </w:p>
    <w:p w14:paraId="3CE76CF0">
      <w:pPr>
        <w:adjustRightInd w:val="0"/>
        <w:snapToGrid w:val="0"/>
        <w:spacing w:line="360" w:lineRule="auto"/>
        <w:outlineLvl w:val="2"/>
        <w:rPr>
          <w:rFonts w:ascii="宋体" w:hAnsi="宋体" w:cs="宋体"/>
          <w:b/>
          <w:color w:val="auto"/>
          <w:szCs w:val="21"/>
          <w:highlight w:val="none"/>
        </w:rPr>
      </w:pPr>
      <w:bookmarkStart w:id="1109" w:name="_Toc21291"/>
      <w:r>
        <w:rPr>
          <w:rFonts w:hint="eastAsia" w:ascii="宋体" w:hAnsi="宋体" w:cs="宋体"/>
          <w:b/>
          <w:color w:val="auto"/>
          <w:szCs w:val="21"/>
          <w:highlight w:val="none"/>
        </w:rPr>
        <w:t>3. 承包人</w:t>
      </w:r>
      <w:bookmarkEnd w:id="1109"/>
    </w:p>
    <w:p w14:paraId="154B1AE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3.1 承包人的一般义务</w:t>
      </w:r>
    </w:p>
    <w:p w14:paraId="7D535F4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承包人在履行合同过程中应遵守法律和工程建设标准规范，并履行以下义务：</w:t>
      </w:r>
    </w:p>
    <w:p w14:paraId="027B7826">
      <w:pPr>
        <w:numPr>
          <w:ilvl w:val="0"/>
          <w:numId w:val="13"/>
        </w:numPr>
        <w:autoSpaceDE w:val="0"/>
        <w:autoSpaceDN w:val="0"/>
        <w:adjustRightInd w:val="0"/>
        <w:spacing w:line="360" w:lineRule="auto"/>
        <w:ind w:left="418" w:leftChars="0" w:firstLine="420" w:firstLineChars="0"/>
        <w:rPr>
          <w:rFonts w:ascii="宋体" w:hAnsi="宋体" w:cs="宋体"/>
          <w:color w:val="auto"/>
          <w:szCs w:val="21"/>
          <w:highlight w:val="none"/>
        </w:rPr>
      </w:pPr>
      <w:r>
        <w:rPr>
          <w:rFonts w:hint="eastAsia" w:ascii="宋体" w:hAnsi="宋体" w:cs="宋体"/>
          <w:color w:val="auto"/>
          <w:szCs w:val="21"/>
          <w:highlight w:val="none"/>
        </w:rPr>
        <w:t>办理法律规定应由承包人办理的许可和批准，并将办理结果书面报送发包人留存；</w:t>
      </w:r>
    </w:p>
    <w:p w14:paraId="55BCEA6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（2）按法律规定和合同约定完成工程，并在保修期内承担保修义务；</w:t>
      </w:r>
    </w:p>
    <w:p w14:paraId="4B79256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（3）按法律规定和合同约定采取施工安全和环境保护措施，办理工伤保险，确保工程及人员、材料、设备和设施的安全；</w:t>
      </w:r>
    </w:p>
    <w:p w14:paraId="019D6CF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（4）按合同约定的工作内容和施工进度要求，编制施工组织设计和施工措施计划，并对所有施工作业和施工方法的完备性和安全可靠性负责；</w:t>
      </w:r>
    </w:p>
    <w:p w14:paraId="0F69F33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EA409E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（6）按照第6.3款〔环境保护〕约定负责施工场地及其周边环境与生态的保护工作；</w:t>
      </w:r>
    </w:p>
    <w:p w14:paraId="261DADF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（7）按第6.1款〔安全文明施工〕约定采取施工安全措施，确保工程及其人员、材料、设备和设施的安全，防止因工程施工造成的人身伤害和财产损失；</w:t>
      </w:r>
    </w:p>
    <w:p w14:paraId="5BA89FE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（8）将发包人按合同约定支付的各项价款专用于合同工程，且应及时支付其雇用人员工资，并及时向分包人支付合同价款；</w:t>
      </w:r>
    </w:p>
    <w:p w14:paraId="6F0AFDF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（9）按照法律规定和合同约定编制竣工资料，完成竣工资料立卷及归档，并按专用合同条款约定的竣工资料的套数、内容、时间等要求移交发包人；</w:t>
      </w:r>
    </w:p>
    <w:p w14:paraId="13BEBF0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（10）应履行的其他义务。</w:t>
      </w:r>
    </w:p>
    <w:p w14:paraId="17B373F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3.2 项目经理</w:t>
      </w:r>
    </w:p>
    <w:p w14:paraId="5A73BCD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251F76B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431A2DB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承包人违反上述约定的，应按照专用合同条款的约定，承担违约责任。</w:t>
      </w:r>
    </w:p>
    <w:p w14:paraId="5E577F4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5DBB4F9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75E92A8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0D121CC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14:paraId="0AE6783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3.3 承包人人员</w:t>
      </w:r>
    </w:p>
    <w:p w14:paraId="469F078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5DF1E58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23FF00B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特殊工种作业人员均应持有相应的资格证明，监理人可以随时检查。</w:t>
      </w:r>
    </w:p>
    <w:p w14:paraId="08CB982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05987C3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45E2FDD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3.3.5 承包人擅自更换主要施工管理人员，或前述人员未经监理人或发包人同意擅自离开施工现场的，应按照专用合同条款约定承担违约责任。</w:t>
      </w:r>
    </w:p>
    <w:p w14:paraId="3031C8A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3.4 承包人现场查勘</w:t>
      </w:r>
    </w:p>
    <w:p w14:paraId="00EA649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承包人应对基于发包人按照第2.4.3项〔提供基础资料〕提交的基础资料所做出的解释和推断负责，但因基础资料存在错误、遗漏导致承包人解释或推断失实的，由发包人承担责任。</w:t>
      </w:r>
    </w:p>
    <w:p w14:paraId="3B21ACC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15ED2EE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3.5 分包</w:t>
      </w:r>
    </w:p>
    <w:p w14:paraId="472DEB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3.5.1 分包的一般约定</w:t>
      </w:r>
    </w:p>
    <w:p w14:paraId="47B5357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0DCFDB2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承包人不得以劳务分包的名义转包或违法分包工程。</w:t>
      </w:r>
    </w:p>
    <w:p w14:paraId="7A16923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3.5.2 分包的确定</w:t>
      </w:r>
    </w:p>
    <w:p w14:paraId="4EF389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6FE00E9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3.5.3 分包管理</w:t>
      </w:r>
    </w:p>
    <w:p w14:paraId="019D077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承包人应向监理人提交分包人的主要施工管理人员表，并对分包人的施工人员进行实名制管理，包括但不限于进出场管理、登记造册以及各种证照的办理。</w:t>
      </w:r>
    </w:p>
    <w:p w14:paraId="0033E15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3.5.4 分包合同价款</w:t>
      </w:r>
    </w:p>
    <w:p w14:paraId="61592F5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（1）除本项第（2）目约定的情况或专用合同条款另有约定外，分包合同价款由承包人与分包人结算，未经承包人同意，发包人不得向分包人支付分包工程价款；</w:t>
      </w:r>
    </w:p>
    <w:p w14:paraId="3579BB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（2）生效法律文书要求发包人向分包人支付分包合同价款的，发包人有权从应付承包人工程款中扣除该部分款项。</w:t>
      </w:r>
    </w:p>
    <w:p w14:paraId="1A2CA5E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3.5.5 分包合同权益的转让</w:t>
      </w:r>
    </w:p>
    <w:p w14:paraId="3DE591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p>
    <w:p w14:paraId="2B0985E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3.6 工程照管与成品、半成品保护</w:t>
      </w:r>
    </w:p>
    <w:p w14:paraId="2763A1D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（1）除专用合同条款另有约定外，自发包人向承包人移交施工现场之日起，承包人应负责照管工程及工程相关的材料、工程设备，直到颁发工程接收证书之日止。</w:t>
      </w:r>
    </w:p>
    <w:p w14:paraId="3443F57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（2）在承包人负责照管期间，因承包人原因造成工程、材料、工程设备损坏的，由承包人负责修复或更换，并承担由此增加的费用和（或）延误的工期。</w:t>
      </w:r>
    </w:p>
    <w:p w14:paraId="2E2DB4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14:paraId="2A7052CE">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3.7 履约担保</w:t>
      </w:r>
    </w:p>
    <w:p w14:paraId="3225771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62556C9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因承包人原因导致工期延长的，继续提供履约担保所增加的费用由承包人承担；非因承包人原因导致工期延长的，继续提供履约担保所增加的费用由发包人承担。</w:t>
      </w:r>
    </w:p>
    <w:p w14:paraId="0232C2A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3.8 联合体</w:t>
      </w:r>
    </w:p>
    <w:p w14:paraId="7062618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3.8.1 联合体各方应共同与发包人签订合同协议书。联合体各方应为履行合同向发包人承担连带责任。</w:t>
      </w:r>
    </w:p>
    <w:p w14:paraId="094532B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3.8.2 联合体协议经发包人确认后作为合同附件。在履行合同过程中，未经发包人同意，不得修改联合体协议。</w:t>
      </w:r>
    </w:p>
    <w:p w14:paraId="3EB88FB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3.8.3 联合体牵头人负责与发包人和监理人联系，并接受指示，负责组织联合体各成员全面履行合同。</w:t>
      </w:r>
    </w:p>
    <w:p w14:paraId="496F5B5E">
      <w:pPr>
        <w:adjustRightInd w:val="0"/>
        <w:snapToGrid w:val="0"/>
        <w:spacing w:line="360" w:lineRule="auto"/>
        <w:outlineLvl w:val="2"/>
        <w:rPr>
          <w:rFonts w:ascii="宋体" w:hAnsi="宋体" w:cs="宋体"/>
          <w:b/>
          <w:color w:val="auto"/>
          <w:szCs w:val="21"/>
          <w:highlight w:val="none"/>
        </w:rPr>
      </w:pPr>
      <w:bookmarkStart w:id="1110" w:name="_Toc27056"/>
      <w:r>
        <w:rPr>
          <w:rFonts w:hint="eastAsia" w:ascii="宋体" w:hAnsi="宋体" w:cs="宋体"/>
          <w:b/>
          <w:color w:val="auto"/>
          <w:szCs w:val="21"/>
          <w:highlight w:val="none"/>
        </w:rPr>
        <w:t>4. 监理人</w:t>
      </w:r>
      <w:bookmarkEnd w:id="1110"/>
    </w:p>
    <w:p w14:paraId="5010FBD7">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4.1监理人的一般规定</w:t>
      </w:r>
    </w:p>
    <w:p w14:paraId="369A470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7A32B1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除专用合同条款另有约定外，监理人在施工现场的办公场所、生活场所由承包人提供，所发生的费用由发包人承担。</w:t>
      </w:r>
    </w:p>
    <w:p w14:paraId="29B9B607">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4.2监理人员</w:t>
      </w:r>
    </w:p>
    <w:p w14:paraId="5488F0C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2488D72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4.3监理人的指示</w:t>
      </w:r>
    </w:p>
    <w:p w14:paraId="30B2F87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5CF2CC6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6997E60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承包人对监理人发出的指示有疑问的，应向监理人提出书面异议，监理人应在48小时内对该指示予以确认、更改或撤销，监理人逾期未回复的，承包人有权拒绝执行上述指示。</w:t>
      </w:r>
    </w:p>
    <w:p w14:paraId="0360823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监理人对承包人的任何工作、工程或其采用的材料和工程设备未在约定的或合理期限内提出意见的，视为批准，但不免除或减轻承包人对该工作、工程、材料、工程设备等应承担的责任和义务。</w:t>
      </w:r>
    </w:p>
    <w:p w14:paraId="28716D5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4.4 商定或确定</w:t>
      </w:r>
    </w:p>
    <w:p w14:paraId="227CCD9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合同当事人进行商定或确定时，总监理工程师应当会同合同当事人尽量通过协商达成一致，不能达成一致的，由总监理工程师按照合同约定审慎做出公正的确定。</w:t>
      </w:r>
    </w:p>
    <w:p w14:paraId="28E8070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686263F8">
      <w:pPr>
        <w:adjustRightInd w:val="0"/>
        <w:snapToGrid w:val="0"/>
        <w:spacing w:line="360" w:lineRule="auto"/>
        <w:outlineLvl w:val="2"/>
        <w:rPr>
          <w:rFonts w:ascii="宋体" w:hAnsi="宋体" w:cs="宋体"/>
          <w:b/>
          <w:color w:val="auto"/>
          <w:szCs w:val="21"/>
          <w:highlight w:val="none"/>
        </w:rPr>
      </w:pPr>
      <w:bookmarkStart w:id="1111" w:name="_Toc8032"/>
      <w:r>
        <w:rPr>
          <w:rFonts w:hint="eastAsia" w:ascii="宋体" w:hAnsi="宋体" w:cs="宋体"/>
          <w:b/>
          <w:color w:val="auto"/>
          <w:szCs w:val="21"/>
          <w:highlight w:val="none"/>
        </w:rPr>
        <w:t>5. 工程质量</w:t>
      </w:r>
      <w:bookmarkEnd w:id="1111"/>
    </w:p>
    <w:p w14:paraId="21A2056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5.1质量要求</w:t>
      </w:r>
    </w:p>
    <w:p w14:paraId="5FB6E26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5.1.1 工程质量标准必须符合现行国家有关工程施工质量验收规范和标准的要求。有关工程质量的特殊标准或要求由合同当事人在专用合同条款中约定。</w:t>
      </w:r>
    </w:p>
    <w:p w14:paraId="0617EE3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5.1.2 因发包人原因造成工程质量未达到合同约定标准的，由发包人承担由此增加的费用和（或）延误的工期，并支付承包人合理的利润。</w:t>
      </w:r>
    </w:p>
    <w:p w14:paraId="5F1AB6A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5.1.3 因承包人原因造成工程质量未达到合同约定标准的，发包人有权要求承包人返工直至工程质量达到合同约定的标准为止，并由承包人承担由此增加的费用和（或）延误的工期。</w:t>
      </w:r>
    </w:p>
    <w:p w14:paraId="1EDE1C7B">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5.2质量保证措施</w:t>
      </w:r>
    </w:p>
    <w:p w14:paraId="49F75F2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5.2.1 发包人的质量管理</w:t>
      </w:r>
    </w:p>
    <w:p w14:paraId="320ACF3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发包人应按照法律规定及合同约定完成与工程质量有关的各项工作。</w:t>
      </w:r>
    </w:p>
    <w:p w14:paraId="63BC153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5.2.2 承包人的质量管理</w:t>
      </w:r>
    </w:p>
    <w:p w14:paraId="4187E86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15EC95E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承包人应对施工人员进行质量教育和技术培训，定期考核施工人员的劳动技能，严格执行施工规范和操作规程。</w:t>
      </w:r>
    </w:p>
    <w:p w14:paraId="3040C0B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承包人应按照法律规定和发包人的要求，对材料、工程设备以及工程的所有部位及其施工工艺进行全过程的质量检查和检验，并</w:t>
      </w:r>
      <w:r>
        <w:rPr>
          <w:rFonts w:hint="eastAsia" w:ascii="宋体" w:hAnsi="宋体" w:cs="宋体"/>
          <w:color w:val="auto"/>
          <w:szCs w:val="21"/>
          <w:highlight w:val="none"/>
          <w:lang w:eastAsia="zh-CN"/>
        </w:rPr>
        <w:t>做</w:t>
      </w:r>
      <w:r>
        <w:rPr>
          <w:rFonts w:hint="eastAsia" w:ascii="宋体" w:hAnsi="宋体" w:cs="宋体"/>
          <w:color w:val="auto"/>
          <w:szCs w:val="21"/>
          <w:highlight w:val="none"/>
        </w:rPr>
        <w:t>详细记录，编制工程质量报表，报送监理人审查。此外，承包人还应按照法律规定和发包人的要求，进行施工现场取样试验、工程复核测量和设备性能检测，提供试验样品、提交试验报告和测量成果以及其他工作。</w:t>
      </w:r>
    </w:p>
    <w:p w14:paraId="3F2E5D5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5.2.3 监理人的质量检查和检验</w:t>
      </w:r>
    </w:p>
    <w:p w14:paraId="70BE935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5A2648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09B126C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5.3 隐蔽工程检查</w:t>
      </w:r>
    </w:p>
    <w:p w14:paraId="6C28F0C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5.3.1承包人自检</w:t>
      </w:r>
    </w:p>
    <w:p w14:paraId="79AA491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承包人应当对工程隐蔽部位进行自检，并经自检确认是否具备覆盖条件。</w:t>
      </w:r>
    </w:p>
    <w:p w14:paraId="14C25A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5.3.2检查程序</w:t>
      </w:r>
    </w:p>
    <w:p w14:paraId="7F05CA8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1C37E8D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27ECA91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w:t>
      </w:r>
      <w:r>
        <w:rPr>
          <w:rFonts w:hint="eastAsia" w:ascii="宋体" w:hAnsi="宋体" w:cs="宋体"/>
          <w:color w:val="auto"/>
          <w:szCs w:val="21"/>
          <w:highlight w:val="none"/>
          <w:lang w:eastAsia="zh-CN"/>
        </w:rPr>
        <w:t>做</w:t>
      </w:r>
      <w:r>
        <w:rPr>
          <w:rFonts w:hint="eastAsia" w:ascii="宋体" w:hAnsi="宋体" w:cs="宋体"/>
          <w:color w:val="auto"/>
          <w:szCs w:val="21"/>
          <w:highlight w:val="none"/>
        </w:rPr>
        <w:t>相应记录报送监理人，监理人应签字确认。监理人事后对检查记录有疑问的，可按第5.3.3项〔重新检查〕的约定重新检查。</w:t>
      </w:r>
    </w:p>
    <w:p w14:paraId="3D1EE20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5.3.3 重新检查</w:t>
      </w:r>
    </w:p>
    <w:p w14:paraId="64D1A26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5950E37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5.3.4 承包人私自覆盖</w:t>
      </w:r>
    </w:p>
    <w:p w14:paraId="0F3280E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承包人未通知监理人到场检查，私自将工程隐蔽部位覆盖的，监理人有权指示承包人钻孔探测或揭开检查，无论工程隐蔽部位质量是否合格，由此增加的费用和（或）延误的工期均由承包人承担。</w:t>
      </w:r>
    </w:p>
    <w:p w14:paraId="1F88EF3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5.4不合格工程的处理</w:t>
      </w:r>
    </w:p>
    <w:p w14:paraId="634F13F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6BBE8B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5.4.2 因发包人原因造成工程不合格的，由此增加的费用和（或）延误的工期由发包人承担，并支付承包人合理的利润。</w:t>
      </w:r>
    </w:p>
    <w:p w14:paraId="07E97021">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5.5 质量争议检测</w:t>
      </w:r>
    </w:p>
    <w:p w14:paraId="217F65F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合同当事人对工程质量有争议的，由双方协商确定的工程质量检测机构鉴定，由此产生的费用及因此造成的损失，由责任方承担。</w:t>
      </w:r>
    </w:p>
    <w:p w14:paraId="2F76EB74">
      <w:pPr>
        <w:autoSpaceDE w:val="0"/>
        <w:autoSpaceDN w:val="0"/>
        <w:adjustRightInd w:val="0"/>
        <w:spacing w:line="360" w:lineRule="auto"/>
        <w:rPr>
          <w:rFonts w:ascii="宋体" w:hAnsi="宋体" w:cs="宋体"/>
          <w:color w:val="auto"/>
          <w:szCs w:val="21"/>
          <w:highlight w:val="none"/>
        </w:rPr>
      </w:pPr>
      <w:r>
        <w:rPr>
          <w:rFonts w:hint="eastAsia" w:ascii="宋体" w:hAnsi="宋体" w:cs="宋体"/>
          <w:color w:val="auto"/>
          <w:szCs w:val="21"/>
          <w:highlight w:val="none"/>
        </w:rPr>
        <w:t>合同当事人均有责任的，由双方根据其责任分别承担。合同当事人无法达成一致的，按照第4.4款〔商定或确定〕执行。</w:t>
      </w:r>
    </w:p>
    <w:p w14:paraId="00338242">
      <w:pPr>
        <w:adjustRightInd w:val="0"/>
        <w:snapToGrid w:val="0"/>
        <w:spacing w:line="360" w:lineRule="auto"/>
        <w:outlineLvl w:val="2"/>
        <w:rPr>
          <w:rFonts w:ascii="宋体" w:hAnsi="宋体" w:cs="宋体"/>
          <w:b/>
          <w:color w:val="auto"/>
          <w:szCs w:val="21"/>
          <w:highlight w:val="none"/>
        </w:rPr>
      </w:pPr>
      <w:bookmarkStart w:id="1112" w:name="_Toc24776"/>
      <w:r>
        <w:rPr>
          <w:rFonts w:hint="eastAsia" w:ascii="宋体" w:hAnsi="宋体" w:cs="宋体"/>
          <w:b/>
          <w:color w:val="auto"/>
          <w:szCs w:val="21"/>
          <w:highlight w:val="none"/>
        </w:rPr>
        <w:t>6. 安全文明施工与环境保护</w:t>
      </w:r>
      <w:bookmarkEnd w:id="1112"/>
    </w:p>
    <w:p w14:paraId="5318CB8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6.1安全文明施工</w:t>
      </w:r>
    </w:p>
    <w:p w14:paraId="79450B0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6.1.1安全生产要求</w:t>
      </w:r>
    </w:p>
    <w:p w14:paraId="68C505F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69831A2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在施工过程中，如遇到突发的地质变动、事先未知的地下施工障碍等影响施工安全的紧急情况，承包人应及时报告监理人和发包人，发包人应当及时下令停工并报政府有关行政管理部门采取应急措施。</w:t>
      </w:r>
    </w:p>
    <w:p w14:paraId="658FAEF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因安全生产需要暂停施工的，按照第7.8款〔暂停施工〕的约定执行。</w:t>
      </w:r>
    </w:p>
    <w:p w14:paraId="5439627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6.1.2 安全生产保证措施</w:t>
      </w:r>
    </w:p>
    <w:p w14:paraId="388497A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51B9A7C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6.1.3特别安全生产事项</w:t>
      </w:r>
    </w:p>
    <w:p w14:paraId="5A6617D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承包人应按照法律规定进行施工，开工前做好安全技术交底工作</w:t>
      </w:r>
      <w:r>
        <w:rPr>
          <w:rFonts w:hint="eastAsia" w:ascii="宋体" w:hAnsi="宋体" w:cs="宋体"/>
          <w:color w:val="auto"/>
          <w:szCs w:val="21"/>
          <w:highlight w:val="none"/>
          <w:lang w:eastAsia="zh-CN"/>
        </w:rPr>
        <w:t>，在</w:t>
      </w:r>
      <w:r>
        <w:rPr>
          <w:rFonts w:hint="eastAsia" w:ascii="宋体" w:hAnsi="宋体" w:cs="宋体"/>
          <w:color w:val="auto"/>
          <w:szCs w:val="21"/>
          <w:highlight w:val="none"/>
        </w:rPr>
        <w:t>施工过程中做好各项安全防护措施。承包人为实施合同而雇用的特殊工种的人员应受过专门的培训并已取得政府有关管理机构颁发的上岗证书。</w:t>
      </w:r>
    </w:p>
    <w:p w14:paraId="19AC924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承包人在动力设备、输电线路、地下管道、密封防震车间、易燃易爆地段以及临街交通要道附近施工时，施工开始前应向发包人和监理人提出安全防护措施，经发包人认可后实施。 </w:t>
      </w:r>
    </w:p>
    <w:p w14:paraId="0C758AF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14:paraId="1460C3E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需单独编制危险性较大分部分项专项工程施工方案的</w:t>
      </w:r>
      <w:r>
        <w:rPr>
          <w:rFonts w:hint="eastAsia" w:ascii="宋体" w:hAnsi="宋体" w:cs="宋体"/>
          <w:color w:val="auto"/>
          <w:szCs w:val="21"/>
          <w:highlight w:val="none"/>
          <w:lang w:eastAsia="zh-CN"/>
        </w:rPr>
        <w:t>，以</w:t>
      </w:r>
      <w:r>
        <w:rPr>
          <w:rFonts w:hint="eastAsia" w:ascii="宋体" w:hAnsi="宋体" w:cs="宋体"/>
          <w:color w:val="auto"/>
          <w:szCs w:val="21"/>
          <w:highlight w:val="none"/>
        </w:rPr>
        <w:t>及要求进行专家论证的超过一定规模的危险性较大的分部分项工程，承包人应及时编制和组织论证。</w:t>
      </w:r>
    </w:p>
    <w:p w14:paraId="5F493CA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6.1.4 治安保卫</w:t>
      </w:r>
    </w:p>
    <w:p w14:paraId="17A8BF8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除专用合同条款另有约定外，发包人应与当地公安部门协商，在现场建立治安管理机构或联防组织，统一管理施工场地的治安保卫事项，履行合同工程的治安保卫职责。</w:t>
      </w:r>
    </w:p>
    <w:p w14:paraId="3FC8E8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发包人和承包人除应协助现场治安管理机构或联防组织维护施工场地的社会治安外，还应做好包括生活区在内的各自管辖区的治安保卫工作。</w:t>
      </w:r>
    </w:p>
    <w:p w14:paraId="197B092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201BBDA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6.1.5 文明施工</w:t>
      </w:r>
    </w:p>
    <w:p w14:paraId="6347228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3B05839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D9628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6.1.6 安全文明施工费</w:t>
      </w:r>
    </w:p>
    <w:p w14:paraId="6490048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安全文明施工费由发包人承担，发包人不得以任何形式扣减该部分费用。因基准日期后合同所适用的法律或政府有关规定发生变化，增加的安全文明施工费由发包人承担。</w:t>
      </w:r>
    </w:p>
    <w:p w14:paraId="040AF2D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312A0E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6CB3C1B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471B76B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6.1.7 紧急情况处理</w:t>
      </w:r>
    </w:p>
    <w:p w14:paraId="03A6911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2819F3A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6.1.8 事故处理</w:t>
      </w:r>
    </w:p>
    <w:p w14:paraId="06A6348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3138E79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6.1.9 安全生产责任</w:t>
      </w:r>
    </w:p>
    <w:p w14:paraId="6F1A7F6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6.1.9.1 发包人的安全责任</w:t>
      </w:r>
    </w:p>
    <w:p w14:paraId="6697491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发包人应负责赔偿以下各种情况造成的损失：</w:t>
      </w:r>
    </w:p>
    <w:p w14:paraId="54DB14A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（1）工程或工程的任何部分对土地的占用所造成的第三者财产损失；</w:t>
      </w:r>
    </w:p>
    <w:p w14:paraId="73B5023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（2）由于发包人原因在施工场地及其毗邻地带造成的第三者人身伤亡和财产损失；</w:t>
      </w:r>
    </w:p>
    <w:p w14:paraId="0223023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（3）由于发包人原因对承包人、监理人造成的人员人身伤亡和财产损失；</w:t>
      </w:r>
    </w:p>
    <w:p w14:paraId="1419237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（4）由于发包人原因造成的发包人自身人员的人身伤害以及财产损失。</w:t>
      </w:r>
    </w:p>
    <w:p w14:paraId="23736A0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6.1.9.2 承包人的安全责任</w:t>
      </w:r>
    </w:p>
    <w:p w14:paraId="1DB6489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由于承包人原因在施工场地内及其毗邻地带造成的发包人、监理人以及第三者人员伤亡和财产损失，由承包人负责赔偿。</w:t>
      </w:r>
    </w:p>
    <w:p w14:paraId="750B5A0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6.2 职业健康</w:t>
      </w:r>
    </w:p>
    <w:p w14:paraId="4F8915C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6.2.1 劳动保护</w:t>
      </w:r>
    </w:p>
    <w:p w14:paraId="59157AB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2810946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承包人应按照法律规定保障现场施工人员的劳动安全，并提供劳动保护</w:t>
      </w:r>
      <w:r>
        <w:rPr>
          <w:rFonts w:hint="eastAsia" w:ascii="宋体" w:hAnsi="宋体" w:cs="宋体"/>
          <w:color w:val="auto"/>
          <w:szCs w:val="21"/>
          <w:highlight w:val="none"/>
          <w:lang w:eastAsia="zh-CN"/>
        </w:rPr>
        <w:t>，</w:t>
      </w:r>
      <w:r>
        <w:rPr>
          <w:rFonts w:hint="eastAsia" w:ascii="宋体" w:hAnsi="宋体" w:cs="宋体"/>
          <w:color w:val="auto"/>
          <w:szCs w:val="21"/>
          <w:highlight w:val="none"/>
        </w:rPr>
        <w:t>并应按国家有关劳动保护的规定，采取有效的</w:t>
      </w:r>
      <w:r>
        <w:rPr>
          <w:rFonts w:hint="eastAsia" w:ascii="宋体" w:hAnsi="宋体" w:cs="宋体"/>
          <w:color w:val="auto"/>
          <w:szCs w:val="21"/>
          <w:highlight w:val="none"/>
          <w:lang w:eastAsia="zh-CN"/>
        </w:rPr>
        <w:t>防治</w:t>
      </w:r>
      <w:r>
        <w:rPr>
          <w:rFonts w:hint="eastAsia" w:ascii="宋体" w:hAnsi="宋体" w:cs="宋体"/>
          <w:color w:val="auto"/>
          <w:szCs w:val="21"/>
          <w:highlight w:val="none"/>
        </w:rPr>
        <w:t>粉尘、降低噪声、控制有害气体和保障高温、高寒、高空作业安全等劳动保护措施。承包人雇佣人员在施工中受到伤害的，承包人应立即采取有效措施进行抢救和治疗。</w:t>
      </w:r>
    </w:p>
    <w:p w14:paraId="1F19B41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承包人应按法律规定安排工作时间，保证其雇佣人员享有休息和休假的权利。因工程施工的特殊需要占用休假日或延长工作时间的，应不超过法律规定的限度，并按法律规定给予补休或付酬。</w:t>
      </w:r>
    </w:p>
    <w:p w14:paraId="381EC88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6.2.2 生活条件</w:t>
      </w:r>
    </w:p>
    <w:p w14:paraId="100075C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 在远离城镇的施工场地，还应配备必要的伤病防治和急救的医务人员与医疗设施。</w:t>
      </w:r>
    </w:p>
    <w:p w14:paraId="7CB43C9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6.3 环境保护</w:t>
      </w:r>
    </w:p>
    <w:p w14:paraId="29858E7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承包人应在施工组织设计中列明环境保护的具体措施。在合同履行期间，承包人应采取合理措施保护施工现场环境。对施工作业过程中可能引起的大气、水、</w:t>
      </w:r>
      <w:r>
        <w:rPr>
          <w:rFonts w:hint="eastAsia" w:ascii="宋体" w:hAnsi="宋体" w:cs="宋体"/>
          <w:color w:val="auto"/>
          <w:szCs w:val="21"/>
          <w:highlight w:val="none"/>
          <w:lang w:eastAsia="zh-CN"/>
        </w:rPr>
        <w:t>噪声</w:t>
      </w:r>
      <w:r>
        <w:rPr>
          <w:rFonts w:hint="eastAsia" w:ascii="宋体" w:hAnsi="宋体" w:cs="宋体"/>
          <w:color w:val="auto"/>
          <w:szCs w:val="21"/>
          <w:highlight w:val="none"/>
        </w:rPr>
        <w:t>以及固体废物污染采取具体可行的防范措施。</w:t>
      </w:r>
    </w:p>
    <w:p w14:paraId="03B7B08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承包人应当承担因其原因引起的环境污染侵权损害赔偿责任，因上述环境污染引起纠纷而导致暂停施工的，由此增加的费用和（或）延误的工期由承包人承担。</w:t>
      </w:r>
    </w:p>
    <w:p w14:paraId="38FB9BC2">
      <w:pPr>
        <w:adjustRightInd w:val="0"/>
        <w:snapToGrid w:val="0"/>
        <w:spacing w:line="360" w:lineRule="auto"/>
        <w:outlineLvl w:val="2"/>
        <w:rPr>
          <w:rFonts w:ascii="宋体" w:hAnsi="宋体" w:cs="宋体"/>
          <w:b/>
          <w:color w:val="auto"/>
          <w:szCs w:val="21"/>
          <w:highlight w:val="none"/>
        </w:rPr>
      </w:pPr>
      <w:bookmarkStart w:id="1113" w:name="_Toc19100"/>
      <w:r>
        <w:rPr>
          <w:rFonts w:hint="eastAsia" w:ascii="宋体" w:hAnsi="宋体" w:cs="宋体"/>
          <w:b/>
          <w:color w:val="auto"/>
          <w:szCs w:val="21"/>
          <w:highlight w:val="none"/>
        </w:rPr>
        <w:t>7. 工期和进度</w:t>
      </w:r>
      <w:bookmarkEnd w:id="1113"/>
    </w:p>
    <w:p w14:paraId="2793393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7.1施工组织设计</w:t>
      </w:r>
    </w:p>
    <w:p w14:paraId="5606E7B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7.1.1 施工组织设计的内容</w:t>
      </w:r>
    </w:p>
    <w:p w14:paraId="61F4578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施工组织设计应包含以下内容：</w:t>
      </w:r>
    </w:p>
    <w:p w14:paraId="75CEE68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（1）施工方案； </w:t>
      </w:r>
    </w:p>
    <w:p w14:paraId="1D6DC47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（2）施工现场平面布置图；</w:t>
      </w:r>
    </w:p>
    <w:p w14:paraId="171809B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（3）施工进度计划和保证措施； </w:t>
      </w:r>
    </w:p>
    <w:p w14:paraId="10387EB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（4）劳动力及材料供应计划；</w:t>
      </w:r>
    </w:p>
    <w:p w14:paraId="62618A1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（5）施工机械设备的选用；</w:t>
      </w:r>
    </w:p>
    <w:p w14:paraId="52FB983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（6）质量保证体系及措施；</w:t>
      </w:r>
    </w:p>
    <w:p w14:paraId="190BDD4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（7）安全生产、文明施工措施；</w:t>
      </w:r>
    </w:p>
    <w:p w14:paraId="773508C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（8）环境保护、成本控制措施；</w:t>
      </w:r>
    </w:p>
    <w:p w14:paraId="489F345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（9）合同当事人约定的其他内容。</w:t>
      </w:r>
    </w:p>
    <w:p w14:paraId="1EA7599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7.1.2 施工组织设计的提交和修改</w:t>
      </w:r>
    </w:p>
    <w:p w14:paraId="15252FA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EA2EBA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施工进度计划的编制和修改按照第7.2款〔施工进度计划〕执行。</w:t>
      </w:r>
    </w:p>
    <w:p w14:paraId="5B37E79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7.2 施工进度计划</w:t>
      </w:r>
    </w:p>
    <w:p w14:paraId="0ABBADD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7.2.1 施工进度计划的编制</w:t>
      </w:r>
    </w:p>
    <w:p w14:paraId="5D082CB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1DA7BFF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7.2.2 施工进度计划的修订</w:t>
      </w:r>
    </w:p>
    <w:p w14:paraId="477B767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67D6F8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7.3 开工</w:t>
      </w:r>
    </w:p>
    <w:p w14:paraId="752B766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7.3.1 开工准备</w:t>
      </w:r>
    </w:p>
    <w:p w14:paraId="1F699B9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3182D1C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除专用合同条款另有约定外，合同当事人应按约定完成开工准备工作。</w:t>
      </w:r>
    </w:p>
    <w:p w14:paraId="02B6F55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7.3.2 开工通知</w:t>
      </w:r>
    </w:p>
    <w:p w14:paraId="3FEFFFD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753611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365C89E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7.4测量放线</w:t>
      </w:r>
    </w:p>
    <w:p w14:paraId="1722192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122B277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C969CB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5907A63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施工过程中对施工现场内水准点等测量标志物的保护工作由承包人负责。</w:t>
      </w:r>
    </w:p>
    <w:p w14:paraId="1580AEF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7.5 工期延误</w:t>
      </w:r>
    </w:p>
    <w:p w14:paraId="04C47CB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7.5.1 因发包人原因导致工期延误</w:t>
      </w:r>
    </w:p>
    <w:p w14:paraId="00F23E0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在合同履行过程中，因下列情况导致工期延误和（或）费用增加的，由发包人承担由此延误的工期和（或）增加的费用，且发包人应支付承包人合理的利润： </w:t>
      </w:r>
    </w:p>
    <w:p w14:paraId="68430E9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（1）发包人未能按合同约定提供图纸或所提供图纸不符合合同约定的；</w:t>
      </w:r>
    </w:p>
    <w:p w14:paraId="6F9405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（2）发包人未能按合同约定提供施工现场、施工条件、基础资料、许可、批准等开工条件的；</w:t>
      </w:r>
    </w:p>
    <w:p w14:paraId="1C9B909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（3）发包人提供的测量基准点、基准线和水准点及其书面资料存在错误或疏漏的；</w:t>
      </w:r>
    </w:p>
    <w:p w14:paraId="1705FCC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（4）发包人未能在计划开工日期之日起7天内同意下达开工通知的；</w:t>
      </w:r>
    </w:p>
    <w:p w14:paraId="5BBFC3B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（5）发包人未能按合同约定日期支付工程预付款、进度款或竣工结算款的；</w:t>
      </w:r>
    </w:p>
    <w:p w14:paraId="66C4711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（6）监理人未按合同约定发出指示、批准等文件的；</w:t>
      </w:r>
    </w:p>
    <w:p w14:paraId="193353E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（7）专用合同条款中约定的其他情形。</w:t>
      </w:r>
    </w:p>
    <w:p w14:paraId="61258E0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78C620E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7.5.2 因承包人原因导致工期延误</w:t>
      </w:r>
    </w:p>
    <w:p w14:paraId="63E8CB2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因承包人原因造成工期延误的，可以在专用合同条款中约定逾期竣工违约金的计算方法和逾期竣工违约金的上限。承包人支付逾期竣工违约金后，不免除承包人继续完成工程及修补缺陷的义务。</w:t>
      </w:r>
    </w:p>
    <w:p w14:paraId="74C7836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7.6 不利物质条件</w:t>
      </w:r>
    </w:p>
    <w:p w14:paraId="250891C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54CE7D0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10A0472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7.7 异常恶劣的气候条件</w:t>
      </w:r>
    </w:p>
    <w:p w14:paraId="6FD7289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2C3D1F3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p>
    <w:p w14:paraId="3FE4671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7.8 暂停施工</w:t>
      </w:r>
    </w:p>
    <w:p w14:paraId="3852AC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7.8.1发包人原因引起的暂停施工</w:t>
      </w:r>
    </w:p>
    <w:p w14:paraId="56C2B65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因发包人原因引起暂停施工的，监理人经发包人同意后，应及时下达暂停施工指示。情况紧急且监理人未及时下达暂停施工指示的，按照第7.8.4项〔紧急情况下的暂停施工〕执行。</w:t>
      </w:r>
    </w:p>
    <w:p w14:paraId="06D9A79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因发包人原因引起的暂停施工，发包人应承担由此增加的费用和（或）延误的工期，并支付承包人合理的利润。</w:t>
      </w:r>
    </w:p>
    <w:p w14:paraId="66FFBF2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7.8.2 承包人原因引起的暂停施工</w:t>
      </w:r>
    </w:p>
    <w:p w14:paraId="7C54E67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601AAFB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7.8.3 指示暂停施工</w:t>
      </w:r>
    </w:p>
    <w:p w14:paraId="7AD3A76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监理人认为有必要时，并经发包人批准后，可向承包人作出暂停施工的指示，承包人应按监理人指示暂停施工。</w:t>
      </w:r>
    </w:p>
    <w:p w14:paraId="24CA869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7.8.4 紧急情况下的暂停施工</w:t>
      </w:r>
    </w:p>
    <w:p w14:paraId="089A3D1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2025E32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7.8.5 暂停施工后的复工</w:t>
      </w:r>
    </w:p>
    <w:p w14:paraId="68886C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54C64E3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承包人无故拖延和拒绝复工的，承包人承担由此增加的费用和（或）延误的工期；因发包人原因无法按时复工的，按照第7.5.1项〔因发包人原因导致工期延误〕约定办理。</w:t>
      </w:r>
    </w:p>
    <w:p w14:paraId="56B3FA6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7.8.6 暂停施工持续56天以上</w:t>
      </w:r>
    </w:p>
    <w:p w14:paraId="51997058">
      <w:pPr>
        <w:spacing w:line="360" w:lineRule="auto"/>
        <w:ind w:firstLine="409" w:firstLineChars="195"/>
        <w:rPr>
          <w:rFonts w:ascii="宋体" w:hAnsi="宋体" w:cs="宋体"/>
          <w:color w:val="auto"/>
          <w:szCs w:val="21"/>
          <w:highlight w:val="none"/>
        </w:rPr>
      </w:pPr>
      <w:r>
        <w:rPr>
          <w:rFonts w:hint="eastAsia" w:ascii="宋体" w:hAnsi="宋体" w:cs="宋体"/>
          <w:color w:val="auto"/>
          <w:szCs w:val="21"/>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0677CBA5">
      <w:pPr>
        <w:spacing w:line="360" w:lineRule="auto"/>
        <w:ind w:firstLine="409" w:firstLineChars="195"/>
        <w:rPr>
          <w:rFonts w:ascii="宋体" w:hAnsi="宋体" w:cs="宋体"/>
          <w:color w:val="auto"/>
          <w:szCs w:val="21"/>
          <w:highlight w:val="none"/>
        </w:rPr>
      </w:pPr>
      <w:r>
        <w:rPr>
          <w:rFonts w:hint="eastAsia" w:ascii="宋体" w:hAnsi="宋体" w:cs="宋体"/>
          <w:color w:val="auto"/>
          <w:szCs w:val="21"/>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3CCC2D18">
      <w:pPr>
        <w:spacing w:line="360" w:lineRule="auto"/>
        <w:ind w:left="16" w:firstLine="409" w:firstLineChars="195"/>
        <w:rPr>
          <w:rFonts w:ascii="宋体" w:hAnsi="宋体" w:cs="宋体"/>
          <w:color w:val="auto"/>
          <w:szCs w:val="21"/>
          <w:highlight w:val="none"/>
        </w:rPr>
      </w:pPr>
      <w:r>
        <w:rPr>
          <w:rFonts w:hint="eastAsia" w:ascii="宋体" w:hAnsi="宋体" w:cs="宋体"/>
          <w:color w:val="auto"/>
          <w:szCs w:val="21"/>
          <w:highlight w:val="none"/>
        </w:rPr>
        <w:t>7.8.7 暂停施工期间的工程照管</w:t>
      </w:r>
    </w:p>
    <w:p w14:paraId="7FEAB56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暂停施工期间，承包人应负责妥善照管工程并提供安全保障，由此增加的费用由责任方承担。</w:t>
      </w:r>
    </w:p>
    <w:p w14:paraId="6A3D24E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7.8.8 暂停施工的措施</w:t>
      </w:r>
    </w:p>
    <w:p w14:paraId="46BD83A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暂停施工期间，发包人和承包人均应采取必要的措施确保工程质量及安全，防止因暂停施工扩大损失。</w:t>
      </w:r>
    </w:p>
    <w:p w14:paraId="6F70F11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7.9提前竣工</w:t>
      </w:r>
    </w:p>
    <w:p w14:paraId="5ADED60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1C4B09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7.9.2 发包人要求承包人提前竣工，或承包人提出提前竣工的建议能够给发包人带来效益的，合同当事人可以在专用合同条款中约定提前竣工的奖励。</w:t>
      </w:r>
    </w:p>
    <w:p w14:paraId="61B67A19">
      <w:pPr>
        <w:adjustRightInd w:val="0"/>
        <w:snapToGrid w:val="0"/>
        <w:spacing w:line="360" w:lineRule="auto"/>
        <w:outlineLvl w:val="2"/>
        <w:rPr>
          <w:rFonts w:ascii="宋体" w:hAnsi="宋体" w:cs="宋体"/>
          <w:b/>
          <w:color w:val="auto"/>
          <w:szCs w:val="21"/>
          <w:highlight w:val="none"/>
        </w:rPr>
      </w:pPr>
      <w:bookmarkStart w:id="1114" w:name="_Toc17066"/>
      <w:r>
        <w:rPr>
          <w:rFonts w:hint="eastAsia" w:ascii="宋体" w:hAnsi="宋体" w:cs="宋体"/>
          <w:b/>
          <w:color w:val="auto"/>
          <w:szCs w:val="21"/>
          <w:highlight w:val="none"/>
        </w:rPr>
        <w:t>8. 材料与设备</w:t>
      </w:r>
      <w:bookmarkEnd w:id="1114"/>
    </w:p>
    <w:p w14:paraId="3076FF9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8.1发包人供应材料与工程设备</w:t>
      </w:r>
    </w:p>
    <w:p w14:paraId="60388DB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发包人自行供应材料、工程设备的，应在签订合同时在专用合同条款的附件《发包人供应材料设备一览表》中明确材料、工程设备的品种、规格、型号、数量、单价、质量等级和送达地点。</w:t>
      </w:r>
    </w:p>
    <w:p w14:paraId="74A165F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6ED2AA2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8.2承包人采购材料与工程设备</w:t>
      </w:r>
    </w:p>
    <w:p w14:paraId="22D73F3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负责采购材料、工程设备的，应按照设计和有关标准要求采购，并提供产品合格证明及出厂证明，对材料、工程设备质量负责。合同约定由承包人采购的材料、工程设备，发包人不得指定生产厂家或磋商申请人，发包人违反本款约定指定生产厂家或磋商申请人的，承包人有权拒绝，并由发包人承担相应责任。</w:t>
      </w:r>
    </w:p>
    <w:p w14:paraId="36A0E3BE">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8.3材料与工程设备的接收与拒收</w:t>
      </w:r>
    </w:p>
    <w:p w14:paraId="554DC3C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35D1F6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发包人提供的材料和工程设备的规格、数量或质量不符合合同约定的，或因发包人原因导致交货日期延误或交货地点变更等情况的，按照第16.1款〔发包人违约〕约定办理。</w:t>
      </w:r>
    </w:p>
    <w:p w14:paraId="468BB34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14:paraId="7868747D">
      <w:pPr>
        <w:autoSpaceDE w:val="0"/>
        <w:autoSpaceDN w:val="0"/>
        <w:adjustRightInd w:val="0"/>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A49E23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8.4材料与工程设备的保管与使用</w:t>
      </w:r>
    </w:p>
    <w:p w14:paraId="5F78F75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8.4.1 发包人供应材料与工程设备的保管与使用</w:t>
      </w:r>
    </w:p>
    <w:p w14:paraId="3EB5420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4AB40C8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发包人供应的材料和工程设备使用前，由承包人负责检验，检验费用由发包人承担，不合格的不得使用。</w:t>
      </w:r>
    </w:p>
    <w:p w14:paraId="78521B3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8.4.2 承包人采购材料与工程设备的保管与使用</w:t>
      </w:r>
    </w:p>
    <w:p w14:paraId="00EA19D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2FED39D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发包人或监理人发现承包人使用不符合设计或有关标准要求的材料和工程设备时，有权要求承包人进行修复、拆除或重新采购，由此增加的费用和（或）延误的工期，由承包人承担。</w:t>
      </w:r>
    </w:p>
    <w:p w14:paraId="3AD1FCC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8.5禁止使用不合格的材料和工程设备</w:t>
      </w:r>
    </w:p>
    <w:p w14:paraId="24DB185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8.5.1 监理人有权拒绝承包人提供的不合格材料或工程设备，并要求承包人立即进行更换。监理人应在更换后再次进行检查和检验，由此增加的费用和（或）延误的工期由承包人承担。</w:t>
      </w:r>
    </w:p>
    <w:p w14:paraId="044108F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8.5.2 监理人发现承包人使用了不合格的材料和工程设备，承包人应按照监理人的指示立即改正，并禁止在工程中继续使用不合格的材料和工程设备。</w:t>
      </w:r>
    </w:p>
    <w:p w14:paraId="4E0192E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8.5.3 发包人提供的材料或工程设备不符合合同要求的，承包人有权拒绝，并可要求发包人更换，由此增加的费用和（或）延误的工期由发包人承担，并支付承包人合理的利润。</w:t>
      </w:r>
    </w:p>
    <w:p w14:paraId="2D6E1B2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8.6 样品</w:t>
      </w:r>
    </w:p>
    <w:p w14:paraId="7413D86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8.6.1</w:t>
      </w:r>
      <w:r>
        <w:rPr>
          <w:rFonts w:hint="eastAsia" w:ascii="宋体" w:hAnsi="宋体" w:cs="宋体"/>
          <w:color w:val="auto"/>
          <w:szCs w:val="21"/>
          <w:highlight w:val="none"/>
        </w:rPr>
        <w:tab/>
      </w:r>
      <w:r>
        <w:rPr>
          <w:rFonts w:hint="eastAsia" w:ascii="宋体" w:hAnsi="宋体" w:cs="宋体"/>
          <w:color w:val="auto"/>
          <w:szCs w:val="21"/>
          <w:highlight w:val="none"/>
        </w:rPr>
        <w:t>样品的报送与封存</w:t>
      </w:r>
    </w:p>
    <w:p w14:paraId="38625E6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需要承包人报送样品的材料或工程设备，样品的种类、名称、规格、数量等要求均应在专用合同条款中约定。样品的报送程序如下：</w:t>
      </w:r>
    </w:p>
    <w:p w14:paraId="30CBA37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0F4A686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（2）承包人每次报送样品时应随附申报单，申报单应载明报送样品的相关数据和资料，并标明每件样品对应的图纸号，预留监理人批复意见栏。监理人应在收到承包人报送的样品后7</w:t>
      </w:r>
      <w:r>
        <w:rPr>
          <w:rFonts w:hint="eastAsia" w:ascii="宋体" w:hAnsi="宋体" w:cs="宋体"/>
          <w:color w:val="auto"/>
          <w:szCs w:val="21"/>
          <w:highlight w:val="none"/>
          <w:lang w:eastAsia="zh-CN"/>
        </w:rPr>
        <w:t>天内</w:t>
      </w:r>
      <w:r>
        <w:rPr>
          <w:rFonts w:hint="eastAsia" w:ascii="宋体" w:hAnsi="宋体" w:cs="宋体"/>
          <w:color w:val="auto"/>
          <w:szCs w:val="21"/>
          <w:highlight w:val="none"/>
        </w:rPr>
        <w:t>向承包人回复经发包人签认的样品审批意见。</w:t>
      </w:r>
    </w:p>
    <w:p w14:paraId="34948B1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（3）经发包人和监理人审批确认的样品应按约定的方法封样，封存的样品作为检验工程相关部分的标准之一。承包人在施工过程中不得使用与样品不符的材料或工程设备。</w:t>
      </w:r>
    </w:p>
    <w:p w14:paraId="41A8D05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（4）发包人和监理人对样品的审批确认仅为确认相关材料或工程设备的特征或用途，不得被理解为对合同的修改或改变，也并不减轻或免除承包人</w:t>
      </w:r>
      <w:r>
        <w:rPr>
          <w:rFonts w:hint="eastAsia" w:ascii="宋体" w:hAnsi="宋体" w:cs="宋体"/>
          <w:color w:val="auto"/>
          <w:szCs w:val="21"/>
          <w:highlight w:val="none"/>
          <w:lang w:eastAsia="zh-CN"/>
        </w:rPr>
        <w:t>任何</w:t>
      </w:r>
      <w:r>
        <w:rPr>
          <w:rFonts w:hint="eastAsia" w:ascii="宋体" w:hAnsi="宋体" w:cs="宋体"/>
          <w:color w:val="auto"/>
          <w:szCs w:val="21"/>
          <w:highlight w:val="none"/>
        </w:rPr>
        <w:t>责任和义务。如果封存的样品修改或改变了合同约定，合同当事人应当以书面协议予以确认。</w:t>
      </w:r>
    </w:p>
    <w:p w14:paraId="044E65E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8.6.2 样品的保管</w:t>
      </w:r>
    </w:p>
    <w:p w14:paraId="4EA88B9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经批准的样品应由监理人负责封存于现场，承包人应在现场为保存样品提供适当和固定的场所并保持适当和良好的存储环境条件。</w:t>
      </w:r>
    </w:p>
    <w:p w14:paraId="32FFE19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8.7材料与工程设备的替代</w:t>
      </w:r>
    </w:p>
    <w:p w14:paraId="1D7D5CF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8.7.1 出现下列情况需要使用替代材料和工程设备的，承包人应按照第8.7.2项约定的程序执行：</w:t>
      </w:r>
    </w:p>
    <w:p w14:paraId="6D64D2D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（1）基准日期后生效的法律规定禁止使用的；</w:t>
      </w:r>
    </w:p>
    <w:p w14:paraId="4FF94AC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（2）发包人要求使用替代品的；</w:t>
      </w:r>
    </w:p>
    <w:p w14:paraId="29B6E25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（3）因其他原因必须使用替代品的。</w:t>
      </w:r>
    </w:p>
    <w:p w14:paraId="68166EA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8.7.2 承包人应在使用替代材料和工程设备28天前书面通知监理人，并附下列文件：</w:t>
      </w:r>
    </w:p>
    <w:p w14:paraId="3FA02CA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（1）被替代的材料和工程设备的名称、数量、规格、型号、品牌、性能、价格及其他相关资料；</w:t>
      </w:r>
    </w:p>
    <w:p w14:paraId="7EDEB62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（2）替代品的名称、数量、规格、型号、品牌、性能、价格及其他相关资料；</w:t>
      </w:r>
    </w:p>
    <w:p w14:paraId="40FFA13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（3）替代品与被替代产品之间的差异以及使用替代品可能对工程产生的影响；</w:t>
      </w:r>
    </w:p>
    <w:p w14:paraId="29D8456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（4）替代品与被替代产品的价格差异；</w:t>
      </w:r>
    </w:p>
    <w:p w14:paraId="68EB170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（5）使用替代品的理由和原因说明；</w:t>
      </w:r>
    </w:p>
    <w:p w14:paraId="1DDFFBA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（6）监理人要求的其他文件。</w:t>
      </w:r>
    </w:p>
    <w:p w14:paraId="34C61CC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监理人应在收到通知后14天内向承包人发出经发包人签认的书面指示；监理人逾期发出书面指示的，视为发包人和监理人同意使用替代品。</w:t>
      </w:r>
    </w:p>
    <w:p w14:paraId="2F4A890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5976EA97">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8.8施工设备和临时设施</w:t>
      </w:r>
    </w:p>
    <w:p w14:paraId="42128D0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8.8.1 承包人提供的施工设备和临时设施</w:t>
      </w:r>
    </w:p>
    <w:p w14:paraId="5CB92E2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承包人应按合同进度计划的要求，及时配置施工设备和修建临时设施。进入施工场地的承包人设备需经监理人核查后才能投入使用。承包人更换合同约定的承包人设备的，应报监理人批准。</w:t>
      </w:r>
    </w:p>
    <w:p w14:paraId="472C0AC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除专用合同条款另有约定外，承包人应自行承担修建临时设施的费用，需要临时占地的，应由发包人办理申请手续并承担相应费用。</w:t>
      </w:r>
    </w:p>
    <w:p w14:paraId="7FA7074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8.8.2发包人提供的施工设备和临时设施</w:t>
      </w:r>
    </w:p>
    <w:p w14:paraId="45CF207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发包人提供的施工设备或临时设施在专用合同条款中约定。</w:t>
      </w:r>
    </w:p>
    <w:p w14:paraId="361D177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8.8.3要求承包人增加或更换施工设备</w:t>
      </w:r>
    </w:p>
    <w:p w14:paraId="151A572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承包人使用的施工设备不能满足合同进度计划和（或）质量要求时，监理人有权要求承包人增加或更换施工设备，承包人应及时增加或更换，由此增加的费用和（或）延误的工期由承包人承担。</w:t>
      </w:r>
    </w:p>
    <w:p w14:paraId="2E8F012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8.9材料与设备专用要求</w:t>
      </w:r>
    </w:p>
    <w:p w14:paraId="3F2B608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p>
    <w:p w14:paraId="7E21DE98">
      <w:pPr>
        <w:adjustRightInd w:val="0"/>
        <w:snapToGrid w:val="0"/>
        <w:spacing w:line="360" w:lineRule="auto"/>
        <w:outlineLvl w:val="2"/>
        <w:rPr>
          <w:rFonts w:ascii="宋体" w:hAnsi="宋体" w:cs="宋体"/>
          <w:b/>
          <w:color w:val="auto"/>
          <w:szCs w:val="21"/>
          <w:highlight w:val="none"/>
        </w:rPr>
      </w:pPr>
      <w:bookmarkStart w:id="1115" w:name="_Toc15054"/>
      <w:r>
        <w:rPr>
          <w:rFonts w:hint="eastAsia" w:ascii="宋体" w:hAnsi="宋体" w:cs="宋体"/>
          <w:b/>
          <w:color w:val="auto"/>
          <w:szCs w:val="21"/>
          <w:highlight w:val="none"/>
        </w:rPr>
        <w:t>9. 试验与检验</w:t>
      </w:r>
      <w:bookmarkEnd w:id="1115"/>
    </w:p>
    <w:p w14:paraId="7465741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9.1试验设备与试验人员</w:t>
      </w:r>
    </w:p>
    <w:p w14:paraId="73236E6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314F030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9.1.2 承包人应按专用合同条款的约定提供试验设备、取样装置、试验场所和试验条件，并向监理人提交相应进场计划表。</w:t>
      </w:r>
    </w:p>
    <w:p w14:paraId="3F3380B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承包人配置的试验设备要符合相应试验规程的要求并经过具有资质的检测单位检测，且在正式使用该试验设备前，需要经过监理人与承包人共同校定。</w:t>
      </w:r>
    </w:p>
    <w:p w14:paraId="35DD417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9.1.3 承包人应向监理人提交试验人员的名单及其岗位、资格等证明资料，试验人员必须能够熟练进行相应的检测试验，承包人对试验人员的试验程序和试验结果的正确性负责。</w:t>
      </w:r>
    </w:p>
    <w:p w14:paraId="04258EC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9.2取样</w:t>
      </w:r>
    </w:p>
    <w:p w14:paraId="2FE26D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试验属于自检性质的，承包人可以单独取样。试验属于监理人抽检性质的，可由监理人取样，也可由承包人的试验人员在监理人的监督下取样。</w:t>
      </w:r>
    </w:p>
    <w:p w14:paraId="1C80B3B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9.3材料、工程设备和工程的试验和检验</w:t>
      </w:r>
    </w:p>
    <w:p w14:paraId="107A9C6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ACF65C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1181346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24C41F7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9.4现场工艺试验</w:t>
      </w:r>
    </w:p>
    <w:p w14:paraId="12F8267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承包人应按合同约定或监理人指示进行现场工艺试验。对大型的现场工艺试验，监理人认为必要时，承包人应根据监理人提出的工艺试验要求，编制工艺试验措施计划，报送监理人审查。</w:t>
      </w:r>
    </w:p>
    <w:p w14:paraId="54E7B3D0">
      <w:pPr>
        <w:adjustRightInd w:val="0"/>
        <w:snapToGrid w:val="0"/>
        <w:spacing w:line="360" w:lineRule="auto"/>
        <w:outlineLvl w:val="2"/>
        <w:rPr>
          <w:rFonts w:ascii="宋体" w:hAnsi="宋体" w:cs="宋体"/>
          <w:b/>
          <w:color w:val="auto"/>
          <w:szCs w:val="21"/>
          <w:highlight w:val="none"/>
        </w:rPr>
      </w:pPr>
      <w:bookmarkStart w:id="1116" w:name="_Toc28329"/>
      <w:r>
        <w:rPr>
          <w:rFonts w:hint="eastAsia" w:ascii="宋体" w:hAnsi="宋体" w:cs="宋体"/>
          <w:b/>
          <w:color w:val="auto"/>
          <w:szCs w:val="21"/>
          <w:highlight w:val="none"/>
        </w:rPr>
        <w:t>10. 变更</w:t>
      </w:r>
      <w:bookmarkEnd w:id="1116"/>
    </w:p>
    <w:p w14:paraId="57EA089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10.1变更的范围</w:t>
      </w:r>
    </w:p>
    <w:p w14:paraId="485803A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除专用合同条款另有约定外，合同履行过程中发生以下情形的，应按照本条约定进行变更：</w:t>
      </w:r>
    </w:p>
    <w:p w14:paraId="73923C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（1）增加或减少合同中任何工作，或追加额外的工作；</w:t>
      </w:r>
    </w:p>
    <w:p w14:paraId="4C20F74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（2）取消合同中任何工作，但转由他人实施的工作除外；</w:t>
      </w:r>
    </w:p>
    <w:p w14:paraId="27BAF80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（3）改变合同中任何工作的质量标准或其他特性；</w:t>
      </w:r>
    </w:p>
    <w:p w14:paraId="4ACAA00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（4）改变工程的基线、标高、位置和尺寸；</w:t>
      </w:r>
    </w:p>
    <w:p w14:paraId="5A6910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（5）改变工程的时间安排或实施顺序。</w:t>
      </w:r>
    </w:p>
    <w:p w14:paraId="0BA3D7F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10.2变更权</w:t>
      </w:r>
    </w:p>
    <w:p w14:paraId="27A188E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B0D11A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涉及设计变更的，应由设计人提供变更后的图纸和说明。如变更超过原设计标准或批准的建设规模时，发包人应及时办理规划、设计变更等审批手续。</w:t>
      </w:r>
    </w:p>
    <w:p w14:paraId="3F6A2AE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10.3变更程序</w:t>
      </w:r>
    </w:p>
    <w:p w14:paraId="66FD8D0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10.3.1 发包人提出变更</w:t>
      </w:r>
    </w:p>
    <w:p w14:paraId="28192C7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发包人提出变更的，应通过监理人向承包人发出变更指示，变更指示应说明计划变更的工程范围和变更的内容。</w:t>
      </w:r>
    </w:p>
    <w:p w14:paraId="68CB13D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10.3.2 监理人提出变更建议</w:t>
      </w:r>
    </w:p>
    <w:p w14:paraId="51C5E83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306970A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10.3.3 变更执行</w:t>
      </w:r>
    </w:p>
    <w:p w14:paraId="581369C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7BCD7FC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10.4变更估价</w:t>
      </w:r>
    </w:p>
    <w:p w14:paraId="15AB237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10.4.1 变更估价原则</w:t>
      </w:r>
    </w:p>
    <w:p w14:paraId="617CA54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除专用合同条款另有约定外，变更估价按照本款约定处理：</w:t>
      </w:r>
    </w:p>
    <w:p w14:paraId="05DEA51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（1）已标价工程量清单或预算书有相同项目的，按照相同项目单价认定；</w:t>
      </w:r>
    </w:p>
    <w:p w14:paraId="496F16B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（2）已标价工程量清单或预算书中无相同项目，但有类似项目的，参照类似项目的单价认定；</w:t>
      </w:r>
    </w:p>
    <w:p w14:paraId="45C7B51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197AECD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10.4.2 变更估价程序</w:t>
      </w:r>
    </w:p>
    <w:p w14:paraId="1BDC40B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6BAB225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因变更引起的价格调整应计入最近一期的进度款中支付。</w:t>
      </w:r>
    </w:p>
    <w:p w14:paraId="1F5235F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10.5承包人的合理化建议</w:t>
      </w:r>
    </w:p>
    <w:p w14:paraId="2FEDC31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承包人提出合理化建议的，应向监理人提交合理化建议说明，说明建议的内容和理由，以及实施该建议对合同价格和工期的影响。</w:t>
      </w:r>
    </w:p>
    <w:p w14:paraId="4F62FCB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2385AF6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合理化建议降低了合同价格或者提高了工程经济效益的，发包人可对承包人给予奖励，奖励的方法和金额在专用合同条款中约定。</w:t>
      </w:r>
    </w:p>
    <w:p w14:paraId="5AA6E1B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 xml:space="preserve">10.6变更引起的工期调整   </w:t>
      </w:r>
    </w:p>
    <w:p w14:paraId="4F2E783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因变更引起工期变化的，合同当事人均可要求调整合同工期，由合同当事人按照第4.4款〔商定或确定〕并参考工程所在地的工期定额标准确定增减工期天数。</w:t>
      </w:r>
    </w:p>
    <w:p w14:paraId="44C668B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10.7暂估价</w:t>
      </w:r>
    </w:p>
    <w:p w14:paraId="0AABF7B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暂估价专业分包工程、服务、材料和工程设备的明细由合同当事人在专用合同条款中约定。</w:t>
      </w:r>
    </w:p>
    <w:p w14:paraId="024A188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10.7.1 依法必须招标的暂估价项目</w:t>
      </w:r>
    </w:p>
    <w:p w14:paraId="6F9B6A4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对于依法必须招标的暂估价项目，采取以下第1种方式确定。合同当事人也可以在专用合同条款中选择其他招标方式。</w:t>
      </w:r>
    </w:p>
    <w:p w14:paraId="3848F5F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第1种方式：对于依法必须招标的暂估价项目，由承包人招标，对该暂估价项目的确认和批准按照以下约定执行：</w:t>
      </w:r>
    </w:p>
    <w:p w14:paraId="621103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1B7D95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4519C5E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与磋商申请人、分包人在签订暂估价合同前，应当提前7天将确定的中标候选磋商申请人或中标候选分包人的资料报送发包人，发包人应在收到资料后3天内与承包人共同确定中标人；承包人应当在签订合同后7天内，将暂估价合同副本报送发包人留存。</w:t>
      </w:r>
    </w:p>
    <w:p w14:paraId="08CB27D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2种方式：对于依法必须招标的暂估价项目，由发包人和承包人共同招标确定暂估价磋商申请人或分包人的，承包人应按照施工进度计划，在招标工作启动前14天通知发包人，并提交暂估价招标方案和工作分工。发包人应在收到后7天内确认。确定中标人后，由发包人、承包人与中标人共同签订暂估价合同。</w:t>
      </w:r>
    </w:p>
    <w:p w14:paraId="74C2FCB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10.7.2不属于依法必须招标的暂估价项目</w:t>
      </w:r>
    </w:p>
    <w:p w14:paraId="77654A5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除专用合同条款另有约定外，对于不属于依法必须招标的暂估价项目，采取以下第1种方式确定： </w:t>
      </w:r>
    </w:p>
    <w:p w14:paraId="03E1303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第1种方式：对于不属于依法必须招标的暂估价项目，按本项约定确认和批准：</w:t>
      </w:r>
    </w:p>
    <w:p w14:paraId="710279C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0706A70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（2）发包人认为承包人确定的磋商申请人、分包人无法满足工程质量或合同要求的，发包人可以要求承包人重新确定暂估价项目的磋商申请人、分包人</w:t>
      </w:r>
      <w:r>
        <w:rPr>
          <w:rFonts w:hint="eastAsia" w:ascii="宋体" w:hAnsi="宋体" w:cs="宋体"/>
          <w:color w:val="auto"/>
          <w:szCs w:val="21"/>
          <w:highlight w:val="none"/>
          <w:lang w:eastAsia="zh-CN"/>
        </w:rPr>
        <w:t>；</w:t>
      </w:r>
    </w:p>
    <w:p w14:paraId="25437CF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（3）承包人应当在签订暂估价合同后7天内，将暂估价合同副本报送发包人留存。</w:t>
      </w:r>
    </w:p>
    <w:p w14:paraId="291D97A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第2种方式：承包人按照第10.7.1项〔依法必须招标的暂估价项目〕约定的第1种方式确定暂估价项目。</w:t>
      </w:r>
    </w:p>
    <w:p w14:paraId="6F5085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第3种方式：承包人直接实施的暂估价项目</w:t>
      </w:r>
    </w:p>
    <w:p w14:paraId="7F0DA00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承包人具备实施暂估价项目的资格和条件的，经发包人和承包人协商一致后，可由承包人自行实施暂估价项目，合同当事人可以在专用合同条款约定具体事项。</w:t>
      </w:r>
    </w:p>
    <w:p w14:paraId="48C06DD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194236A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10.8暂列金额</w:t>
      </w:r>
    </w:p>
    <w:p w14:paraId="1C37A04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暂列金额应按照发包人的要求使用，发包人的要求应通过监理人发出。合同当事人可以在专用合同条款中协商确定有关事项。</w:t>
      </w:r>
    </w:p>
    <w:p w14:paraId="1D0D789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 xml:space="preserve">10.9计日工 </w:t>
      </w:r>
    </w:p>
    <w:p w14:paraId="28D767A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6AAF8F9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采用计日工计价的任何一项工作，承包人应在该项工作实施过程中，每天提交以下报表和有关凭证报送监理人审查：</w:t>
      </w:r>
    </w:p>
    <w:p w14:paraId="6C24503F">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（1）工作名称、内容和数量；</w:t>
      </w:r>
    </w:p>
    <w:p w14:paraId="48276A29">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（2）投入该工作的所有人员的姓名、专业、工种、级别和耗用工时；</w:t>
      </w:r>
    </w:p>
    <w:p w14:paraId="2B2088AD">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（3）投入该工作的材料类别和数量；</w:t>
      </w:r>
    </w:p>
    <w:p w14:paraId="1A283043">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（4）投入该工作的施工设备型号、台数和耗用台时；</w:t>
      </w:r>
    </w:p>
    <w:p w14:paraId="12D044E6">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（5）其他有关资料和凭证。</w:t>
      </w:r>
    </w:p>
    <w:p w14:paraId="5AEFD4C4">
      <w:pPr>
        <w:spacing w:line="360" w:lineRule="auto"/>
        <w:ind w:firstLine="315" w:firstLineChars="150"/>
        <w:rPr>
          <w:rFonts w:ascii="宋体" w:hAnsi="宋体" w:cs="宋体"/>
          <w:color w:val="auto"/>
          <w:szCs w:val="21"/>
          <w:highlight w:val="none"/>
        </w:rPr>
      </w:pPr>
      <w:r>
        <w:rPr>
          <w:rFonts w:hint="eastAsia" w:ascii="宋体" w:hAnsi="宋体" w:cs="宋体"/>
          <w:color w:val="auto"/>
          <w:szCs w:val="21"/>
          <w:highlight w:val="none"/>
        </w:rPr>
        <w:t xml:space="preserve"> 计日工由承包人汇总后，列入最近一期进度付款申请单，由监理人审查并经发包人批准后列入进度付款。</w:t>
      </w:r>
    </w:p>
    <w:p w14:paraId="3DC2394C">
      <w:pPr>
        <w:adjustRightInd w:val="0"/>
        <w:snapToGrid w:val="0"/>
        <w:spacing w:line="360" w:lineRule="auto"/>
        <w:outlineLvl w:val="2"/>
        <w:rPr>
          <w:rFonts w:ascii="宋体" w:hAnsi="宋体" w:cs="宋体"/>
          <w:b/>
          <w:color w:val="auto"/>
          <w:szCs w:val="21"/>
          <w:highlight w:val="none"/>
        </w:rPr>
      </w:pPr>
      <w:bookmarkStart w:id="1117" w:name="_Toc1715"/>
      <w:r>
        <w:rPr>
          <w:rFonts w:hint="eastAsia" w:ascii="宋体" w:hAnsi="宋体" w:cs="宋体"/>
          <w:b/>
          <w:color w:val="auto"/>
          <w:szCs w:val="21"/>
          <w:highlight w:val="none"/>
        </w:rPr>
        <w:t>11. 价格调整</w:t>
      </w:r>
      <w:bookmarkEnd w:id="1117"/>
    </w:p>
    <w:p w14:paraId="5F1CE72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11.1市场价格波动引起的调整</w:t>
      </w:r>
    </w:p>
    <w:p w14:paraId="72DBEA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除专用合同条款另有约定外，市场价格波动超过合同当事人约定的范围，合同价格应当调整。合同当事人可以在专用合同条款中约定选择以下一种方式对合同价格进行调整：</w:t>
      </w:r>
    </w:p>
    <w:p w14:paraId="79D25AA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第1种方式：采用价格指数进行价格调整。</w:t>
      </w:r>
    </w:p>
    <w:p w14:paraId="15ED8162">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（1）价格调整公式</w:t>
      </w:r>
    </w:p>
    <w:p w14:paraId="53893AAE">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因人工、材料和设备等价格波动影响合同价格时，根据专用合同条款中约定的数据，按以下公式计算差额并调整合同价格：</w:t>
      </w:r>
    </w:p>
    <w:p w14:paraId="529D1A40">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30"/>
          <w:szCs w:val="21"/>
          <w:highlight w:val="none"/>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7004D872">
      <w:pPr>
        <w:tabs>
          <w:tab w:val="left" w:pos="0"/>
          <w:tab w:val="left" w:pos="360"/>
          <w:tab w:val="left" w:pos="540"/>
        </w:tabs>
        <w:spacing w:line="360" w:lineRule="auto"/>
        <w:ind w:firstLine="640"/>
        <w:rPr>
          <w:rFonts w:ascii="宋体" w:hAnsi="宋体" w:cs="宋体"/>
          <w:color w:val="auto"/>
          <w:szCs w:val="21"/>
          <w:highlight w:val="none"/>
        </w:rPr>
      </w:pPr>
      <w:r>
        <w:rPr>
          <w:rFonts w:hint="eastAsia" w:ascii="宋体" w:hAnsi="宋体" w:cs="宋体"/>
          <w:color w:val="auto"/>
          <w:szCs w:val="21"/>
          <w:highlight w:val="none"/>
        </w:rPr>
        <w:t>公式中：ΔP——需调整的价格差额；</w:t>
      </w:r>
    </w:p>
    <w:p w14:paraId="04F08D65">
      <w:pPr>
        <w:tabs>
          <w:tab w:val="left" w:pos="0"/>
          <w:tab w:val="left" w:pos="360"/>
          <w:tab w:val="left" w:pos="540"/>
        </w:tabs>
        <w:spacing w:line="360" w:lineRule="auto"/>
        <w:ind w:firstLine="1260" w:firstLineChars="600"/>
        <w:rPr>
          <w:rFonts w:ascii="宋体" w:hAnsi="宋体" w:cs="宋体"/>
          <w:color w:val="auto"/>
          <w:szCs w:val="21"/>
          <w:highlight w:val="none"/>
        </w:rPr>
      </w:pPr>
      <w:r>
        <w:rPr>
          <w:rFonts w:hint="eastAsia" w:ascii="宋体" w:hAnsi="宋体" w:cs="宋体"/>
          <w:color w:val="auto"/>
          <w:position w:val="-6"/>
          <w:szCs w:val="21"/>
          <w:highlight w:val="none"/>
        </w:rPr>
        <w:object>
          <v:shape id="_x0000_i1026" o:spt="75" type="#_x0000_t75" style="height:14.5pt;width:14.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s="宋体"/>
          <w:color w:val="auto"/>
          <w:szCs w:val="21"/>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14:paraId="1B6D1876">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A——定值权重（即不调部分的权重）；</w:t>
      </w:r>
    </w:p>
    <w:p w14:paraId="43502642">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7" o:spt="75" type="#_x0000_t75" style="height:21.5pt;width:100.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s="宋体"/>
          <w:color w:val="auto"/>
          <w:szCs w:val="21"/>
          <w:highlight w:val="none"/>
        </w:rPr>
        <w:t>——各可调因子的变值权重（即可调部分的权重），为各可调因子在签约合同价中所占的比例；</w:t>
      </w:r>
    </w:p>
    <w:p w14:paraId="74D87F13">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8" o:spt="75" type="#_x0000_t75" style="height:21.5pt;width:100.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s="宋体"/>
          <w:color w:val="auto"/>
          <w:szCs w:val="21"/>
          <w:highlight w:val="none"/>
        </w:rPr>
        <w:t>——各可调因子的现行价格指数，指约定的付款证书相关周期最后一天的前42天的各可调因子的价格指数；</w:t>
      </w:r>
    </w:p>
    <w:p w14:paraId="308FF896">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position w:val="-10"/>
          <w:szCs w:val="21"/>
          <w:highlight w:val="none"/>
        </w:rPr>
        <w:object>
          <v:shape id="_x0000_i1029" o:spt="75" type="#_x0000_t75" style="height:21.5pt;width:108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s="宋体"/>
          <w:color w:val="auto"/>
          <w:szCs w:val="21"/>
          <w:highlight w:val="none"/>
        </w:rPr>
        <w:t>——各可调因子的基本价格指数，指基准日期的各可调因子的价格指数。</w:t>
      </w:r>
    </w:p>
    <w:p w14:paraId="1E404F90">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2438FC37">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（2）暂时确定调整差额</w:t>
      </w:r>
    </w:p>
    <w:p w14:paraId="39308699">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在计算调整差额时无现行价格指数的，合同当事人同意暂用前次价格指数计算。实际价格指数有调整的，合同当事人进行相应调整。</w:t>
      </w:r>
    </w:p>
    <w:p w14:paraId="15A87367">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（3）权重的调整</w:t>
      </w:r>
    </w:p>
    <w:p w14:paraId="7A5FE565">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因变更导致合同约定的权重不合理时，按照第4.4款〔商定或确定〕执行。</w:t>
      </w:r>
    </w:p>
    <w:p w14:paraId="4BF04F9F">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（4）因承包人原因工期延误后的价格调整</w:t>
      </w:r>
    </w:p>
    <w:p w14:paraId="5D2B7162">
      <w:pPr>
        <w:tabs>
          <w:tab w:val="left" w:pos="0"/>
          <w:tab w:val="left" w:pos="360"/>
          <w:tab w:val="left" w:pos="540"/>
        </w:tabs>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因承包人原因未按期竣工的，对合同约定的竣工日期后继续施工的工程，在使用价格调整公式时，应采用计划竣工日期与实际竣工日期的两个价格指数中较低的一个作为现行价格指数。</w:t>
      </w:r>
    </w:p>
    <w:p w14:paraId="66A9A8A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第2种方式：采用造价信息进行价格调整。</w:t>
      </w:r>
    </w:p>
    <w:p w14:paraId="15B7BF4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45329C0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4198951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（2）材料、工程设备价格变化的价款调整按照发包人提供的基准价格，按以下风险范围规定执行</w:t>
      </w:r>
      <w:r>
        <w:rPr>
          <w:rFonts w:hint="eastAsia" w:ascii="宋体" w:hAnsi="宋体" w:cs="宋体"/>
          <w:color w:val="auto"/>
          <w:szCs w:val="21"/>
          <w:highlight w:val="none"/>
          <w:lang w:eastAsia="zh-CN"/>
        </w:rPr>
        <w:t>：</w:t>
      </w:r>
    </w:p>
    <w:p w14:paraId="159C069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1DB6B9E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0605EED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③承包人在已标价工程量清单或预算书中载明材料单价等于基准价格的：除专用合同条款另有约定外，合同履行期间材料单价涨跌幅以基准价格为基础超过±5%时，其超过部分据实调整。</w:t>
      </w:r>
    </w:p>
    <w:p w14:paraId="2CA787F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3218DA5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前述基准价格是指由发包人在招标文件或专用合同条款中给定的材料、工程设备的价格，该价格原则上应当按照省级或行业建设主管部门或其授权的工程造价管理机构发布的信息价编制。</w:t>
      </w:r>
    </w:p>
    <w:p w14:paraId="7E7DF95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（3）施工机械台班单价或施工机械使用费发生变化超过省级或行业建设主管部门或其授权的工程造价管理机构规定的范围时，按规定调整合同价格。</w:t>
      </w:r>
    </w:p>
    <w:p w14:paraId="41D4BEA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第3种方式：专用合同条款约定的其他方式。</w:t>
      </w:r>
    </w:p>
    <w:p w14:paraId="19A3D4C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11.2法律变化引起的调整</w:t>
      </w:r>
    </w:p>
    <w:p w14:paraId="3D26BFA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1292DF4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因法律变化引起的合同价格和工期调整，合同当事人无法达成一致的，由总监理工程师按第4.4款〔商定或确定〕的约定处理。</w:t>
      </w:r>
    </w:p>
    <w:p w14:paraId="278B90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因承包人原因造成工期延误，在工期延误期间出现法律变化的，由此增加的费用和（或）延误的工期由承包人承担。</w:t>
      </w:r>
    </w:p>
    <w:p w14:paraId="3044163D">
      <w:pPr>
        <w:adjustRightInd w:val="0"/>
        <w:snapToGrid w:val="0"/>
        <w:spacing w:line="360" w:lineRule="auto"/>
        <w:outlineLvl w:val="2"/>
        <w:rPr>
          <w:rFonts w:ascii="宋体" w:hAnsi="宋体" w:cs="宋体"/>
          <w:b/>
          <w:color w:val="auto"/>
          <w:szCs w:val="21"/>
          <w:highlight w:val="none"/>
        </w:rPr>
      </w:pPr>
      <w:bookmarkStart w:id="1118" w:name="_Toc19061"/>
      <w:r>
        <w:rPr>
          <w:rFonts w:hint="eastAsia" w:ascii="宋体" w:hAnsi="宋体" w:cs="宋体"/>
          <w:b/>
          <w:color w:val="auto"/>
          <w:szCs w:val="21"/>
          <w:highlight w:val="none"/>
        </w:rPr>
        <w:t>12. 合同价格、计量与支付</w:t>
      </w:r>
      <w:bookmarkEnd w:id="1118"/>
    </w:p>
    <w:p w14:paraId="3F15EDD7">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12.1 合同价格形式</w:t>
      </w:r>
    </w:p>
    <w:p w14:paraId="4752161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发包人和承包人应在合同协议书中选择下列一种合同价格形式： </w:t>
      </w:r>
    </w:p>
    <w:p w14:paraId="33273B8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1.单价合同</w:t>
      </w:r>
    </w:p>
    <w:p w14:paraId="0323F14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14EC09F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2.总价合同</w:t>
      </w:r>
    </w:p>
    <w:p w14:paraId="3E46DBB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3F66DE0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eastAsia="zh-CN"/>
        </w:rPr>
        <w:t>其他</w:t>
      </w:r>
      <w:r>
        <w:rPr>
          <w:rFonts w:hint="eastAsia" w:ascii="宋体" w:hAnsi="宋体" w:cs="宋体"/>
          <w:color w:val="auto"/>
          <w:szCs w:val="21"/>
          <w:highlight w:val="none"/>
        </w:rPr>
        <w:t>价格形式</w:t>
      </w:r>
    </w:p>
    <w:p w14:paraId="6861A73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合同当事人可在专用合同条款中约定其他合同价格形式。</w:t>
      </w:r>
    </w:p>
    <w:p w14:paraId="0559951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12.2预付款</w:t>
      </w:r>
    </w:p>
    <w:p w14:paraId="58B8991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12.2.1预付款的支付</w:t>
      </w:r>
    </w:p>
    <w:p w14:paraId="3CD536F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预付款的支付按照专用合同条款约定执行，但至迟应在开工通知载明的开工日期7天前支付。预付款应当用于材料、工程设备、施工设备的采购及修建临时工程、组织施工队伍进场等。</w:t>
      </w:r>
    </w:p>
    <w:p w14:paraId="5AAA32A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除专用合同条款另有约定外，预付款在进度付款中同比例扣回。在颁发工程接收证书前，提前解除合同的，尚未扣完的预付款应与合同价款一并结算。</w:t>
      </w:r>
    </w:p>
    <w:p w14:paraId="4E667F8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发包人逾期支付预付款超过7天的，承包人有权向发包人发出要求预付的催告通知，发包人收到通知后7天内仍未支付的，承包人有权暂停施工，并按第16.1.1项〔发包人违约的情形〕执行。</w:t>
      </w:r>
    </w:p>
    <w:p w14:paraId="4D37E4E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12.2.2 预付款担保</w:t>
      </w:r>
    </w:p>
    <w:p w14:paraId="7454E02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77285C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发包人在工程款中逐期扣回预付款后，预付款担保额度应相应减少，但剩余的预付款担保金额不得低于未被扣回的预付款金额。</w:t>
      </w:r>
    </w:p>
    <w:p w14:paraId="627F475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12.3计量</w:t>
      </w:r>
    </w:p>
    <w:p w14:paraId="47E1230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12.3.1 计量原则</w:t>
      </w:r>
    </w:p>
    <w:p w14:paraId="2309D3D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工程量计量按照合同约定的工程量计算规则、图纸及变更指示等进行计量。工程量计算规则应以相关的国家标准、行业标准等为依据，由合同当事人在专用合同条款中约定。</w:t>
      </w:r>
    </w:p>
    <w:p w14:paraId="4B114C4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12.3.2 计量周期</w:t>
      </w:r>
    </w:p>
    <w:p w14:paraId="71A72F5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除专用合同条款另有约定外，工程量的计量按月进行。</w:t>
      </w:r>
    </w:p>
    <w:p w14:paraId="35CFA1E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12.3.3 单价合同的计量</w:t>
      </w:r>
    </w:p>
    <w:p w14:paraId="7983D70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除专用合同条款另有约定外，单价合同的计量按照本项约定执行：</w:t>
      </w:r>
    </w:p>
    <w:p w14:paraId="51DD819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（1）承包人应于每月25日向监理人报送上月20日至当月19日已完成的工程量报告，并附具进度付款申请单、已完成工程量报表和有关资料。</w:t>
      </w:r>
    </w:p>
    <w:p w14:paraId="39C121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121777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（3）监理人未在收到承包人提交的工程量报表后的7天内完成审核的，承包人报送的工程量报告中的工程量视为承包人实际完成的工程量，据此计算工程价款。</w:t>
      </w:r>
    </w:p>
    <w:p w14:paraId="3BF1B13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12.3.4 总价合同的计量</w:t>
      </w:r>
    </w:p>
    <w:p w14:paraId="4228EE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除专用合同条款另有约定外，按月计量支付的总价合同，按照本项约定执行：</w:t>
      </w:r>
    </w:p>
    <w:p w14:paraId="3751106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（1）承包人应于每月25日向监理人报送上月20日至当月19日已完成的工程量报告，并附具进度付款申请单、已完成工程量报表和有关资料。</w:t>
      </w:r>
    </w:p>
    <w:p w14:paraId="3BEE98E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4B6CC82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（3）监理人未在收到承包人提交的工程量报表后的7天内完成复核的，承包人提交的工程量报告中的工程量视为承包人实际完成的工程量。</w:t>
      </w:r>
    </w:p>
    <w:p w14:paraId="27488CF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12.3.5 总价合同采用支付分解表计量支付的，可以按照第12.3.4项〔总价合同的计量〕约定进行计量，但合同价款按照支付分解表进行支付。</w:t>
      </w:r>
    </w:p>
    <w:p w14:paraId="25559E8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12.3.6 其他价格形式合同的计量</w:t>
      </w:r>
    </w:p>
    <w:p w14:paraId="60B05C7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合同当事人可在专用合同条款中约定其他价格形式合同的计量方式和程序。</w:t>
      </w:r>
    </w:p>
    <w:p w14:paraId="68D91C5F">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12.4工程进度款支付</w:t>
      </w:r>
    </w:p>
    <w:p w14:paraId="6C22571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12.4.1 付款周期</w:t>
      </w:r>
    </w:p>
    <w:p w14:paraId="7C74848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除专用合同条款另有约定外，付款周期应按照第12.3.2项〔计量周期〕的约定与计量周期保持一致。</w:t>
      </w:r>
    </w:p>
    <w:p w14:paraId="1D0DAB5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12.4.2 进度付款申请单的编制</w:t>
      </w:r>
    </w:p>
    <w:p w14:paraId="30727F7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除专用合同条款另有约定外，进度付款申请单应包括下列内容：</w:t>
      </w:r>
    </w:p>
    <w:p w14:paraId="3391032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（1）截至本次付款周期已完成工作对应的金额；</w:t>
      </w:r>
    </w:p>
    <w:p w14:paraId="5D32998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（2）根据第10条〔变更〕应增加和扣减的变更金额；</w:t>
      </w:r>
    </w:p>
    <w:p w14:paraId="7937B56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（3）根据第12.2款〔预付款〕约定应支付的预付款和扣减的返还预付款；</w:t>
      </w:r>
    </w:p>
    <w:p w14:paraId="69369AC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（4）根据第15.3款〔质量保证金〕约定应扣减的质量保证金；</w:t>
      </w:r>
    </w:p>
    <w:p w14:paraId="6EDC182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（5）根据第19条〔索赔〕应增加和扣减的索赔金额；</w:t>
      </w:r>
    </w:p>
    <w:p w14:paraId="0C97B74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（6）对已签发的进度款支付证书中出现错误的修正，应在本次进度付款中支付或扣除的金额；</w:t>
      </w:r>
    </w:p>
    <w:p w14:paraId="335E3B3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（7）根据合同约定应增加和扣减的其他金额。</w:t>
      </w:r>
    </w:p>
    <w:p w14:paraId="4112777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12.4.3 进度付款申请单的提交</w:t>
      </w:r>
    </w:p>
    <w:p w14:paraId="7C7DB27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（1）单价合同进度付款申请单的提交</w:t>
      </w:r>
    </w:p>
    <w:p w14:paraId="7D34A62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67D7B42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（2）总价合同进度付款申请单的提交</w:t>
      </w:r>
    </w:p>
    <w:p w14:paraId="5926679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总价合同按月计量支付的，承包人按照第12.3.4项〔总价合同的计量〕约定的时间按月向监理人提交进度付款申请单，并附上已完成工程量报表和有关资料。</w:t>
      </w:r>
    </w:p>
    <w:p w14:paraId="3160497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总价合同按支付分解表支付的，承包人应按照第12.4.6项〔支付分解表〕及第12.4.2项〔进度付款申请单的编制〕的约定向监理人提交进度付款申请单。</w:t>
      </w:r>
    </w:p>
    <w:p w14:paraId="55EF5CF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（3）其他价格形式合同的进度付款申请单的提交</w:t>
      </w:r>
    </w:p>
    <w:p w14:paraId="5ACEE19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合同当事人可在专用合同条款中约定其他价格形式合同的进度付款申请单的编制和提交程序。</w:t>
      </w:r>
    </w:p>
    <w:p w14:paraId="4DB1914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12.4.4 进度款审核和支付</w:t>
      </w:r>
    </w:p>
    <w:p w14:paraId="30205EA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4DC66D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7663149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14:paraId="5219925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（3）发包人签发进度款支付证书或临时进度款支付证书，不表明发包人已同意、批准或接受了承包人完成的相应部分的工作。</w:t>
      </w:r>
    </w:p>
    <w:p w14:paraId="3A0FD0F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12.4.5 进度付款的修正</w:t>
      </w:r>
    </w:p>
    <w:p w14:paraId="0BD0B13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在对已签发的进度款支付证书进行阶段汇总和复核中发现错误、遗漏或重复的，发包人和承包人均有权提出修正申请。经发包人和承包人同意的修正，应在下期进度付款中支付或扣除。</w:t>
      </w:r>
    </w:p>
    <w:p w14:paraId="602BF6E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12.4.6 支付分解表</w:t>
      </w:r>
    </w:p>
    <w:p w14:paraId="11ACE1C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1.支付分解表的编制要求</w:t>
      </w:r>
    </w:p>
    <w:p w14:paraId="305E568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（1）支付分解表中所列的每期付款金额，应为第12.4.2项〔进度付款申请单的编制〕第（1</w:t>
      </w:r>
      <w:r>
        <w:rPr>
          <w:rFonts w:hint="eastAsia" w:ascii="宋体" w:hAnsi="宋体" w:cs="宋体"/>
          <w:color w:val="auto"/>
          <w:szCs w:val="21"/>
          <w:highlight w:val="none"/>
          <w:lang w:eastAsia="zh-CN"/>
        </w:rPr>
        <w:t>）项</w:t>
      </w:r>
      <w:r>
        <w:rPr>
          <w:rFonts w:hint="eastAsia" w:ascii="宋体" w:hAnsi="宋体" w:cs="宋体"/>
          <w:color w:val="auto"/>
          <w:szCs w:val="21"/>
          <w:highlight w:val="none"/>
        </w:rPr>
        <w:t>目的估算金额；</w:t>
      </w:r>
    </w:p>
    <w:p w14:paraId="2E2B2F1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（2）实际进度与施工进度计划不一致的，合同当事人可按照第4.4款〔商定或确定〕修改支付分解表；</w:t>
      </w:r>
    </w:p>
    <w:p w14:paraId="49BA9DA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（3）不采用支付分解表的，承包人应向发包人和监理人提交按季度编制的支付估算分解表，用于支付参考。</w:t>
      </w:r>
    </w:p>
    <w:p w14:paraId="174026F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2.总价合同支付分解表的编制与审批</w:t>
      </w:r>
    </w:p>
    <w:p w14:paraId="13242DF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E0370A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（2）监理人应在收到支付分解表后7天内完成审核并报送发包人。发包人应在收到经监理人审核的支付分解表后7天内完成审批，经发包人批准的支付分解表为有约束力的支付分解表。</w:t>
      </w:r>
    </w:p>
    <w:p w14:paraId="1506C64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（3）发包人逾期未完成支付分解表审批的，也未及时要求承包人进行修正和提供补充资料的，则承包人提交的支付分解表视为已经获得发包人批准。</w:t>
      </w:r>
    </w:p>
    <w:p w14:paraId="3FF0C65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3.单价合同的总价项目支付分解表的编制与审批</w:t>
      </w:r>
    </w:p>
    <w:p w14:paraId="12F5D4D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7BF22E4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12.5支付账户</w:t>
      </w:r>
    </w:p>
    <w:p w14:paraId="14E5C67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发包人应将合同价款支付至合同协议书中约定的承包人账户。</w:t>
      </w:r>
    </w:p>
    <w:p w14:paraId="4DFB7C1A">
      <w:pPr>
        <w:adjustRightInd w:val="0"/>
        <w:snapToGrid w:val="0"/>
        <w:spacing w:line="360" w:lineRule="auto"/>
        <w:outlineLvl w:val="2"/>
        <w:rPr>
          <w:rFonts w:ascii="宋体" w:hAnsi="宋体" w:cs="宋体"/>
          <w:b/>
          <w:color w:val="auto"/>
          <w:szCs w:val="21"/>
          <w:highlight w:val="none"/>
        </w:rPr>
      </w:pPr>
      <w:bookmarkStart w:id="1119" w:name="_Toc10105"/>
      <w:r>
        <w:rPr>
          <w:rFonts w:hint="eastAsia" w:ascii="宋体" w:hAnsi="宋体" w:cs="宋体"/>
          <w:b/>
          <w:color w:val="auto"/>
          <w:szCs w:val="21"/>
          <w:highlight w:val="none"/>
        </w:rPr>
        <w:t>13. 验收和工程试车</w:t>
      </w:r>
      <w:bookmarkEnd w:id="1119"/>
    </w:p>
    <w:p w14:paraId="43D4C61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13.1分部分项工程验收</w:t>
      </w:r>
    </w:p>
    <w:p w14:paraId="54C12A1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13.1.1 分部分项工程质量应符合国家有关工程施工验收规范、标准及合同约定，承包人应按照施工组织设计的要求完成分部分项工程施工。</w:t>
      </w:r>
    </w:p>
    <w:p w14:paraId="117983B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7DBF9E0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分部分项工程的验收资料应当作为竣工资料的组成部分。</w:t>
      </w:r>
    </w:p>
    <w:p w14:paraId="3B1E97D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13.2竣工验收</w:t>
      </w:r>
    </w:p>
    <w:p w14:paraId="1FB3BB3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13.2.1竣工验收条件</w:t>
      </w:r>
    </w:p>
    <w:p w14:paraId="4D21277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工程具备以下条件的，承包人可以申请竣工验收：</w:t>
      </w:r>
    </w:p>
    <w:p w14:paraId="0BF3997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（1）除发包人同意的甩项工作和缺陷修补工作外，合同范围内的全部工程以及有关工作，包括合同要求的试验、试运行以及检验均已完成，并符合合同要求；</w:t>
      </w:r>
    </w:p>
    <w:p w14:paraId="1B53E5B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（2）已按合同约定编制了甩项工作和缺陷修补工作清单以及相应的施工计划；</w:t>
      </w:r>
    </w:p>
    <w:p w14:paraId="7C9F814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（3）已按合同约定的内容和份数备齐竣工资料。</w:t>
      </w:r>
    </w:p>
    <w:p w14:paraId="0E2E7F2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13.2.2竣工验收程序</w:t>
      </w:r>
    </w:p>
    <w:p w14:paraId="28D1657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除专用合同条款另有约定外，承包人申请竣工验收的，应当按照以下程序进行：</w:t>
      </w:r>
    </w:p>
    <w:p w14:paraId="042E861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7D9C2A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480CFB9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（3）竣工验收合格的，发包人应在验收合格后14天内向承包人签发工程接收证书。发包人无正当理由逾期不颁发工程接收证书的，自验收合格后第15天起视为已颁发工程接收证书。</w:t>
      </w:r>
    </w:p>
    <w:p w14:paraId="351C02C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EA2837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0B9A9F3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除专用合同条款另有约定外，发包人不按照本项约定组织竣工验收、颁发工程接收证书的，每逾期一天，应以签约合同价为基数，按照中国人民银行发布的同期同类贷款基准利率支付违约金。</w:t>
      </w:r>
    </w:p>
    <w:p w14:paraId="45DB985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13.2.3竣工日期</w:t>
      </w:r>
    </w:p>
    <w:p w14:paraId="146F14E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14:paraId="04817B3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13.2.4 拒绝接收全部或部分工程</w:t>
      </w:r>
    </w:p>
    <w:p w14:paraId="7661E27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243B0E5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13.2.5 移交、接收全部与部分工程</w:t>
      </w:r>
    </w:p>
    <w:p w14:paraId="08A1B7D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除专用合同条款另有约定外，合同当事人应当在颁发工程接收证书后7天内完成工程的移交。</w:t>
      </w:r>
    </w:p>
    <w:p w14:paraId="3F154D6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14:paraId="2F46392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承包人无正当理由不移交工程的，承包人应承担工程照管、成品保护、保管等与工程有关的各项费用，合同当事人可以在专用合同条款中另行约定承包人无正当理由不移交工程的违约责任。</w:t>
      </w:r>
    </w:p>
    <w:p w14:paraId="340BB93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13.3工程试车</w:t>
      </w:r>
    </w:p>
    <w:p w14:paraId="40CCDB8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13.3.1试车程序</w:t>
      </w:r>
    </w:p>
    <w:p w14:paraId="0E0EA98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工程需要试车的，除专用合同条款另有约定外，试车内容应与承包人承包范围相一致，试车费用由承包人承担。工程试车应按如下程序进行：</w:t>
      </w:r>
    </w:p>
    <w:p w14:paraId="63897D1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2C90191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2F207E3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0C9720E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13.3.2 试车中的责任</w:t>
      </w:r>
    </w:p>
    <w:p w14:paraId="1CD53F3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3BE6F4E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64E062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13.3.3 投料试车</w:t>
      </w:r>
    </w:p>
    <w:p w14:paraId="1A4FD86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如需进行投料试车的，发包人应在工程竣工验收后组织投料试车。发包人要求在工程竣工验收前进行或需要承包人配合时，应征得承包人同意，并在专用合同条款中约定有关事项。</w:t>
      </w:r>
    </w:p>
    <w:p w14:paraId="042D71B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5E6F1BFE">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13.4提前交付单位工程的验收</w:t>
      </w:r>
    </w:p>
    <w:p w14:paraId="6791BBC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13.4.1 发包人需要在工程竣工前使用单位工程的，或承包人提出提前交付已经竣工的单位工程且经发包人同意的，可进行单位工程验收，验收的程序按照第13.2款〔竣工验收〕的约定进行。</w:t>
      </w:r>
    </w:p>
    <w:p w14:paraId="5CDEDA8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14:paraId="6C7331B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13.4.2 发包人要求在工程竣工前交付单位工程，由此导致承包人费用增加和（或）工期延误的，由发包人承担由此增加的费用和（或）延误的工期，并支付承包人合理的利润。</w:t>
      </w:r>
    </w:p>
    <w:p w14:paraId="1A46C87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13.5 施工期运行</w:t>
      </w:r>
    </w:p>
    <w:p w14:paraId="288563A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204D097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13.5.2 在施工期运行中发现工程或工程设备损坏或存在缺陷的，由承包人按第15.2款〔缺陷责任期〕约定进行修复。</w:t>
      </w:r>
    </w:p>
    <w:p w14:paraId="4671B1A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13.6 竣工退场</w:t>
      </w:r>
    </w:p>
    <w:p w14:paraId="12B8A10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13.6.1 竣工退场</w:t>
      </w:r>
    </w:p>
    <w:p w14:paraId="5005F86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颁发工程接收证书后，承包人应按以下要求对施工现场进行清理：</w:t>
      </w:r>
    </w:p>
    <w:p w14:paraId="1016B0F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）施工现场</w:t>
      </w:r>
      <w:r>
        <w:rPr>
          <w:rFonts w:hint="eastAsia" w:ascii="宋体" w:hAnsi="宋体" w:cs="宋体"/>
          <w:color w:val="auto"/>
          <w:szCs w:val="21"/>
          <w:highlight w:val="none"/>
        </w:rPr>
        <w:t>残留的垃圾已全部清除出场；</w:t>
      </w:r>
    </w:p>
    <w:p w14:paraId="518F42F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（2）临时工程已拆除，场地已进行清理、平整或复原；</w:t>
      </w:r>
    </w:p>
    <w:p w14:paraId="00085AF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（3）按合同约定应撤离的人员、承包人施工设备和剩余的材料，包括废弃的施工设备和材料，已按计划撤离施工现场；</w:t>
      </w:r>
    </w:p>
    <w:p w14:paraId="5B9684C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（4）施工现场周边及其附近道路、河道的施工堆积物，已全部清理；</w:t>
      </w:r>
    </w:p>
    <w:p w14:paraId="3870B85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（5）施工现场其他场地清理工作已全部完成。</w:t>
      </w:r>
    </w:p>
    <w:p w14:paraId="575C8DE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14BC24B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13.6.2 地表还原</w:t>
      </w:r>
    </w:p>
    <w:p w14:paraId="10D965D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F25798B">
      <w:pPr>
        <w:adjustRightInd w:val="0"/>
        <w:snapToGrid w:val="0"/>
        <w:spacing w:line="360" w:lineRule="auto"/>
        <w:outlineLvl w:val="2"/>
        <w:rPr>
          <w:rFonts w:ascii="宋体" w:hAnsi="宋体" w:cs="宋体"/>
          <w:b/>
          <w:color w:val="auto"/>
          <w:szCs w:val="21"/>
          <w:highlight w:val="none"/>
        </w:rPr>
      </w:pPr>
      <w:bookmarkStart w:id="1120" w:name="_Toc29635"/>
      <w:r>
        <w:rPr>
          <w:rFonts w:hint="eastAsia" w:ascii="宋体" w:hAnsi="宋体" w:cs="宋体"/>
          <w:b/>
          <w:color w:val="auto"/>
          <w:szCs w:val="21"/>
          <w:highlight w:val="none"/>
        </w:rPr>
        <w:t>14. 竣工结算</w:t>
      </w:r>
      <w:bookmarkEnd w:id="1120"/>
    </w:p>
    <w:p w14:paraId="5BB4B46B">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14.1 竣工结算申请</w:t>
      </w:r>
    </w:p>
    <w:p w14:paraId="3E7A4E8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p>
    <w:p w14:paraId="7522785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除专用合同条款另有约定外，竣工结算申请单应包括以下内容：</w:t>
      </w:r>
    </w:p>
    <w:p w14:paraId="466F746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（1）竣工结算合同价格；</w:t>
      </w:r>
    </w:p>
    <w:p w14:paraId="3CD162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（2）发包人已支付承包人的款项；</w:t>
      </w:r>
    </w:p>
    <w:p w14:paraId="47B5A18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（3）应扣留的质量保证金。已缴纳履约保证金的或提供其他工程质量担保方式的除外； </w:t>
      </w:r>
    </w:p>
    <w:p w14:paraId="1E02ABA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（4）发包人应支付承包人的合同价款。</w:t>
      </w:r>
    </w:p>
    <w:p w14:paraId="6780304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14.2 竣工结算审核</w:t>
      </w:r>
    </w:p>
    <w:p w14:paraId="3BC93BB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32046AC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6E80BD2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5BE4E30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76E71C9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14.3 甩项竣工协议</w:t>
      </w:r>
    </w:p>
    <w:p w14:paraId="1B41003D">
      <w:pPr>
        <w:autoSpaceDE w:val="0"/>
        <w:autoSpaceDN w:val="0"/>
        <w:adjustRightInd w:val="0"/>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14:paraId="27B2D1F1">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14.4 最终结清</w:t>
      </w:r>
    </w:p>
    <w:p w14:paraId="122CE3B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14.4.1 最终结清申请单</w:t>
      </w:r>
    </w:p>
    <w:p w14:paraId="5F28C32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（1）除专用合同条款另有约定外，承包人应在缺陷责任期终止证书颁发后7天内，按专用合同条款约定的份数向发包人提交最终结清申请单，并提供相关证明材料。</w:t>
      </w:r>
    </w:p>
    <w:p w14:paraId="39D3FA6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除专用合同条款另有约定外，最终结清申请单应列明质量保证金、应扣除的质量保证金、缺陷责任期内发生的增减费用。</w:t>
      </w:r>
    </w:p>
    <w:p w14:paraId="1438FFB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（2）发包人对最终结清申请单内容有异议的，有权要求承包人进行修正和提供补充资料，承包人应向发包人提交修正后的最终结清申请单。</w:t>
      </w:r>
    </w:p>
    <w:p w14:paraId="69B76E0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14.4.2 最终结清证书和支付</w:t>
      </w:r>
    </w:p>
    <w:p w14:paraId="3D047B6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6FFFD49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48CB14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（3）承包人对发包人颁发的最终结清证书有异议的，按第20条〔争议解决〕的约定办理。</w:t>
      </w:r>
    </w:p>
    <w:p w14:paraId="647AB335">
      <w:pPr>
        <w:adjustRightInd w:val="0"/>
        <w:snapToGrid w:val="0"/>
        <w:spacing w:line="360" w:lineRule="auto"/>
        <w:outlineLvl w:val="2"/>
        <w:rPr>
          <w:rFonts w:ascii="宋体" w:hAnsi="宋体" w:cs="宋体"/>
          <w:b/>
          <w:color w:val="auto"/>
          <w:szCs w:val="21"/>
          <w:highlight w:val="none"/>
        </w:rPr>
      </w:pPr>
      <w:bookmarkStart w:id="1121" w:name="_Toc4183"/>
      <w:r>
        <w:rPr>
          <w:rFonts w:hint="eastAsia" w:ascii="宋体" w:hAnsi="宋体" w:cs="宋体"/>
          <w:b/>
          <w:color w:val="auto"/>
          <w:szCs w:val="21"/>
          <w:highlight w:val="none"/>
        </w:rPr>
        <w:t>15. 缺陷责任与保修</w:t>
      </w:r>
      <w:bookmarkEnd w:id="1121"/>
    </w:p>
    <w:p w14:paraId="5239E91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15.1 工程保修的原则</w:t>
      </w:r>
    </w:p>
    <w:p w14:paraId="12B02CB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在工程移交发包人后，因承包人原因产生的质量缺陷，承包人应承担质量缺陷责任和保修义务。缺陷责任期届满，承包人仍应按合同约定的工程各部位保修年限承担保修义务。</w:t>
      </w:r>
    </w:p>
    <w:p w14:paraId="0BAF362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15.2 缺陷责任期</w:t>
      </w:r>
    </w:p>
    <w:p w14:paraId="5BBD44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15.2.1 缺陷责任期从工程通过竣工验收之日起计算，合同当事人应在专用合同条款约定缺陷责任期的具体期限，但该期限最长不超过24个月。</w:t>
      </w:r>
    </w:p>
    <w:p w14:paraId="06F2C29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2A1F518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cs="宋体"/>
          <w:bCs/>
          <w:color w:val="auto"/>
          <w:szCs w:val="21"/>
          <w:highlight w:val="none"/>
        </w:rPr>
        <w:t>包人延长缺陷责任期，</w:t>
      </w:r>
      <w:r>
        <w:rPr>
          <w:rFonts w:hint="eastAsia" w:ascii="宋体" w:hAnsi="宋体" w:cs="宋体"/>
          <w:color w:val="auto"/>
          <w:szCs w:val="21"/>
          <w:highlight w:val="none"/>
        </w:rPr>
        <w:t>并应在原缺陷责任期届满前发出延长通知。</w:t>
      </w:r>
      <w:r>
        <w:rPr>
          <w:rFonts w:hint="eastAsia" w:ascii="宋体" w:hAnsi="宋体" w:cs="宋体"/>
          <w:bCs/>
          <w:color w:val="auto"/>
          <w:szCs w:val="21"/>
          <w:highlight w:val="none"/>
        </w:rPr>
        <w:t>但缺陷责任期（含延长部分）最长</w:t>
      </w:r>
      <w:r>
        <w:rPr>
          <w:rFonts w:hint="eastAsia" w:ascii="宋体" w:hAnsi="宋体" w:cs="宋体"/>
          <w:color w:val="auto"/>
          <w:szCs w:val="21"/>
          <w:highlight w:val="none"/>
        </w:rPr>
        <w:t>不能超过24个月。</w:t>
      </w:r>
    </w:p>
    <w:p w14:paraId="0E867C0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由他人原因造成的缺陷，发包人负责组织维修，承包人不承担费用，且发包人不得从保证金中扣除费用。</w:t>
      </w:r>
    </w:p>
    <w:p w14:paraId="585030C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15.2.3 任何一项缺陷或损坏修复后，经检查证明其影响了工程或工程设备的使用性能，承包人应重新进行合同约定的试验和试运行，试验和试运行的全部费用应由责任方承担。</w:t>
      </w:r>
    </w:p>
    <w:p w14:paraId="176BB97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1AB6605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15.3 质量保证金</w:t>
      </w:r>
    </w:p>
    <w:p w14:paraId="619AFB9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经合同当事人协商一致扣留质量保证金的，应在专用合同条款中予以明确。</w:t>
      </w:r>
    </w:p>
    <w:p w14:paraId="11B1BD3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在工程项目竣工前，承包人已经提供履约担保的，发包人不得同时预留工程质量保证金。</w:t>
      </w:r>
    </w:p>
    <w:p w14:paraId="6AB4FB7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15.3.1 承包人提供质量保证金的方式</w:t>
      </w:r>
    </w:p>
    <w:p w14:paraId="3C20C4B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承包人提供质量保证金有以下三种方式：</w:t>
      </w:r>
    </w:p>
    <w:p w14:paraId="5026DC2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（1）质量保证金保函； </w:t>
      </w:r>
    </w:p>
    <w:p w14:paraId="7DD85E7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（2）相应比例的工程款；</w:t>
      </w:r>
    </w:p>
    <w:p w14:paraId="70ACF21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（3）双方约定的其他方式。</w:t>
      </w:r>
    </w:p>
    <w:p w14:paraId="35CF535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除专用合同条款另有约定外，质量保证金原则上采用上述第（1）种方式。</w:t>
      </w:r>
    </w:p>
    <w:p w14:paraId="6DBBF58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15.3.2 质量保证金的扣留</w:t>
      </w:r>
    </w:p>
    <w:p w14:paraId="5EC6671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质量保证金的扣留有以下三种方式：</w:t>
      </w:r>
    </w:p>
    <w:p w14:paraId="7C6D1EA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（1）在支付工程进度款时逐次扣留，在此情形下，质量保证金的计算基数不包括预付款的支付、扣回以及价格调整的金额；</w:t>
      </w:r>
    </w:p>
    <w:p w14:paraId="013D522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（2）工程竣工结算时一次性扣留质量保证金；</w:t>
      </w:r>
    </w:p>
    <w:p w14:paraId="288523E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（3）双方约定的其他扣留方式。</w:t>
      </w:r>
    </w:p>
    <w:p w14:paraId="16BEC27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除专用合同条款另有约定外，质量保证金的扣留原则上采用上述第（1）种方式。</w:t>
      </w:r>
    </w:p>
    <w:p w14:paraId="2F38008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1279055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发包人在退还质量保证金的同时按照中国人民银行发布的同期同类贷款基准利率支付利息。</w:t>
      </w:r>
    </w:p>
    <w:p w14:paraId="47CE7E9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15.3.3 质量保证金的退还</w:t>
      </w:r>
    </w:p>
    <w:p w14:paraId="57DBF80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缺陷责任期内，承包人认真履行合同约定的责任，到期后，承包人可向发包人申请返还保证金。</w:t>
      </w:r>
    </w:p>
    <w:p w14:paraId="2CC631E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4A75483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发包人和承包人对保证金预留、返还以及工程维修质量、费用有争议的，按本合同第20条约定的争议和纠纷解决程序处理。</w:t>
      </w:r>
    </w:p>
    <w:p w14:paraId="105FD23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15.4 保修</w:t>
      </w:r>
    </w:p>
    <w:p w14:paraId="470FCA2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15.4.1保修责任</w:t>
      </w:r>
    </w:p>
    <w:p w14:paraId="43CB8CB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72E2320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发包人未经竣工验收擅自使用工程的，保修期自转移占有之日起算。</w:t>
      </w:r>
    </w:p>
    <w:p w14:paraId="6AA71A4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15.4.2 修复费用</w:t>
      </w:r>
    </w:p>
    <w:p w14:paraId="27A8E64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保修期内，修复的费用按照以下约定处理：</w:t>
      </w:r>
    </w:p>
    <w:p w14:paraId="1597C1C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（1）保修期内，因承包人原因造成工程的缺陷、损坏，承包人应负责修复，并承担修复的费用以及因工程的缺陷、损坏造成的人身伤害和财产损失；</w:t>
      </w:r>
    </w:p>
    <w:p w14:paraId="79F1FD2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（2）保修期内，因发包人使用不当造成工程的缺陷、损坏，可以委托承包人修复，但发包人应承担修复的费用，并支付承包人合理利润；</w:t>
      </w:r>
    </w:p>
    <w:p w14:paraId="5388D54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（3）因其他原因造成工程的缺陷、损坏，可以委托承包人修复，发包人应承担修复的费用，并支付承包人合理的利润，因工程的缺陷、损坏造成的人身伤害和财产损失由责任方承担。</w:t>
      </w:r>
    </w:p>
    <w:p w14:paraId="436AA2B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15.4.3 修复通知</w:t>
      </w:r>
    </w:p>
    <w:p w14:paraId="6CF025F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53EE0B8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15.4.4 未能修复</w:t>
      </w:r>
    </w:p>
    <w:p w14:paraId="6E3D82A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8C917A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15.4.5 承包人出入权</w:t>
      </w:r>
    </w:p>
    <w:p w14:paraId="659C5DB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3AC43AB4">
      <w:pPr>
        <w:adjustRightInd w:val="0"/>
        <w:snapToGrid w:val="0"/>
        <w:spacing w:line="360" w:lineRule="auto"/>
        <w:outlineLvl w:val="2"/>
        <w:rPr>
          <w:rFonts w:ascii="宋体" w:hAnsi="宋体" w:cs="宋体"/>
          <w:b/>
          <w:color w:val="auto"/>
          <w:szCs w:val="21"/>
          <w:highlight w:val="none"/>
        </w:rPr>
      </w:pPr>
      <w:bookmarkStart w:id="1122" w:name="_Toc29680"/>
      <w:r>
        <w:rPr>
          <w:rFonts w:hint="eastAsia" w:ascii="宋体" w:hAnsi="宋体" w:cs="宋体"/>
          <w:b/>
          <w:color w:val="auto"/>
          <w:szCs w:val="21"/>
          <w:highlight w:val="none"/>
        </w:rPr>
        <w:t>16. 违约</w:t>
      </w:r>
      <w:bookmarkEnd w:id="1122"/>
    </w:p>
    <w:p w14:paraId="150CE39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16.1 发包人违约</w:t>
      </w:r>
    </w:p>
    <w:p w14:paraId="2A839CF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16.1.1 发包人违约的情形</w:t>
      </w:r>
    </w:p>
    <w:p w14:paraId="1628FD9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在合同履行过程中发生的下列情形，属于发包人违约：</w:t>
      </w:r>
    </w:p>
    <w:p w14:paraId="3D95E94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（1）因发包人原因未能在计划开工日期前7天内下达开工通知的；</w:t>
      </w:r>
    </w:p>
    <w:p w14:paraId="3B23AEC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（2）因发包人原因未能按合同约定支付合同价款的；</w:t>
      </w:r>
    </w:p>
    <w:p w14:paraId="62F3C0A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（3）发包人违反第10.1款〔变更的范围〕第（2）项约定，自行实施被取消的工作或转由他人实施的；</w:t>
      </w:r>
    </w:p>
    <w:p w14:paraId="3C33D79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（4）发包人提供的材料、工程设备的规格、数量或质量不符合合同约定，或因发包人原因导致交货日期延误或交货地点变更等情况的；</w:t>
      </w:r>
    </w:p>
    <w:p w14:paraId="2BE353F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（5）因发包人违反合同约定造成暂停施工的；</w:t>
      </w:r>
    </w:p>
    <w:p w14:paraId="4B17F6F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（6）发包人无正当理由没有在约定期限内发出复工指示，导致承包人无法复工的；</w:t>
      </w:r>
    </w:p>
    <w:p w14:paraId="716AB80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（7）发包人明确表示或者以其行为表明不履行合同主要义务的；</w:t>
      </w:r>
    </w:p>
    <w:p w14:paraId="2622AAE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（8）发包人未能按照合同约定履行其他义务的。</w:t>
      </w:r>
    </w:p>
    <w:p w14:paraId="1B0328F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6347B61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16.1.2 发包人违约的责任</w:t>
      </w:r>
    </w:p>
    <w:p w14:paraId="512278A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发包人应承担因其违约给承包人增加的费用和（或）延误的工期，并支付承包人合理的利润。此外，合同当事人可在专用合同条款中另行约定发包人违约责任的承担方式和计算方法。</w:t>
      </w:r>
    </w:p>
    <w:p w14:paraId="327CBEF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16.1.3 因发包人违约解除合同</w:t>
      </w:r>
    </w:p>
    <w:p w14:paraId="76B7116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8245A9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16.1.4 因发包人违约解除合同后的付款</w:t>
      </w:r>
    </w:p>
    <w:p w14:paraId="55B329BE">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承包人按照本款约定解除合同的，发包人应在解除合同后28天内支付下列款项，并解除履约担保：</w:t>
      </w:r>
    </w:p>
    <w:p w14:paraId="55553949">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（1）合同解除前所完成工作的价款；</w:t>
      </w:r>
    </w:p>
    <w:p w14:paraId="4183888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（2）承包人为工程施工订购并已付款的材料、工程设备和其他物品的价款；</w:t>
      </w:r>
    </w:p>
    <w:p w14:paraId="6E186E5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（3）承包人撤离施工现场以及遣散承包人人员的款项；</w:t>
      </w:r>
    </w:p>
    <w:p w14:paraId="3A4CEEC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（4）按照合同约定在合同解除前应支付的违约金；</w:t>
      </w:r>
    </w:p>
    <w:p w14:paraId="3470D13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（5）按照合同约定应当支付给承包人的其他款项；</w:t>
      </w:r>
    </w:p>
    <w:p w14:paraId="6716CFB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（6）按照合同约定应退还的质量保证金；</w:t>
      </w:r>
    </w:p>
    <w:p w14:paraId="712AB9A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（7）因解除合同给承包人造成的损失。</w:t>
      </w:r>
    </w:p>
    <w:p w14:paraId="0F211B4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合同当事人未能就解除合同后的结清达成一致的，按照第20条〔争议解决〕的约定处理。</w:t>
      </w:r>
    </w:p>
    <w:p w14:paraId="042043F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承包人应妥善做好已完工程和与工程有关的已购材料、工程设备的保护和移交工作，并将施工设备和人员撤出施工现场，发包人应为承包人撤出提供必要条件。</w:t>
      </w:r>
    </w:p>
    <w:p w14:paraId="64DB438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16.2 承包人违约</w:t>
      </w:r>
    </w:p>
    <w:p w14:paraId="4ABA56C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16.2.1 承包人违约的情形</w:t>
      </w:r>
    </w:p>
    <w:p w14:paraId="699EF33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在合同履行过程中发生的下列情形，属于承包人违约：</w:t>
      </w:r>
    </w:p>
    <w:p w14:paraId="11E6762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（1）承包人违反合同约定进行转包或违法分包的；</w:t>
      </w:r>
    </w:p>
    <w:p w14:paraId="514F8DD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（2）承包人违反合同约定采购和使用不合格的材料和工程设备的；</w:t>
      </w:r>
    </w:p>
    <w:p w14:paraId="7401122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（3）因承包人原因导致工程质量不符合合同要求的； </w:t>
      </w:r>
    </w:p>
    <w:p w14:paraId="6822199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（4）承包人违反第8.9款〔材料与设备专用要求〕的约定，未经批准，私自将已按照合同约定进入施工现场的材料或设备撤离施工现场的；</w:t>
      </w:r>
    </w:p>
    <w:p w14:paraId="7F3D85C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（5）承包人未能按施工进度计划及时完成合同约定的工作，造成工期延误的；</w:t>
      </w:r>
    </w:p>
    <w:p w14:paraId="764148A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（6）承包人在缺陷责任期及保修期内，未能在合理期</w:t>
      </w:r>
      <w:r>
        <w:rPr>
          <w:rFonts w:hint="eastAsia" w:ascii="宋体" w:hAnsi="宋体" w:cs="宋体"/>
          <w:color w:val="auto"/>
          <w:szCs w:val="21"/>
          <w:highlight w:val="none"/>
          <w:lang w:eastAsia="zh-CN"/>
        </w:rPr>
        <w:t>限内</w:t>
      </w:r>
      <w:r>
        <w:rPr>
          <w:rFonts w:hint="eastAsia" w:ascii="宋体" w:hAnsi="宋体" w:cs="宋体"/>
          <w:color w:val="auto"/>
          <w:szCs w:val="21"/>
          <w:highlight w:val="none"/>
        </w:rPr>
        <w:t>对工程缺陷进行修复，或拒绝按发包人要求进行修复的；</w:t>
      </w:r>
    </w:p>
    <w:p w14:paraId="418C2AB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（7）承包人明确表示或者以其行为表明不履行合同主要义务的；</w:t>
      </w:r>
    </w:p>
    <w:p w14:paraId="394FB3C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（8）承包人未能按照合同约定履行其他义务的。</w:t>
      </w:r>
    </w:p>
    <w:p w14:paraId="41B0B87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承包人发生除本项第（7）目约定以外的其他违约情况时，监理人可向承包人发出整改通知，要求其在指定的期限内改正。</w:t>
      </w:r>
    </w:p>
    <w:p w14:paraId="33A107D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16.2.2 承包人违约的责任</w:t>
      </w:r>
    </w:p>
    <w:p w14:paraId="43B6AAC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承包人应承担因其违约行为而增加的费用和（或）延误的工期。此外，合同当事人可在专用合同条款中另行约定承包人违约责任的承担方式和计算方法。</w:t>
      </w:r>
    </w:p>
    <w:p w14:paraId="51C389A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16.2.3 因承包人违约解除合同</w:t>
      </w:r>
    </w:p>
    <w:p w14:paraId="5584F6A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68F751D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16.2.4因承包人违约解除合同后的处理</w:t>
      </w:r>
    </w:p>
    <w:p w14:paraId="730B718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因承包人原因导致合同解除的，则合同当事人应在合同解除后28天内完成估价、付款和清算，并按以下约定执行：</w:t>
      </w:r>
    </w:p>
    <w:p w14:paraId="190F52B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（1）合同解除后，按第4.4款〔商定或确定〕商定或确定承包人实际完成工作对应的合同价款，以及承包人已提供的材料、工程设备、施工设备和临时工程等的价值；</w:t>
      </w:r>
    </w:p>
    <w:p w14:paraId="7BE5D88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（2）合同解除后，承包人应支付的违约金；</w:t>
      </w:r>
    </w:p>
    <w:p w14:paraId="3BB091E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（3）合同解除后，因解除合同给发包人造成的损失；</w:t>
      </w:r>
    </w:p>
    <w:p w14:paraId="7FDA234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（4）合同解除后，承包人应按照发包人要求和监理人的指示完成现场的清理和撤离；</w:t>
      </w:r>
    </w:p>
    <w:p w14:paraId="6E877AB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（5）发包人和承包人应在合同解除后进行清算，出具最终结清付款证书，结清全部款项。</w:t>
      </w:r>
    </w:p>
    <w:p w14:paraId="5E7C5D8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因承包人违约解除合同的，发包人有权暂停对承包人的付款，查清各项付款和已扣款项。发包人和承包人未能就合同解除后的清算和款项支付达成一致的，按照第20条〔争议解决〕的约定处理。</w:t>
      </w:r>
    </w:p>
    <w:p w14:paraId="641CFF2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16.2.5采购合同权益转让</w:t>
      </w:r>
    </w:p>
    <w:p w14:paraId="47753F5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承包人违约解除合同的，发包人有权要求承包人将其为实施合同而签订的材料和设备的采购合同的权益转让给发包人，承包人应在收到解除合同通知后14天内，协助发包人与采购合同的磋商申请人达成相关的转让协议。</w:t>
      </w:r>
    </w:p>
    <w:p w14:paraId="780C44C5">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16.3 第三人造成的违约</w:t>
      </w:r>
    </w:p>
    <w:p w14:paraId="09B73B0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在履行合同过程中，一方当事人因第三人的原因造成违约的，应当向对方当事人承担违约责任。一方当事人和第三人之间的纠纷，依照法律规定或者按照约定解决。</w:t>
      </w:r>
    </w:p>
    <w:p w14:paraId="5560EA0A">
      <w:pPr>
        <w:adjustRightInd w:val="0"/>
        <w:snapToGrid w:val="0"/>
        <w:spacing w:line="360" w:lineRule="auto"/>
        <w:outlineLvl w:val="2"/>
        <w:rPr>
          <w:rFonts w:ascii="宋体" w:hAnsi="宋体" w:cs="宋体"/>
          <w:b/>
          <w:color w:val="auto"/>
          <w:szCs w:val="21"/>
          <w:highlight w:val="none"/>
        </w:rPr>
      </w:pPr>
      <w:bookmarkStart w:id="1123" w:name="_Toc9238"/>
      <w:r>
        <w:rPr>
          <w:rFonts w:hint="eastAsia" w:ascii="宋体" w:hAnsi="宋体" w:cs="宋体"/>
          <w:b/>
          <w:color w:val="auto"/>
          <w:szCs w:val="21"/>
          <w:highlight w:val="none"/>
        </w:rPr>
        <w:t>17. 不可抗力</w:t>
      </w:r>
      <w:bookmarkEnd w:id="1123"/>
      <w:r>
        <w:rPr>
          <w:rFonts w:hint="eastAsia" w:ascii="宋体" w:hAnsi="宋体" w:cs="宋体"/>
          <w:b/>
          <w:color w:val="auto"/>
          <w:szCs w:val="21"/>
          <w:highlight w:val="none"/>
        </w:rPr>
        <w:t xml:space="preserve"> </w:t>
      </w:r>
    </w:p>
    <w:p w14:paraId="01FF61B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17.1 不可抗力的确认</w:t>
      </w:r>
    </w:p>
    <w:p w14:paraId="3D5397E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14:paraId="4AF708C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0219A4C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17.2 不可抗力的通知</w:t>
      </w:r>
    </w:p>
    <w:p w14:paraId="2CD3F76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合同一方当事人遇到不可抗力事件，使其履行合同义务受到阻碍时，应立即通知合同另一方当事人和监理人，书面说明不可抗力和受阻碍的详细情况，并提供必要的证明。</w:t>
      </w:r>
    </w:p>
    <w:p w14:paraId="5AC72DB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不可抗力持续发生的，合同一方当事人应及时向合同另一方当事人和监理人提交中间报告，说明不可抗力和履行合同受阻的情况，并于不可抗力事件结束后28天内提交最终报告及有关资料。</w:t>
      </w:r>
    </w:p>
    <w:p w14:paraId="2630D92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17.3 不可抗力后果的承担</w:t>
      </w:r>
    </w:p>
    <w:p w14:paraId="3B06D48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17.3.1 不可抗力引起的后果及造成的损失由合同当事人按照法律规定及合同约定各自承担。不可抗力发生前已完成的工程应当按照合同约定进行计量支付。</w:t>
      </w:r>
    </w:p>
    <w:p w14:paraId="10141D7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17.3.2 不可抗力导致的人员伤亡、财产损失、费用增加和（或）工期延误等后果，由合同当事人按以下原则承担：</w:t>
      </w:r>
    </w:p>
    <w:p w14:paraId="6EBABFE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（1）永久工程、已运至施工现场的材料和工程设备的损坏，以及因工程损坏造成的第三人人员伤亡和财产损失由发包人承担；</w:t>
      </w:r>
    </w:p>
    <w:p w14:paraId="0D602BA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（2）承包人施工设备的损坏由承包人承担；</w:t>
      </w:r>
    </w:p>
    <w:p w14:paraId="3D77648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（3）发包人和承包人承担各自人员伤亡和财产的损失；</w:t>
      </w:r>
    </w:p>
    <w:p w14:paraId="28589E75">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14:paraId="6AC3BB4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（5）因不可抗力引起或将引起工期延误，发包人要求赶工的，由此增加的赶工费用由发包人承担；</w:t>
      </w:r>
    </w:p>
    <w:p w14:paraId="71F5802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（6）承包人在停工期间按照发包人要求照管、清理和修复工程的费用由发包人承担。</w:t>
      </w:r>
    </w:p>
    <w:p w14:paraId="7241D8F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不可抗力发生后，合同当事人均应采取措施尽量避免和减少损失的扩大，任何一方当事人没有采取有效措施导致损失扩大的，应对扩大的损失承担责任。</w:t>
      </w:r>
    </w:p>
    <w:p w14:paraId="632E621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因合同一方迟延履行合同义务，在迟延履行期间遭遇不可抗力的，不免除其违约责任。</w:t>
      </w:r>
    </w:p>
    <w:p w14:paraId="0576C44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17.4 因不可抗力解除合同</w:t>
      </w:r>
    </w:p>
    <w:p w14:paraId="3854DE84">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14:paraId="2AE9380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（1）合同解除前承包人已完成工作的价款；</w:t>
      </w:r>
    </w:p>
    <w:p w14:paraId="5018639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（2）承包人为工程订购的并已交付给承包人，或承包人有责任接受交付的材料、工程设备和其他物品的价款；</w:t>
      </w:r>
    </w:p>
    <w:p w14:paraId="52B0ED38">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（3）发包人要求承包人退货或解除订货合同而产生的费用，或因不能退货或解除合同而产生的损失；</w:t>
      </w:r>
    </w:p>
    <w:p w14:paraId="68896FFB">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（4）承包人撤离施工现场以及遣散承包人人员的费用；</w:t>
      </w:r>
    </w:p>
    <w:p w14:paraId="7B99ECF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（5）按照合同约定在合同解除前应支付给承包人的其他款项；</w:t>
      </w:r>
    </w:p>
    <w:p w14:paraId="5B239D96">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（6）扣减承包人按照合同约定应向发包人支付的款项；</w:t>
      </w:r>
    </w:p>
    <w:p w14:paraId="00615AA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（7）双方商定或确定的其他款项。</w:t>
      </w:r>
    </w:p>
    <w:p w14:paraId="31DEDC35">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除专用合同条款另有约定外，合同解除后，发包人应在商定或确定上述款项后28天内完成上述款项的支付。</w:t>
      </w:r>
    </w:p>
    <w:p w14:paraId="4DB2B18D">
      <w:pPr>
        <w:adjustRightInd w:val="0"/>
        <w:snapToGrid w:val="0"/>
        <w:spacing w:line="360" w:lineRule="auto"/>
        <w:outlineLvl w:val="2"/>
        <w:rPr>
          <w:rFonts w:ascii="宋体" w:hAnsi="宋体" w:cs="宋体"/>
          <w:b/>
          <w:color w:val="auto"/>
          <w:szCs w:val="21"/>
          <w:highlight w:val="none"/>
        </w:rPr>
      </w:pPr>
      <w:bookmarkStart w:id="1124" w:name="_Toc11777"/>
      <w:r>
        <w:rPr>
          <w:rFonts w:hint="eastAsia" w:ascii="宋体" w:hAnsi="宋体" w:cs="宋体"/>
          <w:b/>
          <w:color w:val="auto"/>
          <w:szCs w:val="21"/>
          <w:highlight w:val="none"/>
        </w:rPr>
        <w:t>18. 保险</w:t>
      </w:r>
      <w:bookmarkEnd w:id="1124"/>
    </w:p>
    <w:p w14:paraId="5B523D58">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18.1 工程保险</w:t>
      </w:r>
    </w:p>
    <w:p w14:paraId="7D0851F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除专用合同条款另有约定外，发包人应投保建筑工程一切险或安装工程一切险；发包人委托承包人投保的，因投保产生的保险费和其他相关费用由发包人承担。</w:t>
      </w:r>
    </w:p>
    <w:p w14:paraId="433DCB12">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18.2 工伤保险</w:t>
      </w:r>
    </w:p>
    <w:p w14:paraId="34A4571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18.2.1 发包人应依照法律规定参加工伤保险，并为在施工现场的全部员工办理工伤保险，缴纳工伤保险费，并要求监理人及由发包人为履行合同聘请的第三方依法参加工伤保险。</w:t>
      </w:r>
    </w:p>
    <w:p w14:paraId="1FAD05BD">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18.2.2 承包人应依照法律规定参加工伤保险，并为其履行合同的全部员工办理工伤保险</w:t>
      </w:r>
      <w:r>
        <w:rPr>
          <w:rFonts w:hint="eastAsia" w:ascii="宋体" w:hAnsi="宋体" w:cs="宋体"/>
          <w:color w:val="auto"/>
          <w:szCs w:val="21"/>
          <w:highlight w:val="none"/>
          <w:lang w:eastAsia="zh-CN"/>
        </w:rPr>
        <w:t>，并</w:t>
      </w:r>
      <w:r>
        <w:rPr>
          <w:rFonts w:hint="eastAsia" w:ascii="宋体" w:hAnsi="宋体" w:cs="宋体"/>
          <w:color w:val="auto"/>
          <w:szCs w:val="21"/>
          <w:highlight w:val="none"/>
        </w:rPr>
        <w:t>缴纳工伤保险费，并要求分包人及由承包人为履行合同聘请的第三方依法参加工伤保险。</w:t>
      </w:r>
    </w:p>
    <w:p w14:paraId="4BC1DFFA">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18.3其他保险</w:t>
      </w:r>
    </w:p>
    <w:p w14:paraId="67BA5C2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发包人和承包人可以为其施工现场的全部人员办理意外伤害保险并支付保险费，包括其员工及为履行合同聘请的第三方的人员，具体事项由合同当事人在专用合同条款约定。</w:t>
      </w:r>
    </w:p>
    <w:p w14:paraId="736D1D73">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除专用合同条款另有约定外，承包人应为其施工设备等办理财产保险。</w:t>
      </w:r>
    </w:p>
    <w:p w14:paraId="3C0FBF36">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18.4持续保险</w:t>
      </w:r>
    </w:p>
    <w:p w14:paraId="43274CF7">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合同当事人应与保险人保持联系，使保险人能够随时了解工程实施中的变动，并确保按保险合同条款要求持续保险。</w:t>
      </w:r>
    </w:p>
    <w:p w14:paraId="55C06B1B">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18.5 保险凭证</w:t>
      </w:r>
    </w:p>
    <w:p w14:paraId="51D9E0A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合同当事人应及时向另一方当事人提交其已投保的各项保险的凭证和保险单复印件。</w:t>
      </w:r>
    </w:p>
    <w:p w14:paraId="2E8CF59C">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18.6 未按约定投保的补救</w:t>
      </w:r>
    </w:p>
    <w:p w14:paraId="70B7345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18.6.1发包人未按合同约定办理保险，或未能使保险持续有效的，则承包人可代为办理，所需费用由发包人承担。发包人未按合同约定办理保险，导致未能得到足额赔偿的，由发包人负责补足。</w:t>
      </w:r>
    </w:p>
    <w:p w14:paraId="3F5EEEAD">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18.6.2承包人未按合同约定办理保险，或未能使保险持续有效的，则发包人可代为办理，所需费用由承包人承担。承包人未按合同约定办理保险，导致未能得到足额赔偿的，由承包人负责补足。</w:t>
      </w:r>
    </w:p>
    <w:p w14:paraId="37F7486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18.7 通知义务</w:t>
      </w:r>
    </w:p>
    <w:p w14:paraId="24A06970">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14:paraId="38F9AA0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保险事故发生时，投保人应按照保险合同规定的条件和期限及时向保险人报告。发包人和承包人应当在知道保险事故发生后及时通知对方。</w:t>
      </w:r>
    </w:p>
    <w:p w14:paraId="5CFBCAAB">
      <w:pPr>
        <w:adjustRightInd w:val="0"/>
        <w:snapToGrid w:val="0"/>
        <w:spacing w:line="360" w:lineRule="auto"/>
        <w:outlineLvl w:val="2"/>
        <w:rPr>
          <w:rFonts w:ascii="宋体" w:hAnsi="宋体" w:cs="宋体"/>
          <w:b/>
          <w:color w:val="auto"/>
          <w:szCs w:val="21"/>
          <w:highlight w:val="none"/>
        </w:rPr>
      </w:pPr>
      <w:bookmarkStart w:id="1125" w:name="_Toc32665"/>
      <w:r>
        <w:rPr>
          <w:rFonts w:hint="eastAsia" w:ascii="宋体" w:hAnsi="宋体" w:cs="宋体"/>
          <w:b/>
          <w:color w:val="auto"/>
          <w:szCs w:val="21"/>
          <w:highlight w:val="none"/>
        </w:rPr>
        <w:t>19. 索赔</w:t>
      </w:r>
      <w:bookmarkEnd w:id="1125"/>
    </w:p>
    <w:p w14:paraId="429AE7F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19.1承包人的索赔</w:t>
      </w:r>
    </w:p>
    <w:p w14:paraId="4BC1295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根据合同约定，承包人认为有权得到追加付款和（或）延长工期的，应按以下程序向发包人提出索赔：</w:t>
      </w:r>
    </w:p>
    <w:p w14:paraId="4C5C0D8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027FD7D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（2）承包人应在发出索赔意向通知书后28天内，向监理人正式递交索赔报告；索赔报告应详细说明索赔理由以及要求追加的付款金额和（或）延长的工期，并附必要的记录和证明材料；</w:t>
      </w:r>
    </w:p>
    <w:p w14:paraId="7D88779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（3）索赔事件具有持续影响的，承包人应按合理时间间隔继续递交延续索赔通知，说明持续影响的实际情况和记录，列出累计的追加付款金额和（或）工期延长天数；</w:t>
      </w:r>
    </w:p>
    <w:p w14:paraId="776010C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（4）在索赔事件影响结束后28天内，承包人应向监理人递交最终索赔报告，说明最终要求索赔的追加付款金额和（或）延长的工期，并附必要的记录和证明材料。</w:t>
      </w:r>
    </w:p>
    <w:p w14:paraId="3B709310">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19.2 对承包人索赔的处理</w:t>
      </w:r>
    </w:p>
    <w:p w14:paraId="68C68E86">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对承包人索赔的处理如下：</w:t>
      </w:r>
    </w:p>
    <w:p w14:paraId="24568FF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（1）监理人应在收到索赔报告后14天内完成审查并报送发包人。监理人对索赔报告存在异议的，有权要求承包人提交全部原始记录副本；</w:t>
      </w:r>
    </w:p>
    <w:p w14:paraId="27DE803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（2）发包人应在监理人收到索赔报告或有关索赔的进一步证明材料后的28天内，由监理人向承包人出具经发包人签认的索赔处理结果。发包人逾期答复的，则视为认可承包人的索赔要求；</w:t>
      </w:r>
    </w:p>
    <w:p w14:paraId="1DE91393">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（3）承包人接受索赔处理结果的，索赔款项在当期进度款中进行支付；承包人不接受索赔处理结果的，按照第20条〔争议解决〕约定处理。</w:t>
      </w:r>
    </w:p>
    <w:p w14:paraId="11A0A93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19.3发包人的索赔</w:t>
      </w:r>
    </w:p>
    <w:p w14:paraId="5B88B9B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根据合同约定，发包人认为有权得到赔付金额和（或）延长缺陷责任期的，监理人应向承包人发出通知并附有详细的证明。</w:t>
      </w:r>
    </w:p>
    <w:p w14:paraId="274A4CD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6871E0DD">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19.4 对发包人索赔的处理</w:t>
      </w:r>
    </w:p>
    <w:p w14:paraId="73CC708C">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对发包人索赔的处理如下：</w:t>
      </w:r>
    </w:p>
    <w:p w14:paraId="0506AB2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（1）承包人收到发包人提交的索赔报告后，应及时审查索赔报告的内容、查验发包人证明材料；</w:t>
      </w:r>
    </w:p>
    <w:p w14:paraId="6BE0365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（2）承包人应在收到索赔报告或有关索赔的进一步证明材料后28天内，将索赔处理结果答复发包人。如果承包人未在上述期限内作出答复的，则视为对发包人索赔要求的认可；</w:t>
      </w:r>
    </w:p>
    <w:p w14:paraId="1392165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（3）承包人接受索赔处理结果的，发包人可从应支付给承包人的合同价款中扣除赔付的金额或延长缺陷责任期；发包人不接受索赔处理结果的，按第20条〔争议解决〕约定处理。</w:t>
      </w:r>
    </w:p>
    <w:p w14:paraId="666F6343">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19.5 提出索赔的期限</w:t>
      </w:r>
    </w:p>
    <w:p w14:paraId="5A3FFDD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（1）承包人按第14.2款〔竣工结算审核〕约定接收竣工付款证书后，应被视为已无权再提出在工程接收证书颁发前所发生的任何索赔。</w:t>
      </w:r>
    </w:p>
    <w:p w14:paraId="63FB2981">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（2）承包人按第14.4款〔最终结清〕提交的最终结清申请单中，只限于提出工程接收证书颁发后发生的索赔。提出索赔的期限自接受最终结清证书时终止。</w:t>
      </w:r>
    </w:p>
    <w:p w14:paraId="35741D5E">
      <w:pPr>
        <w:adjustRightInd w:val="0"/>
        <w:snapToGrid w:val="0"/>
        <w:spacing w:line="360" w:lineRule="auto"/>
        <w:outlineLvl w:val="2"/>
        <w:rPr>
          <w:rFonts w:ascii="宋体" w:hAnsi="宋体" w:cs="宋体"/>
          <w:b/>
          <w:color w:val="auto"/>
          <w:szCs w:val="21"/>
          <w:highlight w:val="none"/>
        </w:rPr>
      </w:pPr>
      <w:bookmarkStart w:id="1126" w:name="_Toc16758"/>
      <w:r>
        <w:rPr>
          <w:rFonts w:hint="eastAsia" w:ascii="宋体" w:hAnsi="宋体" w:cs="宋体"/>
          <w:b/>
          <w:color w:val="auto"/>
          <w:szCs w:val="21"/>
          <w:highlight w:val="none"/>
        </w:rPr>
        <w:t>20. 争议解决</w:t>
      </w:r>
      <w:bookmarkEnd w:id="1126"/>
    </w:p>
    <w:p w14:paraId="42978161">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20.1和解</w:t>
      </w:r>
    </w:p>
    <w:p w14:paraId="494B451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合同当事人可以就争议自行和解，自行和解达成协议的经双方签字并盖章后作为合同补充文件，双方均应遵照执行。</w:t>
      </w:r>
    </w:p>
    <w:p w14:paraId="67A6A845">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20.2调解</w:t>
      </w:r>
    </w:p>
    <w:p w14:paraId="7F92573F">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合同当事人可以就争议请求建设行政主管部门、行业协会或其他第三方进行调解，调解达成协议的，经双方签字并盖章后作为合同补充文件，双方均应遵照执行。</w:t>
      </w:r>
    </w:p>
    <w:p w14:paraId="2C2A1994">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20.3争议评审</w:t>
      </w:r>
    </w:p>
    <w:p w14:paraId="662408D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合同当事人在专用合同条款中约定采取争议评审方式解决争议以及评审规则，并按下列约定执行： </w:t>
      </w:r>
    </w:p>
    <w:p w14:paraId="0F735A2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20.3.1 争议评审小组的确定</w:t>
      </w:r>
    </w:p>
    <w:p w14:paraId="57553E7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合同当事人可以共同选择一名或三名争议评审员，组成争议评审小组。除专用合同条款另有约定外，合同当事人应当自合同签订后28天内，或者争议发生后14天内，选定争议评审员。</w:t>
      </w:r>
    </w:p>
    <w:p w14:paraId="7C492D18">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1E53ECD4">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除专用合同条款另有约定外，评审员报酬由发包人和承包人各承担一半。</w:t>
      </w:r>
    </w:p>
    <w:p w14:paraId="14B1454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20.3.2 争议评审小组的决定</w:t>
      </w:r>
    </w:p>
    <w:p w14:paraId="6FBB7A79">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06567151">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20.3.3 争议评审小组决定的效力</w:t>
      </w:r>
    </w:p>
    <w:p w14:paraId="3D45DF8E">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争议评审小组作出的书面决定经合同当事人签字确认后，对双方具有约束力，双方应遵照执行。</w:t>
      </w:r>
    </w:p>
    <w:p w14:paraId="3C9E2E17">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任何一方当事人不接受争议评审小组决定或不履行争议评审小组决定的，双方可选择采用其他争议解决方式。</w:t>
      </w:r>
    </w:p>
    <w:p w14:paraId="1B5B0A97">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20.4仲裁或诉讼</w:t>
      </w:r>
    </w:p>
    <w:p w14:paraId="0EB1FB5B">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因合同及合同有关事项产生的争议，合同当事人可以在专用合同条款中约定以下一种方式解决争议：</w:t>
      </w:r>
    </w:p>
    <w:p w14:paraId="5D0483E2">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（1）向约定的仲裁委员会申请仲裁；</w:t>
      </w:r>
    </w:p>
    <w:p w14:paraId="11446D4A">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（2）向有管辖权的人民法院起诉。</w:t>
      </w:r>
    </w:p>
    <w:p w14:paraId="092170D9">
      <w:pPr>
        <w:pStyle w:val="8"/>
        <w:tabs>
          <w:tab w:val="left" w:pos="1008"/>
          <w:tab w:val="left" w:pos="1050"/>
        </w:tabs>
        <w:spacing w:line="360" w:lineRule="auto"/>
        <w:ind w:left="1156" w:hanging="1157" w:hangingChars="480"/>
        <w:rPr>
          <w:rFonts w:cs="宋体"/>
          <w:color w:val="auto"/>
          <w:szCs w:val="21"/>
          <w:highlight w:val="none"/>
        </w:rPr>
      </w:pPr>
      <w:r>
        <w:rPr>
          <w:rFonts w:hint="eastAsia" w:cs="宋体"/>
          <w:color w:val="auto"/>
          <w:szCs w:val="21"/>
          <w:highlight w:val="none"/>
        </w:rPr>
        <w:t>20.5争议解决条款效力</w:t>
      </w:r>
    </w:p>
    <w:p w14:paraId="62F2FAD0">
      <w:pPr>
        <w:autoSpaceDE w:val="0"/>
        <w:autoSpaceDN w:val="0"/>
        <w:adjustRightIn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合同有关争议解决的条款独立存在，合同的变更、解除、终止、无效或者被撤销均不影响其效力。 </w:t>
      </w:r>
    </w:p>
    <w:p w14:paraId="1E8CF06E">
      <w:pPr>
        <w:spacing w:line="360" w:lineRule="auto"/>
        <w:rPr>
          <w:rFonts w:ascii="宋体" w:hAnsi="宋体"/>
          <w:color w:val="auto"/>
          <w:szCs w:val="21"/>
          <w:highlight w:val="none"/>
        </w:rPr>
      </w:pPr>
      <w:r>
        <w:rPr>
          <w:rFonts w:ascii="宋体" w:hAnsi="宋体"/>
          <w:color w:val="auto"/>
          <w:szCs w:val="21"/>
          <w:highlight w:val="none"/>
        </w:rPr>
        <w:br w:type="page"/>
      </w:r>
    </w:p>
    <w:p w14:paraId="1FF070E6">
      <w:pPr>
        <w:pStyle w:val="441"/>
        <w:keepNext w:val="0"/>
        <w:keepLines w:val="0"/>
        <w:adjustRightInd w:val="0"/>
        <w:snapToGrid w:val="0"/>
        <w:spacing w:before="0" w:line="360" w:lineRule="auto"/>
        <w:jc w:val="center"/>
        <w:outlineLvl w:val="1"/>
        <w:rPr>
          <w:rFonts w:ascii="宋体" w:hAnsi="宋体"/>
          <w:color w:val="auto"/>
          <w:highlight w:val="none"/>
        </w:rPr>
      </w:pPr>
      <w:bookmarkStart w:id="1127" w:name="_Toc3616"/>
      <w:bookmarkStart w:id="1128" w:name="_Toc28253"/>
      <w:bookmarkStart w:id="1129" w:name="_Toc2531"/>
      <w:bookmarkStart w:id="1130" w:name="_Toc18896"/>
      <w:r>
        <w:rPr>
          <w:rFonts w:hint="eastAsia" w:ascii="宋体" w:hAnsi="宋体"/>
          <w:color w:val="auto"/>
          <w:highlight w:val="none"/>
        </w:rPr>
        <w:fldChar w:fldCharType="begin"/>
      </w:r>
      <w:r>
        <w:rPr>
          <w:rFonts w:hint="eastAsia" w:ascii="宋体" w:hAnsi="宋体"/>
          <w:color w:val="auto"/>
          <w:highlight w:val="none"/>
        </w:rPr>
        <w:instrText xml:space="preserve"> AUTOTEXT  专用合同条款 \* MERGEFORMAT </w:instrText>
      </w:r>
      <w:r>
        <w:rPr>
          <w:rFonts w:hint="eastAsia" w:ascii="宋体" w:hAnsi="宋体"/>
          <w:color w:val="auto"/>
          <w:highlight w:val="none"/>
        </w:rPr>
        <w:fldChar w:fldCharType="end"/>
      </w:r>
      <w:bookmarkStart w:id="1131" w:name="_Toc195028500"/>
      <w:r>
        <w:rPr>
          <w:rFonts w:hint="eastAsia" w:ascii="宋体" w:hAnsi="宋体"/>
          <w:color w:val="auto"/>
          <w:highlight w:val="none"/>
        </w:rPr>
        <w:t>第三部分 专用合同条款</w:t>
      </w:r>
      <w:bookmarkEnd w:id="1127"/>
      <w:bookmarkEnd w:id="1128"/>
      <w:bookmarkEnd w:id="1129"/>
      <w:bookmarkEnd w:id="1130"/>
      <w:bookmarkEnd w:id="1131"/>
    </w:p>
    <w:p w14:paraId="6627DF39">
      <w:pPr>
        <w:adjustRightInd w:val="0"/>
        <w:snapToGrid w:val="0"/>
        <w:spacing w:line="360" w:lineRule="auto"/>
        <w:outlineLvl w:val="2"/>
        <w:rPr>
          <w:rFonts w:ascii="宋体" w:hAnsi="宋体" w:cs="宋体"/>
          <w:b/>
          <w:color w:val="auto"/>
          <w:szCs w:val="21"/>
          <w:highlight w:val="none"/>
        </w:rPr>
      </w:pPr>
      <w:bookmarkStart w:id="1132" w:name="_Toc12478"/>
      <w:r>
        <w:rPr>
          <w:rFonts w:hint="eastAsia" w:ascii="宋体" w:hAnsi="宋体" w:cs="宋体"/>
          <w:b/>
          <w:color w:val="auto"/>
          <w:szCs w:val="21"/>
          <w:highlight w:val="none"/>
        </w:rPr>
        <w:fldChar w:fldCharType="begin"/>
      </w:r>
      <w:r>
        <w:rPr>
          <w:rFonts w:hint="eastAsia" w:ascii="宋体" w:hAnsi="宋体" w:cs="宋体"/>
          <w:b/>
          <w:color w:val="auto"/>
          <w:szCs w:val="21"/>
          <w:highlight w:val="none"/>
        </w:rPr>
        <w:instrText xml:space="preserve"> AUTOTEXT  专用合同条款 \* MERGEFORMAT </w:instrText>
      </w:r>
      <w:r>
        <w:rPr>
          <w:rFonts w:hint="eastAsia" w:ascii="宋体" w:hAnsi="宋体" w:cs="宋体"/>
          <w:b/>
          <w:color w:val="auto"/>
          <w:szCs w:val="21"/>
          <w:highlight w:val="none"/>
        </w:rPr>
        <w:fldChar w:fldCharType="end"/>
      </w:r>
      <w:r>
        <w:rPr>
          <w:rFonts w:hint="eastAsia" w:ascii="宋体" w:hAnsi="宋体" w:cs="宋体"/>
          <w:b/>
          <w:color w:val="auto"/>
          <w:szCs w:val="21"/>
          <w:highlight w:val="none"/>
        </w:rPr>
        <w:t>1. 一般约定</w:t>
      </w:r>
      <w:bookmarkEnd w:id="1132"/>
    </w:p>
    <w:p w14:paraId="22AB8C5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 词语定义</w:t>
      </w:r>
    </w:p>
    <w:p w14:paraId="2A33980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1.1.1合同</w:t>
      </w:r>
    </w:p>
    <w:p w14:paraId="185C4E1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1.1.1.10其他合同文件包括：</w:t>
      </w:r>
      <w:r>
        <w:rPr>
          <w:rFonts w:hint="eastAsia" w:ascii="宋体" w:hAnsi="宋体" w:cs="宋体"/>
          <w:color w:val="auto"/>
          <w:sz w:val="21"/>
          <w:szCs w:val="21"/>
          <w:highlight w:val="none"/>
          <w:u w:val="single"/>
        </w:rPr>
        <w:t>竞争性磋商文件、响应文件、磋商答疑文件，设计变更、经参建各方参会形成的会议纪要及实施过程中的往来文件等。</w:t>
      </w:r>
    </w:p>
    <w:p w14:paraId="282D74E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1.1.2 合同当事人及其他相关方</w:t>
      </w:r>
    </w:p>
    <w:p w14:paraId="72EA3E2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1.1.2.4监理人：</w:t>
      </w:r>
    </w:p>
    <w:p w14:paraId="1F5FF4AE">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名    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3F3A70D5">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资质类别和等级：</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4007690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1.1.2.5 设计人：</w:t>
      </w:r>
    </w:p>
    <w:p w14:paraId="77542C18">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名    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32C81A9">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资质类别和等级：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0D7734C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1.1.3 工程和设备</w:t>
      </w:r>
    </w:p>
    <w:p w14:paraId="31312816">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1.1.3.7 作为施工现场组成部分的其他场所包括：</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45DBB3C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1.1.3.9 永久占地包括：</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88BABD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1.1.3.10 临时占地包括：</w:t>
      </w:r>
      <w:r>
        <w:rPr>
          <w:rFonts w:hint="eastAsia" w:ascii="宋体" w:hAnsi="宋体" w:cs="宋体"/>
          <w:color w:val="auto"/>
          <w:sz w:val="21"/>
          <w:szCs w:val="21"/>
          <w:highlight w:val="none"/>
          <w:u w:val="single"/>
        </w:rPr>
        <w:t>视现场实际情况确定</w:t>
      </w:r>
      <w:r>
        <w:rPr>
          <w:rFonts w:hint="eastAsia" w:ascii="宋体" w:hAnsi="宋体" w:cs="宋体"/>
          <w:color w:val="auto"/>
          <w:sz w:val="21"/>
          <w:szCs w:val="21"/>
          <w:highlight w:val="none"/>
        </w:rPr>
        <w:t>。</w:t>
      </w:r>
    </w:p>
    <w:p w14:paraId="414BF77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1.3法律 </w:t>
      </w:r>
    </w:p>
    <w:p w14:paraId="1A61C8C8">
      <w:pPr>
        <w:pStyle w:val="162"/>
        <w:autoSpaceDE w:val="0"/>
        <w:autoSpaceDN w:val="0"/>
        <w:adjustRightInd w:val="0"/>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适用于合同的其他规范性文件：</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346062B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1.4 标准和规范</w:t>
      </w:r>
    </w:p>
    <w:p w14:paraId="70B8F4C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1.4.1适用于工程的标准规范包括：</w:t>
      </w:r>
      <w:r>
        <w:rPr>
          <w:rFonts w:hint="eastAsia" w:ascii="宋体" w:hAnsi="宋体" w:cs="宋体"/>
          <w:color w:val="auto"/>
          <w:sz w:val="21"/>
          <w:szCs w:val="21"/>
          <w:highlight w:val="none"/>
          <w:u w:val="single"/>
        </w:rPr>
        <w:t>按照国家、云南省、怒江州工程相关现行规范和标准</w:t>
      </w:r>
      <w:r>
        <w:rPr>
          <w:rFonts w:hint="eastAsia" w:ascii="宋体" w:hAnsi="宋体" w:cs="宋体"/>
          <w:color w:val="auto"/>
          <w:sz w:val="21"/>
          <w:szCs w:val="21"/>
          <w:highlight w:val="none"/>
        </w:rPr>
        <w:t>。</w:t>
      </w:r>
    </w:p>
    <w:p w14:paraId="02945E4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1.4.2 发包人提供国外标准、规范的名称：</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0F087C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发包人提供国外标准、规范的份数：</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7696B96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发包人提供国外标准、规范的名称：</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F53DE3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1.4.3发包人对工程的技术标准和功能要求的特殊要求：</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F81B5F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 合同文件的优先顺序</w:t>
      </w:r>
    </w:p>
    <w:p w14:paraId="4E2F46A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合同文件组成及优先顺序为：</w:t>
      </w:r>
    </w:p>
    <w:p w14:paraId="06B596A3">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（1）成交通知书；</w:t>
      </w:r>
    </w:p>
    <w:p w14:paraId="7F60A043">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（2）磋商函；</w:t>
      </w:r>
    </w:p>
    <w:p w14:paraId="38F11B42">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（3）专用合同条款及其附件；</w:t>
      </w:r>
    </w:p>
    <w:p w14:paraId="14AF82A1">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（4）通用合同条款；</w:t>
      </w:r>
    </w:p>
    <w:p w14:paraId="2C331130">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（5）已标价工程量清单；</w:t>
      </w:r>
    </w:p>
    <w:p w14:paraId="3E2728D7">
      <w:pPr>
        <w:wordWrap w:val="0"/>
        <w:topLinePunct/>
        <w:adjustRightInd w:val="0"/>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（6）其他合同文件。</w:t>
      </w:r>
    </w:p>
    <w:p w14:paraId="7F56A81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 图纸和承包人文件</w:t>
      </w:r>
      <w:r>
        <w:rPr>
          <w:rFonts w:hint="eastAsia" w:ascii="宋体" w:hAnsi="宋体" w:cs="宋体"/>
          <w:color w:val="auto"/>
          <w:sz w:val="21"/>
          <w:szCs w:val="21"/>
          <w:highlight w:val="none"/>
        </w:rPr>
        <w:tab/>
      </w:r>
    </w:p>
    <w:p w14:paraId="3A7BF225">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1.6.1  图纸的提供</w:t>
      </w:r>
    </w:p>
    <w:p w14:paraId="4005434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发包人向承包人提供图纸的期限</w:t>
      </w:r>
      <w:r>
        <w:rPr>
          <w:rFonts w:ascii="宋体" w:hAnsi="宋体" w:eastAsia="Arial" w:cs="宋体"/>
          <w:snapToGrid w:val="0"/>
          <w:color w:val="auto"/>
          <w:kern w:val="0"/>
          <w:szCs w:val="21"/>
          <w:highlight w:val="none"/>
          <w:u w:val="single"/>
          <w:lang w:eastAsia="en-US"/>
        </w:rPr>
        <w:t xml:space="preserve">：  </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u w:val="single"/>
          <w:lang w:eastAsia="en-US"/>
        </w:rPr>
        <w:t xml:space="preserve"> ；</w:t>
      </w:r>
    </w:p>
    <w:p w14:paraId="24F3638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发包人向承包人提供图纸的数量</w:t>
      </w:r>
      <w:r>
        <w:rPr>
          <w:rFonts w:ascii="宋体" w:hAnsi="宋体" w:eastAsia="Arial" w:cs="宋体"/>
          <w:snapToGrid w:val="0"/>
          <w:color w:val="auto"/>
          <w:kern w:val="0"/>
          <w:szCs w:val="21"/>
          <w:highlight w:val="none"/>
          <w:u w:val="single"/>
          <w:lang w:eastAsia="en-US"/>
        </w:rPr>
        <w:t xml:space="preserve">： </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u w:val="single"/>
          <w:lang w:eastAsia="en-US"/>
        </w:rPr>
        <w:t xml:space="preserve">  ；</w:t>
      </w:r>
    </w:p>
    <w:p w14:paraId="283DC5E7">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发包人向承包人提供图纸的内容：</w:t>
      </w:r>
      <w:r>
        <w:rPr>
          <w:rFonts w:hint="eastAsia" w:ascii="宋体" w:hAnsi="宋体" w:cs="宋体"/>
          <w:snapToGrid w:val="0"/>
          <w:color w:val="auto"/>
          <w:kern w:val="0"/>
          <w:szCs w:val="21"/>
          <w:highlight w:val="none"/>
          <w:u w:val="single"/>
          <w:lang w:val="en-US" w:eastAsia="zh-CN"/>
        </w:rPr>
        <w:t xml:space="preserve">             </w:t>
      </w:r>
      <w:r>
        <w:rPr>
          <w:rFonts w:ascii="宋体" w:hAnsi="宋体" w:eastAsia="Arial" w:cs="宋体"/>
          <w:snapToGrid w:val="0"/>
          <w:color w:val="auto"/>
          <w:kern w:val="0"/>
          <w:szCs w:val="21"/>
          <w:highlight w:val="none"/>
          <w:u w:val="single"/>
          <w:lang w:eastAsia="en-US"/>
        </w:rPr>
        <w:t>。</w:t>
      </w:r>
    </w:p>
    <w:p w14:paraId="64DDE79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1.6.4 承包人文件</w:t>
      </w:r>
    </w:p>
    <w:p w14:paraId="3009657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b/>
          <w:bCs/>
          <w:snapToGrid w:val="0"/>
          <w:color w:val="auto"/>
          <w:kern w:val="0"/>
          <w:szCs w:val="21"/>
          <w:highlight w:val="none"/>
          <w:u w:val="single"/>
          <w:lang w:eastAsia="en-US"/>
        </w:rPr>
      </w:pPr>
      <w:r>
        <w:rPr>
          <w:rFonts w:ascii="宋体" w:hAnsi="宋体" w:eastAsia="Arial" w:cs="宋体"/>
          <w:snapToGrid w:val="0"/>
          <w:color w:val="auto"/>
          <w:kern w:val="0"/>
          <w:szCs w:val="21"/>
          <w:highlight w:val="none"/>
          <w:lang w:eastAsia="en-US"/>
        </w:rPr>
        <w:t>需要由承包人提供的文件，包括：</w:t>
      </w:r>
      <w:r>
        <w:rPr>
          <w:rFonts w:ascii="宋体" w:hAnsi="宋体" w:eastAsia="Arial" w:cs="宋体"/>
          <w:b/>
          <w:bCs/>
          <w:snapToGrid w:val="0"/>
          <w:color w:val="auto"/>
          <w:kern w:val="0"/>
          <w:szCs w:val="21"/>
          <w:highlight w:val="none"/>
          <w:u w:val="single"/>
          <w:lang w:eastAsia="en-US"/>
        </w:rPr>
        <w:t>按现行国家及云南省相关规范、标准要求提供；</w:t>
      </w:r>
      <w:r>
        <w:rPr>
          <w:rFonts w:hint="eastAsia" w:ascii="宋体" w:hAnsi="宋体" w:eastAsia="Arial" w:cs="宋体"/>
          <w:b/>
          <w:bCs/>
          <w:snapToGrid w:val="0"/>
          <w:color w:val="auto"/>
          <w:kern w:val="0"/>
          <w:szCs w:val="21"/>
          <w:highlight w:val="none"/>
          <w:u w:val="single"/>
          <w:lang w:eastAsia="en-US"/>
        </w:rPr>
        <w:t>包括但不限于施工组织总设计、施工方案、进度计划及发包人要求承包人提供的其他文件等。</w:t>
      </w:r>
    </w:p>
    <w:p w14:paraId="738569A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b/>
          <w:bCs/>
          <w:snapToGrid w:val="0"/>
          <w:color w:val="auto"/>
          <w:kern w:val="0"/>
          <w:szCs w:val="21"/>
          <w:highlight w:val="none"/>
          <w:u w:val="single"/>
          <w:lang w:eastAsia="en-US"/>
        </w:rPr>
      </w:pPr>
      <w:r>
        <w:rPr>
          <w:rFonts w:ascii="宋体" w:hAnsi="宋体" w:eastAsia="Arial" w:cs="宋体"/>
          <w:snapToGrid w:val="0"/>
          <w:color w:val="auto"/>
          <w:kern w:val="0"/>
          <w:szCs w:val="21"/>
          <w:highlight w:val="none"/>
          <w:lang w:eastAsia="en-US"/>
        </w:rPr>
        <w:t>承包人提供的文件的期限为：</w:t>
      </w:r>
      <w:r>
        <w:rPr>
          <w:rFonts w:hint="eastAsia" w:ascii="宋体" w:hAnsi="宋体" w:eastAsia="Arial" w:cs="宋体"/>
          <w:b/>
          <w:bCs/>
          <w:snapToGrid w:val="0"/>
          <w:color w:val="auto"/>
          <w:kern w:val="0"/>
          <w:szCs w:val="21"/>
          <w:highlight w:val="none"/>
          <w:u w:val="single"/>
          <w:lang w:eastAsia="en-US"/>
        </w:rPr>
        <w:t>按现行国家及云南省相关规范、标准要求提供，接到</w:t>
      </w:r>
      <w:r>
        <w:rPr>
          <w:rFonts w:hint="eastAsia" w:ascii="宋体" w:hAnsi="宋体" w:cs="宋体"/>
          <w:b/>
          <w:bCs/>
          <w:snapToGrid w:val="0"/>
          <w:color w:val="auto"/>
          <w:kern w:val="0"/>
          <w:szCs w:val="21"/>
          <w:highlight w:val="none"/>
          <w:u w:val="single"/>
          <w:lang w:val="en-US" w:eastAsia="zh-CN"/>
        </w:rPr>
        <w:t>成交</w:t>
      </w:r>
      <w:r>
        <w:rPr>
          <w:rFonts w:hint="eastAsia" w:ascii="宋体" w:hAnsi="宋体" w:eastAsia="Arial" w:cs="宋体"/>
          <w:b/>
          <w:bCs/>
          <w:snapToGrid w:val="0"/>
          <w:color w:val="auto"/>
          <w:kern w:val="0"/>
          <w:szCs w:val="21"/>
          <w:highlight w:val="none"/>
          <w:u w:val="single"/>
          <w:lang w:eastAsia="en-US"/>
        </w:rPr>
        <w:t xml:space="preserve">通知书 </w:t>
      </w:r>
      <w:r>
        <w:rPr>
          <w:rFonts w:hint="eastAsia" w:ascii="宋体" w:hAnsi="宋体" w:eastAsia="Arial" w:cs="宋体"/>
          <w:b/>
          <w:bCs/>
          <w:snapToGrid w:val="0"/>
          <w:color w:val="auto"/>
          <w:kern w:val="0"/>
          <w:szCs w:val="21"/>
          <w:highlight w:val="none"/>
          <w:u w:val="single"/>
        </w:rPr>
        <w:t xml:space="preserve">  </w:t>
      </w:r>
      <w:r>
        <w:rPr>
          <w:rFonts w:hint="eastAsia" w:ascii="宋体" w:hAnsi="宋体" w:eastAsia="Arial" w:cs="宋体"/>
          <w:b/>
          <w:bCs/>
          <w:snapToGrid w:val="0"/>
          <w:color w:val="auto"/>
          <w:kern w:val="0"/>
          <w:szCs w:val="21"/>
          <w:highlight w:val="none"/>
          <w:u w:val="single"/>
          <w:lang w:eastAsia="en-US"/>
        </w:rPr>
        <w:t xml:space="preserve"> 日内须提供施工组织总设计、施工方案、进度计划及发包人要求承包人提供的其他文件等，每月向监理和发包人提供月进度计划报表和统计报表，工程开工后每周五向监理及发包人提供周进度计划和统计报表，具体时间以发包人要求为准；</w:t>
      </w:r>
    </w:p>
    <w:p w14:paraId="60322D9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承包人提供的文件的数量为：</w:t>
      </w:r>
      <w:r>
        <w:rPr>
          <w:rFonts w:ascii="宋体" w:hAnsi="宋体" w:eastAsia="Arial" w:cs="宋体"/>
          <w:b/>
          <w:bCs/>
          <w:snapToGrid w:val="0"/>
          <w:color w:val="auto"/>
          <w:kern w:val="0"/>
          <w:szCs w:val="21"/>
          <w:highlight w:val="none"/>
          <w:u w:val="single"/>
          <w:lang w:eastAsia="en-US"/>
        </w:rPr>
        <w:t>按现行国家及云南省相关规范、标准要求提供</w:t>
      </w:r>
      <w:r>
        <w:rPr>
          <w:rFonts w:ascii="宋体" w:hAnsi="宋体" w:eastAsia="Arial" w:cs="宋体"/>
          <w:snapToGrid w:val="0"/>
          <w:color w:val="auto"/>
          <w:kern w:val="0"/>
          <w:szCs w:val="21"/>
          <w:highlight w:val="none"/>
          <w:lang w:eastAsia="en-US"/>
        </w:rPr>
        <w:t>；</w:t>
      </w:r>
    </w:p>
    <w:p w14:paraId="000AD2B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承包人提供的文件的形式为：</w:t>
      </w:r>
      <w:r>
        <w:rPr>
          <w:rFonts w:ascii="宋体" w:hAnsi="宋体" w:eastAsia="Arial" w:cs="宋体"/>
          <w:b/>
          <w:bCs/>
          <w:snapToGrid w:val="0"/>
          <w:color w:val="auto"/>
          <w:kern w:val="0"/>
          <w:szCs w:val="21"/>
          <w:highlight w:val="none"/>
          <w:u w:val="single"/>
          <w:lang w:eastAsia="en-US"/>
        </w:rPr>
        <w:t>书面形式和电子版形式</w:t>
      </w:r>
      <w:r>
        <w:rPr>
          <w:rFonts w:ascii="宋体" w:hAnsi="宋体" w:eastAsia="Arial" w:cs="宋体"/>
          <w:snapToGrid w:val="0"/>
          <w:color w:val="auto"/>
          <w:kern w:val="0"/>
          <w:szCs w:val="21"/>
          <w:highlight w:val="none"/>
          <w:lang w:eastAsia="en-US"/>
        </w:rPr>
        <w:t>；</w:t>
      </w:r>
    </w:p>
    <w:p w14:paraId="3A41A0E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发包人审批承包人文件的期限：</w:t>
      </w:r>
      <w:r>
        <w:rPr>
          <w:rFonts w:ascii="宋体" w:hAnsi="宋体" w:eastAsia="Arial" w:cs="宋体"/>
          <w:b/>
          <w:bCs/>
          <w:snapToGrid w:val="0"/>
          <w:color w:val="auto"/>
          <w:kern w:val="0"/>
          <w:szCs w:val="21"/>
          <w:highlight w:val="none"/>
          <w:u w:val="single"/>
          <w:lang w:eastAsia="en-US"/>
        </w:rPr>
        <w:t>按通用条款 1.6.4 执行。</w:t>
      </w:r>
    </w:p>
    <w:p w14:paraId="02C768A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1.6.5 现场图纸准备</w:t>
      </w:r>
    </w:p>
    <w:p w14:paraId="3706E43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关于现场图纸准备的约定</w:t>
      </w:r>
      <w:r>
        <w:rPr>
          <w:rFonts w:ascii="宋体" w:hAnsi="宋体" w:eastAsia="Arial" w:cs="宋体"/>
          <w:b/>
          <w:bCs/>
          <w:snapToGrid w:val="0"/>
          <w:color w:val="auto"/>
          <w:kern w:val="0"/>
          <w:szCs w:val="21"/>
          <w:highlight w:val="none"/>
          <w:u w:val="single"/>
          <w:lang w:eastAsia="en-US"/>
        </w:rPr>
        <w:t>按《通用条款》执行，且承包人应确保发包人、监理人及发包人允许的相关人员随时调用查阅全套完整图纸及承包人文件</w:t>
      </w:r>
      <w:r>
        <w:rPr>
          <w:rFonts w:ascii="宋体" w:hAnsi="宋体" w:eastAsia="Arial" w:cs="宋体"/>
          <w:snapToGrid w:val="0"/>
          <w:color w:val="auto"/>
          <w:kern w:val="0"/>
          <w:szCs w:val="21"/>
          <w:highlight w:val="none"/>
          <w:u w:val="single"/>
          <w:lang w:eastAsia="en-US"/>
        </w:rPr>
        <w:t>。</w:t>
      </w:r>
    </w:p>
    <w:p w14:paraId="1E6E4DD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 联络</w:t>
      </w:r>
    </w:p>
    <w:p w14:paraId="08AC96C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1.7.1发包人和承包人应当在</w:t>
      </w:r>
      <w:r>
        <w:rPr>
          <w:rFonts w:hint="eastAsia" w:ascii="宋体" w:hAnsi="宋体" w:cs="宋体"/>
          <w:color w:val="auto"/>
          <w:sz w:val="21"/>
          <w:szCs w:val="21"/>
          <w:highlight w:val="none"/>
          <w:u w:val="single"/>
        </w:rPr>
        <w:t>5</w:t>
      </w:r>
      <w:r>
        <w:rPr>
          <w:rFonts w:hint="eastAsia" w:ascii="宋体" w:hAnsi="宋体" w:cs="宋体"/>
          <w:color w:val="auto"/>
          <w:sz w:val="21"/>
          <w:szCs w:val="21"/>
          <w:highlight w:val="none"/>
        </w:rPr>
        <w:t>天内将与合同有关的通知、批准、证明、证书、指示、指令、要求、请求、同意、意见、确定和决定等书面函件送达对方当事人。</w:t>
      </w:r>
    </w:p>
    <w:p w14:paraId="6022400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1.7.2 发包人接收文件的地点：</w:t>
      </w:r>
      <w:r>
        <w:rPr>
          <w:rFonts w:hint="eastAsia" w:ascii="宋体" w:hAnsi="宋体" w:cs="宋体"/>
          <w:color w:val="auto"/>
          <w:sz w:val="21"/>
          <w:szCs w:val="21"/>
          <w:highlight w:val="none"/>
          <w:u w:val="single"/>
        </w:rPr>
        <w:t>工地现场</w:t>
      </w:r>
      <w:r>
        <w:rPr>
          <w:rFonts w:hint="eastAsia" w:ascii="宋体" w:hAnsi="宋体" w:cs="宋体"/>
          <w:color w:val="auto"/>
          <w:sz w:val="21"/>
          <w:szCs w:val="21"/>
          <w:highlight w:val="none"/>
        </w:rPr>
        <w:t>；</w:t>
      </w:r>
    </w:p>
    <w:p w14:paraId="1CFFAC5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发包人指定的接收人为：</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783E80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承包人接收文件的地点：</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3A699E5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承包人指定的接收人为：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00EBB61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监理人接收文件的地点：</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6DB44A7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监理人指定的接收人为：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3899C27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1.10 交通运输</w:t>
      </w:r>
    </w:p>
    <w:p w14:paraId="7DC5878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1.10.1 出入现场的权利</w:t>
      </w:r>
    </w:p>
    <w:p w14:paraId="1DED000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关于出入现场的权利的约定：</w:t>
      </w:r>
      <w:r>
        <w:rPr>
          <w:rFonts w:hint="eastAsia" w:ascii="宋体" w:hAnsi="宋体" w:cs="宋体"/>
          <w:color w:val="auto"/>
          <w:sz w:val="21"/>
          <w:szCs w:val="21"/>
          <w:highlight w:val="none"/>
          <w:u w:val="single"/>
        </w:rPr>
        <w:t>按照“通用合同条款”及工地现场管理规定执行</w:t>
      </w:r>
      <w:r>
        <w:rPr>
          <w:rFonts w:hint="eastAsia" w:ascii="宋体" w:hAnsi="宋体" w:cs="宋体"/>
          <w:color w:val="auto"/>
          <w:sz w:val="21"/>
          <w:szCs w:val="21"/>
          <w:highlight w:val="none"/>
        </w:rPr>
        <w:t>。</w:t>
      </w:r>
    </w:p>
    <w:p w14:paraId="282749E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1.10.2 场内交通</w:t>
      </w:r>
    </w:p>
    <w:p w14:paraId="064A638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关于场外交通和场内交通的边界的约定：</w:t>
      </w:r>
      <w:r>
        <w:rPr>
          <w:rFonts w:hint="eastAsia" w:ascii="宋体" w:hAnsi="宋体" w:cs="宋体"/>
          <w:color w:val="auto"/>
          <w:sz w:val="21"/>
          <w:szCs w:val="21"/>
          <w:highlight w:val="none"/>
          <w:u w:val="single"/>
        </w:rPr>
        <w:t>本建筑物用地红线为界限</w:t>
      </w:r>
      <w:r>
        <w:rPr>
          <w:rFonts w:hint="eastAsia" w:ascii="宋体" w:hAnsi="宋体" w:cs="宋体"/>
          <w:color w:val="auto"/>
          <w:sz w:val="21"/>
          <w:szCs w:val="21"/>
          <w:highlight w:val="none"/>
        </w:rPr>
        <w:t>。</w:t>
      </w:r>
    </w:p>
    <w:p w14:paraId="6ED9189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关于发包人向承包人免费提供满足工程施工需要的场内道路和交通设施的约定：</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  </w:t>
      </w:r>
    </w:p>
    <w:p w14:paraId="199258C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1.10.3超大件和超重件的运输</w:t>
      </w:r>
    </w:p>
    <w:p w14:paraId="1E650CB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运输超大件或超重件所需的道路和桥梁临时加固改造费用和其他有关费用由</w:t>
      </w:r>
      <w:r>
        <w:rPr>
          <w:rFonts w:hint="eastAsia" w:ascii="宋体" w:hAnsi="宋体" w:cs="宋体"/>
          <w:color w:val="auto"/>
          <w:sz w:val="21"/>
          <w:szCs w:val="21"/>
          <w:highlight w:val="none"/>
          <w:u w:val="single"/>
        </w:rPr>
        <w:t>承包人</w:t>
      </w:r>
      <w:r>
        <w:rPr>
          <w:rFonts w:hint="eastAsia" w:ascii="宋体" w:hAnsi="宋体" w:cs="宋体"/>
          <w:color w:val="auto"/>
          <w:sz w:val="21"/>
          <w:szCs w:val="21"/>
          <w:highlight w:val="none"/>
        </w:rPr>
        <w:t>承担。</w:t>
      </w:r>
    </w:p>
    <w:p w14:paraId="25A6497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 知识产权</w:t>
      </w:r>
    </w:p>
    <w:p w14:paraId="775DF4E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1"/>
          <w:szCs w:val="21"/>
          <w:highlight w:val="none"/>
          <w:u w:val="single"/>
        </w:rPr>
        <w:t>归发包人所有</w:t>
      </w:r>
      <w:r>
        <w:rPr>
          <w:rFonts w:hint="eastAsia" w:ascii="宋体" w:hAnsi="宋体" w:cs="宋体"/>
          <w:color w:val="auto"/>
          <w:sz w:val="21"/>
          <w:szCs w:val="21"/>
          <w:highlight w:val="none"/>
        </w:rPr>
        <w:t>。</w:t>
      </w:r>
    </w:p>
    <w:p w14:paraId="6A8A5B5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关于发包人提供的上述文件的使用限制的要求：</w:t>
      </w:r>
      <w:r>
        <w:rPr>
          <w:rFonts w:hint="eastAsia" w:ascii="宋体" w:hAnsi="宋体" w:cs="宋体"/>
          <w:color w:val="auto"/>
          <w:sz w:val="21"/>
          <w:szCs w:val="21"/>
          <w:highlight w:val="none"/>
          <w:u w:val="single"/>
        </w:rPr>
        <w:t>承包人仅使用于本项目</w:t>
      </w:r>
      <w:r>
        <w:rPr>
          <w:rFonts w:hint="eastAsia" w:ascii="宋体" w:hAnsi="宋体" w:cs="宋体"/>
          <w:color w:val="auto"/>
          <w:sz w:val="21"/>
          <w:szCs w:val="21"/>
          <w:highlight w:val="none"/>
        </w:rPr>
        <w:t>。</w:t>
      </w:r>
    </w:p>
    <w:p w14:paraId="58DE6B93">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1.11.2 关于承包人为实施工程所编制文件的著作权的归属：</w:t>
      </w:r>
      <w:r>
        <w:rPr>
          <w:rFonts w:hint="eastAsia" w:ascii="宋体" w:hAnsi="宋体" w:cs="宋体"/>
          <w:color w:val="auto"/>
          <w:sz w:val="21"/>
          <w:szCs w:val="21"/>
          <w:highlight w:val="none"/>
          <w:u w:val="single"/>
        </w:rPr>
        <w:t>承包人所有，发包人用于本工程</w:t>
      </w:r>
      <w:r>
        <w:rPr>
          <w:rFonts w:hint="eastAsia" w:ascii="宋体" w:hAnsi="宋体" w:cs="宋体"/>
          <w:color w:val="auto"/>
          <w:sz w:val="21"/>
          <w:szCs w:val="21"/>
          <w:highlight w:val="none"/>
        </w:rPr>
        <w:t>。</w:t>
      </w:r>
    </w:p>
    <w:p w14:paraId="67D1B9DF">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关于承包人提供的上述文件的使用限制的要求：</w:t>
      </w:r>
      <w:r>
        <w:rPr>
          <w:rFonts w:hint="eastAsia" w:ascii="宋体" w:hAnsi="宋体" w:cs="宋体"/>
          <w:color w:val="auto"/>
          <w:sz w:val="21"/>
          <w:szCs w:val="21"/>
          <w:highlight w:val="none"/>
          <w:u w:val="single"/>
        </w:rPr>
        <w:t>承包人所有，发包人用于本工程</w:t>
      </w:r>
      <w:r>
        <w:rPr>
          <w:rFonts w:hint="eastAsia" w:ascii="宋体" w:hAnsi="宋体" w:cs="宋体"/>
          <w:color w:val="auto"/>
          <w:sz w:val="21"/>
          <w:szCs w:val="21"/>
          <w:highlight w:val="none"/>
        </w:rPr>
        <w:t>。</w:t>
      </w:r>
    </w:p>
    <w:p w14:paraId="73D4872F">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1.11.4 承包人在施工过程中所采用的专利、专有技术、技术秘密的使用费的承担方式：</w:t>
      </w:r>
      <w:r>
        <w:rPr>
          <w:rFonts w:hint="eastAsia" w:ascii="宋体" w:hAnsi="宋体" w:cs="宋体"/>
          <w:color w:val="auto"/>
          <w:sz w:val="21"/>
          <w:szCs w:val="21"/>
          <w:highlight w:val="none"/>
          <w:u w:val="single"/>
        </w:rPr>
        <w:t xml:space="preserve">承包人承担 </w:t>
      </w:r>
      <w:r>
        <w:rPr>
          <w:rFonts w:hint="eastAsia" w:ascii="宋体" w:hAnsi="宋体" w:cs="宋体"/>
          <w:color w:val="auto"/>
          <w:sz w:val="21"/>
          <w:szCs w:val="21"/>
          <w:highlight w:val="none"/>
        </w:rPr>
        <w:t>。</w:t>
      </w:r>
    </w:p>
    <w:p w14:paraId="3B531AD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1.13工程量清单错误的修正</w:t>
      </w:r>
    </w:p>
    <w:p w14:paraId="7E39CB93">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bookmarkStart w:id="1133" w:name="_Toc32057"/>
      <w:r>
        <w:rPr>
          <w:rFonts w:ascii="宋体" w:hAnsi="宋体" w:eastAsia="Arial" w:cs="宋体"/>
          <w:snapToGrid w:val="0"/>
          <w:color w:val="auto"/>
          <w:kern w:val="0"/>
          <w:szCs w:val="21"/>
          <w:highlight w:val="none"/>
          <w:lang w:eastAsia="en-US"/>
        </w:rPr>
        <w:t>出现工程量清单错误时，是否调整合同价格：</w:t>
      </w:r>
      <w:r>
        <w:rPr>
          <w:rFonts w:hint="eastAsia" w:ascii="宋体" w:hAnsi="宋体" w:eastAsia="宋体" w:cs="宋体"/>
          <w:snapToGrid w:val="0"/>
          <w:color w:val="auto"/>
          <w:kern w:val="0"/>
          <w:szCs w:val="21"/>
          <w:highlight w:val="none"/>
          <w:u w:val="single"/>
          <w:lang w:val="en-US" w:eastAsia="zh-CN"/>
        </w:rPr>
        <w:t xml:space="preserve">          </w:t>
      </w:r>
      <w:r>
        <w:rPr>
          <w:rFonts w:ascii="宋体" w:hAnsi="宋体" w:eastAsia="Arial" w:cs="宋体"/>
          <w:snapToGrid w:val="0"/>
          <w:color w:val="auto"/>
          <w:kern w:val="0"/>
          <w:szCs w:val="21"/>
          <w:highlight w:val="none"/>
          <w:lang w:eastAsia="en-US"/>
        </w:rPr>
        <w:t>。</w:t>
      </w:r>
    </w:p>
    <w:p w14:paraId="0A43B0F4">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允许调整合同价格的工程量偏差范围：</w:t>
      </w:r>
      <w:r>
        <w:rPr>
          <w:rFonts w:hint="eastAsia" w:ascii="宋体" w:hAnsi="宋体" w:cs="宋体"/>
          <w:snapToGrid w:val="0"/>
          <w:color w:val="auto"/>
          <w:kern w:val="0"/>
          <w:szCs w:val="21"/>
          <w:highlight w:val="none"/>
          <w:u w:val="single"/>
        </w:rPr>
        <w:t>　　　　　　　</w:t>
      </w:r>
      <w:r>
        <w:rPr>
          <w:rFonts w:ascii="宋体" w:hAnsi="宋体" w:eastAsia="Arial" w:cs="宋体"/>
          <w:snapToGrid w:val="0"/>
          <w:color w:val="auto"/>
          <w:kern w:val="0"/>
          <w:szCs w:val="21"/>
          <w:highlight w:val="none"/>
          <w:u w:val="single"/>
          <w:lang w:eastAsia="en-US"/>
        </w:rPr>
        <w:t>。</w:t>
      </w:r>
    </w:p>
    <w:p w14:paraId="61E83F81">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2. 发包人</w:t>
      </w:r>
      <w:bookmarkEnd w:id="1133"/>
    </w:p>
    <w:p w14:paraId="25D920E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2.2 发包人代表</w:t>
      </w:r>
    </w:p>
    <w:p w14:paraId="15D07DD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发包人代表：</w:t>
      </w:r>
    </w:p>
    <w:p w14:paraId="7A774F0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职  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E1ECD47">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发包人对发包人代表的授权范围如下：</w:t>
      </w:r>
      <w:r>
        <w:rPr>
          <w:rFonts w:hint="eastAsia" w:ascii="宋体" w:hAnsi="宋体" w:cs="宋体"/>
          <w:color w:val="auto"/>
          <w:sz w:val="21"/>
          <w:szCs w:val="21"/>
          <w:highlight w:val="none"/>
          <w:u w:val="single"/>
        </w:rPr>
        <w:t>代表发包人履行合同，按照签订的合同条款执行。</w:t>
      </w:r>
    </w:p>
    <w:p w14:paraId="0EB5F6A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2.4 施工现场、施工条件和基础资料的提供</w:t>
      </w:r>
    </w:p>
    <w:p w14:paraId="75C3768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2.4.1 提供施工现场</w:t>
      </w:r>
    </w:p>
    <w:p w14:paraId="66A6CC1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关于发包人移交施工现场的期限要求：</w:t>
      </w:r>
      <w:r>
        <w:rPr>
          <w:rFonts w:hint="eastAsia" w:ascii="宋体" w:hAnsi="宋体" w:cs="宋体"/>
          <w:color w:val="auto"/>
          <w:sz w:val="21"/>
          <w:szCs w:val="21"/>
          <w:highlight w:val="none"/>
          <w:u w:val="single"/>
        </w:rPr>
        <w:t>已经具备进场条件</w:t>
      </w:r>
      <w:r>
        <w:rPr>
          <w:rFonts w:hint="eastAsia" w:ascii="宋体" w:hAnsi="宋体" w:cs="宋体"/>
          <w:color w:val="auto"/>
          <w:sz w:val="21"/>
          <w:szCs w:val="21"/>
          <w:highlight w:val="none"/>
        </w:rPr>
        <w:t>。</w:t>
      </w:r>
    </w:p>
    <w:p w14:paraId="27EF9CD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2.4.2 提供施工条件</w:t>
      </w:r>
    </w:p>
    <w:p w14:paraId="2E60B6D4">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关于发包人应负责提供施工所需要的条件，包括：</w:t>
      </w:r>
      <w:r>
        <w:rPr>
          <w:rFonts w:hint="eastAsia" w:ascii="宋体" w:hAnsi="宋体" w:cs="宋体"/>
          <w:color w:val="auto"/>
          <w:sz w:val="21"/>
          <w:szCs w:val="21"/>
          <w:highlight w:val="none"/>
          <w:u w:val="single"/>
        </w:rPr>
        <w:t>（1）临时用水、施工用电及产生的费用由承包人自行考虑并承担费用。（2）施工现场周围资料已取得（如有）。</w:t>
      </w:r>
    </w:p>
    <w:p w14:paraId="4F52AAD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2.5 资金来源证明及支付担保</w:t>
      </w:r>
    </w:p>
    <w:p w14:paraId="31720E4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发包人提供资金来源证明的期限要求：</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F9A3E0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发包人是否提供支付担保：</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5B4BD336">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发包人提供支付担保的形式：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6F2B1F0">
      <w:pPr>
        <w:adjustRightInd w:val="0"/>
        <w:snapToGrid w:val="0"/>
        <w:spacing w:line="360" w:lineRule="auto"/>
        <w:outlineLvl w:val="2"/>
        <w:rPr>
          <w:rFonts w:ascii="宋体" w:hAnsi="宋体" w:cs="宋体"/>
          <w:b/>
          <w:color w:val="auto"/>
          <w:szCs w:val="21"/>
          <w:highlight w:val="none"/>
        </w:rPr>
      </w:pPr>
      <w:bookmarkStart w:id="1134" w:name="_Toc20565"/>
      <w:r>
        <w:rPr>
          <w:rFonts w:hint="eastAsia" w:ascii="宋体" w:hAnsi="宋体" w:cs="宋体"/>
          <w:b/>
          <w:color w:val="auto"/>
          <w:szCs w:val="21"/>
          <w:highlight w:val="none"/>
        </w:rPr>
        <w:t>3. 承包人</w:t>
      </w:r>
      <w:bookmarkEnd w:id="1134"/>
    </w:p>
    <w:p w14:paraId="27A0E63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3.1 承包人的一般义务</w:t>
      </w:r>
    </w:p>
    <w:p w14:paraId="62AC4490">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（9）承包人提交的竣工资料的内容：</w:t>
      </w:r>
      <w:r>
        <w:rPr>
          <w:rFonts w:hint="eastAsia" w:ascii="宋体" w:hAnsi="宋体" w:cs="宋体"/>
          <w:color w:val="auto"/>
          <w:sz w:val="21"/>
          <w:szCs w:val="21"/>
          <w:highlight w:val="none"/>
          <w:u w:val="single"/>
        </w:rPr>
        <w:t>符合国家及地方现行相关规定。工程项目竣工验收后，承包人应在国家、省、市及发包人工程竣工资料移交时限内，按国家、省、市及发包人档案管理部门的归档要求分别合格、完整地移交工程竣工档案。工程竣工档案的移交应包括各类纸质资料（合订文本及竣工图）、电子文档（扫描件及各类数码照片、声音、录像文件等），移交份数应满足国家、省、市档案管理部门及发包人档案管理部门的要求。</w:t>
      </w:r>
    </w:p>
    <w:p w14:paraId="05CF22D4">
      <w:pPr>
        <w:widowControl/>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auto"/>
          <w:kern w:val="0"/>
          <w:szCs w:val="21"/>
          <w:highlight w:val="none"/>
          <w:lang w:eastAsia="en-US"/>
        </w:rPr>
      </w:pPr>
      <w:r>
        <w:rPr>
          <w:rFonts w:hint="eastAsia" w:ascii="宋体" w:hAnsi="宋体" w:cs="宋体"/>
          <w:snapToGrid w:val="0"/>
          <w:color w:val="auto"/>
          <w:kern w:val="0"/>
          <w:szCs w:val="21"/>
          <w:highlight w:val="none"/>
          <w:lang w:eastAsia="en-US"/>
        </w:rPr>
        <w:t xml:space="preserve">承包人需要提交的竣工资料套数： </w:t>
      </w:r>
      <w:r>
        <w:rPr>
          <w:rFonts w:hint="eastAsia" w:ascii="宋体" w:hAnsi="宋体" w:cs="宋体"/>
          <w:snapToGrid w:val="0"/>
          <w:color w:val="auto"/>
          <w:kern w:val="0"/>
          <w:szCs w:val="21"/>
          <w:highlight w:val="none"/>
          <w:u w:val="single"/>
          <w:lang w:eastAsia="en-US"/>
        </w:rPr>
        <w:t>按发包人的要求数量提供</w:t>
      </w:r>
      <w:r>
        <w:rPr>
          <w:rFonts w:hint="eastAsia" w:ascii="宋体" w:hAnsi="宋体" w:cs="宋体"/>
          <w:snapToGrid w:val="0"/>
          <w:color w:val="auto"/>
          <w:kern w:val="0"/>
          <w:szCs w:val="21"/>
          <w:highlight w:val="none"/>
          <w:lang w:eastAsia="en-US"/>
        </w:rPr>
        <w:t>。</w:t>
      </w:r>
    </w:p>
    <w:p w14:paraId="7677E2AC">
      <w:pPr>
        <w:widowControl/>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auto"/>
          <w:kern w:val="0"/>
          <w:szCs w:val="21"/>
          <w:highlight w:val="none"/>
          <w:lang w:eastAsia="en-US"/>
        </w:rPr>
      </w:pPr>
      <w:r>
        <w:rPr>
          <w:rFonts w:hint="eastAsia" w:ascii="宋体" w:hAnsi="宋体" w:cs="宋体"/>
          <w:snapToGrid w:val="0"/>
          <w:color w:val="auto"/>
          <w:kern w:val="0"/>
          <w:szCs w:val="21"/>
          <w:highlight w:val="none"/>
          <w:lang w:eastAsia="en-US"/>
        </w:rPr>
        <w:t>承包人提交的竣工资料的费用承担：</w:t>
      </w:r>
      <w:r>
        <w:rPr>
          <w:rFonts w:hint="eastAsia" w:ascii="宋体" w:hAnsi="宋体" w:cs="宋体"/>
          <w:snapToGrid w:val="0"/>
          <w:color w:val="auto"/>
          <w:kern w:val="0"/>
          <w:szCs w:val="21"/>
          <w:highlight w:val="none"/>
          <w:u w:val="single"/>
          <w:lang w:eastAsia="en-US"/>
        </w:rPr>
        <w:t>签约合同价中包含但不限于由竣工资料产生的（编制、收集、组卷、绘制竣工图、拍摄、印制、装订、增加数量等）所有费用，发包人不为此再支付费用</w:t>
      </w:r>
      <w:r>
        <w:rPr>
          <w:rFonts w:hint="eastAsia" w:ascii="宋体" w:hAnsi="宋体" w:cs="宋体"/>
          <w:snapToGrid w:val="0"/>
          <w:color w:val="auto"/>
          <w:kern w:val="0"/>
          <w:szCs w:val="21"/>
          <w:highlight w:val="none"/>
          <w:lang w:eastAsia="en-US"/>
        </w:rPr>
        <w:t>。</w:t>
      </w:r>
    </w:p>
    <w:p w14:paraId="703FE182">
      <w:pPr>
        <w:widowControl/>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auto"/>
          <w:kern w:val="0"/>
          <w:szCs w:val="21"/>
          <w:highlight w:val="none"/>
          <w:lang w:eastAsia="en-US"/>
        </w:rPr>
      </w:pPr>
      <w:r>
        <w:rPr>
          <w:rFonts w:hint="eastAsia" w:ascii="宋体" w:hAnsi="宋体" w:cs="宋体"/>
          <w:snapToGrid w:val="0"/>
          <w:color w:val="auto"/>
          <w:kern w:val="0"/>
          <w:szCs w:val="21"/>
          <w:highlight w:val="none"/>
          <w:lang w:eastAsia="en-US"/>
        </w:rPr>
        <w:t>承包人提交的竣工资料移交时间：</w:t>
      </w:r>
      <w:r>
        <w:rPr>
          <w:rFonts w:hint="eastAsia" w:ascii="宋体" w:hAnsi="宋体" w:cs="宋体"/>
          <w:snapToGrid w:val="0"/>
          <w:color w:val="auto"/>
          <w:kern w:val="0"/>
          <w:szCs w:val="21"/>
          <w:highlight w:val="none"/>
          <w:u w:val="single"/>
          <w:lang w:eastAsia="en-US"/>
        </w:rPr>
        <w:t>按发包人要求。</w:t>
      </w:r>
    </w:p>
    <w:p w14:paraId="5DBB3056">
      <w:pPr>
        <w:widowControl/>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auto"/>
          <w:kern w:val="0"/>
          <w:szCs w:val="21"/>
          <w:highlight w:val="none"/>
          <w:lang w:eastAsia="en-US"/>
        </w:rPr>
      </w:pPr>
      <w:r>
        <w:rPr>
          <w:rFonts w:hint="eastAsia" w:ascii="宋体" w:hAnsi="宋体" w:cs="宋体"/>
          <w:snapToGrid w:val="0"/>
          <w:color w:val="auto"/>
          <w:kern w:val="0"/>
          <w:szCs w:val="21"/>
          <w:highlight w:val="none"/>
          <w:lang w:eastAsia="en-US"/>
        </w:rPr>
        <w:t>承包人提交的竣工资料形式要求：</w:t>
      </w:r>
      <w:r>
        <w:rPr>
          <w:rFonts w:hint="eastAsia" w:ascii="宋体" w:hAnsi="宋体" w:cs="宋体"/>
          <w:snapToGrid w:val="0"/>
          <w:color w:val="auto"/>
          <w:kern w:val="0"/>
          <w:szCs w:val="21"/>
          <w:highlight w:val="none"/>
          <w:u w:val="single"/>
          <w:lang w:eastAsia="en-US"/>
        </w:rPr>
        <w:t>纸质及电子版。以省、市城建档案馆及发包人的相关规定规范为依据</w:t>
      </w:r>
      <w:r>
        <w:rPr>
          <w:rFonts w:hint="eastAsia" w:ascii="宋体" w:hAnsi="宋体" w:cs="宋体"/>
          <w:snapToGrid w:val="0"/>
          <w:color w:val="auto"/>
          <w:kern w:val="0"/>
          <w:szCs w:val="21"/>
          <w:highlight w:val="none"/>
          <w:lang w:eastAsia="en-US"/>
        </w:rPr>
        <w:t>。</w:t>
      </w:r>
    </w:p>
    <w:p w14:paraId="713A33AC">
      <w:pPr>
        <w:widowControl/>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auto"/>
          <w:kern w:val="0"/>
          <w:szCs w:val="21"/>
          <w:highlight w:val="none"/>
          <w:lang w:eastAsia="en-US"/>
        </w:rPr>
      </w:pPr>
      <w:r>
        <w:rPr>
          <w:rFonts w:hint="eastAsia" w:ascii="宋体" w:hAnsi="宋体" w:cs="宋体"/>
          <w:snapToGrid w:val="0"/>
          <w:color w:val="auto"/>
          <w:kern w:val="0"/>
          <w:szCs w:val="21"/>
          <w:highlight w:val="none"/>
          <w:lang w:eastAsia="en-US"/>
        </w:rPr>
        <w:t xml:space="preserve">（10） 承包人应履行的其他义务： </w:t>
      </w:r>
      <w:r>
        <w:rPr>
          <w:rFonts w:hint="eastAsia" w:ascii="宋体" w:hAnsi="宋体" w:cs="宋体"/>
          <w:snapToGrid w:val="0"/>
          <w:color w:val="auto"/>
          <w:kern w:val="0"/>
          <w:szCs w:val="21"/>
          <w:highlight w:val="none"/>
          <w:u w:val="single"/>
          <w:lang w:eastAsia="en-US"/>
        </w:rPr>
        <w:t xml:space="preserve">                 </w:t>
      </w:r>
    </w:p>
    <w:p w14:paraId="60DD44E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 项目经理</w:t>
      </w:r>
    </w:p>
    <w:p w14:paraId="23A9D9E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3.2.1 项目经理：</w:t>
      </w:r>
    </w:p>
    <w:p w14:paraId="4618D69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1ED6C1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C58BD9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建造师执业资格等级：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036F3BA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建造师注册证书号：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5D4F522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建造师执业印章号：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7105526">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安全生产考核合格证书号：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589F739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联系电话：</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8231B9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通信地址：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5E62341">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承包人对项目经理的授权范围如下：</w:t>
      </w:r>
      <w:r>
        <w:rPr>
          <w:rFonts w:hint="eastAsia" w:ascii="宋体" w:hAnsi="宋体" w:cs="宋体"/>
          <w:color w:val="auto"/>
          <w:szCs w:val="21"/>
          <w:highlight w:val="none"/>
          <w:u w:val="single"/>
        </w:rPr>
        <w:t>代表承包人履行本项目的专业承包管理职责，为工程参与各方做好协调和服务，在质量、安全、环境保护、文明施工等合约目标范围代表承包人向发包人直接负责并代表承包人按照法律法规要求签署相关文件</w:t>
      </w:r>
      <w:r>
        <w:rPr>
          <w:rFonts w:hint="eastAsia" w:ascii="宋体" w:hAnsi="宋体" w:cs="宋体"/>
          <w:color w:val="auto"/>
          <w:szCs w:val="21"/>
          <w:highlight w:val="none"/>
        </w:rPr>
        <w:t>。</w:t>
      </w:r>
    </w:p>
    <w:p w14:paraId="18E365D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关于项目经理每月在施工现场的时间要求：</w:t>
      </w:r>
      <w:r>
        <w:rPr>
          <w:rFonts w:hint="eastAsia" w:ascii="宋体" w:hAnsi="宋体" w:cs="宋体"/>
          <w:color w:val="auto"/>
          <w:sz w:val="21"/>
          <w:szCs w:val="21"/>
          <w:highlight w:val="none"/>
          <w:u w:val="single"/>
        </w:rPr>
        <w:t>每月驻工地现场不少于21天</w:t>
      </w:r>
      <w:r>
        <w:rPr>
          <w:rFonts w:hint="eastAsia" w:ascii="宋体" w:hAnsi="宋体" w:cs="宋体"/>
          <w:color w:val="auto"/>
          <w:sz w:val="21"/>
          <w:szCs w:val="21"/>
          <w:highlight w:val="none"/>
        </w:rPr>
        <w:t>。</w:t>
      </w:r>
    </w:p>
    <w:p w14:paraId="66C6618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承包人未提交劳动合同，以及没有为项目经理缴纳社会保险证明的违约责任：</w:t>
      </w:r>
      <w:r>
        <w:rPr>
          <w:rFonts w:hint="eastAsia" w:ascii="宋体" w:hAnsi="宋体" w:cs="宋体"/>
          <w:color w:val="auto"/>
          <w:sz w:val="21"/>
          <w:szCs w:val="21"/>
          <w:highlight w:val="none"/>
          <w:u w:val="single"/>
        </w:rPr>
        <w:t>承包人承担5000元的违约金。</w:t>
      </w:r>
    </w:p>
    <w:p w14:paraId="6398B7B5">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项目经理未经批准，擅自离开施工现场的违约责任：</w:t>
      </w:r>
      <w:r>
        <w:rPr>
          <w:rFonts w:hint="eastAsia" w:ascii="宋体" w:hAnsi="宋体" w:cs="宋体"/>
          <w:color w:val="auto"/>
          <w:sz w:val="21"/>
          <w:szCs w:val="21"/>
          <w:highlight w:val="none"/>
          <w:u w:val="single"/>
        </w:rPr>
        <w:t>离开超过2天，承包人承担1000元/天的违约金</w:t>
      </w:r>
      <w:r>
        <w:rPr>
          <w:rFonts w:hint="eastAsia" w:ascii="宋体" w:hAnsi="宋体" w:cs="宋体"/>
          <w:color w:val="auto"/>
          <w:sz w:val="21"/>
          <w:szCs w:val="21"/>
          <w:highlight w:val="none"/>
        </w:rPr>
        <w:t>。</w:t>
      </w:r>
    </w:p>
    <w:p w14:paraId="74CC8D04">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3.2.3 承包人不得擅自更换项目经理，擅自更换项目经理的违约责任：</w:t>
      </w:r>
      <w:r>
        <w:rPr>
          <w:rFonts w:hint="eastAsia" w:ascii="宋体" w:hAnsi="宋体" w:cs="宋体"/>
          <w:color w:val="auto"/>
          <w:sz w:val="21"/>
          <w:szCs w:val="21"/>
          <w:highlight w:val="none"/>
          <w:u w:val="single"/>
        </w:rPr>
        <w:t>承包人承担2000元/次的违约金，在经发包人同意后更换项目经理也需承担2000元/次的违约金。</w:t>
      </w:r>
    </w:p>
    <w:p w14:paraId="664AD2B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3.2.4 承包人无正当理由拒绝更换项目经理的违约责任：</w:t>
      </w:r>
      <w:r>
        <w:rPr>
          <w:rFonts w:hint="eastAsia" w:ascii="宋体" w:hAnsi="宋体" w:cs="宋体"/>
          <w:color w:val="auto"/>
          <w:sz w:val="21"/>
          <w:szCs w:val="21"/>
          <w:highlight w:val="none"/>
          <w:u w:val="single"/>
        </w:rPr>
        <w:t>承包人承担5000元/次的违约金。并必须按发包人要求更换。若发包人书面要求三次更换，发包人可以解除承包合同，承包人承担因此造成的损失</w:t>
      </w:r>
      <w:r>
        <w:rPr>
          <w:rFonts w:hint="eastAsia" w:ascii="宋体" w:hAnsi="宋体" w:cs="宋体"/>
          <w:color w:val="auto"/>
          <w:sz w:val="21"/>
          <w:szCs w:val="21"/>
          <w:highlight w:val="none"/>
        </w:rPr>
        <w:t>。</w:t>
      </w:r>
    </w:p>
    <w:p w14:paraId="5F83289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 承包人人员</w:t>
      </w:r>
    </w:p>
    <w:p w14:paraId="45B864A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3.3.1 承包人提交发包人及施工现场管理人员安排报告的期限：</w:t>
      </w:r>
      <w:r>
        <w:rPr>
          <w:rFonts w:hint="eastAsia" w:ascii="宋体" w:hAnsi="宋体" w:cs="宋体"/>
          <w:color w:val="auto"/>
          <w:sz w:val="21"/>
          <w:szCs w:val="21"/>
          <w:highlight w:val="none"/>
          <w:u w:val="single"/>
        </w:rPr>
        <w:t>开工前5天内</w:t>
      </w:r>
      <w:r>
        <w:rPr>
          <w:rFonts w:hint="eastAsia" w:ascii="宋体" w:hAnsi="宋体" w:cs="宋体"/>
          <w:color w:val="auto"/>
          <w:sz w:val="21"/>
          <w:szCs w:val="21"/>
          <w:highlight w:val="none"/>
        </w:rPr>
        <w:t>。</w:t>
      </w:r>
    </w:p>
    <w:p w14:paraId="4DFAE91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3.3.3 承包人无正当理由拒绝撤换主要施工管理人员的违约责任：</w:t>
      </w:r>
      <w:r>
        <w:rPr>
          <w:rFonts w:hint="eastAsia" w:ascii="宋体" w:hAnsi="宋体" w:cs="宋体"/>
          <w:color w:val="auto"/>
          <w:sz w:val="21"/>
          <w:szCs w:val="21"/>
          <w:highlight w:val="none"/>
          <w:u w:val="single"/>
        </w:rPr>
        <w:t>承包人承担2000元/次的违约金。并必须按发包人要求更换。</w:t>
      </w:r>
    </w:p>
    <w:p w14:paraId="2DCCB939">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3.3.4 承包人主要施工管理人员离开施工现场的批准要求：</w:t>
      </w:r>
      <w:r>
        <w:rPr>
          <w:rFonts w:hint="eastAsia" w:ascii="宋体" w:hAnsi="宋体" w:cs="宋体"/>
          <w:color w:val="auto"/>
          <w:sz w:val="21"/>
          <w:szCs w:val="21"/>
          <w:highlight w:val="none"/>
          <w:u w:val="single"/>
        </w:rPr>
        <w:t xml:space="preserve">必须经监理单位、发包人书面批准 </w:t>
      </w:r>
      <w:r>
        <w:rPr>
          <w:rFonts w:hint="eastAsia" w:ascii="宋体" w:hAnsi="宋体" w:cs="宋体"/>
          <w:color w:val="auto"/>
          <w:sz w:val="21"/>
          <w:szCs w:val="21"/>
          <w:highlight w:val="none"/>
        </w:rPr>
        <w:t>。</w:t>
      </w:r>
    </w:p>
    <w:p w14:paraId="21EA9D7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3.3.5承包人擅自更换主要施工管理人员的违约责任：</w:t>
      </w:r>
      <w:r>
        <w:rPr>
          <w:rFonts w:hint="eastAsia" w:ascii="宋体" w:hAnsi="宋体" w:cs="宋体"/>
          <w:color w:val="auto"/>
          <w:sz w:val="21"/>
          <w:szCs w:val="21"/>
          <w:highlight w:val="none"/>
          <w:u w:val="single"/>
        </w:rPr>
        <w:t>承包人承担2000元/次的违约金。</w:t>
      </w:r>
    </w:p>
    <w:p w14:paraId="40A6DACE">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承包人主要施工管理人员擅自离开施工现场的违约责任：</w:t>
      </w:r>
      <w:r>
        <w:rPr>
          <w:rFonts w:hint="eastAsia" w:ascii="宋体" w:hAnsi="宋体" w:cs="宋体"/>
          <w:color w:val="auto"/>
          <w:sz w:val="21"/>
          <w:szCs w:val="21"/>
          <w:highlight w:val="none"/>
          <w:u w:val="single"/>
        </w:rPr>
        <w:t>离开超过2天，承包人承担2000元/天的违约金</w:t>
      </w:r>
      <w:r>
        <w:rPr>
          <w:rFonts w:hint="eastAsia" w:ascii="宋体" w:hAnsi="宋体" w:cs="宋体"/>
          <w:color w:val="auto"/>
          <w:sz w:val="21"/>
          <w:szCs w:val="21"/>
          <w:highlight w:val="none"/>
        </w:rPr>
        <w:t>。</w:t>
      </w:r>
    </w:p>
    <w:p w14:paraId="5C24FA1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3.5 分包</w:t>
      </w:r>
    </w:p>
    <w:p w14:paraId="119BE5E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3.5.1 分包的一般约定</w:t>
      </w:r>
    </w:p>
    <w:p w14:paraId="24CEBD2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禁止分包的工程包括：</w:t>
      </w:r>
      <w:r>
        <w:rPr>
          <w:rFonts w:hint="eastAsia" w:ascii="宋体" w:hAnsi="宋体" w:cs="宋体"/>
          <w:color w:val="auto"/>
          <w:sz w:val="21"/>
          <w:szCs w:val="21"/>
          <w:highlight w:val="none"/>
          <w:u w:val="single"/>
        </w:rPr>
        <w:t>本工程的主体、关键性工作</w:t>
      </w:r>
      <w:r>
        <w:rPr>
          <w:rFonts w:hint="eastAsia" w:ascii="宋体" w:hAnsi="宋体" w:cs="宋体"/>
          <w:color w:val="auto"/>
          <w:sz w:val="21"/>
          <w:szCs w:val="21"/>
          <w:highlight w:val="none"/>
        </w:rPr>
        <w:t>。</w:t>
      </w:r>
    </w:p>
    <w:p w14:paraId="2A3C82C0">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主体结构、关键性工作的范围：</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6E70CEF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3.5.2分包的确定</w:t>
      </w:r>
    </w:p>
    <w:p w14:paraId="78C019E3">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允许分包的专业工程包括：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7CAE22F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其他关于分包的约定：</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3F7FF6D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3.5.4 分包合同价款</w:t>
      </w:r>
    </w:p>
    <w:p w14:paraId="2B2D1D8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关于分包合同价款支付的约定：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7CD276D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3.6 工程照管与成品、半成品保护</w:t>
      </w:r>
    </w:p>
    <w:p w14:paraId="31261C27">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承包人负责照管工程及工程相关的材料、工程设备的起始时间：</w:t>
      </w:r>
      <w:r>
        <w:rPr>
          <w:rFonts w:hint="eastAsia" w:ascii="宋体" w:hAnsi="宋体" w:cs="宋体"/>
          <w:color w:val="auto"/>
          <w:sz w:val="21"/>
          <w:szCs w:val="21"/>
          <w:highlight w:val="none"/>
          <w:u w:val="single"/>
        </w:rPr>
        <w:t>承包人进场后第二天起</w:t>
      </w:r>
      <w:r>
        <w:rPr>
          <w:rFonts w:hint="eastAsia" w:ascii="宋体" w:hAnsi="宋体" w:cs="宋体"/>
          <w:color w:val="auto"/>
          <w:sz w:val="21"/>
          <w:szCs w:val="21"/>
          <w:highlight w:val="none"/>
        </w:rPr>
        <w:t>。</w:t>
      </w:r>
    </w:p>
    <w:p w14:paraId="1E12DC5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3.7 履约担保</w:t>
      </w:r>
    </w:p>
    <w:p w14:paraId="549C873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承包人是否提供履约担保：</w:t>
      </w:r>
      <w:r>
        <w:rPr>
          <w:rFonts w:hint="eastAsia" w:ascii="宋体" w:hAnsi="宋体" w:cs="宋体"/>
          <w:color w:val="auto"/>
          <w:sz w:val="21"/>
          <w:szCs w:val="21"/>
          <w:highlight w:val="none"/>
          <w:u w:val="single"/>
        </w:rPr>
        <w:t>否</w:t>
      </w:r>
      <w:r>
        <w:rPr>
          <w:rFonts w:hint="eastAsia" w:ascii="宋体" w:hAnsi="宋体" w:cs="宋体"/>
          <w:color w:val="auto"/>
          <w:sz w:val="21"/>
          <w:szCs w:val="21"/>
          <w:highlight w:val="none"/>
        </w:rPr>
        <w:t>。</w:t>
      </w:r>
    </w:p>
    <w:p w14:paraId="13FD3CD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承包人提供履约担保的形式、金额及期限，</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75143D2D">
      <w:pPr>
        <w:adjustRightInd w:val="0"/>
        <w:snapToGrid w:val="0"/>
        <w:spacing w:line="360" w:lineRule="auto"/>
        <w:outlineLvl w:val="2"/>
        <w:rPr>
          <w:rFonts w:ascii="宋体" w:hAnsi="宋体" w:cs="宋体"/>
          <w:b/>
          <w:color w:val="auto"/>
          <w:szCs w:val="21"/>
          <w:highlight w:val="none"/>
        </w:rPr>
      </w:pPr>
      <w:bookmarkStart w:id="1135" w:name="_Toc31302"/>
      <w:r>
        <w:rPr>
          <w:rFonts w:hint="eastAsia" w:ascii="宋体" w:hAnsi="宋体" w:cs="宋体"/>
          <w:b/>
          <w:color w:val="auto"/>
          <w:szCs w:val="21"/>
          <w:highlight w:val="none"/>
        </w:rPr>
        <w:t>4. 监理人</w:t>
      </w:r>
      <w:bookmarkEnd w:id="1135"/>
    </w:p>
    <w:p w14:paraId="247BDA3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4.1监理人的一般规定</w:t>
      </w:r>
    </w:p>
    <w:p w14:paraId="3E6F34F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关于监理人的监理内容：</w:t>
      </w:r>
      <w:r>
        <w:rPr>
          <w:rFonts w:hint="eastAsia" w:ascii="宋体" w:hAnsi="宋体" w:cs="宋体"/>
          <w:color w:val="auto"/>
          <w:sz w:val="21"/>
          <w:szCs w:val="21"/>
          <w:highlight w:val="none"/>
          <w:u w:val="single"/>
        </w:rPr>
        <w:t xml:space="preserve">按照监理规范对本工程进行监理 </w:t>
      </w:r>
      <w:r>
        <w:rPr>
          <w:rFonts w:hint="eastAsia" w:ascii="宋体" w:hAnsi="宋体" w:cs="宋体"/>
          <w:color w:val="auto"/>
          <w:sz w:val="21"/>
          <w:szCs w:val="21"/>
          <w:highlight w:val="none"/>
        </w:rPr>
        <w:t>。</w:t>
      </w:r>
    </w:p>
    <w:p w14:paraId="4B50B2E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关于监理人的监理权限：</w:t>
      </w:r>
      <w:r>
        <w:rPr>
          <w:rFonts w:hint="eastAsia" w:ascii="宋体" w:hAnsi="宋体" w:cs="宋体"/>
          <w:color w:val="auto"/>
          <w:sz w:val="21"/>
          <w:szCs w:val="21"/>
          <w:highlight w:val="none"/>
          <w:u w:val="single"/>
        </w:rPr>
        <w:t xml:space="preserve">工程质量、进度、造价、施工安全等施工阶段全过程监理 </w:t>
      </w:r>
      <w:r>
        <w:rPr>
          <w:rFonts w:hint="eastAsia" w:ascii="宋体" w:hAnsi="宋体" w:cs="宋体"/>
          <w:color w:val="auto"/>
          <w:sz w:val="21"/>
          <w:szCs w:val="21"/>
          <w:highlight w:val="none"/>
        </w:rPr>
        <w:t xml:space="preserve">。 </w:t>
      </w:r>
    </w:p>
    <w:p w14:paraId="71EC8F2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关于监理人在施工现场的办公场所、生活场所的提供和费用承担的约定：</w:t>
      </w:r>
      <w:r>
        <w:rPr>
          <w:rFonts w:hint="eastAsia" w:ascii="宋体" w:hAnsi="宋体" w:cs="宋体"/>
          <w:color w:val="auto"/>
          <w:sz w:val="21"/>
          <w:szCs w:val="21"/>
          <w:highlight w:val="none"/>
          <w:u w:val="single"/>
        </w:rPr>
        <w:t>监理人自理</w:t>
      </w:r>
      <w:r>
        <w:rPr>
          <w:rFonts w:hint="eastAsia" w:ascii="宋体" w:hAnsi="宋体" w:cs="宋体"/>
          <w:color w:val="auto"/>
          <w:sz w:val="21"/>
          <w:szCs w:val="21"/>
          <w:highlight w:val="none"/>
        </w:rPr>
        <w:t>。</w:t>
      </w:r>
    </w:p>
    <w:p w14:paraId="1B3CA45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4.2 监理人员</w:t>
      </w:r>
    </w:p>
    <w:p w14:paraId="007930B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总监理工程师：</w:t>
      </w:r>
    </w:p>
    <w:p w14:paraId="444E9C2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姓    名：</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p w14:paraId="16CA069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职    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5F6BECE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监理工程师执业资格证书号：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A6B50A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关于监理人的其他约定：</w:t>
      </w:r>
      <w:r>
        <w:rPr>
          <w:rFonts w:hint="eastAsia" w:ascii="宋体" w:hAnsi="宋体" w:cs="宋体"/>
          <w:color w:val="auto"/>
          <w:sz w:val="21"/>
          <w:szCs w:val="21"/>
          <w:highlight w:val="none"/>
          <w:u w:val="single"/>
        </w:rPr>
        <w:t>需要取得发包人批准才能行使的职权：工程变更的决定、工期顺延的决定和工程计量、工程款支付的决定均应通过发包人同意才能执行</w:t>
      </w:r>
      <w:r>
        <w:rPr>
          <w:rFonts w:hint="eastAsia" w:ascii="宋体" w:hAnsi="宋体" w:cs="宋体"/>
          <w:color w:val="auto"/>
          <w:sz w:val="21"/>
          <w:szCs w:val="21"/>
          <w:highlight w:val="none"/>
        </w:rPr>
        <w:t>。其他事项</w:t>
      </w:r>
      <w:r>
        <w:rPr>
          <w:rFonts w:hint="eastAsia" w:ascii="宋体" w:hAnsi="宋体" w:cs="宋体"/>
          <w:color w:val="auto"/>
          <w:sz w:val="21"/>
          <w:szCs w:val="21"/>
          <w:highlight w:val="none"/>
          <w:u w:val="single"/>
        </w:rPr>
        <w:t xml:space="preserve"> 按监理规范及监理合同的要求行使职权</w:t>
      </w:r>
      <w:r>
        <w:rPr>
          <w:rFonts w:hint="eastAsia" w:ascii="宋体" w:hAnsi="宋体" w:cs="宋体"/>
          <w:color w:val="auto"/>
          <w:sz w:val="21"/>
          <w:szCs w:val="21"/>
          <w:highlight w:val="none"/>
        </w:rPr>
        <w:t>。</w:t>
      </w:r>
    </w:p>
    <w:p w14:paraId="1201D323">
      <w:pPr>
        <w:adjustRightInd w:val="0"/>
        <w:snapToGrid w:val="0"/>
        <w:spacing w:line="360" w:lineRule="auto"/>
        <w:outlineLvl w:val="2"/>
        <w:rPr>
          <w:rFonts w:ascii="宋体" w:hAnsi="宋体" w:cs="宋体"/>
          <w:b/>
          <w:color w:val="auto"/>
          <w:szCs w:val="21"/>
          <w:highlight w:val="none"/>
        </w:rPr>
      </w:pPr>
      <w:bookmarkStart w:id="1136" w:name="_Toc27607"/>
      <w:r>
        <w:rPr>
          <w:rFonts w:hint="eastAsia" w:ascii="宋体" w:hAnsi="宋体" w:cs="宋体"/>
          <w:b/>
          <w:color w:val="auto"/>
          <w:szCs w:val="21"/>
          <w:highlight w:val="none"/>
        </w:rPr>
        <w:t>5. 工程质量</w:t>
      </w:r>
      <w:bookmarkEnd w:id="1136"/>
    </w:p>
    <w:p w14:paraId="6B0DAF9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5.1 质量要求</w:t>
      </w:r>
    </w:p>
    <w:p w14:paraId="071637C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5.1.1 特殊质量标准和要求：</w:t>
      </w:r>
      <w:r>
        <w:rPr>
          <w:rFonts w:hint="eastAsia" w:ascii="宋体" w:hAnsi="宋体" w:cs="宋体"/>
          <w:color w:val="auto"/>
          <w:sz w:val="21"/>
          <w:szCs w:val="21"/>
          <w:highlight w:val="none"/>
          <w:u w:val="single"/>
        </w:rPr>
        <w:t>按国家相关规范和标准执行</w:t>
      </w:r>
      <w:r>
        <w:rPr>
          <w:rFonts w:hint="eastAsia" w:ascii="宋体" w:hAnsi="宋体" w:cs="宋体"/>
          <w:color w:val="auto"/>
          <w:sz w:val="21"/>
          <w:szCs w:val="21"/>
          <w:highlight w:val="none"/>
        </w:rPr>
        <w:t>。</w:t>
      </w:r>
    </w:p>
    <w:p w14:paraId="7A67AEBA">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关于工程奖项的约定：</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w:t>
      </w:r>
    </w:p>
    <w:p w14:paraId="76A70E0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5.3 隐蔽工程检查</w:t>
      </w:r>
    </w:p>
    <w:p w14:paraId="01D30BE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5.3.2承包人提前通知监理人隐蔽工程检查的期限的约定：</w:t>
      </w:r>
      <w:r>
        <w:rPr>
          <w:rFonts w:hint="eastAsia" w:ascii="宋体" w:hAnsi="宋体" w:cs="宋体"/>
          <w:color w:val="auto"/>
          <w:sz w:val="21"/>
          <w:szCs w:val="21"/>
          <w:highlight w:val="none"/>
          <w:u w:val="single"/>
        </w:rPr>
        <w:t>提前48小时</w:t>
      </w:r>
      <w:r>
        <w:rPr>
          <w:rFonts w:hint="eastAsia" w:ascii="宋体" w:hAnsi="宋体" w:cs="宋体"/>
          <w:color w:val="auto"/>
          <w:sz w:val="21"/>
          <w:szCs w:val="21"/>
          <w:highlight w:val="none"/>
        </w:rPr>
        <w:t>。</w:t>
      </w:r>
    </w:p>
    <w:p w14:paraId="187D38A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监理人不能按时进行检查时，应提前</w:t>
      </w:r>
      <w:r>
        <w:rPr>
          <w:rFonts w:ascii="宋体" w:hAnsi="宋体" w:cs="宋体"/>
          <w:color w:val="auto"/>
          <w:sz w:val="21"/>
          <w:szCs w:val="21"/>
          <w:highlight w:val="none"/>
          <w:u w:val="single"/>
        </w:rPr>
        <w:t>24</w:t>
      </w:r>
      <w:r>
        <w:rPr>
          <w:rFonts w:hint="eastAsia" w:ascii="宋体" w:hAnsi="宋体" w:cs="宋体"/>
          <w:color w:val="auto"/>
          <w:sz w:val="21"/>
          <w:szCs w:val="21"/>
          <w:highlight w:val="none"/>
        </w:rPr>
        <w:t>小时提交书面延期要求。</w:t>
      </w:r>
    </w:p>
    <w:p w14:paraId="16F3F37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关于延期最长不得超过：</w:t>
      </w:r>
      <w:r>
        <w:rPr>
          <w:rFonts w:ascii="宋体" w:hAnsi="宋体" w:cs="宋体"/>
          <w:color w:val="auto"/>
          <w:sz w:val="21"/>
          <w:szCs w:val="21"/>
          <w:highlight w:val="none"/>
          <w:u w:val="single"/>
        </w:rPr>
        <w:t>24</w:t>
      </w:r>
      <w:r>
        <w:rPr>
          <w:rFonts w:hint="eastAsia" w:ascii="宋体" w:hAnsi="宋体" w:cs="宋体"/>
          <w:color w:val="auto"/>
          <w:sz w:val="21"/>
          <w:szCs w:val="21"/>
          <w:highlight w:val="none"/>
        </w:rPr>
        <w:t>小时。</w:t>
      </w:r>
    </w:p>
    <w:p w14:paraId="27CF993C">
      <w:pPr>
        <w:adjustRightInd w:val="0"/>
        <w:snapToGrid w:val="0"/>
        <w:spacing w:line="360" w:lineRule="auto"/>
        <w:outlineLvl w:val="2"/>
        <w:rPr>
          <w:rFonts w:ascii="宋体" w:hAnsi="宋体" w:cs="宋体"/>
          <w:b/>
          <w:color w:val="auto"/>
          <w:szCs w:val="21"/>
          <w:highlight w:val="none"/>
        </w:rPr>
      </w:pPr>
      <w:bookmarkStart w:id="1137" w:name="_Toc32108"/>
      <w:r>
        <w:rPr>
          <w:rFonts w:hint="eastAsia" w:ascii="宋体" w:hAnsi="宋体" w:cs="宋体"/>
          <w:b/>
          <w:color w:val="auto"/>
          <w:szCs w:val="21"/>
          <w:highlight w:val="none"/>
        </w:rPr>
        <w:t>6. 安全文明施工与环境保护</w:t>
      </w:r>
      <w:bookmarkEnd w:id="1137"/>
    </w:p>
    <w:p w14:paraId="6236627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bookmarkStart w:id="1138" w:name="_Toc14466"/>
      <w:r>
        <w:rPr>
          <w:rFonts w:ascii="宋体" w:hAnsi="宋体" w:eastAsia="Arial" w:cs="宋体"/>
          <w:snapToGrid w:val="0"/>
          <w:color w:val="auto"/>
          <w:kern w:val="0"/>
          <w:szCs w:val="21"/>
          <w:highlight w:val="none"/>
          <w:lang w:eastAsia="en-US"/>
        </w:rPr>
        <w:t>6.1 安全文明施工</w:t>
      </w:r>
    </w:p>
    <w:p w14:paraId="5B6B8C7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6.1.1 项目安全生产的达标目标及相应事项的约定：</w:t>
      </w:r>
    </w:p>
    <w:p w14:paraId="47F8EEB9">
      <w:pPr>
        <w:widowControl/>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（1）安全文明施工相关法律法规、规范、标准：《中华人民共和国建筑法</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中华人民共和国安全生产法</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建设工程安全生产管理条例》（国务院第393号令）、《生产安全事故报告和调查处理条例》（国务院第493号令</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国务院关于特大安全事故行政责任追究的规定》（国务院第302号文）、《建筑施工安全检查标准》（JGJ59-2011）、《建设工程施工现场环境与卫生标准》（JGJ146-2013）、《施工企业安全生产评价标准》（JGJ/T77-2010）、《建筑与市政工程施工现场临时用电安全技术标准》（JGJ/T46-2024）及国家、地方现行的法律法规。</w:t>
      </w:r>
    </w:p>
    <w:p w14:paraId="33EB1735">
      <w:pPr>
        <w:widowControl/>
        <w:tabs>
          <w:tab w:val="left" w:pos="512"/>
        </w:tabs>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2）现场安全施工、文明施工等除满足国家及当地相关部门要求外，还应严格遵守双方签订的安全生产责任书、环保责任书等协议的规定，服从发包人的统一管理，达不到发包人管理要求的将按发包人的规定进行相应金额的处罚。</w:t>
      </w:r>
    </w:p>
    <w:p w14:paraId="5CE62A96">
      <w:pPr>
        <w:widowControl/>
        <w:tabs>
          <w:tab w:val="left" w:pos="512"/>
        </w:tabs>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（3）承包人严格按国家及地方安全管理条例及安全操作规程进行施工，非发包人原因及不可抗力发生安全事故，刑事责任自负，给发包人及第三人所造成的一切损失由承包人负责赔偿，并承担一切行政处罚；</w:t>
      </w:r>
    </w:p>
    <w:p w14:paraId="04FCB0A3">
      <w:pPr>
        <w:widowControl/>
        <w:tabs>
          <w:tab w:val="left" w:pos="512"/>
        </w:tabs>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（4）承包人必须全面考虑并做好施工现场及周边安全防护工作，做好现场施工人员安全教育工作和安全监督检查工作，并在工程开工前 7 天向总监理工程师提出安全防护措施，经总监理工程师认可后实施。承包人应对安全防护措施进行验收和长期的维护管理，如与其他专业单位共同使用，防护措施费用由承包人与相关使用方自行协商解决。</w:t>
      </w:r>
    </w:p>
    <w:p w14:paraId="6D10FF28">
      <w:pPr>
        <w:widowControl/>
        <w:tabs>
          <w:tab w:val="left" w:pos="512"/>
        </w:tabs>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（5）在施工现场中，一旦发现安全隐患，承包人必须限期整改。若在施工过程中发生火灾等安全事故，造成周围设施损坏及人员伤亡，均由承包人自行承担一切经济和法律责任。</w:t>
      </w:r>
    </w:p>
    <w:p w14:paraId="4019863C">
      <w:pPr>
        <w:widowControl/>
        <w:tabs>
          <w:tab w:val="left" w:pos="520"/>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（6）承包人进入施工场地的所有人员应按有关要求购买建设工程人身险，并复印提交监理工程师。</w:t>
      </w:r>
    </w:p>
    <w:p w14:paraId="2E3F8A6F">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（7）承包人的专职安全管理人员必须具有相应的执业资格证，并确实做到持证上岗，以备随时查验。</w:t>
      </w:r>
    </w:p>
    <w:p w14:paraId="56AE879C">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（8）承包人必须严格按照国家安全生产、安全施工的相关规定组织施工，如发现无安全防护违章作业，承包人应承担相应的违约责任并支付      万元/次的违约金，并承担由此引发的安全事故责任。</w:t>
      </w:r>
    </w:p>
    <w:p w14:paraId="009549DC">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9）承包人应遵守工程建设安全生产有关管理规定，严格按安全标准组织施工，并随时接受行业安全检查人员依法实施的监督检查，采取必要的安全防护措施，消除火灾等安全事故隐患。由于承包人安全措施不力造成事故的责任和因此发生的费用，由承包人承担。</w:t>
      </w:r>
    </w:p>
    <w:p w14:paraId="7A3F3CC2">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（10）发包人不得要求承包人违反安全管理的规定进行施工。因发包人原因导致的安全事故</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由发包人承担相应责任及发生的费用。</w:t>
      </w:r>
    </w:p>
    <w:p w14:paraId="670AD563">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（11）安全事故处理，发生重大伤亡及其他安全事故，承包人应按有关规定立即上报有关部门并通知监理工程师，同时按政府有关部门要求处理，由事故责任方承担发生的费用。</w:t>
      </w:r>
    </w:p>
    <w:p w14:paraId="25A92689">
      <w:pPr>
        <w:widowControl/>
        <w:tabs>
          <w:tab w:val="left" w:pos="51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（12）安全文明施工未达到要求的，除不予支付安全文明措施费外，将按照当地文明施工管理处罚办法进行处罚。</w:t>
      </w:r>
    </w:p>
    <w:p w14:paraId="65381B0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6.1.4 关于治安保卫的特别约定：</w:t>
      </w:r>
      <w:r>
        <w:rPr>
          <w:rFonts w:ascii="宋体" w:hAnsi="宋体" w:eastAsia="Arial" w:cs="宋体"/>
          <w:snapToGrid w:val="0"/>
          <w:color w:val="auto"/>
          <w:kern w:val="0"/>
          <w:szCs w:val="21"/>
          <w:highlight w:val="none"/>
          <w:u w:val="single"/>
          <w:lang w:eastAsia="en-US"/>
        </w:rPr>
        <w:t>承包人应在工程开工前</w:t>
      </w:r>
      <w:r>
        <w:rPr>
          <w:rFonts w:hint="eastAsia" w:ascii="宋体" w:hAnsi="宋体"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u w:val="single"/>
          <w:lang w:eastAsia="en-US"/>
        </w:rPr>
        <w:t>7</w:t>
      </w:r>
      <w:r>
        <w:rPr>
          <w:rFonts w:hint="eastAsia" w:ascii="宋体" w:hAnsi="宋体"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u w:val="single"/>
          <w:lang w:eastAsia="en-US"/>
        </w:rPr>
        <w:t>日内编制工地施工场地治安管理计划，并制定应对突发治安事件的紧急预案，并与发包人保卫部门及当地公安部门协商在现场建立治安管理机构或联防组织，管理施工场地的治安保卫事项，履行合同工程的治安保卫职责</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如在此期间发生造成人员财产受</w:t>
      </w:r>
      <w:r>
        <w:rPr>
          <w:rFonts w:hint="eastAsia" w:ascii="宋体" w:hAnsi="宋体" w:eastAsia="宋体" w:cs="宋体"/>
          <w:snapToGrid w:val="0"/>
          <w:color w:val="auto"/>
          <w:kern w:val="0"/>
          <w:szCs w:val="21"/>
          <w:highlight w:val="none"/>
          <w:u w:val="single"/>
          <w:lang w:eastAsia="zh-CN"/>
        </w:rPr>
        <w:t>损</w:t>
      </w:r>
      <w:r>
        <w:rPr>
          <w:rFonts w:ascii="宋体" w:hAnsi="宋体" w:eastAsia="Arial" w:cs="宋体"/>
          <w:snapToGrid w:val="0"/>
          <w:color w:val="auto"/>
          <w:kern w:val="0"/>
          <w:szCs w:val="21"/>
          <w:highlight w:val="none"/>
          <w:u w:val="single"/>
          <w:lang w:eastAsia="en-US"/>
        </w:rPr>
        <w:t>的事件，由承包人自行协调、处理解决，给发包人造成损失的，应先赔偿发包人损失后再自行向相关责任人追偿</w:t>
      </w:r>
      <w:r>
        <w:rPr>
          <w:rFonts w:ascii="宋体" w:hAnsi="宋体" w:eastAsia="Arial" w:cs="宋体"/>
          <w:snapToGrid w:val="0"/>
          <w:color w:val="auto"/>
          <w:kern w:val="0"/>
          <w:szCs w:val="21"/>
          <w:highlight w:val="none"/>
          <w:lang w:eastAsia="en-US"/>
        </w:rPr>
        <w:t>。</w:t>
      </w:r>
    </w:p>
    <w:p w14:paraId="3470C8E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关于编制施工场地治安管理计划的约定</w:t>
      </w:r>
      <w:r>
        <w:rPr>
          <w:rFonts w:hint="eastAsia" w:ascii="宋体" w:hAnsi="宋体" w:eastAsia="Arial" w:cs="宋体"/>
          <w:snapToGrid w:val="0"/>
          <w:color w:val="auto"/>
          <w:kern w:val="0"/>
          <w:szCs w:val="21"/>
          <w:highlight w:val="none"/>
        </w:rPr>
        <w:t>：</w:t>
      </w:r>
      <w:r>
        <w:rPr>
          <w:rFonts w:ascii="宋体" w:hAnsi="宋体" w:eastAsia="Arial" w:cs="宋体"/>
          <w:snapToGrid w:val="0"/>
          <w:color w:val="auto"/>
          <w:kern w:val="0"/>
          <w:szCs w:val="21"/>
          <w:highlight w:val="none"/>
          <w:u w:val="single"/>
          <w:lang w:eastAsia="en-US"/>
        </w:rPr>
        <w:t>开工日期前 7 天提供施工场地治安管理计划</w:t>
      </w:r>
      <w:r>
        <w:rPr>
          <w:rFonts w:ascii="宋体" w:hAnsi="宋体" w:eastAsia="Arial" w:cs="宋体"/>
          <w:snapToGrid w:val="0"/>
          <w:color w:val="auto"/>
          <w:kern w:val="0"/>
          <w:szCs w:val="21"/>
          <w:highlight w:val="none"/>
          <w:lang w:eastAsia="en-US"/>
        </w:rPr>
        <w:t>。</w:t>
      </w:r>
    </w:p>
    <w:p w14:paraId="65D85A6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6.1.5 文明施工</w:t>
      </w:r>
    </w:p>
    <w:p w14:paraId="3811E1E3">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合同当事人对文明施工的要求：</w:t>
      </w:r>
      <w:r>
        <w:rPr>
          <w:rFonts w:ascii="宋体" w:hAnsi="宋体" w:eastAsia="Arial" w:cs="宋体"/>
          <w:snapToGrid w:val="0"/>
          <w:color w:val="auto"/>
          <w:kern w:val="0"/>
          <w:szCs w:val="21"/>
          <w:highlight w:val="none"/>
          <w:u w:val="single"/>
          <w:lang w:eastAsia="en-US"/>
        </w:rPr>
        <w:t>现场文明施工除满足国家及当地相关部门要求外，尚应服从发包人的统一管理，达不到发包人管理要求的将按有关规定进行相应金额的处罚。施工场地清洁卫生的要求严格按云南省人民政府令第八十二号《云南省建筑施工现场管理规定》执行，施工完成任务后做到人场清，现场布置，机械材料堆放等问题以批准的施工组织设计为准。并按环评要求做好环境保护工作，避免防止扬尘废水废渣污染，费用已包括在工程合同总造价中。竣工验收后十天内，做到料净场清。承包人车辆经过的路面应采取必要措施保证不扬尘。弃土问题由</w:t>
      </w:r>
      <w:r>
        <w:rPr>
          <w:rFonts w:hint="eastAsia" w:ascii="宋体" w:hAnsi="宋体" w:cs="宋体"/>
          <w:snapToGrid w:val="0"/>
          <w:color w:val="auto"/>
          <w:kern w:val="0"/>
          <w:szCs w:val="21"/>
          <w:highlight w:val="none"/>
          <w:u w:val="single"/>
          <w:lang w:val="en-US" w:eastAsia="zh-CN"/>
        </w:rPr>
        <w:t>供应商</w:t>
      </w:r>
      <w:r>
        <w:rPr>
          <w:rFonts w:ascii="宋体" w:hAnsi="宋体" w:eastAsia="Arial" w:cs="宋体"/>
          <w:snapToGrid w:val="0"/>
          <w:color w:val="auto"/>
          <w:kern w:val="0"/>
          <w:szCs w:val="21"/>
          <w:highlight w:val="none"/>
          <w:u w:val="single"/>
          <w:lang w:eastAsia="en-US"/>
        </w:rPr>
        <w:t>负责，弃土费用在工程量清单中已包含，按报价执行。施工中管理不善造成的罚款及不良后果一律由承包人承担</w:t>
      </w:r>
      <w:r>
        <w:rPr>
          <w:rFonts w:ascii="宋体" w:hAnsi="宋体" w:eastAsia="Arial" w:cs="宋体"/>
          <w:snapToGrid w:val="0"/>
          <w:color w:val="auto"/>
          <w:kern w:val="0"/>
          <w:szCs w:val="21"/>
          <w:highlight w:val="none"/>
          <w:lang w:eastAsia="en-US"/>
        </w:rPr>
        <w:t>。</w:t>
      </w:r>
    </w:p>
    <w:p w14:paraId="2113969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 xml:space="preserve">6.1.6 关于安全文明施工费支付比例和支付期限的约定： </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w:t>
      </w:r>
    </w:p>
    <w:p w14:paraId="0784B929">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7. 工期和进度</w:t>
      </w:r>
      <w:bookmarkEnd w:id="1138"/>
    </w:p>
    <w:p w14:paraId="09C0040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bookmarkStart w:id="1139" w:name="_Toc4016"/>
      <w:r>
        <w:rPr>
          <w:rFonts w:ascii="宋体" w:hAnsi="宋体" w:eastAsia="Arial" w:cs="宋体"/>
          <w:snapToGrid w:val="0"/>
          <w:color w:val="auto"/>
          <w:kern w:val="0"/>
          <w:szCs w:val="21"/>
          <w:highlight w:val="none"/>
          <w:lang w:eastAsia="en-US"/>
        </w:rPr>
        <w:t>7.1 施工组织设计</w:t>
      </w:r>
    </w:p>
    <w:p w14:paraId="2666775A">
      <w:pPr>
        <w:widowControl/>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7.1.1 合同当事人约定的施工组织设计应包括的其他内容：</w:t>
      </w:r>
      <w:r>
        <w:rPr>
          <w:rFonts w:ascii="宋体" w:hAnsi="宋体" w:eastAsia="Arial" w:cs="宋体"/>
          <w:snapToGrid w:val="0"/>
          <w:color w:val="auto"/>
          <w:kern w:val="0"/>
          <w:szCs w:val="21"/>
          <w:highlight w:val="none"/>
          <w:u w:val="single"/>
          <w:lang w:eastAsia="en-US"/>
        </w:rPr>
        <w:t>项目经理及项目管理人员配置、总承包服务计划、总承包配合措施</w:t>
      </w:r>
      <w:r>
        <w:rPr>
          <w:rFonts w:ascii="宋体" w:hAnsi="宋体" w:eastAsia="Arial" w:cs="宋体"/>
          <w:snapToGrid w:val="0"/>
          <w:color w:val="auto"/>
          <w:kern w:val="0"/>
          <w:szCs w:val="21"/>
          <w:highlight w:val="none"/>
          <w:lang w:eastAsia="en-US"/>
        </w:rPr>
        <w:t>。</w:t>
      </w:r>
    </w:p>
    <w:p w14:paraId="43FD7B2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7.1.2 施工组织设计的提交和修改</w:t>
      </w:r>
    </w:p>
    <w:p w14:paraId="6E698D1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承包人提交详细施工组织设计的期限的约定：</w:t>
      </w:r>
      <w:r>
        <w:rPr>
          <w:rFonts w:ascii="宋体" w:hAnsi="宋体" w:eastAsia="Arial" w:cs="宋体"/>
          <w:snapToGrid w:val="0"/>
          <w:color w:val="auto"/>
          <w:kern w:val="0"/>
          <w:szCs w:val="21"/>
          <w:highlight w:val="none"/>
          <w:u w:val="single"/>
          <w:lang w:eastAsia="en-US"/>
        </w:rPr>
        <w:t>合同签订后15日历天内提交，单位工程施工组织设计于相应工程施工前15日历天前，专项施工方案等在相应分部（分项）工程或专业工程施工前15日历天前</w:t>
      </w:r>
      <w:r>
        <w:rPr>
          <w:rFonts w:ascii="宋体" w:hAnsi="宋体" w:eastAsia="Arial" w:cs="宋体"/>
          <w:snapToGrid w:val="0"/>
          <w:color w:val="auto"/>
          <w:kern w:val="0"/>
          <w:szCs w:val="21"/>
          <w:highlight w:val="none"/>
          <w:lang w:eastAsia="en-US"/>
        </w:rPr>
        <w:t>。</w:t>
      </w:r>
    </w:p>
    <w:p w14:paraId="6257492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7.2 施工进度计划</w:t>
      </w:r>
    </w:p>
    <w:p w14:paraId="499D6ECC">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7.2.2 施工进度计划的修订</w:t>
      </w:r>
    </w:p>
    <w:p w14:paraId="37B072F5">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发包人和监理人在收到修订的施工进度计划后确认或提出修改意见的期限：</w:t>
      </w:r>
      <w:r>
        <w:rPr>
          <w:rFonts w:ascii="宋体" w:hAnsi="宋体" w:eastAsia="Arial" w:cs="宋体"/>
          <w:snapToGrid w:val="0"/>
          <w:color w:val="auto"/>
          <w:kern w:val="0"/>
          <w:szCs w:val="21"/>
          <w:highlight w:val="none"/>
          <w:u w:val="single"/>
          <w:lang w:eastAsia="en-US"/>
        </w:rPr>
        <w:t>收到后 7 天内。</w:t>
      </w:r>
    </w:p>
    <w:p w14:paraId="0736FB9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7.3 开工</w:t>
      </w:r>
    </w:p>
    <w:p w14:paraId="635EC0D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7.3.1 开工准备</w:t>
      </w:r>
    </w:p>
    <w:p w14:paraId="45191B6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关于承包人提交工程开工报审表的期限：</w:t>
      </w:r>
      <w:r>
        <w:rPr>
          <w:rFonts w:ascii="宋体" w:hAnsi="宋体" w:eastAsia="Arial" w:cs="宋体"/>
          <w:snapToGrid w:val="0"/>
          <w:color w:val="auto"/>
          <w:kern w:val="0"/>
          <w:szCs w:val="21"/>
          <w:highlight w:val="none"/>
          <w:u w:val="single"/>
          <w:lang w:eastAsia="en-US"/>
        </w:rPr>
        <w:t>开工前 7 天</w:t>
      </w:r>
      <w:r>
        <w:rPr>
          <w:rFonts w:ascii="宋体" w:hAnsi="宋体" w:eastAsia="Arial" w:cs="宋体"/>
          <w:snapToGrid w:val="0"/>
          <w:color w:val="auto"/>
          <w:kern w:val="0"/>
          <w:szCs w:val="21"/>
          <w:highlight w:val="none"/>
          <w:lang w:eastAsia="en-US"/>
        </w:rPr>
        <w:t>。</w:t>
      </w:r>
    </w:p>
    <w:p w14:paraId="6F3C03D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关于发包人应完成的其他开工准备工作及期限：</w:t>
      </w:r>
      <w:r>
        <w:rPr>
          <w:rFonts w:ascii="宋体" w:hAnsi="宋体" w:eastAsia="Arial" w:cs="宋体"/>
          <w:snapToGrid w:val="0"/>
          <w:color w:val="auto"/>
          <w:kern w:val="0"/>
          <w:szCs w:val="21"/>
          <w:highlight w:val="none"/>
          <w:u w:val="single"/>
          <w:lang w:eastAsia="en-US"/>
        </w:rPr>
        <w:t>开工前 7 天</w:t>
      </w:r>
      <w:r>
        <w:rPr>
          <w:rFonts w:ascii="宋体" w:hAnsi="宋体" w:eastAsia="Arial" w:cs="宋体"/>
          <w:snapToGrid w:val="0"/>
          <w:color w:val="auto"/>
          <w:kern w:val="0"/>
          <w:szCs w:val="21"/>
          <w:highlight w:val="none"/>
          <w:lang w:eastAsia="en-US"/>
        </w:rPr>
        <w:t>。</w:t>
      </w:r>
    </w:p>
    <w:p w14:paraId="6C6C6AB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关于承包人应完成的其他开工准备工作及期限：</w:t>
      </w:r>
      <w:r>
        <w:rPr>
          <w:rFonts w:ascii="宋体" w:hAnsi="宋体" w:eastAsia="Arial" w:cs="宋体"/>
          <w:snapToGrid w:val="0"/>
          <w:color w:val="auto"/>
          <w:kern w:val="0"/>
          <w:szCs w:val="21"/>
          <w:highlight w:val="none"/>
          <w:u w:val="single"/>
          <w:lang w:eastAsia="en-US"/>
        </w:rPr>
        <w:t>开工前 7 天</w:t>
      </w:r>
      <w:r>
        <w:rPr>
          <w:rFonts w:ascii="宋体" w:hAnsi="宋体" w:eastAsia="Arial" w:cs="宋体"/>
          <w:snapToGrid w:val="0"/>
          <w:color w:val="auto"/>
          <w:kern w:val="0"/>
          <w:szCs w:val="21"/>
          <w:highlight w:val="none"/>
          <w:lang w:eastAsia="en-US"/>
        </w:rPr>
        <w:t>。</w:t>
      </w:r>
    </w:p>
    <w:p w14:paraId="16476C1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7.3.2 开工通知</w:t>
      </w:r>
    </w:p>
    <w:p w14:paraId="4D0B68D4">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因发包人原因造成监理人未能在计划开工日期之日起</w:t>
      </w:r>
      <w:r>
        <w:rPr>
          <w:rFonts w:ascii="宋体" w:hAnsi="宋体" w:eastAsia="Arial" w:cs="宋体"/>
          <w:snapToGrid w:val="0"/>
          <w:color w:val="auto"/>
          <w:kern w:val="0"/>
          <w:szCs w:val="21"/>
          <w:highlight w:val="none"/>
          <w:u w:val="single"/>
          <w:lang w:eastAsia="en-US"/>
        </w:rPr>
        <w:t xml:space="preserve"> 7 </w:t>
      </w:r>
      <w:r>
        <w:rPr>
          <w:rFonts w:ascii="宋体" w:hAnsi="宋体" w:eastAsia="Arial" w:cs="宋体"/>
          <w:snapToGrid w:val="0"/>
          <w:color w:val="auto"/>
          <w:kern w:val="0"/>
          <w:szCs w:val="21"/>
          <w:highlight w:val="none"/>
          <w:lang w:eastAsia="en-US"/>
        </w:rPr>
        <w:t>天内发出开工通知的，承包人有权提出价格调整要求，或者解除合同。</w:t>
      </w:r>
    </w:p>
    <w:p w14:paraId="49C1741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7.4 测量放线</w:t>
      </w:r>
    </w:p>
    <w:p w14:paraId="1D907A5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7.4.1 发包人通过监理人向承包人提供测量基准点 、基准线和水准点及其书面资料的期限：</w:t>
      </w:r>
      <w:r>
        <w:rPr>
          <w:rFonts w:ascii="宋体" w:hAnsi="宋体" w:eastAsia="Arial" w:cs="宋体"/>
          <w:snapToGrid w:val="0"/>
          <w:color w:val="auto"/>
          <w:kern w:val="0"/>
          <w:szCs w:val="21"/>
          <w:highlight w:val="none"/>
          <w:u w:val="single"/>
          <w:lang w:eastAsia="en-US"/>
        </w:rPr>
        <w:t>开工前7天</w:t>
      </w:r>
      <w:r>
        <w:rPr>
          <w:rFonts w:ascii="宋体" w:hAnsi="宋体" w:eastAsia="Arial" w:cs="宋体"/>
          <w:snapToGrid w:val="0"/>
          <w:color w:val="auto"/>
          <w:kern w:val="0"/>
          <w:szCs w:val="21"/>
          <w:highlight w:val="none"/>
          <w:lang w:eastAsia="en-US"/>
        </w:rPr>
        <w:t>。</w:t>
      </w:r>
    </w:p>
    <w:p w14:paraId="4AB2347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7.5 工期延误</w:t>
      </w:r>
    </w:p>
    <w:p w14:paraId="3193C9C5">
      <w:pPr>
        <w:widowControl/>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7.5.1 因发包人原因导致工期延误</w:t>
      </w:r>
      <w:r>
        <w:rPr>
          <w:rFonts w:hint="eastAsia" w:ascii="宋体" w:hAnsi="宋体" w:eastAsia="宋体" w:cs="宋体"/>
          <w:snapToGrid w:val="0"/>
          <w:color w:val="auto"/>
          <w:kern w:val="0"/>
          <w:szCs w:val="21"/>
          <w:highlight w:val="none"/>
          <w:lang w:eastAsia="zh-CN"/>
        </w:rPr>
        <w:t>：</w:t>
      </w:r>
      <w:r>
        <w:rPr>
          <w:rFonts w:hint="eastAsia" w:ascii="宋体" w:hAnsi="宋体" w:cs="宋体"/>
          <w:snapToGrid w:val="0"/>
          <w:color w:val="auto"/>
          <w:kern w:val="0"/>
          <w:szCs w:val="21"/>
          <w:highlight w:val="none"/>
          <w:u w:val="single"/>
          <w:lang w:val="en-US" w:eastAsia="zh-CN"/>
        </w:rPr>
        <w:t xml:space="preserve">        </w:t>
      </w:r>
      <w:r>
        <w:rPr>
          <w:rFonts w:ascii="宋体" w:hAnsi="宋体" w:eastAsia="Arial" w:cs="宋体"/>
          <w:snapToGrid w:val="0"/>
          <w:color w:val="auto"/>
          <w:kern w:val="0"/>
          <w:szCs w:val="21"/>
          <w:highlight w:val="none"/>
          <w:u w:val="single"/>
          <w:lang w:eastAsia="en-US"/>
        </w:rPr>
        <w:t>。</w:t>
      </w:r>
    </w:p>
    <w:p w14:paraId="0DB04CC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7.5.2  因承包人原因导致工期延误</w:t>
      </w:r>
    </w:p>
    <w:p w14:paraId="3F7F443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因承包人原因造成工期延误，逾期竣工违约金的计算方法为：</w:t>
      </w:r>
      <w:r>
        <w:rPr>
          <w:rFonts w:hint="eastAsia" w:ascii="宋体" w:hAnsi="宋体" w:cs="宋体"/>
          <w:snapToGrid w:val="0"/>
          <w:color w:val="auto"/>
          <w:kern w:val="0"/>
          <w:szCs w:val="21"/>
          <w:highlight w:val="none"/>
          <w:u w:val="single"/>
          <w:lang w:val="en-US" w:eastAsia="zh-CN"/>
        </w:rPr>
        <w:t xml:space="preserve">             </w:t>
      </w:r>
      <w:r>
        <w:rPr>
          <w:rFonts w:ascii="宋体" w:hAnsi="宋体" w:eastAsia="Arial" w:cs="宋体"/>
          <w:snapToGrid w:val="0"/>
          <w:color w:val="auto"/>
          <w:kern w:val="0"/>
          <w:szCs w:val="21"/>
          <w:highlight w:val="none"/>
          <w:u w:val="single"/>
          <w:lang w:eastAsia="en-US"/>
        </w:rPr>
        <w:t>。</w:t>
      </w:r>
    </w:p>
    <w:p w14:paraId="1067DEF9">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因承包人原因造成工期延误，逾期竣工违约金的上限：</w:t>
      </w:r>
      <w:r>
        <w:rPr>
          <w:rFonts w:ascii="宋体" w:hAnsi="宋体" w:eastAsia="Arial" w:cs="宋体"/>
          <w:snapToGrid w:val="0"/>
          <w:color w:val="auto"/>
          <w:kern w:val="0"/>
          <w:szCs w:val="21"/>
          <w:highlight w:val="none"/>
          <w:u w:val="single"/>
          <w:lang w:eastAsia="en-US"/>
        </w:rPr>
        <w:t>签约合同价的</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w:t>
      </w:r>
    </w:p>
    <w:p w14:paraId="7BE1C1C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7.6 不利物质条件</w:t>
      </w:r>
    </w:p>
    <w:p w14:paraId="1ED31E5F">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 xml:space="preserve">不利物质条件的其他情形和有关约定 </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w:t>
      </w:r>
    </w:p>
    <w:p w14:paraId="2440F5C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7.7 异常恶劣的气候条件</w:t>
      </w:r>
    </w:p>
    <w:p w14:paraId="6B20E5BF">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发包人和承包人同意以下情形视为异常恶劣的气候条件：</w:t>
      </w:r>
    </w:p>
    <w:p w14:paraId="681ABB28">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（1）连续24小时降雨量大于50mm的暴雨；</w:t>
      </w:r>
    </w:p>
    <w:p w14:paraId="648AE796">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u w:val="single"/>
          <w:lang w:eastAsia="en-US"/>
        </w:rPr>
        <w:t>（2）风速达到8级的台风灾害；</w:t>
      </w:r>
    </w:p>
    <w:p w14:paraId="3FE36193">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（3）连续日气温超过38摄氏度的高温大于天；</w:t>
      </w:r>
    </w:p>
    <w:p w14:paraId="11231674">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（4）连续日气温低于-20摄氏度的严寒大于3天；</w:t>
      </w:r>
    </w:p>
    <w:p w14:paraId="0A210FA6">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（5）造成工程损坏的冰雹和大雪灾害：连续日降雪量10mm及以上；</w:t>
      </w:r>
    </w:p>
    <w:p w14:paraId="31620CED">
      <w:pPr>
        <w:widowControl/>
        <w:tabs>
          <w:tab w:val="left" w:pos="632"/>
        </w:tabs>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（6）其他异常恶劣气候灾害。</w:t>
      </w:r>
    </w:p>
    <w:p w14:paraId="1996ADB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当发生上述情形时，经监理人、发包人认定后，工期予以延长，但发包人不承担因工期延长所产生的任何费用。</w:t>
      </w:r>
    </w:p>
    <w:p w14:paraId="449372F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7.9 提前竣工的奖励</w:t>
      </w:r>
    </w:p>
    <w:p w14:paraId="67AD4E2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7.9.2 提前竣工的奖励：</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w:t>
      </w:r>
    </w:p>
    <w:p w14:paraId="7E9B4C3C">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8. 材料与设备</w:t>
      </w:r>
      <w:bookmarkEnd w:id="1139"/>
    </w:p>
    <w:p w14:paraId="26C88A7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8.4材料与工程设备的保管与使用</w:t>
      </w:r>
    </w:p>
    <w:p w14:paraId="7675BE70">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8.4.1发包人供应的材料设备的保管费用的承担：</w:t>
      </w:r>
      <w:r>
        <w:rPr>
          <w:rFonts w:ascii="宋体" w:hAnsi="宋体" w:cs="宋体"/>
          <w:color w:val="auto"/>
          <w:sz w:val="21"/>
          <w:szCs w:val="21"/>
          <w:highlight w:val="none"/>
          <w:u w:val="single"/>
        </w:rPr>
        <w:t>/</w:t>
      </w:r>
      <w:r>
        <w:rPr>
          <w:rFonts w:hint="eastAsia" w:ascii="宋体" w:hAnsi="宋体" w:cs="宋体"/>
          <w:color w:val="auto"/>
          <w:sz w:val="21"/>
          <w:szCs w:val="21"/>
          <w:highlight w:val="none"/>
        </w:rPr>
        <w:t>。</w:t>
      </w:r>
    </w:p>
    <w:p w14:paraId="1E17D78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8.6 样品</w:t>
      </w:r>
    </w:p>
    <w:p w14:paraId="13B363C8">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8.6.1样品的报送与封存</w:t>
      </w:r>
    </w:p>
    <w:p w14:paraId="6407A30E">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需要承包人报送样品的材料或工程设备，样品的种类、名称、规格、数量要求：</w:t>
      </w:r>
      <w:r>
        <w:rPr>
          <w:rFonts w:hint="eastAsia" w:ascii="宋体" w:hAnsi="宋体" w:cs="宋体"/>
          <w:color w:val="auto"/>
          <w:sz w:val="21"/>
          <w:szCs w:val="21"/>
          <w:highlight w:val="none"/>
          <w:u w:val="single"/>
        </w:rPr>
        <w:t xml:space="preserve">按照监理人的要求执行 </w:t>
      </w:r>
      <w:r>
        <w:rPr>
          <w:rFonts w:hint="eastAsia" w:ascii="宋体" w:hAnsi="宋体" w:cs="宋体"/>
          <w:color w:val="auto"/>
          <w:sz w:val="21"/>
          <w:szCs w:val="21"/>
          <w:highlight w:val="none"/>
        </w:rPr>
        <w:t>。</w:t>
      </w:r>
    </w:p>
    <w:p w14:paraId="1407412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8.8 施工设备和临时设施</w:t>
      </w:r>
    </w:p>
    <w:p w14:paraId="755B52AD">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8.8.1 承包人提供的施工设备和临时设施</w:t>
      </w:r>
    </w:p>
    <w:p w14:paraId="4B7FAB10">
      <w:pPr>
        <w:pStyle w:val="162"/>
        <w:autoSpaceDE w:val="0"/>
        <w:autoSpaceDN w:val="0"/>
        <w:adjustRightInd w:val="0"/>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关于修建临时设施费用承担的约定：</w:t>
      </w:r>
      <w:r>
        <w:rPr>
          <w:rFonts w:hint="eastAsia" w:ascii="宋体" w:hAnsi="宋体" w:cs="宋体"/>
          <w:color w:val="auto"/>
          <w:sz w:val="21"/>
          <w:szCs w:val="21"/>
          <w:highlight w:val="none"/>
          <w:u w:val="single"/>
        </w:rPr>
        <w:t xml:space="preserve">包含在承包人合同价款内 </w:t>
      </w:r>
      <w:r>
        <w:rPr>
          <w:rFonts w:hint="eastAsia" w:ascii="宋体" w:hAnsi="宋体" w:cs="宋体"/>
          <w:color w:val="auto"/>
          <w:sz w:val="21"/>
          <w:szCs w:val="21"/>
          <w:highlight w:val="none"/>
        </w:rPr>
        <w:t>。</w:t>
      </w:r>
    </w:p>
    <w:p w14:paraId="7BD25429">
      <w:pPr>
        <w:adjustRightInd w:val="0"/>
        <w:snapToGrid w:val="0"/>
        <w:spacing w:line="360" w:lineRule="auto"/>
        <w:outlineLvl w:val="2"/>
        <w:rPr>
          <w:rFonts w:ascii="宋体" w:hAnsi="宋体" w:cs="宋体"/>
          <w:b/>
          <w:color w:val="auto"/>
          <w:szCs w:val="21"/>
          <w:highlight w:val="none"/>
        </w:rPr>
      </w:pPr>
      <w:bookmarkStart w:id="1140" w:name="_Toc10500"/>
      <w:r>
        <w:rPr>
          <w:rFonts w:hint="eastAsia" w:ascii="宋体" w:hAnsi="宋体" w:cs="宋体"/>
          <w:b/>
          <w:color w:val="auto"/>
          <w:szCs w:val="21"/>
          <w:highlight w:val="none"/>
        </w:rPr>
        <w:t>9. 试验与检验</w:t>
      </w:r>
      <w:bookmarkEnd w:id="1140"/>
    </w:p>
    <w:p w14:paraId="4EF3907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9.1试验设备与试验人员</w:t>
      </w:r>
    </w:p>
    <w:p w14:paraId="70F9407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9.1.2 试验设备</w:t>
      </w:r>
    </w:p>
    <w:p w14:paraId="252A703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施工现场需要配置的试验场所：</w:t>
      </w:r>
      <w:r>
        <w:rPr>
          <w:rFonts w:hint="eastAsia" w:ascii="宋体" w:hAnsi="宋体" w:cs="宋体"/>
          <w:color w:val="auto"/>
          <w:sz w:val="21"/>
          <w:szCs w:val="21"/>
          <w:highlight w:val="none"/>
          <w:u w:val="single"/>
        </w:rPr>
        <w:t xml:space="preserve">承包人自理 </w:t>
      </w:r>
      <w:r>
        <w:rPr>
          <w:rFonts w:hint="eastAsia" w:ascii="宋体" w:hAnsi="宋体" w:cs="宋体"/>
          <w:color w:val="auto"/>
          <w:sz w:val="21"/>
          <w:szCs w:val="21"/>
          <w:highlight w:val="none"/>
        </w:rPr>
        <w:t xml:space="preserve">。 </w:t>
      </w:r>
    </w:p>
    <w:p w14:paraId="681FD24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施工现场需要配备的试验设备：</w:t>
      </w:r>
      <w:r>
        <w:rPr>
          <w:rFonts w:hint="eastAsia" w:ascii="宋体" w:hAnsi="宋体" w:cs="宋体"/>
          <w:color w:val="auto"/>
          <w:sz w:val="21"/>
          <w:szCs w:val="21"/>
          <w:highlight w:val="none"/>
          <w:u w:val="single"/>
        </w:rPr>
        <w:t>承包人根据项目需要进行配备</w:t>
      </w:r>
      <w:r>
        <w:rPr>
          <w:rFonts w:hint="eastAsia" w:ascii="宋体" w:hAnsi="宋体" w:cs="宋体"/>
          <w:color w:val="auto"/>
          <w:sz w:val="21"/>
          <w:szCs w:val="21"/>
          <w:highlight w:val="none"/>
        </w:rPr>
        <w:t xml:space="preserve">。 </w:t>
      </w:r>
    </w:p>
    <w:p w14:paraId="27D402D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施工现场需要具备的其他试验条件：</w:t>
      </w:r>
      <w:r>
        <w:rPr>
          <w:rFonts w:ascii="宋体" w:hAnsi="宋体" w:cs="宋体"/>
          <w:color w:val="auto"/>
          <w:sz w:val="21"/>
          <w:szCs w:val="21"/>
          <w:highlight w:val="none"/>
          <w:u w:val="single"/>
        </w:rPr>
        <w:t>/</w:t>
      </w:r>
      <w:r>
        <w:rPr>
          <w:rFonts w:hint="eastAsia" w:ascii="宋体" w:hAnsi="宋体" w:cs="宋体"/>
          <w:color w:val="auto"/>
          <w:sz w:val="21"/>
          <w:szCs w:val="21"/>
          <w:highlight w:val="none"/>
        </w:rPr>
        <w:t>。</w:t>
      </w:r>
    </w:p>
    <w:p w14:paraId="0B7E637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9.4 现场工艺试验 </w:t>
      </w:r>
    </w:p>
    <w:p w14:paraId="0ABA0F18">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现场工艺试验的有关约定：</w:t>
      </w:r>
      <w:r>
        <w:rPr>
          <w:rFonts w:ascii="宋体" w:hAnsi="宋体" w:cs="宋体"/>
          <w:color w:val="auto"/>
          <w:sz w:val="21"/>
          <w:szCs w:val="21"/>
          <w:highlight w:val="none"/>
          <w:u w:val="single"/>
        </w:rPr>
        <w:t>/</w:t>
      </w:r>
      <w:r>
        <w:rPr>
          <w:rFonts w:hint="eastAsia" w:ascii="宋体" w:hAnsi="宋体" w:cs="宋体"/>
          <w:color w:val="auto"/>
          <w:sz w:val="21"/>
          <w:szCs w:val="21"/>
          <w:highlight w:val="none"/>
        </w:rPr>
        <w:t>。</w:t>
      </w:r>
    </w:p>
    <w:p w14:paraId="1EE1B6CE">
      <w:pPr>
        <w:adjustRightInd w:val="0"/>
        <w:snapToGrid w:val="0"/>
        <w:spacing w:line="360" w:lineRule="auto"/>
        <w:outlineLvl w:val="2"/>
        <w:rPr>
          <w:rFonts w:ascii="宋体" w:hAnsi="宋体" w:cs="宋体"/>
          <w:b/>
          <w:color w:val="auto"/>
          <w:szCs w:val="21"/>
          <w:highlight w:val="none"/>
        </w:rPr>
      </w:pPr>
      <w:bookmarkStart w:id="1141" w:name="_Toc6108"/>
      <w:r>
        <w:rPr>
          <w:rFonts w:hint="eastAsia" w:ascii="宋体" w:hAnsi="宋体" w:cs="宋体"/>
          <w:b/>
          <w:color w:val="auto"/>
          <w:szCs w:val="21"/>
          <w:highlight w:val="none"/>
        </w:rPr>
        <w:t>10. 变更</w:t>
      </w:r>
      <w:bookmarkEnd w:id="1141"/>
    </w:p>
    <w:p w14:paraId="542EC15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bookmarkStart w:id="1142" w:name="_Toc5259"/>
      <w:r>
        <w:rPr>
          <w:rFonts w:ascii="宋体" w:hAnsi="宋体" w:eastAsia="Arial" w:cs="宋体"/>
          <w:snapToGrid w:val="0"/>
          <w:color w:val="auto"/>
          <w:kern w:val="0"/>
          <w:szCs w:val="21"/>
          <w:highlight w:val="none"/>
          <w:lang w:eastAsia="en-US"/>
        </w:rPr>
        <w:t>10.1变更的范围</w:t>
      </w:r>
    </w:p>
    <w:p w14:paraId="4E1E784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lang w:eastAsia="en-US"/>
        </w:rPr>
        <w:t>关于变更的范围的约定：</w:t>
      </w:r>
      <w:r>
        <w:rPr>
          <w:rFonts w:ascii="宋体" w:hAnsi="宋体" w:eastAsia="Arial" w:cs="宋体"/>
          <w:snapToGrid w:val="0"/>
          <w:color w:val="auto"/>
          <w:kern w:val="0"/>
          <w:szCs w:val="21"/>
          <w:highlight w:val="none"/>
          <w:u w:val="single"/>
          <w:lang w:eastAsia="en-US"/>
        </w:rPr>
        <w:t>设计变更项目以设计单位出具并经发包人、监理工程师确认的设计变更通知书为准。其它变更项目以发包人、监理工程师、承包人现场共同签证为准。</w:t>
      </w:r>
    </w:p>
    <w:p w14:paraId="4AC7F0D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在合同范围内的设计变更、材料变更、工程签证等必须根据发包人要求按程序完成审批后方可实施。如未按照发包人要求，在审批程序完成前实施，视为承包人优惠不计该项变更或签证费用，结算时承包人不得再以任何理由提出补办或以其他形式提出补偿、索赔等要求。</w:t>
      </w:r>
    </w:p>
    <w:p w14:paraId="73704B30">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10.2变更权</w:t>
      </w:r>
    </w:p>
    <w:p w14:paraId="360168C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发包人和监理人均可以提出变更。变更指示经发包方组织相关单位（部门）论证确认后，书面通知实施；签证须经工程项目监理单位、结算审计单位和发包方派驻现场代表签字认可。</w:t>
      </w:r>
    </w:p>
    <w:p w14:paraId="6F1D42F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变更指示均通过监理人发出，监理人发出变更指示前应征得发包人书面同意。承包人收到经发包人签认的变更指示后，方可实施变更。未经书面许可，承包人不得擅自对工程的任何部分进行变更。</w:t>
      </w:r>
    </w:p>
    <w:p w14:paraId="509F62DC">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涉及设计变更的，应由设计人提供变更后的图纸和说明。如变更超过原设计标准或批准的建设规模时，发包人应及时办理规划、设计变更等审批手续。</w:t>
      </w:r>
    </w:p>
    <w:p w14:paraId="0DA07D73">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10.3变更程序：变更及签证按发包人相关管理制度、办法审批后实施。</w:t>
      </w:r>
    </w:p>
    <w:p w14:paraId="60F94AF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10.4变更估价</w:t>
      </w:r>
    </w:p>
    <w:p w14:paraId="56BEBE2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10.4.1变更估价原则</w:t>
      </w:r>
    </w:p>
    <w:p w14:paraId="6E929E42">
      <w:pPr>
        <w:widowControl/>
        <w:kinsoku w:val="0"/>
        <w:autoSpaceDE w:val="0"/>
        <w:autoSpaceDN w:val="0"/>
        <w:adjustRightInd w:val="0"/>
        <w:snapToGrid w:val="0"/>
        <w:spacing w:line="360" w:lineRule="auto"/>
        <w:ind w:firstLine="420" w:firstLineChars="200"/>
        <w:jc w:val="left"/>
        <w:textAlignment w:val="baseline"/>
        <w:rPr>
          <w:rFonts w:ascii="Arial"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承包人应在收到变更指示或变更意向书后的14天内，向监理人提交变更报价预算书，报价内容应根据合同约定的估价原则，详细开列变更工作的价格组成，并附必要的施工方法说明和有关图纸。最终，由发包人、监理人、造价咨询人三方按照合同约定的估价原则共同确定变更价格。</w:t>
      </w:r>
    </w:p>
    <w:p w14:paraId="09CE48FC">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（2）变更引起的价格调整按以下原则执行：</w:t>
      </w:r>
    </w:p>
    <w:p w14:paraId="49D29A87">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①已标价工程量清单或预算书有相同项目的，且该项投标综合单价未超过该项招标控制价综合单价的，按照相同项目单价认定；</w:t>
      </w:r>
    </w:p>
    <w:p w14:paraId="2F7F029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②已标价工程量清单或预算书中无相同项目，但有类似项目的，在合理范围内参照类似项目的单价认定；</w:t>
      </w:r>
    </w:p>
    <w:p w14:paraId="36940525">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③已标价工程量清单中无适用或类似项目的单价，按新增单价执行。</w:t>
      </w:r>
    </w:p>
    <w:p w14:paraId="67963A8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（3）新增单价的组价方法</w:t>
      </w:r>
    </w:p>
    <w:p w14:paraId="0951127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hint="eastAsia" w:ascii="宋体" w:hAnsi="宋体" w:eastAsia="宋体" w:cs="宋体"/>
          <w:snapToGrid w:val="0"/>
          <w:color w:val="auto"/>
          <w:kern w:val="0"/>
          <w:szCs w:val="21"/>
          <w:highlight w:val="none"/>
          <w:lang w:eastAsia="zh-CN"/>
        </w:rPr>
        <w:t>a.</w:t>
      </w:r>
      <w:r>
        <w:rPr>
          <w:rFonts w:ascii="宋体" w:hAnsi="宋体" w:eastAsia="Arial" w:cs="宋体"/>
          <w:snapToGrid w:val="0"/>
          <w:color w:val="auto"/>
          <w:kern w:val="0"/>
          <w:szCs w:val="21"/>
          <w:highlight w:val="none"/>
          <w:lang w:eastAsia="en-US"/>
        </w:rPr>
        <w:t>组价方式：按《建设工程工程量清单计价标准》GB/T50500-2024和与之配套的计量规范计算后乘以承包人报价浮动率；承包人执行报价浮动率。</w:t>
      </w:r>
    </w:p>
    <w:p w14:paraId="063DE72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hint="eastAsia" w:ascii="宋体" w:hAnsi="宋体" w:eastAsia="宋体" w:cs="宋体"/>
          <w:snapToGrid w:val="0"/>
          <w:color w:val="auto"/>
          <w:kern w:val="0"/>
          <w:szCs w:val="21"/>
          <w:highlight w:val="none"/>
          <w:lang w:eastAsia="zh-CN"/>
        </w:rPr>
        <w:t>b.</w:t>
      </w:r>
      <w:r>
        <w:rPr>
          <w:rFonts w:ascii="宋体" w:hAnsi="宋体" w:eastAsia="Arial" w:cs="宋体"/>
          <w:snapToGrid w:val="0"/>
          <w:color w:val="auto"/>
          <w:kern w:val="0"/>
          <w:szCs w:val="21"/>
          <w:highlight w:val="none"/>
          <w:lang w:eastAsia="en-US"/>
        </w:rPr>
        <w:t>主材价格的确定</w:t>
      </w:r>
      <w:r>
        <w:rPr>
          <w:rFonts w:hint="eastAsia" w:ascii="宋体" w:hAnsi="宋体" w:eastAsia="宋体" w:cs="宋体"/>
          <w:snapToGrid w:val="0"/>
          <w:color w:val="auto"/>
          <w:kern w:val="0"/>
          <w:szCs w:val="21"/>
          <w:highlight w:val="none"/>
          <w:lang w:eastAsia="zh-CN"/>
        </w:rPr>
        <w:t>：</w:t>
      </w:r>
      <w:r>
        <w:rPr>
          <w:rFonts w:ascii="宋体" w:hAnsi="宋体" w:eastAsia="Arial" w:cs="宋体"/>
          <w:snapToGrid w:val="0"/>
          <w:color w:val="auto"/>
          <w:kern w:val="0"/>
          <w:szCs w:val="21"/>
          <w:highlight w:val="none"/>
          <w:lang w:eastAsia="en-US"/>
        </w:rPr>
        <w:t>如果投标书中已有相同的材料时，价格按投标报价执行；如果投标书中没有相同的材料时，材料价格参照招标控制价编制当期《</w:t>
      </w:r>
      <w:r>
        <w:rPr>
          <w:rFonts w:hint="eastAsia" w:ascii="宋体" w:hAnsi="宋体" w:eastAsia="Arial" w:cs="宋体"/>
          <w:snapToGrid w:val="0"/>
          <w:color w:val="auto"/>
          <w:kern w:val="0"/>
          <w:szCs w:val="21"/>
          <w:highlight w:val="none"/>
          <w:lang w:eastAsia="en-US"/>
        </w:rPr>
        <w:t>怒江</w:t>
      </w:r>
      <w:r>
        <w:rPr>
          <w:rFonts w:ascii="宋体" w:hAnsi="宋体" w:eastAsia="Arial" w:cs="宋体"/>
          <w:snapToGrid w:val="0"/>
          <w:color w:val="auto"/>
          <w:kern w:val="0"/>
          <w:szCs w:val="21"/>
          <w:highlight w:val="none"/>
          <w:lang w:eastAsia="en-US"/>
        </w:rPr>
        <w:t>州建设工程材料及设备价格信息》中</w:t>
      </w:r>
      <w:r>
        <w:rPr>
          <w:rFonts w:hint="eastAsia" w:ascii="宋体" w:hAnsi="宋体" w:eastAsia="Arial" w:cs="宋体"/>
          <w:snapToGrid w:val="0"/>
          <w:color w:val="auto"/>
          <w:kern w:val="0"/>
          <w:szCs w:val="21"/>
          <w:highlight w:val="none"/>
          <w:lang w:eastAsia="en-US"/>
        </w:rPr>
        <w:t>福贡</w:t>
      </w:r>
      <w:r>
        <w:rPr>
          <w:rFonts w:ascii="宋体" w:hAnsi="宋体" w:eastAsia="Arial" w:cs="宋体"/>
          <w:snapToGrid w:val="0"/>
          <w:color w:val="auto"/>
          <w:kern w:val="0"/>
          <w:szCs w:val="21"/>
          <w:highlight w:val="none"/>
          <w:lang w:eastAsia="en-US"/>
        </w:rPr>
        <w:t>当地价格信息</w:t>
      </w:r>
      <w:r>
        <w:rPr>
          <w:rFonts w:hint="eastAsia" w:ascii="宋体" w:hAnsi="宋体" w:eastAsia="宋体" w:cs="宋体"/>
          <w:snapToGrid w:val="0"/>
          <w:color w:val="auto"/>
          <w:kern w:val="0"/>
          <w:szCs w:val="21"/>
          <w:highlight w:val="none"/>
          <w:lang w:eastAsia="zh-CN"/>
        </w:rPr>
        <w:t>，</w:t>
      </w:r>
      <w:r>
        <w:rPr>
          <w:rFonts w:ascii="宋体" w:hAnsi="宋体" w:eastAsia="Arial" w:cs="宋体"/>
          <w:snapToGrid w:val="0"/>
          <w:color w:val="auto"/>
          <w:kern w:val="0"/>
          <w:szCs w:val="21"/>
          <w:highlight w:val="none"/>
          <w:lang w:eastAsia="en-US"/>
        </w:rPr>
        <w:t>若《</w:t>
      </w:r>
      <w:r>
        <w:rPr>
          <w:rFonts w:hint="eastAsia" w:ascii="宋体" w:hAnsi="宋体" w:eastAsia="Arial" w:cs="宋体"/>
          <w:snapToGrid w:val="0"/>
          <w:color w:val="auto"/>
          <w:kern w:val="0"/>
          <w:szCs w:val="21"/>
          <w:highlight w:val="none"/>
          <w:lang w:eastAsia="en-US"/>
        </w:rPr>
        <w:t>怒江</w:t>
      </w:r>
      <w:r>
        <w:rPr>
          <w:rFonts w:ascii="宋体" w:hAnsi="宋体" w:eastAsia="Arial" w:cs="宋体"/>
          <w:snapToGrid w:val="0"/>
          <w:color w:val="auto"/>
          <w:kern w:val="0"/>
          <w:szCs w:val="21"/>
          <w:highlight w:val="none"/>
          <w:lang w:eastAsia="en-US"/>
        </w:rPr>
        <w:t>州建设工程材料及设备价格信息》中</w:t>
      </w:r>
      <w:r>
        <w:rPr>
          <w:rFonts w:hint="eastAsia" w:ascii="宋体" w:hAnsi="宋体" w:eastAsia="Arial" w:cs="宋体"/>
          <w:snapToGrid w:val="0"/>
          <w:color w:val="auto"/>
          <w:kern w:val="0"/>
          <w:szCs w:val="21"/>
          <w:highlight w:val="none"/>
          <w:lang w:eastAsia="en-US"/>
        </w:rPr>
        <w:t>福贡</w:t>
      </w:r>
      <w:r>
        <w:rPr>
          <w:rFonts w:ascii="宋体" w:hAnsi="宋体" w:eastAsia="Arial" w:cs="宋体"/>
          <w:snapToGrid w:val="0"/>
          <w:color w:val="auto"/>
          <w:kern w:val="0"/>
          <w:szCs w:val="21"/>
          <w:highlight w:val="none"/>
          <w:lang w:eastAsia="en-US"/>
        </w:rPr>
        <w:t>当地价格信息中无</w:t>
      </w:r>
      <w:r>
        <w:rPr>
          <w:rFonts w:hint="eastAsia" w:ascii="宋体" w:hAnsi="宋体" w:eastAsia="宋体" w:cs="宋体"/>
          <w:snapToGrid w:val="0"/>
          <w:color w:val="auto"/>
          <w:kern w:val="0"/>
          <w:szCs w:val="21"/>
          <w:highlight w:val="none"/>
          <w:lang w:eastAsia="zh-CN"/>
        </w:rPr>
        <w:t>，</w:t>
      </w:r>
      <w:r>
        <w:rPr>
          <w:rFonts w:ascii="宋体" w:hAnsi="宋体" w:eastAsia="Arial" w:cs="宋体"/>
          <w:snapToGrid w:val="0"/>
          <w:color w:val="auto"/>
          <w:kern w:val="0"/>
          <w:szCs w:val="21"/>
          <w:highlight w:val="none"/>
          <w:lang w:eastAsia="en-US"/>
        </w:rPr>
        <w:t>则该材料价格参照招标控制价编制当期《云南省建设工程材料及设备价格信息》中</w:t>
      </w:r>
      <w:r>
        <w:rPr>
          <w:rFonts w:hint="eastAsia" w:ascii="宋体" w:hAnsi="宋体" w:eastAsia="Arial" w:cs="宋体"/>
          <w:snapToGrid w:val="0"/>
          <w:color w:val="auto"/>
          <w:kern w:val="0"/>
          <w:szCs w:val="21"/>
          <w:highlight w:val="none"/>
          <w:lang w:eastAsia="en-US"/>
        </w:rPr>
        <w:t>怒江</w:t>
      </w:r>
      <w:r>
        <w:rPr>
          <w:rFonts w:ascii="宋体" w:hAnsi="宋体" w:eastAsia="Arial" w:cs="宋体"/>
          <w:snapToGrid w:val="0"/>
          <w:color w:val="auto"/>
          <w:kern w:val="0"/>
          <w:szCs w:val="21"/>
          <w:highlight w:val="none"/>
          <w:lang w:eastAsia="en-US"/>
        </w:rPr>
        <w:t>价格信息（地方材料除外），若都无材料价格需经监理单位、发包人及造价咨询单位审核后确定。</w:t>
      </w:r>
    </w:p>
    <w:p w14:paraId="0FDA669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（4）组织措施费（夜间施工增加费、绿色施工措施费除外）为报价时综合考虑的包干费用</w:t>
      </w:r>
      <w:r>
        <w:rPr>
          <w:rFonts w:hint="eastAsia" w:ascii="宋体" w:hAnsi="宋体" w:eastAsia="宋体" w:cs="宋体"/>
          <w:snapToGrid w:val="0"/>
          <w:color w:val="auto"/>
          <w:kern w:val="0"/>
          <w:szCs w:val="21"/>
          <w:highlight w:val="none"/>
          <w:lang w:eastAsia="zh-CN"/>
        </w:rPr>
        <w:t>，</w:t>
      </w:r>
      <w:r>
        <w:rPr>
          <w:rFonts w:ascii="宋体" w:hAnsi="宋体" w:eastAsia="Arial" w:cs="宋体"/>
          <w:snapToGrid w:val="0"/>
          <w:color w:val="auto"/>
          <w:kern w:val="0"/>
          <w:szCs w:val="21"/>
          <w:highlight w:val="none"/>
          <w:lang w:eastAsia="en-US"/>
        </w:rPr>
        <w:t>实际施工时如发生工程量增减、变更、签证，组织措施费（夜间施工增加费、绿色施工措施费除外）均不得作任何调整。其中，若发生绿色施工措施费，结算时，绿色施工措施费依据竣工结算资料及《云南省建设工程造价计价标准（2020版）》规定据实结算。夜间施工增加费按实结算，若发生夜间施工时，按现场签证单形式</w:t>
      </w:r>
      <w:r>
        <w:rPr>
          <w:rFonts w:hint="eastAsia" w:ascii="宋体" w:hAnsi="宋体" w:eastAsia="宋体" w:cs="宋体"/>
          <w:snapToGrid w:val="0"/>
          <w:color w:val="auto"/>
          <w:kern w:val="0"/>
          <w:szCs w:val="21"/>
          <w:highlight w:val="none"/>
          <w:lang w:eastAsia="zh-CN"/>
        </w:rPr>
        <w:t>签订</w:t>
      </w:r>
      <w:r>
        <w:rPr>
          <w:rFonts w:ascii="宋体" w:hAnsi="宋体" w:eastAsia="Arial" w:cs="宋体"/>
          <w:snapToGrid w:val="0"/>
          <w:color w:val="auto"/>
          <w:kern w:val="0"/>
          <w:szCs w:val="21"/>
          <w:highlight w:val="none"/>
          <w:lang w:eastAsia="en-US"/>
        </w:rPr>
        <w:t>发生夜间施工部分的工程量。结算时，发生夜间施工部分的工程量乘以</w:t>
      </w:r>
      <w:r>
        <w:rPr>
          <w:rFonts w:hint="eastAsia" w:ascii="宋体" w:hAnsi="宋体" w:cs="宋体"/>
          <w:snapToGrid w:val="0"/>
          <w:color w:val="auto"/>
          <w:kern w:val="0"/>
          <w:szCs w:val="21"/>
          <w:highlight w:val="none"/>
          <w:lang w:val="en-US" w:eastAsia="zh-CN"/>
        </w:rPr>
        <w:t>报</w:t>
      </w:r>
      <w:r>
        <w:rPr>
          <w:rFonts w:ascii="宋体" w:hAnsi="宋体" w:eastAsia="Arial" w:cs="宋体"/>
          <w:snapToGrid w:val="0"/>
          <w:color w:val="auto"/>
          <w:kern w:val="0"/>
          <w:szCs w:val="21"/>
          <w:highlight w:val="none"/>
          <w:lang w:eastAsia="en-US"/>
        </w:rPr>
        <w:t>价中相应的费率计算。</w:t>
      </w:r>
    </w:p>
    <w:p w14:paraId="489D8B83">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10.5</w:t>
      </w:r>
      <w:r>
        <w:rPr>
          <w:rFonts w:hint="eastAsia" w:ascii="宋体" w:hAnsi="宋体" w:eastAsia="Arial" w:cs="宋体"/>
          <w:snapToGrid w:val="0"/>
          <w:color w:val="auto"/>
          <w:kern w:val="0"/>
          <w:szCs w:val="21"/>
          <w:highlight w:val="none"/>
          <w:lang w:eastAsia="en-US"/>
        </w:rPr>
        <w:t xml:space="preserve"> </w:t>
      </w:r>
      <w:r>
        <w:rPr>
          <w:rFonts w:ascii="宋体" w:hAnsi="宋体" w:eastAsia="Arial" w:cs="宋体"/>
          <w:snapToGrid w:val="0"/>
          <w:color w:val="auto"/>
          <w:kern w:val="0"/>
          <w:szCs w:val="21"/>
          <w:highlight w:val="none"/>
          <w:lang w:eastAsia="en-US"/>
        </w:rPr>
        <w:t>承包人的合理化建议</w:t>
      </w:r>
    </w:p>
    <w:p w14:paraId="5EFDFB54">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监理人审查承包人合理化建议的期限：</w:t>
      </w:r>
      <w:r>
        <w:rPr>
          <w:rFonts w:ascii="宋体" w:hAnsi="宋体" w:eastAsia="Arial" w:cs="宋体"/>
          <w:snapToGrid w:val="0"/>
          <w:color w:val="auto"/>
          <w:kern w:val="0"/>
          <w:szCs w:val="21"/>
          <w:highlight w:val="none"/>
          <w:u w:val="single"/>
          <w:lang w:eastAsia="en-US"/>
        </w:rPr>
        <w:t>按通用条款执行</w:t>
      </w:r>
      <w:r>
        <w:rPr>
          <w:rFonts w:ascii="宋体" w:hAnsi="宋体" w:eastAsia="Arial" w:cs="宋体"/>
          <w:snapToGrid w:val="0"/>
          <w:color w:val="auto"/>
          <w:kern w:val="0"/>
          <w:szCs w:val="21"/>
          <w:highlight w:val="none"/>
          <w:lang w:eastAsia="en-US"/>
        </w:rPr>
        <w:t>。</w:t>
      </w:r>
    </w:p>
    <w:p w14:paraId="509F9E15">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发包人审批承包人合理化建议的期限：</w:t>
      </w:r>
      <w:r>
        <w:rPr>
          <w:rFonts w:ascii="宋体" w:hAnsi="宋体" w:eastAsia="Arial" w:cs="宋体"/>
          <w:snapToGrid w:val="0"/>
          <w:color w:val="auto"/>
          <w:kern w:val="0"/>
          <w:szCs w:val="21"/>
          <w:highlight w:val="none"/>
          <w:u w:val="single"/>
          <w:lang w:eastAsia="en-US"/>
        </w:rPr>
        <w:t>按通用条款执行</w:t>
      </w:r>
      <w:r>
        <w:rPr>
          <w:rFonts w:ascii="宋体" w:hAnsi="宋体" w:eastAsia="Arial" w:cs="宋体"/>
          <w:snapToGrid w:val="0"/>
          <w:color w:val="auto"/>
          <w:kern w:val="0"/>
          <w:szCs w:val="21"/>
          <w:highlight w:val="none"/>
          <w:lang w:eastAsia="en-US"/>
        </w:rPr>
        <w:t>。</w:t>
      </w:r>
    </w:p>
    <w:p w14:paraId="168059EF">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承包人提出的合理化建议降低了合同价格或者提高了工程经济效益的奖励的方法和金额为：</w:t>
      </w:r>
      <w:r>
        <w:rPr>
          <w:rFonts w:ascii="宋体" w:hAnsi="宋体" w:eastAsia="Arial" w:cs="宋体"/>
          <w:snapToGrid w:val="0"/>
          <w:color w:val="auto"/>
          <w:kern w:val="0"/>
          <w:szCs w:val="21"/>
          <w:highlight w:val="none"/>
          <w:u w:val="single"/>
          <w:lang w:eastAsia="en-US"/>
        </w:rPr>
        <w:t>无奖励</w:t>
      </w:r>
      <w:r>
        <w:rPr>
          <w:rFonts w:ascii="宋体" w:hAnsi="宋体" w:eastAsia="Arial" w:cs="宋体"/>
          <w:snapToGrid w:val="0"/>
          <w:color w:val="auto"/>
          <w:kern w:val="0"/>
          <w:szCs w:val="21"/>
          <w:highlight w:val="none"/>
          <w:lang w:eastAsia="en-US"/>
        </w:rPr>
        <w:t>。</w:t>
      </w:r>
    </w:p>
    <w:p w14:paraId="5506D22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10.7</w:t>
      </w:r>
      <w:r>
        <w:rPr>
          <w:rFonts w:hint="eastAsia" w:ascii="宋体" w:hAnsi="宋体" w:eastAsia="Arial" w:cs="宋体"/>
          <w:snapToGrid w:val="0"/>
          <w:color w:val="auto"/>
          <w:kern w:val="0"/>
          <w:szCs w:val="21"/>
          <w:highlight w:val="none"/>
          <w:lang w:eastAsia="en-US"/>
        </w:rPr>
        <w:t xml:space="preserve"> </w:t>
      </w:r>
      <w:r>
        <w:rPr>
          <w:rFonts w:ascii="宋体" w:hAnsi="宋体" w:eastAsia="Arial" w:cs="宋体"/>
          <w:snapToGrid w:val="0"/>
          <w:color w:val="auto"/>
          <w:kern w:val="0"/>
          <w:szCs w:val="21"/>
          <w:highlight w:val="none"/>
          <w:lang w:eastAsia="en-US"/>
        </w:rPr>
        <w:t>暂估价</w:t>
      </w:r>
    </w:p>
    <w:p w14:paraId="01BA1CEF">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10.7.1</w:t>
      </w:r>
      <w:r>
        <w:rPr>
          <w:rFonts w:hint="eastAsia" w:ascii="宋体" w:hAnsi="宋体" w:eastAsia="Arial" w:cs="宋体"/>
          <w:snapToGrid w:val="0"/>
          <w:color w:val="auto"/>
          <w:kern w:val="0"/>
          <w:szCs w:val="21"/>
          <w:highlight w:val="none"/>
          <w:lang w:eastAsia="en-US"/>
        </w:rPr>
        <w:t xml:space="preserve"> </w:t>
      </w:r>
      <w:r>
        <w:rPr>
          <w:rFonts w:ascii="宋体" w:hAnsi="宋体" w:eastAsia="Arial" w:cs="宋体"/>
          <w:snapToGrid w:val="0"/>
          <w:color w:val="auto"/>
          <w:kern w:val="0"/>
          <w:szCs w:val="21"/>
          <w:highlight w:val="none"/>
          <w:lang w:eastAsia="en-US"/>
        </w:rPr>
        <w:t>依法必须招标的暂估价项目</w:t>
      </w:r>
    </w:p>
    <w:p w14:paraId="5BF4B7B7">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对于依法必须招标的暂估价项目的确认和批准采取第</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种方式确定。</w:t>
      </w:r>
    </w:p>
    <w:p w14:paraId="5638DED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10.7.2</w:t>
      </w:r>
      <w:r>
        <w:rPr>
          <w:rFonts w:hint="eastAsia" w:ascii="宋体" w:hAnsi="宋体" w:eastAsia="Arial" w:cs="宋体"/>
          <w:snapToGrid w:val="0"/>
          <w:color w:val="auto"/>
          <w:kern w:val="0"/>
          <w:szCs w:val="21"/>
          <w:highlight w:val="none"/>
          <w:lang w:eastAsia="en-US"/>
        </w:rPr>
        <w:t xml:space="preserve"> </w:t>
      </w:r>
      <w:r>
        <w:rPr>
          <w:rFonts w:ascii="宋体" w:hAnsi="宋体" w:eastAsia="Arial" w:cs="宋体"/>
          <w:snapToGrid w:val="0"/>
          <w:color w:val="auto"/>
          <w:kern w:val="0"/>
          <w:szCs w:val="21"/>
          <w:highlight w:val="none"/>
          <w:lang w:eastAsia="en-US"/>
        </w:rPr>
        <w:t>不属于依法必须招标的暂估价项目</w:t>
      </w:r>
    </w:p>
    <w:p w14:paraId="5EC9DC82">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对于不属于依法必须招标的暂估价项目的确认和批准采取第</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种方式确定。</w:t>
      </w:r>
    </w:p>
    <w:p w14:paraId="011D517B">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第3种方式：承包人直接实施的暂估价项目</w:t>
      </w:r>
    </w:p>
    <w:p w14:paraId="5CCB7E86">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承包人直接实施的暂估价项目的约定：</w:t>
      </w:r>
      <w:r>
        <w:rPr>
          <w:rFonts w:hint="eastAsia" w:ascii="宋体" w:hAnsi="宋体" w:eastAsia="Arial" w:cs="宋体"/>
          <w:snapToGrid w:val="0"/>
          <w:color w:val="auto"/>
          <w:kern w:val="0"/>
          <w:szCs w:val="21"/>
          <w:highlight w:val="none"/>
          <w:u w:val="single"/>
          <w:lang w:eastAsia="en-US"/>
        </w:rPr>
        <w:t xml:space="preserve">   </w:t>
      </w:r>
      <w:r>
        <w:rPr>
          <w:rFonts w:hint="eastAsia" w:ascii="宋体" w:hAnsi="宋体" w:eastAsia="Arial" w:cs="宋体"/>
          <w:snapToGrid w:val="0"/>
          <w:color w:val="auto"/>
          <w:kern w:val="0"/>
          <w:szCs w:val="21"/>
          <w:highlight w:val="none"/>
          <w:u w:val="single"/>
        </w:rPr>
        <w:t xml:space="preserve">         </w:t>
      </w:r>
      <w:r>
        <w:rPr>
          <w:rFonts w:ascii="宋体" w:hAnsi="宋体" w:eastAsia="Arial" w:cs="宋体"/>
          <w:snapToGrid w:val="0"/>
          <w:color w:val="auto"/>
          <w:kern w:val="0"/>
          <w:szCs w:val="21"/>
          <w:highlight w:val="none"/>
          <w:lang w:eastAsia="en-US"/>
        </w:rPr>
        <w:t>。</w:t>
      </w:r>
    </w:p>
    <w:p w14:paraId="05C1C648">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lang w:eastAsia="en-US"/>
        </w:rPr>
        <w:t>10.8暂列金额</w:t>
      </w:r>
    </w:p>
    <w:p w14:paraId="75E070CD">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ascii="宋体" w:hAnsi="宋体" w:eastAsia="Arial" w:cs="宋体"/>
          <w:snapToGrid w:val="0"/>
          <w:color w:val="auto"/>
          <w:kern w:val="0"/>
          <w:szCs w:val="21"/>
          <w:highlight w:val="none"/>
          <w:u w:val="single"/>
          <w:lang w:eastAsia="en-US"/>
        </w:rPr>
        <w:t>合同当事人关于暂列金额使用的约定：暂列金是指发包人为可能发生工程变更而暂列的金额，包括因发包人提供的工程量清单漏项、清单有误引起的工程数量增加和施工过程中设计变更引起新的清单项目或工程数量增加等需要增加的金额，由发包人委托的结算审计单位审定后</w:t>
      </w:r>
      <w:r>
        <w:rPr>
          <w:rFonts w:hint="eastAsia" w:ascii="宋体" w:hAnsi="宋体" w:eastAsia="宋体" w:cs="宋体"/>
          <w:snapToGrid w:val="0"/>
          <w:color w:val="auto"/>
          <w:kern w:val="0"/>
          <w:szCs w:val="21"/>
          <w:highlight w:val="none"/>
          <w:u w:val="single"/>
          <w:lang w:eastAsia="zh-CN"/>
        </w:rPr>
        <w:t>，</w:t>
      </w:r>
      <w:r>
        <w:rPr>
          <w:rFonts w:ascii="宋体" w:hAnsi="宋体" w:eastAsia="Arial" w:cs="宋体"/>
          <w:snapToGrid w:val="0"/>
          <w:color w:val="auto"/>
          <w:kern w:val="0"/>
          <w:szCs w:val="21"/>
          <w:highlight w:val="none"/>
          <w:u w:val="single"/>
          <w:lang w:eastAsia="en-US"/>
        </w:rPr>
        <w:t>按照审定造价使用部分暂列金。暂列金是发包人自行确定设立的，承包人无权使用此笔费用。此费用按实际发生并经发包人签证后确定全部使用、部分使用或不使用。暂列金不计入工程进度款付款的基数。</w:t>
      </w:r>
    </w:p>
    <w:p w14:paraId="3E544E9A">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11. 价格调整</w:t>
      </w:r>
      <w:bookmarkEnd w:id="1142"/>
    </w:p>
    <w:p w14:paraId="4358339A">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bookmarkStart w:id="1143" w:name="_Toc5576"/>
      <w:r>
        <w:rPr>
          <w:rFonts w:ascii="宋体" w:hAnsi="宋体" w:eastAsia="Arial" w:cs="宋体"/>
          <w:snapToGrid w:val="0"/>
          <w:color w:val="auto"/>
          <w:kern w:val="0"/>
          <w:szCs w:val="21"/>
          <w:highlight w:val="none"/>
          <w:lang w:eastAsia="en-US"/>
        </w:rPr>
        <w:t>11.1 市场价格波动引起的调整</w:t>
      </w:r>
    </w:p>
    <w:p w14:paraId="29C063A1">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u w:val="single"/>
          <w:lang w:eastAsia="en-US"/>
        </w:rPr>
      </w:pPr>
      <w:r>
        <w:rPr>
          <w:rFonts w:ascii="宋体" w:hAnsi="宋体" w:eastAsia="Arial" w:cs="宋体"/>
          <w:snapToGrid w:val="0"/>
          <w:color w:val="auto"/>
          <w:kern w:val="0"/>
          <w:szCs w:val="21"/>
          <w:highlight w:val="none"/>
          <w:lang w:eastAsia="en-US"/>
        </w:rPr>
        <w:t>市场价格波动是否调整合同价格的约定：</w:t>
      </w:r>
      <w:r>
        <w:rPr>
          <w:rFonts w:hint="eastAsia" w:ascii="宋体" w:hAnsi="宋体" w:eastAsia="宋体" w:cs="宋体"/>
          <w:snapToGrid w:val="0"/>
          <w:color w:val="auto"/>
          <w:kern w:val="0"/>
          <w:szCs w:val="21"/>
          <w:highlight w:val="none"/>
          <w:u w:val="single"/>
          <w:lang w:val="en-US" w:eastAsia="zh-CN"/>
        </w:rPr>
        <w:t xml:space="preserve">                </w:t>
      </w:r>
      <w:r>
        <w:rPr>
          <w:rFonts w:hint="eastAsia" w:ascii="宋体" w:hAnsi="宋体" w:eastAsia="Arial" w:cs="宋体"/>
          <w:snapToGrid w:val="0"/>
          <w:color w:val="auto"/>
          <w:kern w:val="0"/>
          <w:szCs w:val="21"/>
          <w:highlight w:val="none"/>
          <w:u w:val="single"/>
          <w:lang w:eastAsia="en-US"/>
        </w:rPr>
        <w:t>。</w:t>
      </w:r>
    </w:p>
    <w:p w14:paraId="54BAD24E">
      <w:pPr>
        <w:widowControl/>
        <w:kinsoku w:val="0"/>
        <w:autoSpaceDE w:val="0"/>
        <w:autoSpaceDN w:val="0"/>
        <w:adjustRightInd w:val="0"/>
        <w:snapToGrid w:val="0"/>
        <w:spacing w:line="360" w:lineRule="auto"/>
        <w:ind w:firstLine="420" w:firstLineChars="200"/>
        <w:jc w:val="left"/>
        <w:textAlignment w:val="baseline"/>
        <w:rPr>
          <w:rFonts w:ascii="宋体" w:hAnsi="宋体" w:eastAsia="Arial" w:cs="宋体"/>
          <w:snapToGrid w:val="0"/>
          <w:color w:val="auto"/>
          <w:kern w:val="0"/>
          <w:szCs w:val="21"/>
          <w:highlight w:val="none"/>
          <w:lang w:eastAsia="en-US"/>
        </w:rPr>
      </w:pPr>
      <w:r>
        <w:rPr>
          <w:rFonts w:hint="eastAsia" w:ascii="宋体" w:hAnsi="宋体" w:eastAsia="Arial" w:cs="宋体"/>
          <w:snapToGrid w:val="0"/>
          <w:color w:val="auto"/>
          <w:kern w:val="0"/>
          <w:szCs w:val="21"/>
          <w:highlight w:val="none"/>
          <w:lang w:eastAsia="en-US"/>
        </w:rPr>
        <w:t>因市场价格波动调整合同价格，采用《建设工程工程量清单计价规范》GB/T50500-2024附录A 物价变化合同价款调整方法 A.2造价信息调整价格差额。</w:t>
      </w:r>
    </w:p>
    <w:p w14:paraId="5D5EDC81">
      <w:pPr>
        <w:adjustRightInd w:val="0"/>
        <w:snapToGrid w:val="0"/>
        <w:spacing w:line="360" w:lineRule="auto"/>
        <w:ind w:firstLine="211" w:firstLineChars="100"/>
        <w:outlineLvl w:val="2"/>
        <w:rPr>
          <w:rFonts w:ascii="宋体" w:hAnsi="宋体" w:cs="宋体"/>
          <w:b/>
          <w:color w:val="auto"/>
          <w:szCs w:val="21"/>
          <w:highlight w:val="none"/>
        </w:rPr>
      </w:pPr>
      <w:r>
        <w:rPr>
          <w:rFonts w:hint="eastAsia" w:ascii="宋体" w:hAnsi="宋体" w:cs="宋体"/>
          <w:b/>
          <w:color w:val="auto"/>
          <w:szCs w:val="21"/>
          <w:highlight w:val="none"/>
        </w:rPr>
        <w:t>12. 合同价格、计量与支付</w:t>
      </w:r>
      <w:bookmarkEnd w:id="1143"/>
    </w:p>
    <w:p w14:paraId="1B3E198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12.1 合同价格形式</w:t>
      </w:r>
    </w:p>
    <w:p w14:paraId="38654A9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单价合同。</w:t>
      </w:r>
    </w:p>
    <w:p w14:paraId="20EB962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综合单价包含的风险范围：</w:t>
      </w:r>
      <w:r>
        <w:rPr>
          <w:rFonts w:hint="eastAsia" w:ascii="宋体" w:hAnsi="宋体" w:cs="宋体"/>
          <w:color w:val="auto"/>
          <w:sz w:val="21"/>
          <w:szCs w:val="21"/>
          <w:highlight w:val="none"/>
          <w:u w:val="single"/>
        </w:rPr>
        <w:t>与本项目有关的所有风险</w:t>
      </w:r>
      <w:r>
        <w:rPr>
          <w:rFonts w:hint="eastAsia" w:ascii="宋体" w:hAnsi="宋体" w:cs="宋体"/>
          <w:color w:val="auto"/>
          <w:sz w:val="21"/>
          <w:szCs w:val="21"/>
          <w:highlight w:val="none"/>
        </w:rPr>
        <w:t>。</w:t>
      </w:r>
    </w:p>
    <w:p w14:paraId="08ECA72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风险费用的计算方法：</w:t>
      </w:r>
      <w:r>
        <w:rPr>
          <w:rFonts w:hint="eastAsia" w:ascii="宋体" w:hAnsi="宋体" w:cs="宋体"/>
          <w:color w:val="auto"/>
          <w:sz w:val="21"/>
          <w:szCs w:val="21"/>
          <w:highlight w:val="none"/>
          <w:u w:val="single"/>
        </w:rPr>
        <w:t>已含在综合单价内</w:t>
      </w:r>
      <w:r>
        <w:rPr>
          <w:rFonts w:hint="eastAsia" w:ascii="宋体" w:hAnsi="宋体" w:cs="宋体"/>
          <w:color w:val="auto"/>
          <w:sz w:val="21"/>
          <w:szCs w:val="21"/>
          <w:highlight w:val="none"/>
        </w:rPr>
        <w:t>。</w:t>
      </w:r>
    </w:p>
    <w:p w14:paraId="79D500C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风险范围以外合同价格的调整方法：</w:t>
      </w:r>
      <w:r>
        <w:rPr>
          <w:rFonts w:hint="eastAsia" w:ascii="宋体" w:hAnsi="宋体" w:cs="宋体"/>
          <w:color w:val="auto"/>
          <w:sz w:val="21"/>
          <w:szCs w:val="21"/>
          <w:highlight w:val="none"/>
          <w:u w:val="single"/>
        </w:rPr>
        <w:t>综合单价不予调整</w:t>
      </w:r>
      <w:r>
        <w:rPr>
          <w:rFonts w:hint="eastAsia" w:ascii="宋体" w:hAnsi="宋体" w:cs="宋体"/>
          <w:color w:val="auto"/>
          <w:sz w:val="21"/>
          <w:szCs w:val="21"/>
          <w:highlight w:val="none"/>
        </w:rPr>
        <w:t>。</w:t>
      </w:r>
    </w:p>
    <w:p w14:paraId="7B8B669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总价合同。</w:t>
      </w:r>
    </w:p>
    <w:p w14:paraId="2DEBDE1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总价包含的风险范围：</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4CB4D2FB">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风险费用的计算方法：</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500EB5D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风险范围以外合同价格的调整方法：</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5F63881F">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rPr>
        <w:t>其他价格方式：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869E6E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12.2 预付款</w:t>
      </w:r>
    </w:p>
    <w:p w14:paraId="61CB028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12.2.1 预付款的支付</w:t>
      </w:r>
    </w:p>
    <w:p w14:paraId="442BF49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预付款支付比例或金额：</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p w14:paraId="65541E7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预付款支付期限：</w:t>
      </w:r>
      <w:r>
        <w:rPr>
          <w:rFonts w:hint="eastAsia" w:ascii="宋体" w:hAnsi="宋体" w:cs="宋体"/>
          <w:color w:val="auto"/>
          <w:szCs w:val="21"/>
          <w:highlight w:val="none"/>
          <w:u w:val="single"/>
        </w:rPr>
        <w:t>　　　　　　　　</w:t>
      </w:r>
      <w:r>
        <w:rPr>
          <w:rFonts w:hint="eastAsia" w:ascii="宋体" w:hAnsi="宋体" w:cs="宋体"/>
          <w:color w:val="auto"/>
          <w:szCs w:val="21"/>
          <w:highlight w:val="none"/>
        </w:rPr>
        <w:t>。</w:t>
      </w:r>
    </w:p>
    <w:p w14:paraId="6722EAD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预付款扣回的方式：</w:t>
      </w:r>
      <w:r>
        <w:rPr>
          <w:rFonts w:hint="eastAsia" w:ascii="宋体" w:hAnsi="宋体" w:cs="宋体"/>
          <w:color w:val="auto"/>
          <w:sz w:val="21"/>
          <w:szCs w:val="21"/>
          <w:highlight w:val="none"/>
          <w:u w:val="single"/>
        </w:rPr>
        <w:t>　　　　　　　　　　　　</w:t>
      </w:r>
      <w:r>
        <w:rPr>
          <w:rFonts w:hint="eastAsia" w:ascii="宋体" w:hAnsi="宋体" w:cs="宋体"/>
          <w:color w:val="auto"/>
          <w:sz w:val="21"/>
          <w:szCs w:val="21"/>
          <w:highlight w:val="none"/>
        </w:rPr>
        <w:t>。</w:t>
      </w:r>
    </w:p>
    <w:p w14:paraId="4197375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12.2.2 预付款担保</w:t>
      </w:r>
    </w:p>
    <w:p w14:paraId="6133795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承包人提交预付款担保的期限：</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EC221C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预付款担保的形式为：</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48965A6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 计量</w:t>
      </w:r>
    </w:p>
    <w:p w14:paraId="4B1636F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12.3.1 计量原则</w:t>
      </w:r>
    </w:p>
    <w:p w14:paraId="2E46B77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工程量计算规则：</w:t>
      </w:r>
      <w:r>
        <w:rPr>
          <w:rFonts w:hint="eastAsia" w:ascii="宋体" w:hAnsi="宋体" w:cs="宋体"/>
          <w:color w:val="auto"/>
          <w:sz w:val="21"/>
          <w:szCs w:val="21"/>
          <w:highlight w:val="none"/>
          <w:u w:val="single"/>
        </w:rPr>
        <w:t>按照《建设工程工程量清单计价规范》（GB50500-2024）定额工程量计算规则及相关规定执行</w:t>
      </w:r>
      <w:r>
        <w:rPr>
          <w:rFonts w:hint="eastAsia" w:ascii="宋体" w:hAnsi="宋体" w:cs="宋体"/>
          <w:color w:val="auto"/>
          <w:sz w:val="21"/>
          <w:szCs w:val="21"/>
          <w:highlight w:val="none"/>
        </w:rPr>
        <w:t>。</w:t>
      </w:r>
    </w:p>
    <w:p w14:paraId="69F9D42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12.3.2 计量周期</w:t>
      </w:r>
    </w:p>
    <w:p w14:paraId="304CE0A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关于计量周期的约定：</w:t>
      </w:r>
      <w:r>
        <w:rPr>
          <w:rFonts w:hint="eastAsia" w:ascii="宋体" w:hAnsi="宋体" w:cs="宋体"/>
          <w:color w:val="auto"/>
          <w:sz w:val="21"/>
          <w:szCs w:val="21"/>
          <w:highlight w:val="none"/>
          <w:u w:val="single"/>
        </w:rPr>
        <w:t>按月计量</w:t>
      </w:r>
      <w:r>
        <w:rPr>
          <w:rFonts w:hint="eastAsia" w:ascii="宋体" w:hAnsi="宋体" w:cs="宋体"/>
          <w:color w:val="auto"/>
          <w:sz w:val="21"/>
          <w:szCs w:val="21"/>
          <w:highlight w:val="none"/>
        </w:rPr>
        <w:t>。</w:t>
      </w:r>
    </w:p>
    <w:p w14:paraId="1052D2D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12.3.3 单价合同的计量</w:t>
      </w:r>
    </w:p>
    <w:p w14:paraId="546E4A3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关于单价合同计量的约定：</w:t>
      </w:r>
      <w:r>
        <w:rPr>
          <w:rFonts w:hint="eastAsia" w:ascii="宋体" w:hAnsi="宋体" w:cs="宋体"/>
          <w:color w:val="auto"/>
          <w:sz w:val="21"/>
          <w:szCs w:val="21"/>
          <w:highlight w:val="none"/>
          <w:u w:val="single"/>
        </w:rPr>
        <w:t>经验收合格的分部分项工程量予以计量</w:t>
      </w:r>
      <w:r>
        <w:rPr>
          <w:rFonts w:hint="eastAsia" w:ascii="宋体" w:hAnsi="宋体" w:cs="宋体"/>
          <w:color w:val="auto"/>
          <w:sz w:val="21"/>
          <w:szCs w:val="21"/>
          <w:highlight w:val="none"/>
        </w:rPr>
        <w:t>。</w:t>
      </w:r>
    </w:p>
    <w:p w14:paraId="26229D0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12.3.4 总价合同的计量</w:t>
      </w:r>
    </w:p>
    <w:p w14:paraId="18EE654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关于总价合同计量的约定：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CB0A2A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12.3.5总价合同采用支付分解表计量支付的，是否适用第12.3.4 项〔总价合同的计量〕约定进行计量：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6F5B865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12.3.6 其他价格形式合同的计量</w:t>
      </w:r>
    </w:p>
    <w:p w14:paraId="253D12D1">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其他价格形式的计量方式和程序：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3307AEB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12.4 工程进度款支付</w:t>
      </w:r>
    </w:p>
    <w:p w14:paraId="48C6BE0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12.4.2 进度付款申请单的编制</w:t>
      </w:r>
    </w:p>
    <w:p w14:paraId="0B75160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关于进度付款申请单编制的约定：</w:t>
      </w:r>
      <w:r>
        <w:rPr>
          <w:rFonts w:hint="eastAsia" w:ascii="宋体" w:hAnsi="宋体" w:cs="宋体"/>
          <w:color w:val="auto"/>
          <w:sz w:val="21"/>
          <w:szCs w:val="21"/>
          <w:highlight w:val="none"/>
          <w:u w:val="single"/>
        </w:rPr>
        <w:t xml:space="preserve"> 必须经监理人、造价咨询单位、发包人审核审批</w:t>
      </w:r>
      <w:r>
        <w:rPr>
          <w:rFonts w:hint="eastAsia" w:ascii="宋体" w:hAnsi="宋体" w:cs="宋体"/>
          <w:color w:val="auto"/>
          <w:sz w:val="21"/>
          <w:szCs w:val="21"/>
          <w:highlight w:val="none"/>
        </w:rPr>
        <w:t>。</w:t>
      </w:r>
    </w:p>
    <w:p w14:paraId="25DB755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12.4.3 进度付款申请单的提交</w:t>
      </w:r>
    </w:p>
    <w:p w14:paraId="6F327B0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（1）单价合同进度付款申请单提交的约定：</w:t>
      </w:r>
      <w:r>
        <w:rPr>
          <w:rFonts w:hint="eastAsia" w:ascii="宋体" w:hAnsi="宋体" w:cs="宋体"/>
          <w:color w:val="auto"/>
          <w:sz w:val="21"/>
          <w:szCs w:val="21"/>
          <w:highlight w:val="none"/>
          <w:u w:val="single"/>
        </w:rPr>
        <w:t xml:space="preserve"> 每月20日提交</w:t>
      </w:r>
      <w:r>
        <w:rPr>
          <w:rFonts w:hint="eastAsia" w:ascii="宋体" w:hAnsi="宋体" w:cs="宋体"/>
          <w:color w:val="auto"/>
          <w:sz w:val="21"/>
          <w:szCs w:val="21"/>
          <w:highlight w:val="none"/>
        </w:rPr>
        <w:t>。</w:t>
      </w:r>
    </w:p>
    <w:p w14:paraId="7EA69A4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（2）总价合同进度付款申请单提交的约定：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587879D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（3）其他价格形式合同进度付款申请单提交的约定：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20E813C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12.4.4 进度款审核和支付</w:t>
      </w:r>
    </w:p>
    <w:p w14:paraId="024BF392">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（1）监理人审查并报送发包人的期限：</w:t>
      </w:r>
      <w:r>
        <w:rPr>
          <w:rFonts w:hint="eastAsia" w:ascii="宋体" w:hAnsi="宋体" w:cs="宋体"/>
          <w:color w:val="auto"/>
          <w:sz w:val="21"/>
          <w:szCs w:val="21"/>
          <w:highlight w:val="none"/>
          <w:u w:val="single"/>
        </w:rPr>
        <w:t>2日历天内完成</w:t>
      </w:r>
      <w:r>
        <w:rPr>
          <w:rFonts w:hint="eastAsia" w:ascii="宋体" w:hAnsi="宋体" w:cs="宋体"/>
          <w:color w:val="auto"/>
          <w:sz w:val="21"/>
          <w:szCs w:val="21"/>
          <w:highlight w:val="none"/>
        </w:rPr>
        <w:t>。</w:t>
      </w:r>
    </w:p>
    <w:p w14:paraId="36CBCA9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发包人完成审批并签发进度款支付证书的期限：</w:t>
      </w:r>
      <w:r>
        <w:rPr>
          <w:rFonts w:hint="eastAsia" w:ascii="宋体" w:hAnsi="宋体" w:cs="宋体"/>
          <w:color w:val="auto"/>
          <w:sz w:val="21"/>
          <w:szCs w:val="21"/>
          <w:highlight w:val="none"/>
          <w:u w:val="single"/>
        </w:rPr>
        <w:t>14日历天内</w:t>
      </w:r>
      <w:r>
        <w:rPr>
          <w:rFonts w:hint="eastAsia" w:ascii="宋体" w:hAnsi="宋体" w:cs="宋体"/>
          <w:color w:val="auto"/>
          <w:sz w:val="21"/>
          <w:szCs w:val="21"/>
          <w:highlight w:val="none"/>
        </w:rPr>
        <w:t>。</w:t>
      </w:r>
    </w:p>
    <w:p w14:paraId="432785D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（2）发包人支付进度款的期限：</w:t>
      </w:r>
      <w:r>
        <w:rPr>
          <w:rFonts w:hint="eastAsia" w:ascii="宋体" w:hAnsi="宋体" w:cs="宋体"/>
          <w:color w:val="auto"/>
          <w:sz w:val="21"/>
          <w:szCs w:val="21"/>
          <w:highlight w:val="none"/>
          <w:u w:val="single"/>
        </w:rPr>
        <w:t>签发进度款支付证书后</w:t>
      </w:r>
      <w:r>
        <w:rPr>
          <w:rFonts w:hint="eastAsia" w:ascii="宋体" w:hAnsi="宋体" w:cs="宋体"/>
          <w:color w:val="auto"/>
          <w:sz w:val="21"/>
          <w:szCs w:val="21"/>
          <w:highlight w:val="none"/>
          <w:u w:val="single"/>
          <w:lang w:val="en-US" w:eastAsia="zh-CN"/>
        </w:rPr>
        <w:t xml:space="preserve">  个</w:t>
      </w:r>
      <w:r>
        <w:rPr>
          <w:rFonts w:hint="eastAsia" w:ascii="宋体" w:hAnsi="宋体" w:cs="宋体"/>
          <w:color w:val="auto"/>
          <w:sz w:val="21"/>
          <w:szCs w:val="21"/>
          <w:highlight w:val="none"/>
          <w:u w:val="single"/>
        </w:rPr>
        <w:t>工作日。</w:t>
      </w:r>
      <w:r>
        <w:rPr>
          <w:rFonts w:hint="eastAsia" w:ascii="Times New Roman" w:hAnsi="Times New Roman"/>
          <w:bCs/>
          <w:color w:val="auto"/>
          <w:sz w:val="21"/>
          <w:szCs w:val="21"/>
          <w:highlight w:val="none"/>
          <w:u w:val="single"/>
        </w:rPr>
        <w:t>本项目资金为财政资金，财政预算资金拨付到位后开始支付</w:t>
      </w:r>
      <w:r>
        <w:rPr>
          <w:rFonts w:ascii="Times New Roman" w:hAnsi="Times New Roman"/>
          <w:bCs/>
          <w:color w:val="auto"/>
          <w:sz w:val="21"/>
          <w:szCs w:val="21"/>
          <w:highlight w:val="none"/>
          <w:u w:val="single"/>
        </w:rPr>
        <w:t>。</w:t>
      </w:r>
      <w:r>
        <w:rPr>
          <w:rFonts w:hint="eastAsia" w:ascii="Times New Roman" w:hAnsi="Times New Roman"/>
          <w:bCs/>
          <w:color w:val="auto"/>
          <w:sz w:val="21"/>
          <w:szCs w:val="21"/>
          <w:highlight w:val="none"/>
          <w:u w:val="single"/>
        </w:rPr>
        <w:t>因甲方财政资金拨付未到位，造成超过付款日期的情况，不视为违约。</w:t>
      </w:r>
    </w:p>
    <w:p w14:paraId="5E46F73A">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发包人逾期支付进度款的违约金的计算方式：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63874FA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12.4.6 支付分解表的编制</w:t>
      </w:r>
    </w:p>
    <w:p w14:paraId="59077C81">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lang w:eastAsia="zh-CN"/>
        </w:rPr>
        <w:t>1.</w:t>
      </w:r>
      <w:r>
        <w:rPr>
          <w:rFonts w:hint="eastAsia" w:ascii="宋体" w:hAnsi="宋体" w:cs="宋体"/>
          <w:color w:val="auto"/>
          <w:sz w:val="21"/>
          <w:szCs w:val="21"/>
          <w:highlight w:val="none"/>
        </w:rPr>
        <w:t>总价合同支付分解表的编制与审批：</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F403B9B">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lang w:eastAsia="zh-CN"/>
        </w:rPr>
        <w:t>2.</w:t>
      </w:r>
      <w:r>
        <w:rPr>
          <w:rFonts w:hint="eastAsia" w:ascii="宋体" w:hAnsi="宋体" w:cs="宋体"/>
          <w:color w:val="auto"/>
          <w:sz w:val="21"/>
          <w:szCs w:val="21"/>
          <w:highlight w:val="none"/>
        </w:rPr>
        <w:t>单价合同的总价项目支付分解表的编制与审批：</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2E3B5B83">
      <w:pPr>
        <w:adjustRightInd w:val="0"/>
        <w:snapToGrid w:val="0"/>
        <w:spacing w:line="360" w:lineRule="auto"/>
        <w:outlineLvl w:val="2"/>
        <w:rPr>
          <w:rFonts w:ascii="宋体" w:hAnsi="宋体" w:cs="宋体"/>
          <w:b/>
          <w:color w:val="auto"/>
          <w:szCs w:val="21"/>
          <w:highlight w:val="none"/>
        </w:rPr>
      </w:pPr>
      <w:bookmarkStart w:id="1144" w:name="_Toc29544"/>
      <w:r>
        <w:rPr>
          <w:rFonts w:hint="eastAsia" w:ascii="宋体" w:hAnsi="宋体" w:cs="宋体"/>
          <w:b/>
          <w:color w:val="auto"/>
          <w:szCs w:val="21"/>
          <w:highlight w:val="none"/>
        </w:rPr>
        <w:t>13. 验收和工程试车</w:t>
      </w:r>
      <w:bookmarkEnd w:id="1144"/>
    </w:p>
    <w:p w14:paraId="36327EE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13.1 分部分项工程验收</w:t>
      </w:r>
    </w:p>
    <w:p w14:paraId="4A3AC38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13.1.2监理人不能按时进行验收时，应提前</w:t>
      </w:r>
      <w:r>
        <w:rPr>
          <w:rFonts w:hint="eastAsia" w:ascii="宋体" w:hAnsi="宋体" w:cs="宋体"/>
          <w:color w:val="auto"/>
          <w:sz w:val="21"/>
          <w:szCs w:val="21"/>
          <w:highlight w:val="none"/>
          <w:u w:val="single"/>
        </w:rPr>
        <w:t>24</w:t>
      </w:r>
      <w:r>
        <w:rPr>
          <w:rFonts w:hint="eastAsia" w:ascii="宋体" w:hAnsi="宋体" w:cs="宋体"/>
          <w:color w:val="auto"/>
          <w:sz w:val="21"/>
          <w:szCs w:val="21"/>
          <w:highlight w:val="none"/>
        </w:rPr>
        <w:t>小时提交书面延期要求。</w:t>
      </w:r>
    </w:p>
    <w:p w14:paraId="4B6CC014">
      <w:pPr>
        <w:pStyle w:val="162"/>
        <w:spacing w:line="360" w:lineRule="auto"/>
        <w:ind w:firstLine="420" w:firstLineChars="200"/>
        <w:rPr>
          <w:rFonts w:ascii="宋体" w:hAnsi="宋体" w:cs="宋体"/>
          <w:b/>
          <w:color w:val="auto"/>
          <w:sz w:val="21"/>
          <w:szCs w:val="21"/>
          <w:highlight w:val="none"/>
        </w:rPr>
      </w:pPr>
      <w:r>
        <w:rPr>
          <w:rFonts w:hint="eastAsia" w:ascii="宋体" w:hAnsi="宋体" w:cs="宋体"/>
          <w:color w:val="auto"/>
          <w:sz w:val="21"/>
          <w:szCs w:val="21"/>
          <w:highlight w:val="none"/>
        </w:rPr>
        <w:t>关于延期最长不得超过：</w:t>
      </w:r>
      <w:r>
        <w:rPr>
          <w:rFonts w:hint="eastAsia" w:ascii="宋体" w:hAnsi="宋体" w:cs="宋体"/>
          <w:color w:val="auto"/>
          <w:sz w:val="21"/>
          <w:szCs w:val="21"/>
          <w:highlight w:val="none"/>
          <w:u w:val="single"/>
        </w:rPr>
        <w:t>24</w:t>
      </w:r>
      <w:r>
        <w:rPr>
          <w:rFonts w:hint="eastAsia" w:ascii="宋体" w:hAnsi="宋体" w:cs="宋体"/>
          <w:color w:val="auto"/>
          <w:sz w:val="21"/>
          <w:szCs w:val="21"/>
          <w:highlight w:val="none"/>
        </w:rPr>
        <w:t>小时。</w:t>
      </w:r>
    </w:p>
    <w:p w14:paraId="2611A08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13.2 竣工验收</w:t>
      </w:r>
    </w:p>
    <w:p w14:paraId="0D4805A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13.2.2竣工验收程序</w:t>
      </w:r>
    </w:p>
    <w:p w14:paraId="1F0EA54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关于竣工验收程序的约定：</w:t>
      </w:r>
      <w:r>
        <w:rPr>
          <w:rFonts w:hint="eastAsia" w:ascii="宋体" w:hAnsi="宋体" w:cs="宋体"/>
          <w:color w:val="auto"/>
          <w:sz w:val="21"/>
          <w:szCs w:val="21"/>
          <w:highlight w:val="none"/>
          <w:u w:val="single"/>
        </w:rPr>
        <w:t>具备预验收条件后，由总监理工程师组织预验收，预验收合格后，提交竣工验收申请报告后7天内，由发包人组织相关单位进行工程竣工验收</w:t>
      </w:r>
      <w:r>
        <w:rPr>
          <w:rFonts w:hint="eastAsia" w:ascii="宋体" w:hAnsi="宋体" w:cs="宋体"/>
          <w:color w:val="auto"/>
          <w:sz w:val="21"/>
          <w:szCs w:val="21"/>
          <w:highlight w:val="none"/>
        </w:rPr>
        <w:t>。</w:t>
      </w:r>
    </w:p>
    <w:p w14:paraId="0FE65534">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发包人不按照本项约定组织竣工验收、颁发工程接收证书的违约金的计算方法：</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 xml:space="preserve">。 </w:t>
      </w:r>
    </w:p>
    <w:p w14:paraId="125F744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13.2.5移交、接收全部与部分工程</w:t>
      </w:r>
    </w:p>
    <w:p w14:paraId="72FC66B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承包人向发包人移交工程的期限：</w:t>
      </w:r>
      <w:r>
        <w:rPr>
          <w:rFonts w:hint="eastAsia" w:ascii="宋体" w:hAnsi="宋体" w:cs="宋体"/>
          <w:color w:val="auto"/>
          <w:sz w:val="21"/>
          <w:szCs w:val="21"/>
          <w:highlight w:val="none"/>
          <w:u w:val="single"/>
        </w:rPr>
        <w:t>工程竣工验收后</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日历天内</w:t>
      </w:r>
      <w:r>
        <w:rPr>
          <w:rFonts w:hint="eastAsia" w:ascii="宋体" w:hAnsi="宋体" w:cs="宋体"/>
          <w:color w:val="auto"/>
          <w:sz w:val="21"/>
          <w:szCs w:val="21"/>
          <w:highlight w:val="none"/>
        </w:rPr>
        <w:t>。</w:t>
      </w:r>
    </w:p>
    <w:p w14:paraId="57FE3B2C">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发包人未按本合同约定接收全部或部分工程的，违约金的计算方法为：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F30F102">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承包人未按时移交工程的，违约金的计算方法为：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239AB46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13.3 工程试车</w:t>
      </w:r>
    </w:p>
    <w:p w14:paraId="010731E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13.3.1 试车程序</w:t>
      </w:r>
    </w:p>
    <w:p w14:paraId="0C132386">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工程试车内容：</w:t>
      </w:r>
      <w:r>
        <w:rPr>
          <w:rFonts w:hint="eastAsia" w:ascii="宋体" w:hAnsi="宋体" w:cs="宋体"/>
          <w:color w:val="auto"/>
          <w:sz w:val="21"/>
          <w:szCs w:val="21"/>
          <w:highlight w:val="none"/>
          <w:u w:val="single"/>
        </w:rPr>
        <w:t>无</w:t>
      </w:r>
      <w:r>
        <w:rPr>
          <w:rFonts w:hint="eastAsia" w:ascii="宋体" w:hAnsi="宋体" w:cs="宋体"/>
          <w:color w:val="auto"/>
          <w:sz w:val="21"/>
          <w:szCs w:val="21"/>
          <w:highlight w:val="none"/>
        </w:rPr>
        <w:t>。</w:t>
      </w:r>
    </w:p>
    <w:p w14:paraId="554677A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（1）单机无负荷试车费用由</w:t>
      </w:r>
      <w:r>
        <w:rPr>
          <w:rFonts w:ascii="宋体" w:hAnsi="宋体" w:cs="宋体"/>
          <w:color w:val="auto"/>
          <w:sz w:val="21"/>
          <w:szCs w:val="21"/>
          <w:highlight w:val="none"/>
          <w:u w:val="single"/>
        </w:rPr>
        <w:t>/</w:t>
      </w:r>
      <w:r>
        <w:rPr>
          <w:rFonts w:hint="eastAsia" w:ascii="宋体" w:hAnsi="宋体" w:cs="宋体"/>
          <w:color w:val="auto"/>
          <w:sz w:val="21"/>
          <w:szCs w:val="21"/>
          <w:highlight w:val="none"/>
        </w:rPr>
        <w:t>承担；</w:t>
      </w:r>
    </w:p>
    <w:p w14:paraId="0B698BA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（2）无负荷联动试车费用由</w:t>
      </w:r>
      <w:r>
        <w:rPr>
          <w:rFonts w:ascii="宋体" w:hAnsi="宋体" w:cs="宋体"/>
          <w:color w:val="auto"/>
          <w:sz w:val="21"/>
          <w:szCs w:val="21"/>
          <w:highlight w:val="none"/>
          <w:u w:val="single"/>
        </w:rPr>
        <w:t>/</w:t>
      </w:r>
      <w:r>
        <w:rPr>
          <w:rFonts w:hint="eastAsia" w:ascii="宋体" w:hAnsi="宋体" w:cs="宋体"/>
          <w:color w:val="auto"/>
          <w:sz w:val="21"/>
          <w:szCs w:val="21"/>
          <w:highlight w:val="none"/>
        </w:rPr>
        <w:t>承担。</w:t>
      </w:r>
    </w:p>
    <w:p w14:paraId="6B1ECA5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13.3.3 投料试车</w:t>
      </w:r>
    </w:p>
    <w:p w14:paraId="1744B164">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关于投料试车相关事项的约定：</w:t>
      </w:r>
      <w:r>
        <w:rPr>
          <w:rFonts w:ascii="宋体" w:hAnsi="宋体" w:cs="宋体"/>
          <w:color w:val="auto"/>
          <w:sz w:val="21"/>
          <w:szCs w:val="21"/>
          <w:highlight w:val="none"/>
          <w:u w:val="single"/>
        </w:rPr>
        <w:t>/</w:t>
      </w:r>
      <w:r>
        <w:rPr>
          <w:rFonts w:hint="eastAsia" w:ascii="宋体" w:hAnsi="宋体" w:cs="宋体"/>
          <w:color w:val="auto"/>
          <w:sz w:val="21"/>
          <w:szCs w:val="21"/>
          <w:highlight w:val="none"/>
        </w:rPr>
        <w:t>。</w:t>
      </w:r>
    </w:p>
    <w:p w14:paraId="4155F7B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13.6 竣工退场</w:t>
      </w:r>
    </w:p>
    <w:p w14:paraId="1A0CC54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13.6.1 竣工退场</w:t>
      </w:r>
    </w:p>
    <w:p w14:paraId="76FA000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承包人完成竣工退场的期限：</w:t>
      </w:r>
      <w:r>
        <w:rPr>
          <w:rFonts w:hint="eastAsia" w:ascii="宋体" w:hAnsi="宋体" w:cs="宋体"/>
          <w:color w:val="auto"/>
          <w:sz w:val="21"/>
          <w:szCs w:val="21"/>
          <w:highlight w:val="none"/>
          <w:u w:val="single"/>
        </w:rPr>
        <w:t xml:space="preserve">竣工验收后10日历日内无条件退场 </w:t>
      </w:r>
      <w:r>
        <w:rPr>
          <w:rFonts w:hint="eastAsia" w:ascii="宋体" w:hAnsi="宋体" w:cs="宋体"/>
          <w:color w:val="auto"/>
          <w:sz w:val="21"/>
          <w:szCs w:val="21"/>
          <w:highlight w:val="none"/>
        </w:rPr>
        <w:t>。</w:t>
      </w:r>
    </w:p>
    <w:p w14:paraId="6FE0CDD5">
      <w:pPr>
        <w:adjustRightInd w:val="0"/>
        <w:snapToGrid w:val="0"/>
        <w:spacing w:line="360" w:lineRule="auto"/>
        <w:outlineLvl w:val="2"/>
        <w:rPr>
          <w:rFonts w:ascii="宋体" w:hAnsi="宋体" w:cs="宋体"/>
          <w:b/>
          <w:color w:val="auto"/>
          <w:szCs w:val="21"/>
          <w:highlight w:val="none"/>
        </w:rPr>
      </w:pPr>
      <w:bookmarkStart w:id="1145" w:name="_Toc8433"/>
      <w:r>
        <w:rPr>
          <w:rFonts w:hint="eastAsia" w:ascii="宋体" w:hAnsi="宋体" w:cs="宋体"/>
          <w:b/>
          <w:color w:val="auto"/>
          <w:szCs w:val="21"/>
          <w:highlight w:val="none"/>
        </w:rPr>
        <w:t>14. 竣工结算</w:t>
      </w:r>
      <w:bookmarkEnd w:id="1145"/>
    </w:p>
    <w:p w14:paraId="3D984DD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bookmarkStart w:id="1146" w:name="_Toc17868"/>
      <w:r>
        <w:rPr>
          <w:rFonts w:ascii="宋体" w:hAnsi="宋体" w:eastAsia="Arial" w:cs="宋体"/>
          <w:snapToGrid w:val="0"/>
          <w:color w:val="auto"/>
          <w:kern w:val="0"/>
          <w:sz w:val="21"/>
          <w:szCs w:val="21"/>
          <w:highlight w:val="none"/>
          <w:lang w:eastAsia="en-US"/>
        </w:rPr>
        <w:t>14.1 竣工结算申请</w:t>
      </w:r>
    </w:p>
    <w:p w14:paraId="3E09A9A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hint="eastAsia" w:ascii="宋体" w:hAnsi="宋体" w:eastAsia="Arial" w:cs="宋体"/>
          <w:snapToGrid w:val="0"/>
          <w:color w:val="auto"/>
          <w:kern w:val="0"/>
          <w:sz w:val="21"/>
          <w:szCs w:val="21"/>
          <w:highlight w:val="none"/>
          <w:u w:val="single"/>
          <w:lang w:eastAsia="en-US"/>
        </w:rPr>
      </w:pPr>
      <w:r>
        <w:rPr>
          <w:rFonts w:ascii="宋体" w:hAnsi="宋体" w:eastAsia="Arial" w:cs="宋体"/>
          <w:snapToGrid w:val="0"/>
          <w:color w:val="auto"/>
          <w:kern w:val="0"/>
          <w:sz w:val="21"/>
          <w:szCs w:val="21"/>
          <w:highlight w:val="none"/>
          <w:u w:val="single"/>
          <w:lang w:eastAsia="en-US"/>
        </w:rPr>
        <w:t>承包人提交竣工结算申请单的期限：承包人在工程竣工验收合格后28天内向发包人和监理人提交竣工结算申请单，并提交完整的结算资料。超过规定期限提供的，须承担每延期提交一天</w:t>
      </w:r>
      <w:r>
        <w:rPr>
          <w:rFonts w:hint="eastAsia" w:ascii="宋体" w:hAnsi="宋体" w:eastAsia="Arial" w:cs="宋体"/>
          <w:snapToGrid w:val="0"/>
          <w:color w:val="auto"/>
          <w:kern w:val="0"/>
          <w:sz w:val="21"/>
          <w:szCs w:val="21"/>
          <w:highlight w:val="none"/>
          <w:u w:val="single"/>
        </w:rPr>
        <w:t xml:space="preserve">      </w:t>
      </w:r>
      <w:r>
        <w:rPr>
          <w:rFonts w:ascii="宋体" w:hAnsi="宋体" w:eastAsia="Arial" w:cs="宋体"/>
          <w:snapToGrid w:val="0"/>
          <w:color w:val="auto"/>
          <w:kern w:val="0"/>
          <w:sz w:val="21"/>
          <w:szCs w:val="21"/>
          <w:highlight w:val="none"/>
          <w:u w:val="single"/>
          <w:lang w:eastAsia="en-US"/>
        </w:rPr>
        <w:t>元的违约金。</w:t>
      </w:r>
    </w:p>
    <w:p w14:paraId="3C776C32">
      <w:pPr>
        <w:keepNext w:val="0"/>
        <w:keepLines w:val="0"/>
        <w:pageBreakBefore w:val="0"/>
        <w:widowControl/>
        <w:tabs>
          <w:tab w:val="left" w:pos="8932"/>
        </w:tabs>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b/>
          <w:bCs/>
          <w:snapToGrid w:val="0"/>
          <w:color w:val="auto"/>
          <w:kern w:val="0"/>
          <w:sz w:val="21"/>
          <w:szCs w:val="21"/>
          <w:highlight w:val="none"/>
          <w:u w:val="single"/>
          <w:lang w:eastAsia="en-US"/>
        </w:rPr>
      </w:pPr>
      <w:r>
        <w:rPr>
          <w:rFonts w:ascii="宋体" w:hAnsi="宋体" w:eastAsia="Arial" w:cs="宋体"/>
          <w:snapToGrid w:val="0"/>
          <w:color w:val="auto"/>
          <w:kern w:val="0"/>
          <w:sz w:val="21"/>
          <w:szCs w:val="21"/>
          <w:highlight w:val="none"/>
          <w:u w:val="single"/>
          <w:lang w:eastAsia="en-US"/>
        </w:rPr>
        <w:t>竣工结算申请单应包括的内容：</w:t>
      </w:r>
      <w:r>
        <w:rPr>
          <w:rFonts w:hint="eastAsia" w:ascii="宋体" w:hAnsi="宋体" w:eastAsia="宋体" w:cs="宋体"/>
          <w:snapToGrid w:val="0"/>
          <w:color w:val="auto"/>
          <w:kern w:val="0"/>
          <w:sz w:val="21"/>
          <w:szCs w:val="21"/>
          <w:highlight w:val="none"/>
          <w:u w:val="single"/>
          <w:lang w:val="en-US" w:eastAsia="zh-CN"/>
        </w:rPr>
        <w:t xml:space="preserve">                               </w:t>
      </w:r>
      <w:r>
        <w:rPr>
          <w:rFonts w:ascii="宋体" w:hAnsi="宋体" w:eastAsia="Arial" w:cs="宋体"/>
          <w:snapToGrid w:val="0"/>
          <w:color w:val="auto"/>
          <w:kern w:val="0"/>
          <w:sz w:val="21"/>
          <w:szCs w:val="21"/>
          <w:highlight w:val="none"/>
          <w:u w:val="single"/>
          <w:lang w:eastAsia="en-US"/>
        </w:rPr>
        <w:t>。</w:t>
      </w:r>
    </w:p>
    <w:p w14:paraId="5D3D171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b/>
          <w:bCs/>
          <w:snapToGrid w:val="0"/>
          <w:color w:val="auto"/>
          <w:kern w:val="0"/>
          <w:sz w:val="21"/>
          <w:szCs w:val="21"/>
          <w:highlight w:val="none"/>
          <w:u w:val="single"/>
          <w:lang w:eastAsia="en-US"/>
        </w:rPr>
        <w:t>1.合格、完整的质量技术资料；</w:t>
      </w:r>
    </w:p>
    <w:p w14:paraId="1C1098A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Arial" w:hAnsi="宋体" w:eastAsia="Arial" w:cs="宋体"/>
          <w:snapToGrid w:val="0"/>
          <w:color w:val="auto"/>
          <w:kern w:val="0"/>
          <w:sz w:val="21"/>
          <w:szCs w:val="21"/>
          <w:highlight w:val="none"/>
          <w:lang w:eastAsia="en-US"/>
        </w:rPr>
      </w:pPr>
      <w:r>
        <w:rPr>
          <w:rFonts w:ascii="宋体" w:hAnsi="宋体" w:eastAsia="Arial" w:cs="宋体"/>
          <w:b/>
          <w:bCs/>
          <w:snapToGrid w:val="0"/>
          <w:color w:val="auto"/>
          <w:kern w:val="0"/>
          <w:sz w:val="21"/>
          <w:szCs w:val="21"/>
          <w:highlight w:val="none"/>
          <w:u w:val="single"/>
          <w:lang w:eastAsia="en-US"/>
        </w:rPr>
        <w:t>2.结算审计单位要求的正版软件编制的结算计量、计价文件；工程量现场签证、变更调整通知。</w:t>
      </w:r>
    </w:p>
    <w:p w14:paraId="40AE0D1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Arial" w:hAnsi="宋体" w:eastAsia="Arial" w:cs="宋体"/>
          <w:snapToGrid w:val="0"/>
          <w:color w:val="auto"/>
          <w:kern w:val="0"/>
          <w:sz w:val="21"/>
          <w:szCs w:val="21"/>
          <w:highlight w:val="none"/>
          <w:lang w:eastAsia="en-US"/>
        </w:rPr>
      </w:pPr>
      <w:r>
        <w:rPr>
          <w:rFonts w:ascii="宋体" w:hAnsi="宋体" w:eastAsia="Arial" w:cs="宋体"/>
          <w:b/>
          <w:bCs/>
          <w:snapToGrid w:val="0"/>
          <w:color w:val="auto"/>
          <w:kern w:val="0"/>
          <w:sz w:val="21"/>
          <w:szCs w:val="21"/>
          <w:highlight w:val="none"/>
          <w:u w:val="single"/>
          <w:lang w:eastAsia="en-US"/>
        </w:rPr>
        <w:t>3.承包人提供工程竣工结算时，同步向发包人提供两张刻录与书面竣工结算对应一致的结算审计单位要求的正版软件编制的算量和计价数据光盘，并确保所提供的书面文件和电子数据对应一致。</w:t>
      </w:r>
    </w:p>
    <w:p w14:paraId="001A94D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Arial" w:hAnsi="宋体" w:eastAsia="Arial" w:cs="宋体"/>
          <w:snapToGrid w:val="0"/>
          <w:color w:val="auto"/>
          <w:kern w:val="0"/>
          <w:sz w:val="21"/>
          <w:szCs w:val="21"/>
          <w:highlight w:val="none"/>
          <w:lang w:eastAsia="en-US"/>
        </w:rPr>
      </w:pPr>
      <w:r>
        <w:rPr>
          <w:rFonts w:hint="eastAsia" w:ascii="宋体" w:hAnsi="宋体" w:eastAsia="Arial" w:cs="宋体"/>
          <w:b/>
          <w:bCs/>
          <w:snapToGrid w:val="0"/>
          <w:color w:val="auto"/>
          <w:kern w:val="0"/>
          <w:sz w:val="21"/>
          <w:szCs w:val="21"/>
          <w:highlight w:val="none"/>
          <w:u w:val="single"/>
        </w:rPr>
        <w:t>4</w:t>
      </w:r>
      <w:r>
        <w:rPr>
          <w:rFonts w:ascii="宋体" w:hAnsi="宋体" w:eastAsia="Arial" w:cs="宋体"/>
          <w:b/>
          <w:bCs/>
          <w:snapToGrid w:val="0"/>
          <w:color w:val="auto"/>
          <w:kern w:val="0"/>
          <w:sz w:val="21"/>
          <w:szCs w:val="21"/>
          <w:highlight w:val="none"/>
          <w:u w:val="single"/>
          <w:lang w:eastAsia="en-US"/>
        </w:rPr>
        <w:t>.承包人办理工程竣工结算的专业人员须得到承包人的书面委托认可（一式五份委托书）</w:t>
      </w:r>
      <w:r>
        <w:rPr>
          <w:rFonts w:hint="eastAsia" w:ascii="宋体" w:hAnsi="宋体" w:eastAsia="宋体" w:cs="宋体"/>
          <w:b/>
          <w:bCs/>
          <w:snapToGrid w:val="0"/>
          <w:color w:val="auto"/>
          <w:kern w:val="0"/>
          <w:sz w:val="21"/>
          <w:szCs w:val="21"/>
          <w:highlight w:val="none"/>
          <w:u w:val="single"/>
          <w:lang w:eastAsia="zh-CN"/>
        </w:rPr>
        <w:t>，</w:t>
      </w:r>
      <w:r>
        <w:rPr>
          <w:rFonts w:ascii="宋体" w:hAnsi="宋体" w:eastAsia="Arial" w:cs="宋体"/>
          <w:b/>
          <w:bCs/>
          <w:snapToGrid w:val="0"/>
          <w:color w:val="auto"/>
          <w:kern w:val="0"/>
          <w:sz w:val="21"/>
          <w:szCs w:val="21"/>
          <w:highlight w:val="none"/>
          <w:u w:val="single"/>
          <w:lang w:eastAsia="en-US"/>
        </w:rPr>
        <w:t>发包人和结算审计单位仅与承包人书面委托认可的专业人员办理工程竣工结算。</w:t>
      </w:r>
    </w:p>
    <w:p w14:paraId="2774C3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14.2 竣工结算审核</w:t>
      </w:r>
    </w:p>
    <w:p w14:paraId="4735EAC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Arial"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发包人审批竣工付款申请单的期限：</w:t>
      </w:r>
      <w:r>
        <w:rPr>
          <w:rFonts w:ascii="宋体" w:hAnsi="宋体" w:eastAsia="Arial" w:cs="宋体"/>
          <w:b/>
          <w:bCs/>
          <w:snapToGrid w:val="0"/>
          <w:color w:val="auto"/>
          <w:kern w:val="0"/>
          <w:sz w:val="21"/>
          <w:szCs w:val="21"/>
          <w:highlight w:val="none"/>
          <w:u w:val="single"/>
          <w:lang w:eastAsia="en-US"/>
        </w:rPr>
        <w:t>以发包人（发包人上级单位）审批期限为准。</w:t>
      </w:r>
    </w:p>
    <w:p w14:paraId="6D30916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Arial" w:hAnsi="宋体" w:eastAsia="Arial" w:cs="宋体"/>
          <w:snapToGrid w:val="0"/>
          <w:color w:val="auto"/>
          <w:kern w:val="0"/>
          <w:sz w:val="21"/>
          <w:szCs w:val="21"/>
          <w:highlight w:val="none"/>
          <w:lang w:eastAsia="en-US"/>
        </w:rPr>
      </w:pPr>
      <w:r>
        <w:rPr>
          <w:rFonts w:ascii="宋体" w:hAnsi="宋体" w:eastAsia="Arial" w:cs="宋体"/>
          <w:b/>
          <w:bCs/>
          <w:snapToGrid w:val="0"/>
          <w:color w:val="auto"/>
          <w:kern w:val="0"/>
          <w:sz w:val="21"/>
          <w:szCs w:val="21"/>
          <w:highlight w:val="none"/>
          <w:u w:val="single"/>
          <w:lang w:eastAsia="en-US"/>
        </w:rPr>
        <w:t>发包人审批竣工付款申请单的期限</w:t>
      </w:r>
      <w:r>
        <w:rPr>
          <w:rFonts w:hint="eastAsia" w:ascii="宋体" w:hAnsi="宋体" w:eastAsia="宋体" w:cs="宋体"/>
          <w:b/>
          <w:bCs/>
          <w:snapToGrid w:val="0"/>
          <w:color w:val="auto"/>
          <w:kern w:val="0"/>
          <w:sz w:val="21"/>
          <w:szCs w:val="21"/>
          <w:highlight w:val="none"/>
          <w:u w:val="single"/>
          <w:lang w:eastAsia="zh-CN"/>
        </w:rPr>
        <w:t>：</w:t>
      </w:r>
      <w:r>
        <w:rPr>
          <w:rFonts w:ascii="宋体" w:hAnsi="宋体" w:eastAsia="Arial" w:cs="宋体"/>
          <w:b/>
          <w:bCs/>
          <w:snapToGrid w:val="0"/>
          <w:color w:val="auto"/>
          <w:kern w:val="0"/>
          <w:sz w:val="21"/>
          <w:szCs w:val="21"/>
          <w:highlight w:val="none"/>
          <w:u w:val="single"/>
          <w:lang w:eastAsia="en-US"/>
        </w:rPr>
        <w:t>以发包人指定的审计单位出具的审计报告日期为准。</w:t>
      </w:r>
    </w:p>
    <w:p w14:paraId="34C4125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14.4 最终结清</w:t>
      </w:r>
    </w:p>
    <w:p w14:paraId="600C5F8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14.4.1 最终结清申请单</w:t>
      </w:r>
    </w:p>
    <w:p w14:paraId="4BAB193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 xml:space="preserve">承包人提交最终结清申请单的份数： </w:t>
      </w:r>
      <w:r>
        <w:rPr>
          <w:rFonts w:ascii="宋体" w:hAnsi="宋体" w:eastAsia="Arial" w:cs="宋体"/>
          <w:snapToGrid w:val="0"/>
          <w:color w:val="auto"/>
          <w:kern w:val="0"/>
          <w:sz w:val="21"/>
          <w:szCs w:val="21"/>
          <w:highlight w:val="none"/>
          <w:u w:val="single"/>
          <w:lang w:eastAsia="en-US"/>
        </w:rPr>
        <w:t xml:space="preserve">      四份    。 </w:t>
      </w:r>
    </w:p>
    <w:p w14:paraId="14E840C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 xml:space="preserve">承包人提交最终结算申请单的期限： </w:t>
      </w:r>
      <w:r>
        <w:rPr>
          <w:rFonts w:ascii="宋体" w:hAnsi="宋体" w:eastAsia="Arial" w:cs="宋体"/>
          <w:snapToGrid w:val="0"/>
          <w:color w:val="auto"/>
          <w:kern w:val="0"/>
          <w:sz w:val="21"/>
          <w:szCs w:val="21"/>
          <w:highlight w:val="none"/>
          <w:u w:val="single"/>
          <w:lang w:eastAsia="en-US"/>
        </w:rPr>
        <w:t>按合同付款约定执行。</w:t>
      </w:r>
    </w:p>
    <w:p w14:paraId="3C235E7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14.4.2 最终结清证书和支付</w:t>
      </w:r>
    </w:p>
    <w:p w14:paraId="467D85E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ascii="宋体" w:hAnsi="宋体" w:eastAsia="Arial" w:cs="宋体"/>
          <w:snapToGrid w:val="0"/>
          <w:color w:val="auto"/>
          <w:kern w:val="0"/>
          <w:sz w:val="21"/>
          <w:szCs w:val="21"/>
          <w:highlight w:val="none"/>
          <w:lang w:eastAsia="en-US"/>
        </w:rPr>
      </w:pPr>
      <w:r>
        <w:rPr>
          <w:rFonts w:ascii="宋体" w:hAnsi="宋体" w:eastAsia="Arial" w:cs="宋体"/>
          <w:snapToGrid w:val="0"/>
          <w:color w:val="auto"/>
          <w:kern w:val="0"/>
          <w:sz w:val="21"/>
          <w:szCs w:val="21"/>
          <w:highlight w:val="none"/>
          <w:lang w:eastAsia="en-US"/>
        </w:rPr>
        <w:t>（1）发包人完成最终结清申请单的审批并颁发最终结清证书的期限：</w:t>
      </w:r>
      <w:r>
        <w:rPr>
          <w:rFonts w:ascii="宋体" w:hAnsi="宋体" w:eastAsia="Arial" w:cs="宋体"/>
          <w:snapToGrid w:val="0"/>
          <w:color w:val="auto"/>
          <w:kern w:val="0"/>
          <w:sz w:val="21"/>
          <w:szCs w:val="21"/>
          <w:highlight w:val="none"/>
          <w:u w:val="single"/>
          <w:lang w:eastAsia="en-US"/>
        </w:rPr>
        <w:t>收到后15个工作日内。</w:t>
      </w:r>
    </w:p>
    <w:p w14:paraId="67329E4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left"/>
        <w:textAlignment w:val="baseline"/>
        <w:rPr>
          <w:rFonts w:hint="eastAsia" w:ascii="宋体" w:hAnsi="宋体" w:cs="宋体"/>
          <w:color w:val="auto"/>
          <w:sz w:val="21"/>
          <w:szCs w:val="21"/>
          <w:highlight w:val="none"/>
        </w:rPr>
      </w:pPr>
      <w:r>
        <w:rPr>
          <w:rFonts w:ascii="宋体" w:hAnsi="宋体" w:eastAsia="Arial" w:cs="宋体"/>
          <w:snapToGrid w:val="0"/>
          <w:color w:val="auto"/>
          <w:kern w:val="0"/>
          <w:sz w:val="21"/>
          <w:szCs w:val="21"/>
          <w:highlight w:val="none"/>
          <w:lang w:eastAsia="en-US"/>
        </w:rPr>
        <w:t>（2）发包人完成支付的期限：</w:t>
      </w:r>
      <w:r>
        <w:rPr>
          <w:rFonts w:ascii="宋体" w:hAnsi="宋体" w:eastAsia="Arial" w:cs="宋体"/>
          <w:snapToGrid w:val="0"/>
          <w:color w:val="auto"/>
          <w:kern w:val="0"/>
          <w:sz w:val="21"/>
          <w:szCs w:val="21"/>
          <w:highlight w:val="none"/>
          <w:u w:val="single"/>
          <w:lang w:eastAsia="en-US"/>
        </w:rPr>
        <w:t>结清审批单批准后15个工作日内。</w:t>
      </w:r>
    </w:p>
    <w:p w14:paraId="3E7671C0">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15. 缺陷责任期与保修</w:t>
      </w:r>
      <w:bookmarkEnd w:id="1146"/>
    </w:p>
    <w:p w14:paraId="60F6A911">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15.2缺陷责任期</w:t>
      </w:r>
    </w:p>
    <w:p w14:paraId="71C0D49A">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缺陷责任期的具体期限：</w:t>
      </w:r>
      <w:r>
        <w:rPr>
          <w:rFonts w:hint="eastAsia" w:ascii="宋体" w:hAnsi="宋体" w:cs="宋体"/>
          <w:color w:val="auto"/>
          <w:sz w:val="21"/>
          <w:szCs w:val="21"/>
          <w:highlight w:val="none"/>
          <w:u w:val="single"/>
          <w:lang w:val="en-US" w:eastAsia="zh-CN"/>
        </w:rPr>
        <w:t>12</w:t>
      </w:r>
      <w:r>
        <w:rPr>
          <w:rFonts w:hint="eastAsia" w:ascii="宋体" w:hAnsi="宋体" w:cs="宋体"/>
          <w:color w:val="auto"/>
          <w:sz w:val="21"/>
          <w:szCs w:val="21"/>
          <w:highlight w:val="none"/>
          <w:u w:val="single"/>
        </w:rPr>
        <w:t>个月</w:t>
      </w:r>
      <w:r>
        <w:rPr>
          <w:rFonts w:hint="eastAsia" w:ascii="宋体" w:hAnsi="宋体" w:cs="宋体"/>
          <w:color w:val="auto"/>
          <w:sz w:val="21"/>
          <w:szCs w:val="21"/>
          <w:highlight w:val="none"/>
        </w:rPr>
        <w:t>。</w:t>
      </w:r>
    </w:p>
    <w:p w14:paraId="0DA91993">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15.3 质量保证金</w:t>
      </w:r>
    </w:p>
    <w:p w14:paraId="2B46D92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关于是否扣留质量保证金的约定：</w:t>
      </w:r>
      <w:r>
        <w:rPr>
          <w:rFonts w:hint="eastAsia" w:ascii="宋体" w:hAnsi="宋体" w:cs="宋体"/>
          <w:color w:val="auto"/>
          <w:sz w:val="21"/>
          <w:szCs w:val="21"/>
          <w:highlight w:val="none"/>
          <w:u w:val="single"/>
        </w:rPr>
        <w:t>是</w:t>
      </w:r>
      <w:r>
        <w:rPr>
          <w:rFonts w:hint="eastAsia" w:ascii="宋体" w:hAnsi="宋体" w:cs="宋体"/>
          <w:color w:val="auto"/>
          <w:sz w:val="21"/>
          <w:szCs w:val="21"/>
          <w:highlight w:val="none"/>
        </w:rPr>
        <w:t>。</w:t>
      </w:r>
    </w:p>
    <w:p w14:paraId="58062C5F">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15.3.1 承包人提供质量保证金的方式</w:t>
      </w:r>
    </w:p>
    <w:p w14:paraId="7FE12BF9">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质量保证金采用以下第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种方式：</w:t>
      </w:r>
    </w:p>
    <w:p w14:paraId="7C60EC22">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（1）质量保证金保函，保证金额为：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p>
    <w:p w14:paraId="2D4FDE25">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%的工程款；</w:t>
      </w:r>
    </w:p>
    <w:p w14:paraId="6C0A0CC7">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（3）其他方式：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5899183E">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 xml:space="preserve">15.3.2 质量保证金的扣留 </w:t>
      </w:r>
    </w:p>
    <w:p w14:paraId="0443D65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质量保证金的扣留采取以下第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种方式：</w:t>
      </w:r>
    </w:p>
    <w:p w14:paraId="3983B7CE">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（1）在支付工程进度款时逐次扣留，在此情形下，质量保证金的计算基数不包括预付款的支付、扣回以及价格调整的金额；</w:t>
      </w:r>
    </w:p>
    <w:p w14:paraId="0D2F23A5">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（2）工程竣工结算时一次性扣留质量保证金；质保期满且无维修、损害的，发包人退还质量保证金以及按银行同期活期存款利率计算的利息给承包人。</w:t>
      </w:r>
    </w:p>
    <w:p w14:paraId="64772131">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（3）其他扣留方式：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41541B">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关于质量保证金的补充约定：</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6A445A96">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15.4保修</w:t>
      </w:r>
    </w:p>
    <w:p w14:paraId="5B5410F8">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15.4.1 保修责任</w:t>
      </w:r>
    </w:p>
    <w:p w14:paraId="431BEA30">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工程保修期为：</w:t>
      </w:r>
      <w:r>
        <w:rPr>
          <w:rFonts w:hint="eastAsia" w:ascii="宋体" w:hAnsi="宋体" w:cs="宋体"/>
          <w:color w:val="auto"/>
          <w:sz w:val="21"/>
          <w:szCs w:val="21"/>
          <w:highlight w:val="none"/>
          <w:u w:val="single"/>
          <w:lang w:val="en-US" w:eastAsia="zh-CN"/>
        </w:rPr>
        <w:t>12</w:t>
      </w:r>
      <w:r>
        <w:rPr>
          <w:rFonts w:hint="eastAsia" w:ascii="宋体" w:hAnsi="宋体" w:cs="宋体"/>
          <w:color w:val="auto"/>
          <w:sz w:val="21"/>
          <w:szCs w:val="21"/>
          <w:highlight w:val="none"/>
          <w:u w:val="single"/>
        </w:rPr>
        <w:t>个月</w:t>
      </w:r>
      <w:r>
        <w:rPr>
          <w:rFonts w:hint="eastAsia" w:ascii="宋体" w:hAnsi="宋体" w:cs="宋体"/>
          <w:color w:val="auto"/>
          <w:sz w:val="21"/>
          <w:szCs w:val="21"/>
          <w:highlight w:val="none"/>
        </w:rPr>
        <w:t>。</w:t>
      </w:r>
    </w:p>
    <w:p w14:paraId="20F40317">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15.4.3 修复通知</w:t>
      </w:r>
    </w:p>
    <w:p w14:paraId="4C27400D">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承包人收到保修通知并到达工程现场的合理时间：</w:t>
      </w:r>
      <w:r>
        <w:rPr>
          <w:rFonts w:hint="eastAsia" w:ascii="宋体" w:hAnsi="宋体" w:cs="宋体"/>
          <w:color w:val="auto"/>
          <w:sz w:val="21"/>
          <w:szCs w:val="21"/>
          <w:highlight w:val="none"/>
          <w:u w:val="single"/>
        </w:rPr>
        <w:t>48小时</w:t>
      </w:r>
      <w:r>
        <w:rPr>
          <w:rFonts w:hint="eastAsia" w:ascii="宋体" w:hAnsi="宋体" w:cs="宋体"/>
          <w:color w:val="auto"/>
          <w:sz w:val="21"/>
          <w:szCs w:val="21"/>
          <w:highlight w:val="none"/>
        </w:rPr>
        <w:t>。</w:t>
      </w:r>
    </w:p>
    <w:p w14:paraId="18D1237E">
      <w:pPr>
        <w:adjustRightInd w:val="0"/>
        <w:snapToGrid w:val="0"/>
        <w:spacing w:line="360" w:lineRule="auto"/>
        <w:outlineLvl w:val="2"/>
        <w:rPr>
          <w:rFonts w:ascii="宋体" w:hAnsi="宋体" w:cs="宋体"/>
          <w:b/>
          <w:color w:val="auto"/>
          <w:szCs w:val="21"/>
          <w:highlight w:val="none"/>
        </w:rPr>
      </w:pPr>
      <w:bookmarkStart w:id="1147" w:name="_Toc3270"/>
      <w:r>
        <w:rPr>
          <w:rFonts w:hint="eastAsia" w:ascii="宋体" w:hAnsi="宋体" w:cs="宋体"/>
          <w:b/>
          <w:color w:val="auto"/>
          <w:szCs w:val="21"/>
          <w:highlight w:val="none"/>
        </w:rPr>
        <w:t>16. 违约</w:t>
      </w:r>
      <w:bookmarkEnd w:id="1147"/>
    </w:p>
    <w:p w14:paraId="73CA2C47">
      <w:pPr>
        <w:pStyle w:val="169"/>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16.1 发包人违约</w:t>
      </w:r>
    </w:p>
    <w:p w14:paraId="15C7B9DE">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16.1.1发包人违约的情形</w:t>
      </w:r>
    </w:p>
    <w:p w14:paraId="47BB40DF">
      <w:pPr>
        <w:pStyle w:val="162"/>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发包人违约的其他情形：</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6CFB6F99">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16.1.2发包人违约的责任</w:t>
      </w:r>
    </w:p>
    <w:p w14:paraId="36DC68BA">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发包人违约责任的承担方式和计算方法：</w:t>
      </w:r>
    </w:p>
    <w:p w14:paraId="30CBD2A2">
      <w:pPr>
        <w:pStyle w:val="162"/>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（1）因发包人原因未能在计划开工日期前7天内下达开工通知的违约责任：</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11EDD1FF">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（2）因发包人原因未能按合同约定支付合同价款的违约责任：</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1BDFD5A4">
      <w:pPr>
        <w:pStyle w:val="162"/>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（3）发包人违反第10.1款〔变更的范围〕第（2）项约定，自行实施被取消的工作或转由他人实施的违约责任：</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7B97253F">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784160C0">
      <w:pPr>
        <w:pStyle w:val="162"/>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（5）因发包人违反合同约定造成暂停施工的违约责任：</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3568BAEC">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（6）发包人无正当理由没有在约定期限内发出复工指示，导致承包人无法复工的违约责任：</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61B6FFC3">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（7）其他：</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5711231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16.1.3 因发包人违约解除合同</w:t>
      </w:r>
    </w:p>
    <w:p w14:paraId="477BD317">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承包人按16.1.1项〔发包人违约的情形〕约定暂停施工满天后发包人仍不纠正其违约行为并致使合同目的不能实现的，承包人有权解除合同。</w:t>
      </w:r>
    </w:p>
    <w:p w14:paraId="745DF9DC">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16.2 承包人违约</w:t>
      </w:r>
    </w:p>
    <w:p w14:paraId="54476B53">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16.2.1 承包人违约的情形</w:t>
      </w:r>
    </w:p>
    <w:p w14:paraId="52ED397A">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承包人违约的其他情形：</w:t>
      </w:r>
      <w:r>
        <w:rPr>
          <w:rFonts w:hint="eastAsia" w:ascii="宋体" w:hAnsi="宋体" w:cs="宋体"/>
          <w:color w:val="auto"/>
          <w:sz w:val="21"/>
          <w:szCs w:val="21"/>
          <w:highlight w:val="none"/>
          <w:u w:val="single"/>
        </w:rPr>
        <w:t xml:space="preserve">因承包人原因造成的安全事故 </w:t>
      </w:r>
      <w:r>
        <w:rPr>
          <w:rFonts w:hint="eastAsia" w:ascii="宋体" w:hAnsi="宋体" w:cs="宋体"/>
          <w:color w:val="auto"/>
          <w:sz w:val="21"/>
          <w:szCs w:val="21"/>
          <w:highlight w:val="none"/>
        </w:rPr>
        <w:t>。</w:t>
      </w:r>
    </w:p>
    <w:p w14:paraId="71C2CD7E">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16.2.2承包人违约的责任</w:t>
      </w:r>
    </w:p>
    <w:p w14:paraId="59524240">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承包人违约责任的承担方式和计算方法：</w:t>
      </w:r>
    </w:p>
    <w:p w14:paraId="43C4653F">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1.</w:t>
      </w:r>
      <w:r>
        <w:rPr>
          <w:rFonts w:hint="eastAsia" w:ascii="宋体" w:hAnsi="宋体" w:cs="宋体"/>
          <w:color w:val="auto"/>
          <w:sz w:val="21"/>
          <w:szCs w:val="21"/>
          <w:highlight w:val="none"/>
          <w:u w:val="single"/>
        </w:rPr>
        <w:t>因承包人造成安全或质量事故的：全权由承包人承担</w:t>
      </w:r>
      <w:r>
        <w:rPr>
          <w:rFonts w:hint="eastAsia" w:ascii="宋体" w:hAnsi="宋体" w:cs="宋体"/>
          <w:color w:val="auto"/>
          <w:sz w:val="21"/>
          <w:szCs w:val="21"/>
          <w:highlight w:val="none"/>
        </w:rPr>
        <w:t>；</w:t>
      </w:r>
    </w:p>
    <w:p w14:paraId="606CED1D">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2.</w:t>
      </w:r>
      <w:r>
        <w:rPr>
          <w:rFonts w:hint="eastAsia" w:ascii="宋体" w:hAnsi="宋体" w:cs="宋体"/>
          <w:color w:val="auto"/>
          <w:sz w:val="21"/>
          <w:szCs w:val="21"/>
          <w:highlight w:val="none"/>
          <w:u w:val="single"/>
        </w:rPr>
        <w:t>承包人违反合同约定进行转包或违法分包的，发包人可以解除合同，承包人承担一切经济损失</w:t>
      </w:r>
      <w:r>
        <w:rPr>
          <w:rFonts w:hint="eastAsia" w:ascii="宋体" w:hAnsi="宋体" w:cs="宋体"/>
          <w:color w:val="auto"/>
          <w:sz w:val="21"/>
          <w:szCs w:val="21"/>
          <w:highlight w:val="none"/>
        </w:rPr>
        <w:t>；</w:t>
      </w:r>
    </w:p>
    <w:p w14:paraId="4DD15976">
      <w:pPr>
        <w:pStyle w:val="162"/>
        <w:autoSpaceDE w:val="0"/>
        <w:autoSpaceDN w:val="0"/>
        <w:adjustRightInd w:val="0"/>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u w:val="single"/>
          <w:lang w:eastAsia="zh-CN"/>
        </w:rPr>
        <w:t>3.</w:t>
      </w:r>
      <w:r>
        <w:rPr>
          <w:rFonts w:hint="eastAsia" w:ascii="宋体" w:hAnsi="宋体" w:cs="宋体"/>
          <w:color w:val="auto"/>
          <w:sz w:val="21"/>
          <w:szCs w:val="21"/>
          <w:highlight w:val="none"/>
          <w:u w:val="single"/>
        </w:rPr>
        <w:t>承包人明确表示或者以其行为表明不履行合同主要义务的；承包人承担</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万元的违约金，发包人可以解除合同，承</w:t>
      </w:r>
      <w:r>
        <w:rPr>
          <w:rFonts w:hint="eastAsia" w:ascii="宋体" w:hAnsi="宋体" w:cs="宋体"/>
          <w:color w:val="auto"/>
          <w:sz w:val="21"/>
          <w:szCs w:val="21"/>
          <w:highlight w:val="none"/>
          <w:u w:val="single"/>
          <w:lang w:eastAsia="zh-CN"/>
        </w:rPr>
        <w:t>包人</w:t>
      </w:r>
      <w:r>
        <w:rPr>
          <w:rFonts w:hint="eastAsia" w:ascii="宋体" w:hAnsi="宋体" w:cs="宋体"/>
          <w:color w:val="auto"/>
          <w:sz w:val="21"/>
          <w:szCs w:val="21"/>
          <w:highlight w:val="none"/>
          <w:u w:val="single"/>
        </w:rPr>
        <w:t>除承担违约金外还须承担一切损失</w:t>
      </w:r>
      <w:r>
        <w:rPr>
          <w:rFonts w:hint="eastAsia" w:ascii="宋体" w:hAnsi="宋体" w:cs="宋体"/>
          <w:color w:val="auto"/>
          <w:sz w:val="21"/>
          <w:szCs w:val="21"/>
          <w:highlight w:val="none"/>
        </w:rPr>
        <w:t>；</w:t>
      </w:r>
    </w:p>
    <w:p w14:paraId="7361DB3B">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u w:val="single"/>
          <w:lang w:eastAsia="zh-CN"/>
        </w:rPr>
        <w:t>4.</w:t>
      </w:r>
      <w:r>
        <w:rPr>
          <w:rFonts w:hint="eastAsia" w:ascii="宋体" w:hAnsi="宋体" w:cs="宋体"/>
          <w:color w:val="auto"/>
          <w:sz w:val="21"/>
          <w:szCs w:val="21"/>
          <w:highlight w:val="none"/>
          <w:u w:val="single"/>
        </w:rPr>
        <w:t>承包人未能按照合同约定履行其他义务的，承包人承担</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万元/次的违约金，并承担因此造成的一切损失</w:t>
      </w:r>
      <w:r>
        <w:rPr>
          <w:rFonts w:hint="eastAsia" w:ascii="宋体" w:hAnsi="宋体" w:cs="宋体"/>
          <w:color w:val="auto"/>
          <w:sz w:val="21"/>
          <w:szCs w:val="21"/>
          <w:highlight w:val="none"/>
        </w:rPr>
        <w:t>；</w:t>
      </w:r>
    </w:p>
    <w:p w14:paraId="0C245EB2">
      <w:pPr>
        <w:pStyle w:val="340"/>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u w:val="single"/>
          <w:lang w:eastAsia="zh-CN"/>
        </w:rPr>
        <w:t>5.</w:t>
      </w:r>
      <w:r>
        <w:rPr>
          <w:rFonts w:hint="eastAsia" w:ascii="宋体" w:hAnsi="宋体" w:cs="宋体"/>
          <w:color w:val="auto"/>
          <w:sz w:val="21"/>
          <w:szCs w:val="21"/>
          <w:highlight w:val="none"/>
          <w:u w:val="single"/>
        </w:rPr>
        <w:t>承</w:t>
      </w:r>
      <w:r>
        <w:rPr>
          <w:rFonts w:hint="eastAsia" w:ascii="宋体" w:hAnsi="宋体" w:cs="宋体"/>
          <w:color w:val="auto"/>
          <w:sz w:val="21"/>
          <w:szCs w:val="21"/>
          <w:highlight w:val="none"/>
          <w:u w:val="single"/>
          <w:lang w:eastAsia="zh-CN"/>
        </w:rPr>
        <w:t>包人</w:t>
      </w:r>
      <w:r>
        <w:rPr>
          <w:rFonts w:hint="eastAsia" w:ascii="宋体" w:hAnsi="宋体" w:cs="宋体"/>
          <w:color w:val="auto"/>
          <w:sz w:val="21"/>
          <w:szCs w:val="21"/>
          <w:highlight w:val="none"/>
          <w:u w:val="single"/>
        </w:rPr>
        <w:t>未做好交通保通工作，导致交通拥堵，并造成不良影响的，承包人自愿接受</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元/次的处罚</w:t>
      </w:r>
      <w:r>
        <w:rPr>
          <w:rFonts w:hint="eastAsia" w:ascii="宋体" w:hAnsi="宋体" w:cs="宋体"/>
          <w:color w:val="auto"/>
          <w:sz w:val="21"/>
          <w:szCs w:val="21"/>
          <w:highlight w:val="none"/>
        </w:rPr>
        <w:t>。</w:t>
      </w:r>
    </w:p>
    <w:p w14:paraId="6A519AAB">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6.</w:t>
      </w:r>
      <w:r>
        <w:rPr>
          <w:rFonts w:hint="eastAsia" w:ascii="宋体" w:hAnsi="宋体" w:cs="宋体"/>
          <w:bCs/>
          <w:color w:val="auto"/>
          <w:sz w:val="21"/>
          <w:szCs w:val="21"/>
          <w:highlight w:val="none"/>
          <w:u w:val="single"/>
        </w:rPr>
        <w:t>出现以下情况发包人有权单方解除合同，并按其已完成工程造价的</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%作为违约金：</w:t>
      </w:r>
    </w:p>
    <w:p w14:paraId="57A78150">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由于承包人的资质降低或单位的整体实力下降，不能满足工程承包要求；</w:t>
      </w:r>
    </w:p>
    <w:p w14:paraId="5018C92E">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承包人的工程进度经多次催促仍不能达到发包人的要求；</w:t>
      </w:r>
    </w:p>
    <w:p w14:paraId="61EAD1DC">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承包人出现挪用工程资金，陷入重大债权债务纠纷，并影响到本工程的正常实施；</w:t>
      </w:r>
    </w:p>
    <w:p w14:paraId="0881D132">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承包人无法继续履行或明确表示不履行或实质上已停止履行合同；</w:t>
      </w:r>
    </w:p>
    <w:p w14:paraId="774330B2">
      <w:pPr>
        <w:pStyle w:val="160"/>
        <w:spacing w:line="360" w:lineRule="auto"/>
        <w:ind w:firstLine="420" w:firstLineChars="200"/>
        <w:rPr>
          <w:rFonts w:ascii="宋体" w:hAnsi="宋体" w:cs="宋体"/>
          <w:bCs/>
          <w:color w:val="auto"/>
          <w:sz w:val="21"/>
          <w:szCs w:val="21"/>
          <w:highlight w:val="none"/>
        </w:rPr>
      </w:pPr>
      <w:r>
        <w:rPr>
          <w:rFonts w:hint="eastAsia" w:ascii="宋体" w:hAnsi="宋体" w:cs="宋体"/>
          <w:bCs/>
          <w:color w:val="auto"/>
          <w:sz w:val="21"/>
          <w:szCs w:val="21"/>
          <w:highlight w:val="none"/>
          <w:u w:val="single"/>
          <w:lang w:eastAsia="zh-CN"/>
        </w:rPr>
        <w:t>7.</w:t>
      </w:r>
      <w:r>
        <w:rPr>
          <w:rFonts w:hint="eastAsia" w:ascii="宋体" w:hAnsi="宋体" w:cs="宋体"/>
          <w:bCs/>
          <w:color w:val="auto"/>
          <w:sz w:val="21"/>
          <w:szCs w:val="21"/>
          <w:highlight w:val="none"/>
          <w:u w:val="single"/>
        </w:rPr>
        <w:t>因承包人施工原因，造成对原有、道路、地下管线、绿化等的破坏，由承包人承担相应的损失，并负责修复。</w:t>
      </w:r>
    </w:p>
    <w:p w14:paraId="67B00C15">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8.</w:t>
      </w:r>
      <w:r>
        <w:rPr>
          <w:rFonts w:hint="eastAsia" w:ascii="宋体" w:hAnsi="宋体" w:cs="宋体"/>
          <w:bCs/>
          <w:color w:val="auto"/>
          <w:sz w:val="21"/>
          <w:szCs w:val="21"/>
          <w:highlight w:val="none"/>
          <w:u w:val="single"/>
        </w:rPr>
        <w:t>承包人</w:t>
      </w:r>
      <w:r>
        <w:rPr>
          <w:rFonts w:hint="eastAsia" w:ascii="宋体" w:hAnsi="宋体" w:cs="宋体"/>
          <w:bCs/>
          <w:color w:val="auto"/>
          <w:sz w:val="21"/>
          <w:szCs w:val="21"/>
          <w:highlight w:val="none"/>
          <w:u w:val="single"/>
          <w:lang w:eastAsia="zh-CN"/>
        </w:rPr>
        <w:t>必须严格按照</w:t>
      </w:r>
      <w:r>
        <w:rPr>
          <w:rFonts w:hint="eastAsia" w:ascii="宋体" w:hAnsi="宋体" w:cs="宋体"/>
          <w:bCs/>
          <w:color w:val="auto"/>
          <w:sz w:val="21"/>
          <w:szCs w:val="21"/>
          <w:highlight w:val="none"/>
          <w:u w:val="single"/>
        </w:rPr>
        <w:t>怒江州有关部门的有关规定及现场安全文明施工管理规定组织施工，若未达到现场安全文明施工管理规定的要求，自愿向发包人交纳违约金</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元/次；竣工验收后十天内，做到料净场清。</w:t>
      </w:r>
    </w:p>
    <w:p w14:paraId="67CC5F5D">
      <w:pPr>
        <w:pStyle w:val="160"/>
        <w:spacing w:line="360" w:lineRule="auto"/>
        <w:ind w:firstLine="420" w:firstLineChars="200"/>
        <w:rPr>
          <w:rFonts w:ascii="宋体" w:hAnsi="宋体" w:cs="宋体"/>
          <w:bCs/>
          <w:color w:val="auto"/>
          <w:sz w:val="21"/>
          <w:szCs w:val="21"/>
          <w:highlight w:val="none"/>
          <w:u w:val="single"/>
        </w:rPr>
      </w:pPr>
      <w:bookmarkStart w:id="1148" w:name="_Toc259794840"/>
      <w:bookmarkStart w:id="1149" w:name="_Toc259797634"/>
      <w:r>
        <w:rPr>
          <w:rFonts w:hint="eastAsia" w:ascii="宋体" w:hAnsi="宋体" w:cs="宋体"/>
          <w:bCs/>
          <w:color w:val="auto"/>
          <w:sz w:val="21"/>
          <w:szCs w:val="21"/>
          <w:highlight w:val="none"/>
          <w:u w:val="single"/>
          <w:lang w:eastAsia="zh-CN"/>
        </w:rPr>
        <w:t>9.</w:t>
      </w:r>
      <w:r>
        <w:rPr>
          <w:rFonts w:hint="eastAsia" w:ascii="宋体" w:hAnsi="宋体" w:cs="宋体"/>
          <w:bCs/>
          <w:color w:val="auto"/>
          <w:sz w:val="21"/>
          <w:szCs w:val="21"/>
          <w:highlight w:val="none"/>
          <w:u w:val="single"/>
        </w:rPr>
        <w:t>承包人必须严格按照国家及相关行业规定，本项目全部参与人员必须具有相应的执业资格证，特殊工种必须切实做到持证上岗，以备随时查验。若发现无证上岗人员每人次罚款</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元，并驱逐出场。</w:t>
      </w:r>
      <w:bookmarkEnd w:id="1148"/>
      <w:bookmarkEnd w:id="1149"/>
    </w:p>
    <w:p w14:paraId="2673558B">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10.</w:t>
      </w:r>
      <w:r>
        <w:rPr>
          <w:rFonts w:hint="eastAsia" w:ascii="宋体" w:hAnsi="宋体" w:cs="宋体"/>
          <w:bCs/>
          <w:color w:val="auto"/>
          <w:sz w:val="21"/>
          <w:szCs w:val="21"/>
          <w:highlight w:val="none"/>
          <w:u w:val="single"/>
        </w:rPr>
        <w:t>工程质量不符合合同规定的，应负责无偿修理或返工。由于修理或返工造成逾期交付或工程交付时间不符合规定的，要偿付误期违约金。在工程保修期内负责对工程保修，不负责保修的，相应比例保修金将不予退还。</w:t>
      </w:r>
    </w:p>
    <w:p w14:paraId="31A57869">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11.</w:t>
      </w:r>
      <w:r>
        <w:rPr>
          <w:rFonts w:hint="eastAsia" w:ascii="宋体" w:hAnsi="宋体" w:cs="宋体"/>
          <w:bCs/>
          <w:color w:val="auto"/>
          <w:sz w:val="21"/>
          <w:szCs w:val="21"/>
          <w:highlight w:val="none"/>
          <w:u w:val="single"/>
        </w:rPr>
        <w:t>承包人未按《云南省建设厅关于贯彻实施</w:t>
      </w:r>
      <w:r>
        <w:rPr>
          <w:rFonts w:hint="eastAsia" w:ascii="宋体" w:hAnsi="宋体" w:cs="宋体"/>
          <w:bCs/>
          <w:color w:val="auto"/>
          <w:sz w:val="21"/>
          <w:szCs w:val="21"/>
          <w:highlight w:val="none"/>
          <w:u w:val="single"/>
          <w:lang w:eastAsia="zh-CN"/>
        </w:rPr>
        <w:t>〈</w:t>
      </w:r>
      <w:r>
        <w:rPr>
          <w:rFonts w:hint="eastAsia" w:ascii="宋体" w:hAnsi="宋体" w:cs="宋体"/>
          <w:bCs/>
          <w:color w:val="auto"/>
          <w:sz w:val="21"/>
          <w:szCs w:val="21"/>
          <w:highlight w:val="none"/>
          <w:u w:val="single"/>
        </w:rPr>
        <w:t>云南省建设领域农民工资支付管理试行办法</w:t>
      </w:r>
      <w:r>
        <w:rPr>
          <w:rFonts w:hint="eastAsia" w:ascii="宋体" w:hAnsi="宋体" w:cs="宋体"/>
          <w:bCs/>
          <w:color w:val="auto"/>
          <w:sz w:val="21"/>
          <w:szCs w:val="21"/>
          <w:highlight w:val="none"/>
          <w:u w:val="single"/>
          <w:lang w:eastAsia="zh-CN"/>
        </w:rPr>
        <w:t>〉的通知》</w:t>
      </w:r>
      <w:r>
        <w:rPr>
          <w:rFonts w:hint="eastAsia" w:ascii="宋体" w:hAnsi="宋体" w:cs="宋体"/>
          <w:bCs/>
          <w:color w:val="auto"/>
          <w:sz w:val="21"/>
          <w:szCs w:val="21"/>
          <w:highlight w:val="none"/>
          <w:u w:val="single"/>
        </w:rPr>
        <w:t>发</w:t>
      </w:r>
      <w:r>
        <w:rPr>
          <w:rFonts w:hint="eastAsia" w:ascii="宋体" w:hAnsi="宋体" w:cs="宋体"/>
          <w:bCs/>
          <w:color w:val="auto"/>
          <w:sz w:val="21"/>
          <w:szCs w:val="21"/>
          <w:highlight w:val="none"/>
          <w:u w:val="single"/>
          <w:lang w:eastAsia="zh-CN"/>
        </w:rPr>
        <w:t>放农</w:t>
      </w:r>
      <w:r>
        <w:rPr>
          <w:rFonts w:hint="eastAsia" w:ascii="宋体" w:hAnsi="宋体" w:cs="宋体"/>
          <w:bCs/>
          <w:color w:val="auto"/>
          <w:sz w:val="21"/>
          <w:szCs w:val="21"/>
          <w:highlight w:val="none"/>
          <w:u w:val="single"/>
        </w:rPr>
        <w:t>民工工资。承包人如有拖欠、漏发、少发劳务工工资的情况，或被举报和投诉有拖欠、漏发、少发劳务工工资的情况并被核实，若发生以上情况，承包人向发包人支付</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万元/次的违约金，并在工程款中扣留拖欠、漏发、少发的工资数直接支付给相应的劳务工。</w:t>
      </w:r>
    </w:p>
    <w:p w14:paraId="34090F7D">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12.</w:t>
      </w:r>
      <w:r>
        <w:rPr>
          <w:rFonts w:hint="eastAsia" w:ascii="宋体" w:hAnsi="宋体" w:cs="宋体"/>
          <w:bCs/>
          <w:color w:val="auto"/>
          <w:sz w:val="21"/>
          <w:szCs w:val="21"/>
          <w:highlight w:val="none"/>
          <w:u w:val="single"/>
        </w:rPr>
        <w:t>若因承包人原因发生劳务工上访或闹事，第一次发生，则承包人向发包人支付</w:t>
      </w:r>
      <w:r>
        <w:rPr>
          <w:rFonts w:hint="eastAsia" w:ascii="宋体" w:hAnsi="宋体" w:cs="宋体"/>
          <w:bCs/>
          <w:color w:val="auto"/>
          <w:sz w:val="21"/>
          <w:szCs w:val="21"/>
          <w:highlight w:val="none"/>
          <w:u w:val="single"/>
          <w:lang w:val="en-US" w:eastAsia="zh-CN"/>
        </w:rPr>
        <w:t xml:space="preserve">   </w:t>
      </w:r>
      <w:r>
        <w:rPr>
          <w:rFonts w:hint="eastAsia" w:ascii="宋体" w:hAnsi="宋体" w:cs="宋体"/>
          <w:bCs/>
          <w:color w:val="auto"/>
          <w:sz w:val="21"/>
          <w:szCs w:val="21"/>
          <w:highlight w:val="none"/>
          <w:u w:val="single"/>
        </w:rPr>
        <w:t>万元的罚违约金，再次发生，按翻倍递增的原则由承包人向发包人支付违约金。</w:t>
      </w:r>
    </w:p>
    <w:p w14:paraId="5AA402DA">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13.</w:t>
      </w:r>
      <w:r>
        <w:rPr>
          <w:rFonts w:hint="eastAsia" w:ascii="宋体" w:hAnsi="宋体" w:cs="宋体"/>
          <w:bCs/>
          <w:color w:val="auto"/>
          <w:sz w:val="21"/>
          <w:szCs w:val="21"/>
          <w:highlight w:val="none"/>
          <w:u w:val="single"/>
        </w:rPr>
        <w:t>双方对工程质量有争议，由双方同意的工程质量检测机构鉴定，所需费用及因此造成的损失，由责任方承担。</w:t>
      </w:r>
    </w:p>
    <w:p w14:paraId="610E5A3B">
      <w:pPr>
        <w:pStyle w:val="160"/>
        <w:spacing w:line="360" w:lineRule="auto"/>
        <w:ind w:firstLine="420" w:firstLineChars="200"/>
        <w:rPr>
          <w:rFonts w:ascii="宋体" w:hAnsi="宋体" w:cs="宋体"/>
          <w:bCs/>
          <w:color w:val="auto"/>
          <w:sz w:val="21"/>
          <w:szCs w:val="21"/>
          <w:highlight w:val="none"/>
          <w:u w:val="single"/>
        </w:rPr>
      </w:pPr>
      <w:r>
        <w:rPr>
          <w:rFonts w:hint="eastAsia" w:ascii="宋体" w:hAnsi="宋体" w:cs="宋体"/>
          <w:bCs/>
          <w:color w:val="auto"/>
          <w:sz w:val="21"/>
          <w:szCs w:val="21"/>
          <w:highlight w:val="none"/>
          <w:u w:val="single"/>
          <w:lang w:eastAsia="zh-CN"/>
        </w:rPr>
        <w:t>14.</w:t>
      </w:r>
      <w:r>
        <w:rPr>
          <w:rFonts w:hint="eastAsia" w:ascii="宋体" w:hAnsi="宋体" w:cs="宋体"/>
          <w:bCs/>
          <w:color w:val="auto"/>
          <w:sz w:val="21"/>
          <w:szCs w:val="21"/>
          <w:highlight w:val="none"/>
          <w:u w:val="single"/>
        </w:rPr>
        <w:t>若承包人、分包人、其他承包人各施工方出现本款所列的下列行为，视情节严重程度各承包人向发包人支付每次200元至5000元数额不等的违约金。</w:t>
      </w:r>
    </w:p>
    <w:p w14:paraId="7EA87EFE">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各施工方的各工作人员未保持其留给发包人的联系方式畅通有效，导致发包人无法在需要的时候与之取得联系。</w:t>
      </w:r>
    </w:p>
    <w:p w14:paraId="211CD641">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发包人确认发现的工程质量问题或安全隐患已发生24小时，而各施工方无足够证据证明在此前已经发现该问题并已给予恰当的处理。</w:t>
      </w:r>
    </w:p>
    <w:p w14:paraId="6A543861">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各施工方对发包人要求回文的文件未回文或回文延期的。</w:t>
      </w:r>
    </w:p>
    <w:p w14:paraId="3C03C6FE">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对在每周的监理例会上提出的问题未进行跟进处理，导致问题重复发生。</w:t>
      </w:r>
    </w:p>
    <w:p w14:paraId="77F5CB5F">
      <w:pPr>
        <w:pStyle w:val="160"/>
        <w:numPr>
          <w:ilvl w:val="1"/>
          <w:numId w:val="0"/>
        </w:numPr>
        <w:spacing w:line="360" w:lineRule="auto"/>
        <w:ind w:firstLine="420" w:firstLineChars="200"/>
        <w:rPr>
          <w:rFonts w:ascii="Times New Roman" w:hAnsi="Times New Roman"/>
          <w:bCs/>
          <w:color w:val="auto"/>
          <w:sz w:val="21"/>
          <w:szCs w:val="21"/>
          <w:highlight w:val="none"/>
          <w:u w:val="single"/>
        </w:rPr>
      </w:pPr>
      <w:r>
        <w:rPr>
          <w:rFonts w:ascii="Wingdings" w:hAnsi="Wingdings"/>
          <w:bCs/>
          <w:color w:val="auto"/>
          <w:sz w:val="21"/>
          <w:szCs w:val="21"/>
          <w:highlight w:val="none"/>
        </w:rPr>
        <w:t></w:t>
      </w:r>
      <w:r>
        <w:rPr>
          <w:rFonts w:ascii="Times New Roman" w:hAnsi="Times New Roman"/>
          <w:bCs/>
          <w:color w:val="auto"/>
          <w:sz w:val="21"/>
          <w:szCs w:val="21"/>
          <w:highlight w:val="none"/>
          <w:u w:val="single"/>
        </w:rPr>
        <w:t>施工期间不能保证24小时有专业工程师常驻现场。</w:t>
      </w:r>
    </w:p>
    <w:p w14:paraId="2B87F832">
      <w:pPr>
        <w:pStyle w:val="162"/>
        <w:spacing w:line="360" w:lineRule="auto"/>
        <w:ind w:firstLine="420" w:firstLineChars="200"/>
        <w:rPr>
          <w:rFonts w:ascii="宋体" w:hAnsi="宋体" w:cs="宋体"/>
          <w:color w:val="auto"/>
          <w:sz w:val="21"/>
          <w:szCs w:val="21"/>
          <w:highlight w:val="none"/>
        </w:rPr>
      </w:pPr>
      <w:r>
        <w:rPr>
          <w:rFonts w:ascii="Times New Roman" w:hAnsi="Times New Roman"/>
          <w:bCs/>
          <w:color w:val="auto"/>
          <w:sz w:val="21"/>
          <w:szCs w:val="21"/>
          <w:highlight w:val="none"/>
          <w:u w:val="single"/>
        </w:rPr>
        <w:t>项目经理及技术负责人每周监理例会迟到或缺席的。</w:t>
      </w:r>
    </w:p>
    <w:p w14:paraId="1A49533C">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16.2.3 因承包人违约解除合同</w:t>
      </w:r>
    </w:p>
    <w:p w14:paraId="0A0AD9B3">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关于承包人违约解除合同的特别约定：</w:t>
      </w:r>
      <w:r>
        <w:rPr>
          <w:rFonts w:hint="eastAsia" w:ascii="宋体" w:hAnsi="宋体" w:cs="宋体"/>
          <w:color w:val="auto"/>
          <w:sz w:val="21"/>
          <w:szCs w:val="21"/>
          <w:highlight w:val="none"/>
          <w:u w:val="single"/>
        </w:rPr>
        <w:t>进入项目清算，清算总额为承包人已完成合格工程工程量的合同价款，发包人仅支付扣除已支付的进度款、违约金、损失费用的剩余工程款</w:t>
      </w:r>
      <w:r>
        <w:rPr>
          <w:rFonts w:hint="eastAsia" w:ascii="宋体" w:hAnsi="宋体" w:cs="宋体"/>
          <w:color w:val="auto"/>
          <w:sz w:val="21"/>
          <w:szCs w:val="21"/>
          <w:highlight w:val="none"/>
        </w:rPr>
        <w:t>。</w:t>
      </w:r>
    </w:p>
    <w:p w14:paraId="5D4E64A5">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发包人继续使用承包人在施工现场的材料、设备、临时工程、承包人文件和由承包人或以其名义编制的其他文件的费用承担方式：</w:t>
      </w:r>
      <w:r>
        <w:rPr>
          <w:rFonts w:hint="eastAsia" w:ascii="宋体" w:hAnsi="宋体" w:cs="宋体"/>
          <w:color w:val="auto"/>
          <w:sz w:val="21"/>
          <w:szCs w:val="21"/>
          <w:highlight w:val="none"/>
          <w:u w:val="single"/>
        </w:rPr>
        <w:t>承包人编制相应费用的结算经承包人、监理人、造价咨询人、发包人认可后，列入清算总额</w:t>
      </w:r>
      <w:r>
        <w:rPr>
          <w:rFonts w:hint="eastAsia" w:ascii="宋体" w:hAnsi="宋体" w:cs="宋体"/>
          <w:color w:val="auto"/>
          <w:sz w:val="21"/>
          <w:szCs w:val="21"/>
          <w:highlight w:val="none"/>
        </w:rPr>
        <w:t>。</w:t>
      </w:r>
    </w:p>
    <w:p w14:paraId="2377E5C2">
      <w:pPr>
        <w:adjustRightInd w:val="0"/>
        <w:snapToGrid w:val="0"/>
        <w:spacing w:line="360" w:lineRule="auto"/>
        <w:outlineLvl w:val="2"/>
        <w:rPr>
          <w:rFonts w:ascii="宋体" w:hAnsi="宋体" w:cs="宋体"/>
          <w:b/>
          <w:color w:val="auto"/>
          <w:szCs w:val="21"/>
          <w:highlight w:val="none"/>
        </w:rPr>
      </w:pPr>
      <w:bookmarkStart w:id="1150" w:name="_Toc7526"/>
      <w:r>
        <w:rPr>
          <w:rFonts w:hint="eastAsia" w:ascii="宋体" w:hAnsi="宋体" w:cs="宋体"/>
          <w:b/>
          <w:color w:val="auto"/>
          <w:szCs w:val="21"/>
          <w:highlight w:val="none"/>
        </w:rPr>
        <w:t>17. 不可抗力</w:t>
      </w:r>
      <w:bookmarkEnd w:id="1150"/>
      <w:r>
        <w:rPr>
          <w:rFonts w:hint="eastAsia" w:ascii="宋体" w:hAnsi="宋体" w:cs="宋体"/>
          <w:b/>
          <w:color w:val="auto"/>
          <w:szCs w:val="21"/>
          <w:highlight w:val="none"/>
        </w:rPr>
        <w:t xml:space="preserve"> </w:t>
      </w:r>
    </w:p>
    <w:p w14:paraId="49B618D2">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17.1 不可抗力的确认</w:t>
      </w:r>
    </w:p>
    <w:p w14:paraId="69E305DB">
      <w:pPr>
        <w:pStyle w:val="162"/>
        <w:spacing w:line="360" w:lineRule="auto"/>
        <w:ind w:firstLine="420" w:firstLineChars="200"/>
        <w:rPr>
          <w:rFonts w:ascii="宋体" w:hAnsi="宋体" w:cs="宋体"/>
          <w:color w:val="auto"/>
          <w:sz w:val="21"/>
          <w:szCs w:val="21"/>
          <w:highlight w:val="none"/>
          <w:u w:val="single"/>
        </w:rPr>
      </w:pPr>
      <w:r>
        <w:rPr>
          <w:rFonts w:hint="eastAsia" w:ascii="宋体" w:hAnsi="宋体" w:cs="宋体"/>
          <w:color w:val="auto"/>
          <w:sz w:val="21"/>
          <w:szCs w:val="21"/>
          <w:highlight w:val="none"/>
        </w:rPr>
        <w:t>除通用合同条款约定的不可抗力事件之外，视为不可抗力的其他情形：</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45648D08">
      <w:pPr>
        <w:pStyle w:val="169"/>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17.4 因不可抗力解除合同</w:t>
      </w:r>
    </w:p>
    <w:p w14:paraId="3D834A04">
      <w:pPr>
        <w:pStyle w:val="162"/>
        <w:spacing w:line="360" w:lineRule="auto"/>
        <w:ind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合同解除后，发包人应在商定或确定发包人应支付款项后</w:t>
      </w:r>
      <w:r>
        <w:rPr>
          <w:rFonts w:hint="eastAsia" w:ascii="宋体" w:hAnsi="宋体" w:cs="宋体"/>
          <w:color w:val="auto"/>
          <w:sz w:val="21"/>
          <w:szCs w:val="21"/>
          <w:highlight w:val="none"/>
          <w:u w:val="single"/>
        </w:rPr>
        <w:t xml:space="preserve"> 56 </w:t>
      </w:r>
      <w:r>
        <w:rPr>
          <w:rFonts w:hint="eastAsia" w:ascii="宋体" w:hAnsi="宋体" w:cs="宋体"/>
          <w:color w:val="auto"/>
          <w:sz w:val="21"/>
          <w:szCs w:val="21"/>
          <w:highlight w:val="none"/>
        </w:rPr>
        <w:t>天内完成款项的支付。</w:t>
      </w:r>
    </w:p>
    <w:p w14:paraId="70BB5AAF">
      <w:pPr>
        <w:adjustRightInd w:val="0"/>
        <w:snapToGrid w:val="0"/>
        <w:spacing w:line="360" w:lineRule="auto"/>
        <w:outlineLvl w:val="2"/>
        <w:rPr>
          <w:rFonts w:ascii="宋体" w:hAnsi="宋体" w:cs="宋体"/>
          <w:b/>
          <w:color w:val="auto"/>
          <w:szCs w:val="21"/>
          <w:highlight w:val="none"/>
        </w:rPr>
      </w:pPr>
      <w:bookmarkStart w:id="1151" w:name="_Toc26703"/>
      <w:r>
        <w:rPr>
          <w:rFonts w:hint="eastAsia" w:ascii="宋体" w:hAnsi="宋体" w:cs="宋体"/>
          <w:b/>
          <w:color w:val="auto"/>
          <w:szCs w:val="21"/>
          <w:highlight w:val="none"/>
        </w:rPr>
        <w:t>18. 保险</w:t>
      </w:r>
      <w:bookmarkEnd w:id="1151"/>
    </w:p>
    <w:p w14:paraId="1D7FB03C">
      <w:pPr>
        <w:pStyle w:val="162"/>
        <w:spacing w:line="360" w:lineRule="auto"/>
        <w:ind w:firstLine="420" w:firstLineChars="200"/>
        <w:rPr>
          <w:rFonts w:hint="eastAsia" w:ascii="宋体" w:hAnsi="宋体" w:cs="宋体"/>
          <w:color w:val="auto"/>
          <w:sz w:val="21"/>
          <w:szCs w:val="21"/>
          <w:highlight w:val="none"/>
        </w:rPr>
      </w:pPr>
      <w:bookmarkStart w:id="1152" w:name="_Toc18662"/>
      <w:r>
        <w:rPr>
          <w:rFonts w:hint="eastAsia" w:ascii="宋体" w:hAnsi="宋体" w:cs="宋体"/>
          <w:color w:val="auto"/>
          <w:sz w:val="21"/>
          <w:szCs w:val="21"/>
          <w:highlight w:val="none"/>
        </w:rPr>
        <w:t>18.1 工程保险</w:t>
      </w:r>
    </w:p>
    <w:p w14:paraId="1242C2B5">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关于工程保险的特别约定：</w:t>
      </w:r>
      <w:r>
        <w:rPr>
          <w:rFonts w:hint="eastAsia" w:ascii="宋体" w:hAnsi="宋体" w:cs="宋体"/>
          <w:color w:val="auto"/>
          <w:sz w:val="21"/>
          <w:szCs w:val="21"/>
          <w:highlight w:val="none"/>
          <w:u w:val="single"/>
        </w:rPr>
        <w:t>由承包人承担</w:t>
      </w:r>
      <w:r>
        <w:rPr>
          <w:rFonts w:hint="eastAsia" w:ascii="宋体" w:hAnsi="宋体" w:cs="宋体"/>
          <w:color w:val="auto"/>
          <w:sz w:val="21"/>
          <w:szCs w:val="21"/>
          <w:highlight w:val="none"/>
        </w:rPr>
        <w:t>。</w:t>
      </w:r>
    </w:p>
    <w:p w14:paraId="1628A181">
      <w:pPr>
        <w:pStyle w:val="169"/>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18.3 其他保险</w:t>
      </w:r>
    </w:p>
    <w:p w14:paraId="13C94BE4">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关于其他保险的约定：</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4E827229">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承包人是否应为其施工设备等办理财产保险：</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p>
    <w:p w14:paraId="0FE84247">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18.7 通知义务</w:t>
      </w:r>
    </w:p>
    <w:p w14:paraId="7F33734E">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关于变更保险合同时的通知义务的约定：</w:t>
      </w:r>
      <w:r>
        <w:rPr>
          <w:rFonts w:hint="eastAsia" w:ascii="宋体" w:hAnsi="宋体" w:cs="宋体"/>
          <w:color w:val="auto"/>
          <w:sz w:val="21"/>
          <w:szCs w:val="21"/>
          <w:highlight w:val="none"/>
          <w:u w:val="single"/>
        </w:rPr>
        <w:t>变更保险合同前10天内必须经发包人批准。</w:t>
      </w:r>
    </w:p>
    <w:p w14:paraId="702FD258">
      <w:pPr>
        <w:adjustRightInd w:val="0"/>
        <w:snapToGrid w:val="0"/>
        <w:spacing w:line="360" w:lineRule="auto"/>
        <w:outlineLvl w:val="2"/>
        <w:rPr>
          <w:rFonts w:ascii="宋体" w:hAnsi="宋体" w:cs="宋体"/>
          <w:b/>
          <w:color w:val="auto"/>
          <w:szCs w:val="21"/>
          <w:highlight w:val="none"/>
        </w:rPr>
      </w:pPr>
      <w:r>
        <w:rPr>
          <w:rFonts w:hint="eastAsia" w:ascii="宋体" w:hAnsi="宋体" w:cs="宋体"/>
          <w:b/>
          <w:color w:val="auto"/>
          <w:szCs w:val="21"/>
          <w:highlight w:val="none"/>
        </w:rPr>
        <w:t>20. 争议解决</w:t>
      </w:r>
      <w:bookmarkEnd w:id="1152"/>
    </w:p>
    <w:p w14:paraId="275C1F25">
      <w:pPr>
        <w:pStyle w:val="169"/>
        <w:spacing w:line="360" w:lineRule="auto"/>
        <w:ind w:firstLine="420" w:firstLineChars="200"/>
        <w:rPr>
          <w:rFonts w:hint="eastAsia" w:ascii="宋体" w:hAnsi="宋体" w:cs="宋体"/>
          <w:color w:val="auto"/>
          <w:sz w:val="21"/>
          <w:szCs w:val="21"/>
          <w:highlight w:val="none"/>
        </w:rPr>
      </w:pPr>
      <w:bookmarkStart w:id="1153" w:name="_Toc22711"/>
      <w:r>
        <w:rPr>
          <w:rFonts w:hint="eastAsia" w:ascii="宋体" w:hAnsi="宋体" w:cs="宋体"/>
          <w:color w:val="auto"/>
          <w:sz w:val="21"/>
          <w:szCs w:val="21"/>
          <w:highlight w:val="none"/>
        </w:rPr>
        <w:t>20.3 争议评审</w:t>
      </w:r>
    </w:p>
    <w:p w14:paraId="4114613F">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合同当事人是否同意将工程争议提交争议评审小组决定：</w:t>
      </w:r>
      <w:r>
        <w:rPr>
          <w:rFonts w:hint="eastAsia" w:ascii="宋体" w:hAnsi="宋体" w:cs="宋体"/>
          <w:color w:val="auto"/>
          <w:sz w:val="21"/>
          <w:szCs w:val="21"/>
          <w:highlight w:val="none"/>
          <w:u w:val="single"/>
        </w:rPr>
        <w:t>否</w:t>
      </w:r>
      <w:r>
        <w:rPr>
          <w:rFonts w:hint="eastAsia" w:ascii="宋体" w:hAnsi="宋体" w:cs="宋体"/>
          <w:color w:val="auto"/>
          <w:sz w:val="21"/>
          <w:szCs w:val="21"/>
          <w:highlight w:val="none"/>
        </w:rPr>
        <w:t xml:space="preserve">。  </w:t>
      </w:r>
    </w:p>
    <w:p w14:paraId="09E5215F">
      <w:pPr>
        <w:pStyle w:val="169"/>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20.3.1 争议评审小组的确定</w:t>
      </w:r>
    </w:p>
    <w:p w14:paraId="2BCD4E1A">
      <w:pPr>
        <w:pStyle w:val="162"/>
        <w:spacing w:line="360" w:lineRule="auto"/>
        <w:ind w:firstLine="420" w:firstLineChars="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争议评审小组成员的确定：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B072EF8">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选定争议评审员的期限：</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0CF49F7C">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争议评审小组成员的报酬承担方式：</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2644CBD8">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其他事项的约定：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5B192FE6">
      <w:pPr>
        <w:pStyle w:val="169"/>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20.3.2 争议评审小组的决定</w:t>
      </w:r>
    </w:p>
    <w:p w14:paraId="1BF5BF96">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合同当事人关于本项的约定：</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w:t>
      </w:r>
    </w:p>
    <w:p w14:paraId="1A6EB033">
      <w:pPr>
        <w:pStyle w:val="169"/>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20.4仲裁或诉讼</w:t>
      </w:r>
    </w:p>
    <w:p w14:paraId="7B211C4B">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因合同及合同有关事项发生的争议，按下列第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种方式解决：</w:t>
      </w:r>
    </w:p>
    <w:p w14:paraId="44E62654">
      <w:pPr>
        <w:pStyle w:val="162"/>
        <w:spacing w:line="360" w:lineRule="auto"/>
        <w:ind w:firstLine="420"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仲裁委员会申请仲裁；</w:t>
      </w:r>
    </w:p>
    <w:p w14:paraId="0D34D993">
      <w:pPr>
        <w:pStyle w:val="162"/>
        <w:spacing w:line="360" w:lineRule="auto"/>
        <w:ind w:firstLine="420" w:firstLineChars="200"/>
        <w:rPr>
          <w:rFonts w:hint="eastAsia" w:ascii="宋体" w:hAnsi="宋体" w:cs="宋体"/>
          <w:color w:val="auto"/>
          <w:szCs w:val="21"/>
          <w:highlight w:val="none"/>
        </w:rPr>
      </w:pPr>
      <w:r>
        <w:rPr>
          <w:rFonts w:hint="eastAsia" w:ascii="宋体" w:hAnsi="宋体" w:cs="宋体"/>
          <w:color w:val="auto"/>
          <w:sz w:val="21"/>
          <w:szCs w:val="21"/>
          <w:highlight w:val="none"/>
        </w:rPr>
        <w:t>（2）向</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人民法院起诉。</w:t>
      </w:r>
      <w:r>
        <w:rPr>
          <w:rFonts w:hint="eastAsia" w:ascii="宋体" w:hAnsi="宋体" w:cs="宋体"/>
          <w:color w:val="auto"/>
          <w:szCs w:val="21"/>
          <w:highlight w:val="none"/>
        </w:rPr>
        <w:br w:type="page"/>
      </w:r>
    </w:p>
    <w:p w14:paraId="11D1822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（以下无正文）</w:t>
      </w:r>
    </w:p>
    <w:p w14:paraId="41C2DB0F">
      <w:pPr>
        <w:pStyle w:val="140"/>
        <w:spacing w:line="500" w:lineRule="exact"/>
        <w:rPr>
          <w:rFonts w:hint="eastAsia" w:ascii="宋体" w:hAnsi="宋体" w:cs="宋体"/>
          <w:color w:val="auto"/>
          <w:sz w:val="21"/>
          <w:szCs w:val="21"/>
          <w:highlight w:val="none"/>
        </w:rPr>
      </w:pPr>
    </w:p>
    <w:p w14:paraId="14E6B243">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发包人：</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公章</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 xml:space="preserve">                          承包人：  </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公章</w:t>
      </w:r>
      <w:r>
        <w:rPr>
          <w:rFonts w:hint="eastAsia" w:ascii="宋体" w:hAnsi="宋体" w:cs="宋体"/>
          <w:color w:val="auto"/>
          <w:sz w:val="21"/>
          <w:szCs w:val="21"/>
          <w:highlight w:val="none"/>
          <w:lang w:eastAsia="zh-CN"/>
        </w:rPr>
        <w:t>）</w:t>
      </w:r>
    </w:p>
    <w:p w14:paraId="7DF167AA">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              法定代表人或其委托代理人：</w:t>
      </w:r>
    </w:p>
    <w:p w14:paraId="45B2202C">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（签字）                               （签字）</w:t>
      </w:r>
    </w:p>
    <w:p w14:paraId="0DF851DF">
      <w:pPr>
        <w:pStyle w:val="162"/>
        <w:spacing w:line="360" w:lineRule="auto"/>
        <w:ind w:left="4620" w:hanging="4620" w:hangingChars="22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地  址：</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292FDA17">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经办人：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经办人：</w:t>
      </w:r>
      <w:r>
        <w:rPr>
          <w:rFonts w:hint="eastAsia" w:ascii="宋体" w:hAnsi="宋体" w:cs="宋体"/>
          <w:color w:val="auto"/>
          <w:sz w:val="21"/>
          <w:szCs w:val="21"/>
          <w:highlight w:val="none"/>
          <w:u w:val="single"/>
        </w:rPr>
        <w:t xml:space="preserve">                        </w:t>
      </w:r>
    </w:p>
    <w:p w14:paraId="51D48B75">
      <w:pPr>
        <w:pStyle w:val="16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4D6DE9D2">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传  真：</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传  真：</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7F186CC9">
      <w:pPr>
        <w:pStyle w:val="1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电子信箱：</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电子信箱：</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01C99A7E">
      <w:pPr>
        <w:pStyle w:val="162"/>
        <w:spacing w:line="360" w:lineRule="auto"/>
        <w:ind w:left="5250" w:hanging="5250" w:hangingChars="2500"/>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7AE5713C">
      <w:pPr>
        <w:pStyle w:val="16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账  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p>
    <w:p w14:paraId="1438D0C5">
      <w:pPr>
        <w:rPr>
          <w:rFonts w:hint="eastAsia" w:ascii="宋体" w:hAnsi="宋体"/>
          <w:color w:val="auto"/>
          <w:szCs w:val="21"/>
          <w:highlight w:val="none"/>
        </w:rPr>
      </w:pPr>
      <w:r>
        <w:rPr>
          <w:rFonts w:hint="eastAsia" w:ascii="宋体" w:hAnsi="宋体"/>
          <w:color w:val="auto"/>
          <w:szCs w:val="21"/>
          <w:highlight w:val="none"/>
        </w:rPr>
        <w:br w:type="page"/>
      </w:r>
    </w:p>
    <w:p w14:paraId="331BF621">
      <w:pPr>
        <w:keepNext/>
        <w:keepLines/>
        <w:spacing w:line="360" w:lineRule="auto"/>
        <w:outlineLvl w:val="2"/>
        <w:rPr>
          <w:rFonts w:ascii="宋体" w:hAnsi="宋体"/>
          <w:color w:val="auto"/>
          <w:szCs w:val="21"/>
          <w:highlight w:val="none"/>
        </w:rPr>
      </w:pPr>
      <w:r>
        <w:rPr>
          <w:rFonts w:hint="eastAsia" w:ascii="宋体" w:hAnsi="宋体"/>
          <w:color w:val="auto"/>
          <w:szCs w:val="21"/>
          <w:highlight w:val="none"/>
        </w:rPr>
        <w:t>附件一：工程质量保修书</w:t>
      </w:r>
    </w:p>
    <w:p w14:paraId="52BE1200">
      <w:pPr>
        <w:pStyle w:val="167"/>
        <w:spacing w:line="360" w:lineRule="auto"/>
        <w:jc w:val="center"/>
        <w:rPr>
          <w:rFonts w:ascii="宋体" w:hAnsi="宋体"/>
          <w:bCs/>
          <w:color w:val="auto"/>
          <w:sz w:val="28"/>
          <w:szCs w:val="28"/>
          <w:highlight w:val="none"/>
        </w:rPr>
      </w:pPr>
      <w:r>
        <w:rPr>
          <w:rFonts w:hint="eastAsia" w:ascii="宋体" w:hAnsi="宋体" w:cs="宋体"/>
          <w:bCs/>
          <w:color w:val="auto"/>
          <w:sz w:val="28"/>
          <w:szCs w:val="28"/>
          <w:highlight w:val="none"/>
        </w:rPr>
        <w:t>工程质量保修书</w:t>
      </w:r>
    </w:p>
    <w:p w14:paraId="60C564D0">
      <w:pPr>
        <w:spacing w:line="360" w:lineRule="auto"/>
        <w:rPr>
          <w:rFonts w:ascii="宋体" w:hAnsi="宋体"/>
          <w:color w:val="auto"/>
          <w:szCs w:val="21"/>
          <w:highlight w:val="none"/>
        </w:rPr>
      </w:pPr>
      <w:r>
        <w:rPr>
          <w:rFonts w:hint="eastAsia" w:ascii="宋体" w:hAnsi="宋体"/>
          <w:color w:val="auto"/>
          <w:szCs w:val="21"/>
          <w:highlight w:val="none"/>
        </w:rPr>
        <w:t>发包人（全称）：</w:t>
      </w:r>
      <w:r>
        <w:rPr>
          <w:rFonts w:ascii="宋体" w:hAnsi="宋体"/>
          <w:color w:val="auto"/>
          <w:szCs w:val="21"/>
          <w:highlight w:val="none"/>
          <w:u w:val="single"/>
        </w:rPr>
        <w:t xml:space="preserve">                           </w:t>
      </w:r>
    </w:p>
    <w:p w14:paraId="0FB95F19">
      <w:pPr>
        <w:spacing w:after="120" w:afterLines="50" w:line="360" w:lineRule="auto"/>
        <w:rPr>
          <w:rFonts w:ascii="宋体" w:hAnsi="宋体"/>
          <w:color w:val="auto"/>
          <w:szCs w:val="21"/>
          <w:highlight w:val="none"/>
        </w:rPr>
      </w:pPr>
      <w:r>
        <w:rPr>
          <w:rFonts w:hint="eastAsia" w:ascii="宋体" w:hAnsi="宋体"/>
          <w:color w:val="auto"/>
          <w:szCs w:val="21"/>
          <w:highlight w:val="none"/>
        </w:rPr>
        <w:t>承包人（全称）：</w:t>
      </w:r>
      <w:r>
        <w:rPr>
          <w:rFonts w:ascii="宋体" w:hAnsi="宋体"/>
          <w:color w:val="auto"/>
          <w:szCs w:val="21"/>
          <w:highlight w:val="none"/>
          <w:u w:val="single"/>
        </w:rPr>
        <w:t xml:space="preserve">                           </w:t>
      </w:r>
    </w:p>
    <w:p w14:paraId="55820C43">
      <w:pPr>
        <w:spacing w:line="360" w:lineRule="auto"/>
        <w:ind w:firstLine="420"/>
        <w:rPr>
          <w:rFonts w:ascii="宋体" w:hAnsi="宋体"/>
          <w:color w:val="auto"/>
          <w:szCs w:val="21"/>
          <w:highlight w:val="none"/>
        </w:rPr>
      </w:pPr>
      <w:r>
        <w:rPr>
          <w:rFonts w:hint="eastAsia" w:ascii="宋体" w:hAnsi="宋体"/>
          <w:color w:val="auto"/>
          <w:szCs w:val="21"/>
          <w:highlight w:val="none"/>
        </w:rPr>
        <w:t>发包人和承包人根据《中华人民共和国建筑法》和《建设工程质量管理条例》，经协商一致就</w:t>
      </w:r>
      <w:r>
        <w:rPr>
          <w:rFonts w:hint="eastAsia" w:ascii="宋体" w:hAnsi="宋体"/>
          <w:color w:val="auto"/>
          <w:szCs w:val="21"/>
          <w:highlight w:val="none"/>
          <w:u w:val="single"/>
        </w:rPr>
        <w:t>（工程全称）</w:t>
      </w:r>
      <w:r>
        <w:rPr>
          <w:rFonts w:hint="eastAsia" w:ascii="宋体" w:hAnsi="宋体"/>
          <w:color w:val="auto"/>
          <w:szCs w:val="21"/>
          <w:highlight w:val="none"/>
        </w:rPr>
        <w:t>订立工程质量保修书。</w:t>
      </w:r>
    </w:p>
    <w:p w14:paraId="791D396F">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一、工程质量保修范围和内容</w:t>
      </w:r>
    </w:p>
    <w:p w14:paraId="71314205">
      <w:pPr>
        <w:spacing w:line="360" w:lineRule="auto"/>
        <w:ind w:firstLine="420"/>
        <w:rPr>
          <w:rFonts w:ascii="宋体" w:hAnsi="宋体"/>
          <w:color w:val="auto"/>
          <w:szCs w:val="21"/>
          <w:highlight w:val="none"/>
        </w:rPr>
      </w:pPr>
      <w:r>
        <w:rPr>
          <w:rFonts w:hint="eastAsia" w:ascii="宋体" w:hAnsi="宋体"/>
          <w:color w:val="auto"/>
          <w:szCs w:val="21"/>
          <w:highlight w:val="none"/>
        </w:rPr>
        <w:t>承包人在质量保修期内，按照有关法律规定和合同约定，承担工程质量保修责任。</w:t>
      </w:r>
    </w:p>
    <w:p w14:paraId="09BEACD6">
      <w:pPr>
        <w:spacing w:line="360" w:lineRule="auto"/>
        <w:ind w:firstLine="420"/>
        <w:rPr>
          <w:rFonts w:ascii="宋体" w:hAnsi="宋体"/>
          <w:color w:val="auto"/>
          <w:szCs w:val="21"/>
          <w:highlight w:val="none"/>
        </w:rPr>
      </w:pPr>
      <w:r>
        <w:rPr>
          <w:rFonts w:hint="eastAsia" w:ascii="宋体" w:hAnsi="宋体"/>
          <w:color w:val="auto"/>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auto"/>
          <w:szCs w:val="21"/>
          <w:highlight w:val="none"/>
          <w:u w:val="single"/>
        </w:rPr>
        <w:t xml:space="preserve">                                </w:t>
      </w:r>
      <w:r>
        <w:rPr>
          <w:rFonts w:hint="eastAsia" w:ascii="宋体" w:hAnsi="宋体"/>
          <w:color w:val="auto"/>
          <w:szCs w:val="21"/>
          <w:highlight w:val="none"/>
        </w:rPr>
        <w:t>。</w:t>
      </w:r>
    </w:p>
    <w:p w14:paraId="72F93A52">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二、质量保修期</w:t>
      </w:r>
    </w:p>
    <w:p w14:paraId="5E3F5EE9">
      <w:pPr>
        <w:spacing w:line="360" w:lineRule="auto"/>
        <w:ind w:firstLine="420"/>
        <w:rPr>
          <w:rFonts w:ascii="宋体" w:hAnsi="宋体"/>
          <w:color w:val="auto"/>
          <w:szCs w:val="21"/>
          <w:highlight w:val="none"/>
        </w:rPr>
      </w:pPr>
      <w:r>
        <w:rPr>
          <w:rFonts w:hint="eastAsia" w:ascii="宋体" w:hAnsi="宋体"/>
          <w:color w:val="auto"/>
          <w:szCs w:val="21"/>
          <w:highlight w:val="none"/>
        </w:rPr>
        <w:t>根据《建设工程质量管理条例》及有关规定，工程的质量保修期如下：</w:t>
      </w:r>
    </w:p>
    <w:p w14:paraId="71802498">
      <w:pPr>
        <w:spacing w:line="360" w:lineRule="auto"/>
        <w:ind w:firstLine="420"/>
        <w:rPr>
          <w:rFonts w:ascii="宋体" w:hAnsi="宋体"/>
          <w:color w:val="auto"/>
          <w:szCs w:val="21"/>
          <w:highlight w:val="none"/>
        </w:rPr>
      </w:pPr>
      <w:r>
        <w:rPr>
          <w:rFonts w:hint="eastAsia" w:ascii="宋体" w:hAnsi="宋体"/>
          <w:color w:val="auto"/>
          <w:szCs w:val="21"/>
          <w:highlight w:val="none"/>
        </w:rPr>
        <w:t>1.地基基础工程和主体结构工程为设计文件规定的工程合理使用年限；</w:t>
      </w:r>
    </w:p>
    <w:p w14:paraId="2648965C">
      <w:pPr>
        <w:spacing w:line="360" w:lineRule="auto"/>
        <w:ind w:firstLine="420"/>
        <w:rPr>
          <w:rFonts w:ascii="宋体" w:hAnsi="宋体"/>
          <w:color w:val="auto"/>
          <w:szCs w:val="21"/>
          <w:highlight w:val="none"/>
        </w:rPr>
      </w:pPr>
      <w:r>
        <w:rPr>
          <w:rFonts w:hint="eastAsia" w:ascii="宋体" w:hAnsi="宋体"/>
          <w:color w:val="auto"/>
          <w:szCs w:val="21"/>
          <w:highlight w:val="none"/>
        </w:rPr>
        <w:t>2.屋面防水工程、有防水要求的卫生间、房间和外墙面的防渗为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p>
    <w:p w14:paraId="0EA6D75B">
      <w:pPr>
        <w:spacing w:line="360" w:lineRule="auto"/>
        <w:ind w:firstLine="420"/>
        <w:rPr>
          <w:rFonts w:ascii="宋体" w:hAnsi="宋体"/>
          <w:color w:val="auto"/>
          <w:szCs w:val="21"/>
          <w:highlight w:val="none"/>
        </w:rPr>
      </w:pPr>
      <w:r>
        <w:rPr>
          <w:rFonts w:hint="eastAsia" w:ascii="宋体" w:hAnsi="宋体"/>
          <w:color w:val="auto"/>
          <w:szCs w:val="21"/>
          <w:highlight w:val="none"/>
        </w:rPr>
        <w:t>3.装修工程为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p>
    <w:p w14:paraId="7A057BE3">
      <w:pPr>
        <w:spacing w:line="360" w:lineRule="auto"/>
        <w:ind w:firstLine="420"/>
        <w:rPr>
          <w:rFonts w:ascii="宋体" w:hAnsi="宋体"/>
          <w:color w:val="auto"/>
          <w:szCs w:val="21"/>
          <w:highlight w:val="none"/>
        </w:rPr>
      </w:pPr>
      <w:r>
        <w:rPr>
          <w:rFonts w:hint="eastAsia" w:ascii="宋体" w:hAnsi="宋体"/>
          <w:color w:val="auto"/>
          <w:szCs w:val="21"/>
          <w:highlight w:val="none"/>
        </w:rPr>
        <w:t>4.电气管线、给排水管道、设备安装工程为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p>
    <w:p w14:paraId="0A660C67">
      <w:pPr>
        <w:spacing w:line="360" w:lineRule="auto"/>
        <w:ind w:firstLine="420"/>
        <w:rPr>
          <w:rFonts w:ascii="宋体" w:hAnsi="宋体"/>
          <w:color w:val="auto"/>
          <w:szCs w:val="21"/>
          <w:highlight w:val="none"/>
        </w:rPr>
      </w:pPr>
      <w:r>
        <w:rPr>
          <w:rFonts w:hint="eastAsia" w:ascii="宋体" w:hAnsi="宋体"/>
          <w:color w:val="auto"/>
          <w:szCs w:val="21"/>
          <w:highlight w:val="none"/>
        </w:rPr>
        <w:t>5.供热与供冷系统为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个采暖期、供冷期；</w:t>
      </w:r>
    </w:p>
    <w:p w14:paraId="3B7EA8E8">
      <w:pPr>
        <w:spacing w:line="360" w:lineRule="auto"/>
        <w:ind w:firstLine="420"/>
        <w:rPr>
          <w:rFonts w:ascii="宋体" w:hAnsi="宋体"/>
          <w:color w:val="auto"/>
          <w:szCs w:val="21"/>
          <w:highlight w:val="none"/>
        </w:rPr>
      </w:pPr>
      <w:r>
        <w:rPr>
          <w:rFonts w:hint="eastAsia" w:ascii="宋体" w:hAnsi="宋体"/>
          <w:color w:val="auto"/>
          <w:szCs w:val="21"/>
          <w:highlight w:val="none"/>
        </w:rPr>
        <w:t>6.住宅小区内的给排水设施、道路等配套工程为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年；</w:t>
      </w:r>
    </w:p>
    <w:p w14:paraId="7383EFFC">
      <w:pPr>
        <w:spacing w:line="360" w:lineRule="auto"/>
        <w:ind w:firstLine="420"/>
        <w:rPr>
          <w:rFonts w:ascii="宋体" w:hAnsi="宋体"/>
          <w:color w:val="auto"/>
          <w:szCs w:val="21"/>
          <w:highlight w:val="none"/>
        </w:rPr>
      </w:pPr>
      <w:r>
        <w:rPr>
          <w:rFonts w:hint="eastAsia" w:ascii="宋体" w:hAnsi="宋体"/>
          <w:color w:val="auto"/>
          <w:szCs w:val="21"/>
          <w:highlight w:val="none"/>
        </w:rPr>
        <w:t>7.其他项目保修期限约定如下：</w:t>
      </w:r>
      <w:r>
        <w:rPr>
          <w:rFonts w:ascii="宋体" w:hAnsi="宋体"/>
          <w:color w:val="auto"/>
          <w:szCs w:val="21"/>
          <w:highlight w:val="none"/>
          <w:u w:val="single"/>
        </w:rPr>
        <w:t xml:space="preserve">                    </w:t>
      </w:r>
      <w:r>
        <w:rPr>
          <w:rFonts w:hint="eastAsia" w:ascii="宋体" w:hAnsi="宋体"/>
          <w:color w:val="auto"/>
          <w:szCs w:val="21"/>
          <w:highlight w:val="none"/>
        </w:rPr>
        <w:t>。</w:t>
      </w:r>
    </w:p>
    <w:p w14:paraId="279A7961">
      <w:pPr>
        <w:spacing w:line="360" w:lineRule="auto"/>
        <w:ind w:firstLine="420"/>
        <w:rPr>
          <w:rFonts w:ascii="宋体" w:hAnsi="宋体"/>
          <w:color w:val="auto"/>
          <w:szCs w:val="21"/>
          <w:highlight w:val="none"/>
        </w:rPr>
      </w:pPr>
      <w:r>
        <w:rPr>
          <w:rFonts w:hint="eastAsia" w:ascii="宋体" w:hAnsi="宋体"/>
          <w:color w:val="auto"/>
          <w:szCs w:val="21"/>
          <w:highlight w:val="none"/>
        </w:rPr>
        <w:t>质量保修期自工程竣工验收合格之日起计算。</w:t>
      </w:r>
    </w:p>
    <w:p w14:paraId="6C2F4831">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三、缺陷责任期</w:t>
      </w:r>
    </w:p>
    <w:p w14:paraId="6CF1645A">
      <w:pPr>
        <w:spacing w:line="360" w:lineRule="auto"/>
        <w:ind w:firstLine="420"/>
        <w:rPr>
          <w:rFonts w:ascii="宋体" w:hAnsi="宋体"/>
          <w:color w:val="auto"/>
          <w:szCs w:val="21"/>
          <w:highlight w:val="none"/>
        </w:rPr>
      </w:pPr>
      <w:r>
        <w:rPr>
          <w:rFonts w:hint="eastAsia" w:ascii="宋体" w:hAnsi="宋体"/>
          <w:color w:val="auto"/>
          <w:szCs w:val="21"/>
          <w:highlight w:val="none"/>
        </w:rPr>
        <w:t>工程缺陷责任期为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个月，缺陷责任期自工程通过竣工验收之日起计算。单位/区段工程先于全部工程进行验收，单位/区段工程缺陷责任期自单位/区段工程验收合格之日起算。</w:t>
      </w:r>
    </w:p>
    <w:p w14:paraId="03A3C7E9">
      <w:pPr>
        <w:spacing w:line="360" w:lineRule="auto"/>
        <w:ind w:firstLine="420"/>
        <w:rPr>
          <w:rFonts w:ascii="宋体" w:hAnsi="宋体"/>
          <w:color w:val="auto"/>
          <w:szCs w:val="21"/>
          <w:highlight w:val="none"/>
        </w:rPr>
      </w:pPr>
      <w:r>
        <w:rPr>
          <w:rFonts w:hint="eastAsia" w:ascii="宋体" w:hAnsi="宋体"/>
          <w:color w:val="auto"/>
          <w:szCs w:val="21"/>
          <w:highlight w:val="none"/>
        </w:rPr>
        <w:t>缺陷责任期终止后，发包人应返还剩余的质量保证金。</w:t>
      </w:r>
    </w:p>
    <w:p w14:paraId="3D38E8D2">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四、质量保修责任</w:t>
      </w:r>
    </w:p>
    <w:p w14:paraId="4B489C73">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rPr>
        <w:t>属于保修范围、内容的项目，承包人应当在接到保修通知之日起7天内派人保修。承包人不在约定期限内派人保修的，发包人可以委托他人修理。</w:t>
      </w:r>
    </w:p>
    <w:p w14:paraId="3BA6D1A7">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2.</w:t>
      </w:r>
      <w:r>
        <w:rPr>
          <w:rFonts w:hint="eastAsia" w:ascii="宋体" w:hAnsi="宋体"/>
          <w:color w:val="auto"/>
          <w:szCs w:val="21"/>
          <w:highlight w:val="none"/>
        </w:rPr>
        <w:t>发生紧急事故需抢修的，承包人在接到事故通知后，应当立即到达事故现场抢修。</w:t>
      </w:r>
    </w:p>
    <w:p w14:paraId="09C5C066">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3.</w:t>
      </w:r>
      <w:r>
        <w:rPr>
          <w:rFonts w:hint="eastAsia" w:ascii="宋体" w:hAnsi="宋体"/>
          <w:color w:val="auto"/>
          <w:szCs w:val="21"/>
          <w:highlight w:val="none"/>
        </w:rPr>
        <w:t>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0272BC89">
      <w:pPr>
        <w:spacing w:line="360" w:lineRule="auto"/>
        <w:ind w:firstLine="420"/>
        <w:rPr>
          <w:rFonts w:ascii="宋体" w:hAnsi="宋体"/>
          <w:color w:val="auto"/>
          <w:szCs w:val="21"/>
          <w:highlight w:val="none"/>
        </w:rPr>
      </w:pPr>
      <w:r>
        <w:rPr>
          <w:rFonts w:hint="eastAsia" w:ascii="宋体" w:hAnsi="宋体"/>
          <w:color w:val="auto"/>
          <w:szCs w:val="21"/>
          <w:highlight w:val="none"/>
          <w:lang w:eastAsia="zh-CN"/>
        </w:rPr>
        <w:t>4.</w:t>
      </w:r>
      <w:r>
        <w:rPr>
          <w:rFonts w:hint="eastAsia" w:ascii="宋体" w:hAnsi="宋体"/>
          <w:color w:val="auto"/>
          <w:szCs w:val="21"/>
          <w:highlight w:val="none"/>
        </w:rPr>
        <w:t>质量保修完成后，由发包人组织验收。</w:t>
      </w:r>
    </w:p>
    <w:p w14:paraId="06B77F15">
      <w:pPr>
        <w:spacing w:line="360" w:lineRule="auto"/>
        <w:ind w:firstLine="420"/>
        <w:rPr>
          <w:rFonts w:ascii="宋体" w:hAnsi="宋体"/>
          <w:b/>
          <w:bCs/>
          <w:color w:val="auto"/>
          <w:szCs w:val="21"/>
          <w:highlight w:val="none"/>
        </w:rPr>
      </w:pPr>
      <w:r>
        <w:rPr>
          <w:rFonts w:hint="eastAsia" w:ascii="宋体" w:hAnsi="宋体"/>
          <w:b/>
          <w:bCs/>
          <w:color w:val="auto"/>
          <w:szCs w:val="21"/>
          <w:highlight w:val="none"/>
        </w:rPr>
        <w:t>五、保修费用</w:t>
      </w:r>
    </w:p>
    <w:p w14:paraId="4892FBA8">
      <w:pPr>
        <w:spacing w:line="360" w:lineRule="auto"/>
        <w:ind w:firstLine="420"/>
        <w:rPr>
          <w:rFonts w:ascii="宋体" w:hAnsi="宋体"/>
          <w:color w:val="auto"/>
          <w:szCs w:val="21"/>
          <w:highlight w:val="none"/>
        </w:rPr>
      </w:pPr>
      <w:r>
        <w:rPr>
          <w:rFonts w:hint="eastAsia" w:ascii="宋体" w:hAnsi="宋体"/>
          <w:color w:val="auto"/>
          <w:szCs w:val="21"/>
          <w:highlight w:val="none"/>
        </w:rPr>
        <w:t>保修费用由造成质量缺陷的责任方承担。</w:t>
      </w:r>
    </w:p>
    <w:p w14:paraId="49CD4140">
      <w:pPr>
        <w:spacing w:line="360" w:lineRule="auto"/>
        <w:ind w:firstLine="420"/>
        <w:rPr>
          <w:rFonts w:ascii="宋体" w:hAnsi="宋体"/>
          <w:color w:val="auto"/>
          <w:szCs w:val="21"/>
          <w:highlight w:val="none"/>
          <w:u w:val="single"/>
        </w:rPr>
      </w:pPr>
      <w:r>
        <w:rPr>
          <w:rFonts w:hint="eastAsia" w:ascii="宋体" w:hAnsi="宋体"/>
          <w:color w:val="auto"/>
          <w:szCs w:val="21"/>
          <w:highlight w:val="none"/>
        </w:rPr>
        <w:t>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rPr>
        <w:t>。</w:t>
      </w:r>
    </w:p>
    <w:p w14:paraId="624D0E03">
      <w:pPr>
        <w:pStyle w:val="167"/>
        <w:spacing w:line="360" w:lineRule="auto"/>
        <w:ind w:firstLine="420" w:firstLineChars="200"/>
        <w:rPr>
          <w:rFonts w:ascii="宋体" w:hAnsi="宋体"/>
          <w:color w:val="auto"/>
          <w:kern w:val="2"/>
          <w:sz w:val="21"/>
          <w:szCs w:val="21"/>
          <w:highlight w:val="none"/>
        </w:rPr>
      </w:pPr>
      <w:r>
        <w:rPr>
          <w:rFonts w:hint="eastAsia" w:ascii="宋体" w:hAnsi="宋体"/>
          <w:color w:val="auto"/>
          <w:kern w:val="2"/>
          <w:sz w:val="21"/>
          <w:szCs w:val="21"/>
          <w:highlight w:val="none"/>
        </w:rPr>
        <w:t>工程质量保修书由发包人、承包人在工程竣工验收前共同签署，作为工程总承包合同附件，其有效期限至保修期满。</w:t>
      </w:r>
    </w:p>
    <w:p w14:paraId="411F7A28">
      <w:pPr>
        <w:pStyle w:val="167"/>
        <w:spacing w:line="360" w:lineRule="auto"/>
        <w:rPr>
          <w:rFonts w:ascii="宋体" w:hAnsi="宋体" w:cs="宋体"/>
          <w:color w:val="auto"/>
          <w:szCs w:val="21"/>
          <w:highlight w:val="none"/>
        </w:rPr>
      </w:pPr>
    </w:p>
    <w:p w14:paraId="757DC70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（以下无正文）</w:t>
      </w:r>
    </w:p>
    <w:p w14:paraId="79BEFAA0">
      <w:pPr>
        <w:pStyle w:val="167"/>
        <w:spacing w:line="360" w:lineRule="auto"/>
        <w:rPr>
          <w:rFonts w:ascii="宋体" w:hAnsi="宋体" w:cs="宋体"/>
          <w:color w:val="auto"/>
          <w:szCs w:val="21"/>
          <w:highlight w:val="none"/>
        </w:rPr>
      </w:pPr>
    </w:p>
    <w:p w14:paraId="751F4EE9">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发包人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公章</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                               承包人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公章</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w:t>
      </w:r>
    </w:p>
    <w:p w14:paraId="2278192C">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地址：                                       地址：</w:t>
      </w:r>
    </w:p>
    <w:p w14:paraId="152BA884">
      <w:pPr>
        <w:pStyle w:val="167"/>
        <w:spacing w:line="360" w:lineRule="auto"/>
        <w:rPr>
          <w:rFonts w:hint="eastAsia" w:ascii="宋体" w:hAnsi="宋体"/>
          <w:color w:val="auto"/>
          <w:sz w:val="21"/>
          <w:szCs w:val="22"/>
          <w:highlight w:val="none"/>
          <w:u w:val="single"/>
        </w:rPr>
      </w:pPr>
      <w:r>
        <w:rPr>
          <w:rFonts w:hint="eastAsia" w:ascii="宋体" w:hAnsi="宋体" w:cs="宋体"/>
          <w:color w:val="auto"/>
          <w:sz w:val="21"/>
          <w:szCs w:val="22"/>
          <w:highlight w:val="none"/>
        </w:rPr>
        <w:t>法定代表人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签字</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法定代表人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签字</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w:t>
      </w:r>
    </w:p>
    <w:p w14:paraId="57508BE9">
      <w:pPr>
        <w:pStyle w:val="167"/>
        <w:spacing w:line="360" w:lineRule="auto"/>
        <w:rPr>
          <w:rFonts w:hint="eastAsia" w:ascii="宋体" w:hAnsi="宋体"/>
          <w:color w:val="auto"/>
          <w:sz w:val="21"/>
          <w:szCs w:val="22"/>
          <w:highlight w:val="none"/>
          <w:u w:val="single"/>
        </w:rPr>
      </w:pPr>
      <w:r>
        <w:rPr>
          <w:rFonts w:hint="eastAsia" w:ascii="宋体" w:hAnsi="宋体" w:cs="宋体"/>
          <w:color w:val="auto"/>
          <w:sz w:val="21"/>
          <w:szCs w:val="22"/>
          <w:highlight w:val="none"/>
        </w:rPr>
        <w:t>委托代理人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签字</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委托代理人</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签字</w:t>
      </w:r>
      <w:r>
        <w:rPr>
          <w:rFonts w:hint="eastAsia" w:ascii="宋体" w:hAnsi="宋体" w:cs="宋体"/>
          <w:color w:val="auto"/>
          <w:sz w:val="21"/>
          <w:szCs w:val="22"/>
          <w:highlight w:val="none"/>
          <w:lang w:eastAsia="zh-CN"/>
        </w:rPr>
        <w:t>）</w:t>
      </w:r>
      <w:r>
        <w:rPr>
          <w:rFonts w:hint="eastAsia" w:ascii="宋体" w:hAnsi="宋体" w:cs="宋体"/>
          <w:color w:val="auto"/>
          <w:sz w:val="21"/>
          <w:szCs w:val="22"/>
          <w:highlight w:val="none"/>
        </w:rPr>
        <w:t>：</w:t>
      </w:r>
    </w:p>
    <w:p w14:paraId="2B5BB83E">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电话：</w:t>
      </w:r>
      <w:r>
        <w:rPr>
          <w:rFonts w:hint="eastAsia" w:ascii="宋体" w:hAnsi="宋体" w:cs="MingLiU_HKSCS"/>
          <w:color w:val="auto"/>
          <w:sz w:val="21"/>
          <w:szCs w:val="22"/>
          <w:highlight w:val="none"/>
          <w:lang w:val="en-US" w:eastAsia="zh-CN"/>
        </w:rPr>
        <w:t xml:space="preserve">                </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电话：</w:t>
      </w:r>
    </w:p>
    <w:p w14:paraId="72456FE3">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传真：</w:t>
      </w:r>
      <w:r>
        <w:rPr>
          <w:rFonts w:hint="eastAsia" w:ascii="宋体" w:hAnsi="宋体" w:cs="MingLiU_HKSCS"/>
          <w:color w:val="auto"/>
          <w:sz w:val="21"/>
          <w:szCs w:val="22"/>
          <w:highlight w:val="none"/>
          <w:lang w:val="en-US" w:eastAsia="zh-CN"/>
        </w:rPr>
        <w:t xml:space="preserve">                </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传真：</w:t>
      </w:r>
      <w:r>
        <w:rPr>
          <w:rFonts w:hint="eastAsia" w:ascii="宋体" w:hAnsi="宋体" w:cs="MingLiU_HKSCS"/>
          <w:color w:val="auto"/>
          <w:sz w:val="21"/>
          <w:szCs w:val="22"/>
          <w:highlight w:val="none"/>
        </w:rPr>
        <w:t></w:t>
      </w:r>
      <w:r>
        <w:rPr>
          <w:rFonts w:hint="eastAsia" w:ascii="宋体" w:hAnsi="宋体" w:cs="宋体"/>
          <w:color w:val="auto"/>
          <w:sz w:val="21"/>
          <w:szCs w:val="22"/>
          <w:highlight w:val="none"/>
        </w:rPr>
        <w:t xml:space="preserve">  </w:t>
      </w:r>
    </w:p>
    <w:p w14:paraId="55B36639">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开户银行：</w:t>
      </w:r>
      <w:r>
        <w:rPr>
          <w:rFonts w:hint="eastAsia" w:ascii="宋体" w:hAnsi="宋体" w:cs="MingLiU_HKSCS"/>
          <w:color w:val="auto"/>
          <w:sz w:val="21"/>
          <w:szCs w:val="22"/>
          <w:highlight w:val="none"/>
          <w:lang w:val="en-US" w:eastAsia="zh-CN"/>
        </w:rPr>
        <w:t xml:space="preserve">              </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开户银行：</w:t>
      </w:r>
    </w:p>
    <w:p w14:paraId="61E8D50D">
      <w:pPr>
        <w:pStyle w:val="167"/>
        <w:spacing w:line="360" w:lineRule="auto"/>
        <w:rPr>
          <w:rFonts w:hint="eastAsia" w:ascii="宋体" w:hAnsi="宋体"/>
          <w:color w:val="auto"/>
          <w:sz w:val="21"/>
          <w:szCs w:val="22"/>
          <w:highlight w:val="none"/>
        </w:rPr>
      </w:pPr>
      <w:r>
        <w:rPr>
          <w:rFonts w:hint="eastAsia" w:ascii="宋体" w:hAnsi="宋体" w:cs="宋体"/>
          <w:color w:val="auto"/>
          <w:sz w:val="21"/>
          <w:szCs w:val="22"/>
          <w:highlight w:val="none"/>
        </w:rPr>
        <w:t>账号：</w:t>
      </w:r>
      <w:r>
        <w:rPr>
          <w:rFonts w:hint="eastAsia" w:ascii="宋体" w:hAnsi="宋体" w:cs="MingLiU_HKSCS"/>
          <w:color w:val="auto"/>
          <w:sz w:val="21"/>
          <w:szCs w:val="22"/>
          <w:highlight w:val="none"/>
          <w:lang w:val="en-US" w:eastAsia="zh-CN"/>
        </w:rPr>
        <w:t xml:space="preserve">            </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账号：</w:t>
      </w:r>
      <w:r>
        <w:rPr>
          <w:rFonts w:hint="eastAsia" w:ascii="宋体" w:hAnsi="宋体" w:cs="MingLiU_HKSCS"/>
          <w:color w:val="auto"/>
          <w:sz w:val="21"/>
          <w:szCs w:val="22"/>
          <w:highlight w:val="none"/>
        </w:rPr>
        <w:t></w:t>
      </w:r>
    </w:p>
    <w:p w14:paraId="41CF464F">
      <w:pPr>
        <w:pStyle w:val="167"/>
        <w:rPr>
          <w:rFonts w:hint="eastAsia" w:ascii="宋体" w:hAnsi="宋体"/>
          <w:color w:val="auto"/>
          <w:sz w:val="21"/>
          <w:szCs w:val="21"/>
          <w:highlight w:val="none"/>
        </w:rPr>
      </w:pPr>
      <w:r>
        <w:rPr>
          <w:rFonts w:hint="eastAsia" w:ascii="宋体" w:hAnsi="宋体" w:cs="宋体"/>
          <w:color w:val="auto"/>
          <w:sz w:val="21"/>
          <w:szCs w:val="22"/>
          <w:highlight w:val="none"/>
        </w:rPr>
        <w:t>邮政编码：</w:t>
      </w:r>
      <w:r>
        <w:rPr>
          <w:rFonts w:hint="eastAsia" w:ascii="宋体" w:hAnsi="宋体" w:cs="MingLiU_HKSCS"/>
          <w:color w:val="auto"/>
          <w:sz w:val="21"/>
          <w:szCs w:val="22"/>
          <w:highlight w:val="none"/>
          <w:lang w:val="en-US" w:eastAsia="zh-CN"/>
        </w:rPr>
        <w:t xml:space="preserve">            </w:t>
      </w:r>
      <w:r>
        <w:rPr>
          <w:rFonts w:hint="eastAsia" w:ascii="宋体" w:hAnsi="宋体" w:cs="MingLiU_HKSCS"/>
          <w:color w:val="auto"/>
          <w:sz w:val="21"/>
          <w:szCs w:val="22"/>
          <w:highlight w:val="none"/>
        </w:rPr>
        <w:t xml:space="preserve">                       </w:t>
      </w:r>
      <w:r>
        <w:rPr>
          <w:rFonts w:hint="eastAsia" w:ascii="宋体" w:hAnsi="宋体" w:cs="宋体"/>
          <w:color w:val="auto"/>
          <w:sz w:val="21"/>
          <w:szCs w:val="22"/>
          <w:highlight w:val="none"/>
        </w:rPr>
        <w:t>邮政编码：</w:t>
      </w:r>
      <w:r>
        <w:rPr>
          <w:rFonts w:hint="eastAsia" w:ascii="宋体" w:hAnsi="宋体" w:cs="MingLiU_HKSCS"/>
          <w:color w:val="auto"/>
          <w:sz w:val="21"/>
          <w:szCs w:val="22"/>
          <w:highlight w:val="none"/>
        </w:rPr>
        <w:t></w:t>
      </w:r>
    </w:p>
    <w:p w14:paraId="715EDB1B">
      <w:pPr>
        <w:rPr>
          <w:color w:val="auto"/>
          <w:highlight w:val="none"/>
        </w:rPr>
      </w:pPr>
    </w:p>
    <w:p w14:paraId="51888378">
      <w:pPr>
        <w:rPr>
          <w:rFonts w:ascii="宋体" w:hAnsi="宋体"/>
          <w:color w:val="auto"/>
          <w:szCs w:val="21"/>
          <w:highlight w:val="none"/>
        </w:rPr>
      </w:pPr>
      <w:r>
        <w:rPr>
          <w:rFonts w:hint="eastAsia" w:ascii="宋体" w:hAnsi="宋体"/>
          <w:color w:val="auto"/>
          <w:szCs w:val="21"/>
          <w:highlight w:val="none"/>
        </w:rPr>
        <w:br w:type="page"/>
      </w:r>
    </w:p>
    <w:p w14:paraId="7D28708D">
      <w:pPr>
        <w:keepNext/>
        <w:keepLines/>
        <w:spacing w:line="360" w:lineRule="auto"/>
        <w:outlineLvl w:val="2"/>
        <w:rPr>
          <w:rFonts w:ascii="宋体" w:hAnsi="宋体"/>
          <w:bCs/>
          <w:color w:val="auto"/>
          <w:szCs w:val="21"/>
          <w:highlight w:val="none"/>
        </w:rPr>
      </w:pPr>
      <w:r>
        <w:rPr>
          <w:rFonts w:hint="eastAsia" w:ascii="宋体" w:hAnsi="宋体"/>
          <w:color w:val="auto"/>
          <w:szCs w:val="21"/>
          <w:highlight w:val="none"/>
        </w:rPr>
        <w:t>附件二：安全生产合同</w:t>
      </w:r>
      <w:bookmarkEnd w:id="1153"/>
    </w:p>
    <w:p w14:paraId="264E7299">
      <w:pPr>
        <w:spacing w:line="360" w:lineRule="auto"/>
        <w:jc w:val="center"/>
        <w:rPr>
          <w:rFonts w:hint="eastAsia" w:ascii="宋体" w:hAnsi="宋体" w:cs="Courier New"/>
          <w:color w:val="auto"/>
          <w:sz w:val="28"/>
          <w:szCs w:val="28"/>
          <w:highlight w:val="none"/>
        </w:rPr>
      </w:pPr>
      <w:r>
        <w:rPr>
          <w:rFonts w:ascii="宋体" w:hAnsi="宋体" w:cs="Courier New"/>
          <w:b/>
          <w:color w:val="auto"/>
          <w:sz w:val="28"/>
          <w:szCs w:val="28"/>
          <w:highlight w:val="none"/>
        </w:rPr>
        <w:t>安全生产合同</w:t>
      </w:r>
    </w:p>
    <w:p w14:paraId="2BB79647">
      <w:pPr>
        <w:spacing w:line="360" w:lineRule="auto"/>
        <w:ind w:firstLine="420" w:firstLineChars="200"/>
        <w:rPr>
          <w:rFonts w:hint="eastAsia" w:ascii="宋体" w:hAnsi="宋体"/>
          <w:b/>
          <w:bCs/>
          <w:color w:val="auto"/>
          <w:szCs w:val="21"/>
          <w:highlight w:val="none"/>
          <w:u w:val="single"/>
        </w:rPr>
      </w:pPr>
      <w:r>
        <w:rPr>
          <w:rFonts w:hint="eastAsia" w:ascii="宋体" w:hAnsi="宋体"/>
          <w:color w:val="auto"/>
          <w:szCs w:val="21"/>
          <w:highlight w:val="none"/>
        </w:rPr>
        <w:t>为在实施过程中创造安全、高效的施工环境，搞好本项目的安全管理工作，本项目发包人</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以下简称“甲方”</w:t>
      </w:r>
      <w:r>
        <w:rPr>
          <w:rFonts w:hint="eastAsia" w:ascii="宋体" w:hAnsi="宋体"/>
          <w:color w:val="auto"/>
          <w:szCs w:val="21"/>
          <w:highlight w:val="none"/>
          <w:lang w:eastAsia="zh-CN"/>
        </w:rPr>
        <w:t>）</w:t>
      </w:r>
      <w:r>
        <w:rPr>
          <w:rFonts w:hint="eastAsia" w:ascii="宋体" w:hAnsi="宋体"/>
          <w:color w:val="auto"/>
          <w:szCs w:val="21"/>
          <w:highlight w:val="none"/>
        </w:rPr>
        <w:t>与乙方</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bCs/>
          <w:color w:val="auto"/>
          <w:szCs w:val="21"/>
          <w:highlight w:val="none"/>
          <w:u w:val="single"/>
        </w:rPr>
        <w:t>（</w:t>
      </w:r>
      <w:r>
        <w:rPr>
          <w:rFonts w:hint="eastAsia" w:ascii="宋体" w:hAnsi="宋体"/>
          <w:color w:val="auto"/>
          <w:szCs w:val="21"/>
          <w:highlight w:val="none"/>
        </w:rPr>
        <w:t>以下简称“乙方”</w:t>
      </w:r>
      <w:r>
        <w:rPr>
          <w:rFonts w:hint="eastAsia" w:ascii="宋体" w:hAnsi="宋体"/>
          <w:color w:val="auto"/>
          <w:szCs w:val="21"/>
          <w:highlight w:val="none"/>
          <w:lang w:eastAsia="zh-CN"/>
        </w:rPr>
        <w:t>）</w:t>
      </w:r>
      <w:r>
        <w:rPr>
          <w:rFonts w:hint="eastAsia" w:ascii="宋体" w:hAnsi="宋体"/>
          <w:color w:val="auto"/>
          <w:szCs w:val="21"/>
          <w:highlight w:val="none"/>
        </w:rPr>
        <w:t>特此签订安全生产合同：</w:t>
      </w:r>
    </w:p>
    <w:p w14:paraId="72AF8809">
      <w:p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一、甲方职责</w:t>
      </w:r>
    </w:p>
    <w:p w14:paraId="72F1333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1.严格遵守国家有关安全生产的法律法规，认真执行工程承包合同中的有关安全要求。</w:t>
      </w:r>
    </w:p>
    <w:p w14:paraId="5097820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2.按照“安全第一、预防为主”和坚持“管生产必须管安全”的原则进行安全生产管理，做到生产与安全工作同时计划、布置、检查、总结和评比。</w:t>
      </w:r>
    </w:p>
    <w:p w14:paraId="7252B315">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3.重要的安全设施必须坚持与主体工程“三同时”的原则，即：同时设计、审批，同时施工，同时验收，投入使用。</w:t>
      </w:r>
    </w:p>
    <w:p w14:paraId="3A1EFBF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4.定期召开安全生产调度会，及时传达中央及地方有关安全生产的精神。</w:t>
      </w:r>
    </w:p>
    <w:p w14:paraId="533E699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5.组织对乙方施工现场安全生产检查，监督乙方及时处理发现的各种安全隐患。</w:t>
      </w:r>
    </w:p>
    <w:p w14:paraId="06EF0345">
      <w:pPr>
        <w:spacing w:line="360" w:lineRule="auto"/>
        <w:ind w:firstLine="359"/>
        <w:rPr>
          <w:rFonts w:hint="eastAsia" w:ascii="宋体" w:hAnsi="宋体"/>
          <w:b/>
          <w:color w:val="auto"/>
          <w:szCs w:val="21"/>
          <w:highlight w:val="none"/>
        </w:rPr>
      </w:pPr>
      <w:r>
        <w:rPr>
          <w:rFonts w:hint="eastAsia" w:ascii="宋体" w:hAnsi="宋体"/>
          <w:b/>
          <w:color w:val="auto"/>
          <w:szCs w:val="21"/>
          <w:highlight w:val="none"/>
        </w:rPr>
        <w:t>二、乙方职责</w:t>
      </w:r>
    </w:p>
    <w:p w14:paraId="1DB98737">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1.严格遵守国家有关安全生产的法律法规、建设部颁发的《施工现场临时用电安全技术规范》JGJ46-2005有关安全生产的规定，认真执行工程承包合同中的有关安全要求。</w:t>
      </w:r>
    </w:p>
    <w:p w14:paraId="109BBD3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555C0FA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3.建立健全安全生产责任制。从派往项目实施的项目经理</w:t>
      </w:r>
      <w:r>
        <w:rPr>
          <w:rFonts w:hint="eastAsia" w:ascii="宋体" w:hAnsi="宋体"/>
          <w:color w:val="auto"/>
          <w:szCs w:val="21"/>
          <w:highlight w:val="none"/>
          <w:lang w:eastAsia="zh-CN"/>
        </w:rPr>
        <w:t>（</w:t>
      </w:r>
      <w:r>
        <w:rPr>
          <w:rFonts w:hint="eastAsia" w:ascii="宋体" w:hAnsi="宋体"/>
          <w:color w:val="auto"/>
          <w:szCs w:val="21"/>
          <w:highlight w:val="none"/>
        </w:rPr>
        <w:t>建造师</w:t>
      </w:r>
      <w:r>
        <w:rPr>
          <w:rFonts w:hint="eastAsia" w:ascii="宋体" w:hAnsi="宋体"/>
          <w:color w:val="auto"/>
          <w:szCs w:val="21"/>
          <w:highlight w:val="none"/>
          <w:lang w:eastAsia="zh-CN"/>
        </w:rPr>
        <w:t>）</w:t>
      </w:r>
      <w:r>
        <w:rPr>
          <w:rFonts w:hint="eastAsia" w:ascii="宋体" w:hAnsi="宋体"/>
          <w:color w:val="auto"/>
          <w:szCs w:val="21"/>
          <w:highlight w:val="none"/>
        </w:rPr>
        <w:t>到生产工人</w:t>
      </w:r>
      <w:r>
        <w:rPr>
          <w:rFonts w:hint="eastAsia" w:ascii="宋体" w:hAnsi="宋体"/>
          <w:color w:val="auto"/>
          <w:szCs w:val="21"/>
          <w:highlight w:val="none"/>
          <w:lang w:eastAsia="zh-CN"/>
        </w:rPr>
        <w:t>（</w:t>
      </w:r>
      <w:r>
        <w:rPr>
          <w:rFonts w:hint="eastAsia" w:ascii="宋体" w:hAnsi="宋体"/>
          <w:color w:val="auto"/>
          <w:szCs w:val="21"/>
          <w:highlight w:val="none"/>
        </w:rPr>
        <w:t>包括临时雇请</w:t>
      </w:r>
      <w:r>
        <w:rPr>
          <w:rFonts w:hint="eastAsia" w:ascii="宋体" w:hAnsi="宋体"/>
          <w:color w:val="auto"/>
          <w:szCs w:val="21"/>
          <w:highlight w:val="none"/>
          <w:lang w:eastAsia="zh-CN"/>
        </w:rPr>
        <w:t>的农</w:t>
      </w:r>
      <w:r>
        <w:rPr>
          <w:rFonts w:hint="eastAsia" w:ascii="宋体" w:hAnsi="宋体"/>
          <w:color w:val="auto"/>
          <w:szCs w:val="21"/>
          <w:highlight w:val="none"/>
        </w:rPr>
        <w:t>民工</w:t>
      </w:r>
      <w:r>
        <w:rPr>
          <w:rFonts w:hint="eastAsia" w:ascii="宋体" w:hAnsi="宋体"/>
          <w:color w:val="auto"/>
          <w:szCs w:val="21"/>
          <w:highlight w:val="none"/>
          <w:lang w:eastAsia="zh-CN"/>
        </w:rPr>
        <w:t>）</w:t>
      </w:r>
      <w:r>
        <w:rPr>
          <w:rFonts w:hint="eastAsia" w:ascii="宋体" w:hAnsi="宋体"/>
          <w:color w:val="auto"/>
          <w:szCs w:val="21"/>
          <w:highlight w:val="none"/>
        </w:rPr>
        <w:t>的安全生产管理系统必须做到纵向到底，一环不漏；各职能部门、人员的安全生产责任制做到横向到边，人人有责。项目经理</w:t>
      </w:r>
      <w:r>
        <w:rPr>
          <w:rFonts w:hint="eastAsia" w:ascii="宋体" w:hAnsi="宋体"/>
          <w:color w:val="auto"/>
          <w:szCs w:val="21"/>
          <w:highlight w:val="none"/>
          <w:lang w:eastAsia="zh-CN"/>
        </w:rPr>
        <w:t>（</w:t>
      </w:r>
      <w:r>
        <w:rPr>
          <w:rFonts w:hint="eastAsia" w:ascii="宋体" w:hAnsi="宋体"/>
          <w:color w:val="auto"/>
          <w:szCs w:val="21"/>
          <w:highlight w:val="none"/>
        </w:rPr>
        <w:t>建造师</w:t>
      </w:r>
      <w:r>
        <w:rPr>
          <w:rFonts w:hint="eastAsia" w:ascii="宋体" w:hAnsi="宋体"/>
          <w:color w:val="auto"/>
          <w:szCs w:val="21"/>
          <w:highlight w:val="none"/>
          <w:lang w:eastAsia="zh-CN"/>
        </w:rPr>
        <w:t>）</w:t>
      </w:r>
      <w:r>
        <w:rPr>
          <w:rFonts w:hint="eastAsia" w:ascii="宋体" w:hAnsi="宋体"/>
          <w:color w:val="auto"/>
          <w:szCs w:val="21"/>
          <w:highlight w:val="none"/>
        </w:rPr>
        <w:t>是安全生产的第一责任人。现场设置的安全机构，应按施工人员的1％～3％配备安全员，专职负责所有员工的安全和治安保卫工作及预防事故的发生。安全机构人员，有权按有关规定发布指令，并采取保护性措施防止事故发生。</w:t>
      </w:r>
    </w:p>
    <w:p w14:paraId="022F05E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4.乙方在任何时候都应采取各种合理的预防措施，防止其员工发生任何违法、违禁、暴力或妨碍治安的行为。</w:t>
      </w:r>
    </w:p>
    <w:p w14:paraId="1AF764E6">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乙方必须具有劳动安全管理部门颁发的安全生产证书，参加施工的人员，必须接受安全技术教育，熟知和遵守本工种的各项安全技术操作规程，定期进行安全技术考核，合格者方准上岗操作。施工现场如出现特种作业无证操作现象时，项目经理</w:t>
      </w:r>
      <w:r>
        <w:rPr>
          <w:rFonts w:hint="eastAsia" w:ascii="宋体" w:hAnsi="宋体"/>
          <w:color w:val="auto"/>
          <w:szCs w:val="21"/>
          <w:highlight w:val="none"/>
          <w:lang w:eastAsia="zh-CN"/>
        </w:rPr>
        <w:t>（</w:t>
      </w:r>
      <w:r>
        <w:rPr>
          <w:rFonts w:hint="eastAsia" w:ascii="宋体" w:hAnsi="宋体"/>
          <w:color w:val="auto"/>
          <w:szCs w:val="21"/>
          <w:highlight w:val="none"/>
        </w:rPr>
        <w:t>建造师</w:t>
      </w:r>
      <w:r>
        <w:rPr>
          <w:rFonts w:hint="eastAsia" w:ascii="宋体" w:hAnsi="宋体"/>
          <w:color w:val="auto"/>
          <w:szCs w:val="21"/>
          <w:highlight w:val="none"/>
          <w:lang w:eastAsia="zh-CN"/>
        </w:rPr>
        <w:t>）</w:t>
      </w:r>
      <w:r>
        <w:rPr>
          <w:rFonts w:hint="eastAsia" w:ascii="宋体" w:hAnsi="宋体"/>
          <w:color w:val="auto"/>
          <w:szCs w:val="21"/>
          <w:highlight w:val="none"/>
        </w:rPr>
        <w:t>必须承担管理责任。</w:t>
      </w:r>
    </w:p>
    <w:p w14:paraId="2B83F12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6.对于易燃易爆的材料除应专门妥善保管</w:t>
      </w:r>
      <w:r>
        <w:rPr>
          <w:rFonts w:hint="eastAsia" w:ascii="宋体" w:hAnsi="宋体"/>
          <w:color w:val="auto"/>
          <w:szCs w:val="21"/>
          <w:highlight w:val="none"/>
          <w:lang w:eastAsia="zh-CN"/>
        </w:rPr>
        <w:t>之外，还应配备足够</w:t>
      </w:r>
      <w:r>
        <w:rPr>
          <w:rFonts w:hint="eastAsia" w:ascii="宋体" w:hAnsi="宋体"/>
          <w:color w:val="auto"/>
          <w:szCs w:val="21"/>
          <w:highlight w:val="none"/>
        </w:rPr>
        <w:t>的消防设施，所有施工人员都应熟悉消防设备的性能和使用方法；乙方不得将任何种类的爆炸物给予、易货或以其他方式转让给任何其他人，或允许、容忍上述同样行为。</w:t>
      </w:r>
    </w:p>
    <w:p w14:paraId="75133DF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7.操作人员上岗，必须按规定穿戴防护用品。施工负责人和安全检查员应随时检查劳动防护用品的穿戴情况，不按规定穿戴防护用品的人员不得上岗。</w:t>
      </w:r>
    </w:p>
    <w:p w14:paraId="3C79C029">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所有施工机具设备和高空作业的设备均应定期检查，并有安全员的签字记录，保证其经常处于完好状态；不合格的机具、设备和劳动保护用品严禁使用。</w:t>
      </w:r>
    </w:p>
    <w:p w14:paraId="72FC44B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9.</w:t>
      </w:r>
      <w:r>
        <w:rPr>
          <w:rFonts w:hint="eastAsia" w:ascii="宋体" w:hAnsi="宋体"/>
          <w:color w:val="auto"/>
          <w:szCs w:val="21"/>
          <w:highlight w:val="none"/>
        </w:rPr>
        <w:t>施工中采用新技术、新工艺、新设备、新材料时，必须制定相应的安全技术措施，施工现场必须具有相关的安全标志牌。</w:t>
      </w:r>
    </w:p>
    <w:p w14:paraId="3EC1F5CD">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eastAsia="zh-CN"/>
        </w:rPr>
        <w:t>10.</w:t>
      </w:r>
      <w:r>
        <w:rPr>
          <w:rFonts w:hint="eastAsia" w:ascii="宋体" w:hAnsi="宋体"/>
          <w:color w:val="auto"/>
          <w:szCs w:val="21"/>
          <w:highlight w:val="none"/>
        </w:rPr>
        <w:t>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7E96B466">
      <w:pPr>
        <w:spacing w:line="360" w:lineRule="auto"/>
        <w:ind w:firstLine="378"/>
        <w:rPr>
          <w:rFonts w:hint="eastAsia" w:ascii="宋体" w:hAnsi="宋体"/>
          <w:b/>
          <w:color w:val="auto"/>
          <w:szCs w:val="21"/>
          <w:highlight w:val="none"/>
        </w:rPr>
      </w:pPr>
      <w:r>
        <w:rPr>
          <w:rFonts w:hint="eastAsia" w:ascii="宋体" w:hAnsi="宋体"/>
          <w:b/>
          <w:color w:val="auto"/>
          <w:szCs w:val="21"/>
          <w:highlight w:val="none"/>
        </w:rPr>
        <w:t>三、违约责任</w:t>
      </w:r>
    </w:p>
    <w:p w14:paraId="387D26AB">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如因甲方或乙方违约造成安全事故，将依法追究责任。</w:t>
      </w:r>
    </w:p>
    <w:p w14:paraId="032861FC">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本合同共</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份，其中发包人</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份，承包人</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份。由双方法定代表人或其授权的代理人签署</w:t>
      </w:r>
      <w:r>
        <w:rPr>
          <w:rFonts w:hint="eastAsia" w:ascii="宋体" w:hAnsi="宋体"/>
          <w:color w:val="auto"/>
          <w:szCs w:val="21"/>
          <w:highlight w:val="none"/>
          <w:lang w:eastAsia="zh-CN"/>
        </w:rPr>
        <w:t>并</w:t>
      </w:r>
      <w:r>
        <w:rPr>
          <w:rFonts w:hint="eastAsia" w:ascii="宋体" w:hAnsi="宋体"/>
          <w:color w:val="auto"/>
          <w:szCs w:val="21"/>
          <w:highlight w:val="none"/>
        </w:rPr>
        <w:t>加盖公章后生效，全部工程竣工验收后失效。</w:t>
      </w:r>
    </w:p>
    <w:p w14:paraId="79721E80">
      <w:pPr>
        <w:pStyle w:val="55"/>
        <w:rPr>
          <w:color w:val="auto"/>
          <w:highlight w:val="none"/>
        </w:rPr>
      </w:pPr>
    </w:p>
    <w:p w14:paraId="0FAFD2CC">
      <w:pPr>
        <w:rPr>
          <w:rFonts w:hint="eastAsia" w:ascii="宋体" w:hAnsi="宋体"/>
          <w:color w:val="auto"/>
          <w:szCs w:val="21"/>
          <w:highlight w:val="none"/>
        </w:rPr>
      </w:pPr>
    </w:p>
    <w:p w14:paraId="3C6635AE">
      <w:pPr>
        <w:pStyle w:val="55"/>
        <w:rPr>
          <w:color w:val="auto"/>
          <w:highlight w:val="none"/>
        </w:rPr>
      </w:pPr>
    </w:p>
    <w:p w14:paraId="3BC1EFF7">
      <w:pPr>
        <w:rPr>
          <w:rFonts w:hint="eastAsia" w:ascii="宋体" w:hAnsi="宋体"/>
          <w:color w:val="auto"/>
          <w:szCs w:val="21"/>
          <w:highlight w:val="none"/>
        </w:rPr>
      </w:pPr>
    </w:p>
    <w:p w14:paraId="70D4E94E">
      <w:pPr>
        <w:tabs>
          <w:tab w:val="left" w:pos="4320"/>
        </w:tabs>
        <w:spacing w:line="480" w:lineRule="auto"/>
        <w:ind w:firstLine="525" w:firstLineChars="250"/>
        <w:rPr>
          <w:rFonts w:hint="eastAsia" w:ascii="宋体" w:hAnsi="宋体"/>
          <w:color w:val="auto"/>
          <w:szCs w:val="21"/>
          <w:highlight w:val="none"/>
        </w:rPr>
      </w:pPr>
      <w:r>
        <w:rPr>
          <w:rFonts w:hint="eastAsia" w:ascii="宋体" w:hAnsi="宋体"/>
          <w:color w:val="auto"/>
          <w:szCs w:val="21"/>
          <w:highlight w:val="none"/>
        </w:rPr>
        <w:t xml:space="preserve">甲方：                                    乙方： </w:t>
      </w:r>
      <w:r>
        <w:rPr>
          <w:rFonts w:hint="eastAsia" w:ascii="宋体" w:hAnsi="宋体"/>
          <w:color w:val="auto"/>
          <w:szCs w:val="21"/>
          <w:highlight w:val="none"/>
        </w:rPr>
        <w:fldChar w:fldCharType="begin"/>
      </w:r>
      <w:r>
        <w:rPr>
          <w:rFonts w:hint="eastAsia" w:ascii="宋体" w:hAnsi="宋体"/>
          <w:color w:val="auto"/>
          <w:szCs w:val="21"/>
          <w:highlight w:val="none"/>
        </w:rPr>
        <w:instrText xml:space="preserve"> AUTOTEXT  input93 \* MERGEFORMAT </w:instrText>
      </w:r>
      <w:r>
        <w:rPr>
          <w:rFonts w:hint="eastAsia" w:ascii="宋体" w:hAnsi="宋体"/>
          <w:color w:val="auto"/>
          <w:szCs w:val="21"/>
          <w:highlight w:val="none"/>
        </w:rPr>
        <w:fldChar w:fldCharType="separate"/>
      </w:r>
      <w:r>
        <w:rPr>
          <w:rFonts w:hint="eastAsia" w:ascii="宋体" w:hAnsi="宋体"/>
          <w:color w:val="auto"/>
          <w:szCs w:val="21"/>
          <w:highlight w:val="none"/>
        </w:rPr>
        <w:fldChar w:fldCharType="end"/>
      </w:r>
    </w:p>
    <w:p w14:paraId="469BB3D2">
      <w:pPr>
        <w:spacing w:line="480" w:lineRule="auto"/>
        <w:ind w:firstLine="525" w:firstLineChars="250"/>
        <w:rPr>
          <w:rFonts w:hint="eastAsia" w:ascii="宋体" w:hAnsi="宋体"/>
          <w:color w:val="auto"/>
          <w:szCs w:val="21"/>
          <w:highlight w:val="none"/>
        </w:rPr>
      </w:pPr>
      <w:r>
        <w:rPr>
          <w:rFonts w:hint="eastAsia" w:ascii="宋体" w:hAnsi="宋体"/>
          <w:color w:val="auto"/>
          <w:szCs w:val="21"/>
          <w:highlight w:val="none"/>
        </w:rPr>
        <w:t>法定代表人或委托代理人：                  法定代表人或委托代理人：</w:t>
      </w:r>
    </w:p>
    <w:p w14:paraId="0FF04556">
      <w:pPr>
        <w:spacing w:line="480" w:lineRule="auto"/>
        <w:ind w:firstLine="525" w:firstLineChars="250"/>
        <w:rPr>
          <w:rFonts w:hint="eastAsia" w:ascii="宋体" w:hAnsi="宋体"/>
          <w:color w:val="auto"/>
          <w:szCs w:val="21"/>
          <w:highlight w:val="none"/>
        </w:rPr>
      </w:pPr>
      <w:r>
        <w:rPr>
          <w:rFonts w:hint="eastAsia" w:ascii="宋体" w:hAnsi="宋体"/>
          <w:color w:val="auto"/>
          <w:szCs w:val="21"/>
          <w:highlight w:val="none"/>
        </w:rPr>
        <w:t>电    话：                                电    话：</w:t>
      </w:r>
      <w:r>
        <w:rPr>
          <w:rFonts w:ascii="宋体" w:hAnsi="宋体"/>
          <w:color w:val="auto"/>
          <w:szCs w:val="21"/>
          <w:highlight w:val="none"/>
        </w:rPr>
        <w:t xml:space="preserve"> </w:t>
      </w:r>
    </w:p>
    <w:p w14:paraId="5A4CEF8C">
      <w:pPr>
        <w:spacing w:line="360" w:lineRule="auto"/>
        <w:ind w:firstLine="525" w:firstLineChars="250"/>
        <w:rPr>
          <w:rFonts w:hint="eastAsia" w:ascii="宋体" w:hAnsi="宋体"/>
          <w:color w:val="auto"/>
          <w:szCs w:val="21"/>
          <w:highlight w:val="none"/>
        </w:rPr>
      </w:pPr>
    </w:p>
    <w:p w14:paraId="2DEE776B">
      <w:pPr>
        <w:spacing w:line="360" w:lineRule="auto"/>
        <w:ind w:firstLine="1785" w:firstLineChars="850"/>
        <w:rPr>
          <w:rFonts w:hint="eastAsia" w:ascii="宋体" w:hAnsi="宋体"/>
          <w:color w:val="auto"/>
          <w:szCs w:val="21"/>
          <w:highlight w:val="none"/>
        </w:rPr>
      </w:pPr>
      <w:r>
        <w:rPr>
          <w:rFonts w:hint="eastAsia" w:ascii="宋体" w:hAnsi="宋体"/>
          <w:color w:val="auto"/>
          <w:szCs w:val="21"/>
          <w:highlight w:val="none"/>
        </w:rPr>
        <w:t xml:space="preserve">           日    期：    年   月    日</w:t>
      </w:r>
    </w:p>
    <w:p w14:paraId="727E08FD">
      <w:pPr>
        <w:spacing w:line="360" w:lineRule="auto"/>
        <w:rPr>
          <w:rFonts w:ascii="宋体" w:hAnsi="宋体"/>
          <w:color w:val="auto"/>
          <w:szCs w:val="21"/>
          <w:highlight w:val="none"/>
        </w:rPr>
      </w:pPr>
    </w:p>
    <w:p w14:paraId="472788C7">
      <w:pPr>
        <w:rPr>
          <w:rFonts w:ascii="宋体" w:hAnsi="宋体"/>
          <w:color w:val="auto"/>
          <w:szCs w:val="21"/>
          <w:highlight w:val="none"/>
        </w:rPr>
      </w:pPr>
      <w:bookmarkStart w:id="1154" w:name="_Toc16544"/>
      <w:r>
        <w:rPr>
          <w:rFonts w:ascii="宋体" w:hAnsi="宋体"/>
          <w:color w:val="auto"/>
          <w:szCs w:val="21"/>
          <w:highlight w:val="none"/>
        </w:rPr>
        <w:br w:type="page"/>
      </w:r>
    </w:p>
    <w:p w14:paraId="52B71E19">
      <w:pPr>
        <w:keepNext/>
        <w:keepLines/>
        <w:spacing w:line="276" w:lineRule="auto"/>
        <w:outlineLvl w:val="2"/>
        <w:rPr>
          <w:rFonts w:ascii="宋体" w:hAnsi="宋体"/>
          <w:b/>
          <w:bCs/>
          <w:color w:val="auto"/>
          <w:szCs w:val="21"/>
          <w:highlight w:val="none"/>
        </w:rPr>
      </w:pPr>
      <w:r>
        <w:rPr>
          <w:rFonts w:hint="eastAsia" w:ascii="宋体" w:hAnsi="宋体"/>
          <w:color w:val="auto"/>
          <w:szCs w:val="21"/>
          <w:highlight w:val="none"/>
        </w:rPr>
        <w:t>附件三：建设工程廉政合同</w:t>
      </w:r>
      <w:bookmarkEnd w:id="1154"/>
    </w:p>
    <w:p w14:paraId="03C5B484">
      <w:pPr>
        <w:keepNext/>
        <w:keepLines/>
        <w:spacing w:line="360" w:lineRule="auto"/>
        <w:jc w:val="center"/>
        <w:outlineLvl w:val="2"/>
        <w:rPr>
          <w:rFonts w:hint="eastAsia" w:ascii="宋体" w:hAnsi="宋体"/>
          <w:b/>
          <w:bCs/>
          <w:color w:val="auto"/>
          <w:sz w:val="28"/>
          <w:szCs w:val="28"/>
          <w:highlight w:val="none"/>
        </w:rPr>
      </w:pPr>
      <w:bookmarkStart w:id="1155" w:name="_Toc11885"/>
      <w:r>
        <w:rPr>
          <w:rFonts w:hint="eastAsia" w:ascii="宋体" w:hAnsi="宋体"/>
          <w:b/>
          <w:bCs/>
          <w:color w:val="auto"/>
          <w:sz w:val="28"/>
          <w:szCs w:val="28"/>
          <w:highlight w:val="none"/>
        </w:rPr>
        <w:t>建设工程廉政合同</w:t>
      </w:r>
      <w:bookmarkEnd w:id="1155"/>
    </w:p>
    <w:tbl>
      <w:tblPr>
        <w:tblStyle w:val="6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7"/>
      </w:tblGrid>
      <w:tr w14:paraId="7E00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9067" w:type="dxa"/>
            <w:vAlign w:val="center"/>
          </w:tcPr>
          <w:p w14:paraId="2DA1CE84">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建设单位（甲方）： </w:t>
            </w:r>
          </w:p>
        </w:tc>
      </w:tr>
      <w:tr w14:paraId="2F566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33CE3B50">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成交单位（乙方）：</w:t>
            </w:r>
          </w:p>
        </w:tc>
      </w:tr>
      <w:tr w14:paraId="255A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04590055">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p>
        </w:tc>
      </w:tr>
      <w:tr w14:paraId="49ED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3AB34667">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投资计划批准机关及文号： </w:t>
            </w:r>
          </w:p>
        </w:tc>
      </w:tr>
      <w:tr w14:paraId="0364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63091761">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投资来源： </w:t>
            </w:r>
          </w:p>
        </w:tc>
      </w:tr>
      <w:tr w14:paraId="50D2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72495EDC">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投标形式：公开</w:t>
            </w:r>
            <w:r>
              <w:rPr>
                <w:rFonts w:ascii="宋体" w:hAnsi="宋体"/>
                <w:color w:val="auto"/>
                <w:szCs w:val="21"/>
                <w:highlight w:val="none"/>
              </w:rPr>
              <w:sym w:font="Wingdings" w:char="F0A8"/>
            </w:r>
            <w:r>
              <w:rPr>
                <w:rFonts w:ascii="宋体" w:hAnsi="宋体"/>
                <w:color w:val="auto"/>
                <w:szCs w:val="21"/>
                <w:highlight w:val="none"/>
              </w:rPr>
              <w:t xml:space="preserve">  </w:t>
            </w:r>
            <w:r>
              <w:rPr>
                <w:rFonts w:hint="eastAsia" w:ascii="宋体" w:hAnsi="宋体"/>
                <w:color w:val="auto"/>
                <w:szCs w:val="21"/>
                <w:highlight w:val="none"/>
              </w:rPr>
              <w:t>邀请</w:t>
            </w:r>
            <w:r>
              <w:rPr>
                <w:rFonts w:ascii="宋体" w:hAnsi="宋体"/>
                <w:color w:val="auto"/>
                <w:szCs w:val="21"/>
                <w:highlight w:val="none"/>
              </w:rPr>
              <w:sym w:font="Wingdings" w:char="F0A8"/>
            </w:r>
            <w:r>
              <w:rPr>
                <w:rFonts w:ascii="宋体" w:hAnsi="宋体"/>
                <w:color w:val="auto"/>
                <w:szCs w:val="21"/>
                <w:highlight w:val="none"/>
              </w:rPr>
              <w:t xml:space="preserve">   </w:t>
            </w:r>
            <w:r>
              <w:rPr>
                <w:rFonts w:hint="eastAsia" w:ascii="宋体" w:hAnsi="宋体"/>
                <w:color w:val="auto"/>
                <w:szCs w:val="21"/>
                <w:highlight w:val="none"/>
              </w:rPr>
              <w:t>直接发包</w:t>
            </w:r>
            <w:r>
              <w:rPr>
                <w:rFonts w:ascii="宋体" w:hAnsi="宋体"/>
                <w:color w:val="auto"/>
                <w:szCs w:val="21"/>
                <w:highlight w:val="none"/>
              </w:rPr>
              <w:sym w:font="Wingdings" w:char="F0A8"/>
            </w:r>
            <w:r>
              <w:rPr>
                <w:rFonts w:ascii="宋体" w:hAnsi="宋体"/>
                <w:color w:val="auto"/>
                <w:szCs w:val="21"/>
                <w:highlight w:val="none"/>
              </w:rPr>
              <w:t xml:space="preserve">  </w:t>
            </w:r>
            <w:r>
              <w:rPr>
                <w:rFonts w:hint="eastAsia" w:ascii="宋体" w:hAnsi="宋体"/>
                <w:color w:val="auto"/>
                <w:szCs w:val="21"/>
                <w:highlight w:val="none"/>
              </w:rPr>
              <w:t>未招标</w:t>
            </w:r>
            <w:r>
              <w:rPr>
                <w:rFonts w:ascii="宋体" w:hAnsi="宋体"/>
                <w:color w:val="auto"/>
                <w:szCs w:val="21"/>
                <w:highlight w:val="none"/>
              </w:rPr>
              <w:sym w:font="Wingdings" w:char="F0A8"/>
            </w:r>
            <w:r>
              <w:rPr>
                <w:rFonts w:hint="eastAsia" w:ascii="宋体" w:hAnsi="宋体"/>
                <w:color w:val="auto"/>
                <w:szCs w:val="21"/>
                <w:highlight w:val="none"/>
              </w:rPr>
              <w:t xml:space="preserve"> 竞争性磋商</w:t>
            </w:r>
            <w:r>
              <w:rPr>
                <w:rFonts w:ascii="宋体" w:hAnsi="宋体"/>
                <w:color w:val="auto"/>
                <w:szCs w:val="21"/>
                <w:highlight w:val="none"/>
              </w:rPr>
              <w:sym w:font="Wingdings" w:char="F06E"/>
            </w:r>
          </w:p>
        </w:tc>
      </w:tr>
      <w:tr w14:paraId="1E83B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58029F0A">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磋商总报价：       元  </w:t>
            </w:r>
            <w:r>
              <w:rPr>
                <w:rFonts w:hint="eastAsia" w:ascii="宋体" w:hAnsi="宋体"/>
                <w:color w:val="auto"/>
                <w:szCs w:val="21"/>
                <w:highlight w:val="none"/>
                <w:lang w:val="en-US" w:eastAsia="zh-CN"/>
              </w:rPr>
              <w:t>磋商</w:t>
            </w:r>
            <w:r>
              <w:rPr>
                <w:rFonts w:hint="eastAsia" w:ascii="宋体" w:hAnsi="宋体"/>
                <w:color w:val="auto"/>
                <w:szCs w:val="21"/>
                <w:highlight w:val="none"/>
              </w:rPr>
              <w:t>控制价：      元  成交价：       元</w:t>
            </w:r>
          </w:p>
        </w:tc>
      </w:tr>
      <w:tr w14:paraId="508E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148FD628">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建设工期： </w:t>
            </w:r>
          </w:p>
        </w:tc>
      </w:tr>
      <w:tr w14:paraId="38AC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3327E065">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 xml:space="preserve">建设地点：                       </w:t>
            </w:r>
          </w:p>
        </w:tc>
      </w:tr>
      <w:tr w14:paraId="7F2C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421AAC40">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评标形式：综合评分</w:t>
            </w:r>
            <w:r>
              <w:rPr>
                <w:rFonts w:ascii="宋体" w:hAnsi="宋体"/>
                <w:color w:val="auto"/>
                <w:szCs w:val="21"/>
                <w:highlight w:val="none"/>
              </w:rPr>
              <w:sym w:font="Wingdings" w:char="F06E"/>
            </w:r>
            <w:r>
              <w:rPr>
                <w:rFonts w:ascii="宋体" w:hAnsi="宋体"/>
                <w:color w:val="auto"/>
                <w:szCs w:val="21"/>
                <w:highlight w:val="none"/>
              </w:rPr>
              <w:t xml:space="preserve">  </w:t>
            </w:r>
            <w:r>
              <w:rPr>
                <w:rFonts w:hint="eastAsia" w:ascii="宋体" w:hAnsi="宋体"/>
                <w:color w:val="auto"/>
                <w:szCs w:val="21"/>
                <w:highlight w:val="none"/>
              </w:rPr>
              <w:t>量化评分</w:t>
            </w:r>
            <w:r>
              <w:rPr>
                <w:rFonts w:ascii="宋体" w:hAnsi="宋体"/>
                <w:color w:val="auto"/>
                <w:szCs w:val="21"/>
                <w:highlight w:val="none"/>
              </w:rPr>
              <w:sym w:font="Wingdings" w:char="F0A8"/>
            </w:r>
            <w:r>
              <w:rPr>
                <w:rFonts w:ascii="宋体" w:hAnsi="宋体"/>
                <w:color w:val="auto"/>
                <w:szCs w:val="21"/>
                <w:highlight w:val="none"/>
              </w:rPr>
              <w:t xml:space="preserve">  </w:t>
            </w:r>
            <w:r>
              <w:rPr>
                <w:rFonts w:hint="eastAsia" w:ascii="宋体" w:hAnsi="宋体"/>
                <w:color w:val="auto"/>
                <w:szCs w:val="21"/>
                <w:highlight w:val="none"/>
              </w:rPr>
              <w:t>合理最佳低价</w:t>
            </w:r>
            <w:r>
              <w:rPr>
                <w:rFonts w:ascii="宋体" w:hAnsi="宋体"/>
                <w:color w:val="auto"/>
                <w:szCs w:val="21"/>
                <w:highlight w:val="none"/>
              </w:rPr>
              <w:sym w:font="Wingdings" w:char="F0A8"/>
            </w:r>
          </w:p>
        </w:tc>
      </w:tr>
      <w:tr w14:paraId="27D2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7" w:type="dxa"/>
            <w:vAlign w:val="bottom"/>
          </w:tcPr>
          <w:p w14:paraId="405204C5">
            <w:pPr>
              <w:spacing w:before="120" w:beforeLines="50" w:line="360" w:lineRule="auto"/>
              <w:rPr>
                <w:rFonts w:hint="eastAsia" w:ascii="宋体" w:hAnsi="宋体"/>
                <w:color w:val="auto"/>
                <w:szCs w:val="21"/>
                <w:highlight w:val="none"/>
              </w:rPr>
            </w:pPr>
            <w:r>
              <w:rPr>
                <w:rFonts w:hint="eastAsia" w:ascii="宋体" w:hAnsi="宋体"/>
                <w:color w:val="auto"/>
                <w:szCs w:val="21"/>
                <w:highlight w:val="none"/>
              </w:rPr>
              <w:t>定标形式：当场</w:t>
            </w:r>
            <w:r>
              <w:rPr>
                <w:rFonts w:ascii="宋体" w:hAnsi="宋体"/>
                <w:color w:val="auto"/>
                <w:szCs w:val="21"/>
                <w:highlight w:val="none"/>
              </w:rPr>
              <w:sym w:font="Wingdings" w:char="F0A8"/>
            </w:r>
            <w:r>
              <w:rPr>
                <w:rFonts w:ascii="宋体" w:hAnsi="宋体"/>
                <w:color w:val="auto"/>
                <w:szCs w:val="21"/>
                <w:highlight w:val="none"/>
              </w:rPr>
              <w:t xml:space="preserve">  </w:t>
            </w:r>
            <w:r>
              <w:rPr>
                <w:rFonts w:hint="eastAsia" w:ascii="宋体" w:hAnsi="宋体"/>
                <w:color w:val="auto"/>
                <w:szCs w:val="21"/>
                <w:highlight w:val="none"/>
              </w:rPr>
              <w:t>隔日</w:t>
            </w:r>
            <w:r>
              <w:rPr>
                <w:rFonts w:ascii="宋体" w:hAnsi="宋体"/>
                <w:color w:val="auto"/>
                <w:szCs w:val="21"/>
                <w:highlight w:val="none"/>
              </w:rPr>
              <w:sym w:font="Wingdings" w:char="F06E"/>
            </w:r>
          </w:p>
        </w:tc>
      </w:tr>
    </w:tbl>
    <w:p w14:paraId="009051DE">
      <w:pPr>
        <w:spacing w:before="120" w:beforeLines="50"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国家建设部、监察部《关于在工程建设中深入开展反对腐败和反对不正当竞争的通知》和中共云南省纪委、监察厅、建设厅《关于在全省建设工程中建立工程承包和工程廉政“双合同”机制的通知》精神，坚决执行《中华人民共和国反不正当竞争法</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中华人民共和国建筑法</w:t>
      </w:r>
      <w:r>
        <w:rPr>
          <w:rFonts w:hint="eastAsia" w:ascii="宋体" w:hAnsi="宋体" w:cs="宋体"/>
          <w:color w:val="auto"/>
          <w:szCs w:val="21"/>
          <w:highlight w:val="none"/>
          <w:lang w:eastAsia="zh-CN"/>
        </w:rPr>
        <w:t>》《</w:t>
      </w:r>
      <w:r>
        <w:rPr>
          <w:rFonts w:hint="eastAsia" w:ascii="宋体" w:hAnsi="宋体" w:cs="宋体"/>
          <w:color w:val="auto"/>
          <w:szCs w:val="21"/>
          <w:highlight w:val="none"/>
        </w:rPr>
        <w:t>中华人民共和国政府采购法》等有关法律法规和政策，为确保建设工程质量达到国家有关规定、争优创优、干部廉洁，在签订工程建设合同的同时，甲乙双方必须签订工程廉政合同。</w:t>
      </w:r>
    </w:p>
    <w:p w14:paraId="7C5B857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甲方不得接受乙方请吃、请玩；不得接受乙方赠送的礼品、礼金和各种有价证券、信用卡及其他支付凭证；不得接受乙方任何好处费及工程回扣；不得向乙方报销任何由甲方支付的费用；不得借用、租用乙方的交通、通讯工具等物品；不得参加乙方举行的任何祝贺庆典活动。</w:t>
      </w:r>
    </w:p>
    <w:p w14:paraId="5CFA37E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甲方工作人员的配偶、子女，不得承包或从事与工程有关的材料供应、工程分包、工程监理、工程装璜和装修、组织提供劳务等活动；不得向施工方推荐分包单位；不得要求施工方购买合同规定外的材料和设备。</w:t>
      </w:r>
    </w:p>
    <w:p w14:paraId="48F505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甲方人员向乙方索贿，经乙方或其他线索检举，被纪检监察机关立案查处认定的，由此产生的办案费用由甲方（索贿方单位或个人）承担。不论举报甲方或乙方的贿赂行为的举报人，经查证属实，可由查办案件的机关（单位）依照规定给予奖励。</w:t>
      </w:r>
    </w:p>
    <w:p w14:paraId="55E20A6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四、乙方不得以任何形式邀请甲方人员吃、玩或向甲方赠送礼品、礼金、各种有价证券、信用卡及其他支付凭证或物品。如有违反，由有关行政主管部门对乙方给予扣减应付工程款的3%—5%，或者中止工程建设合同。并视情节轻重，对乙方决策人和经办人以及甲方接受人员给予批评教育、党纪政纪处分、依法追究刑事责任。</w:t>
      </w:r>
    </w:p>
    <w:p w14:paraId="511EF5D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五、乙方在工程项目建设中贿赂甲方人员、中介方人员，被纪检监察机关或司法机关立案查处的，甲方有权中止工程建设合同。由此给甲方造成的损失以及发生的一切费用均由乙方承担。可在工程款中扣除。</w:t>
      </w:r>
    </w:p>
    <w:p w14:paraId="3A46BA4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六、甲乙双方人员赠送、贿赂、接受或索要钱物的行为，如果一方发生，另一方当事人应立即主动报告本单位领导和纪检监察机关或向检察机关举报。对不主动报告情况的有关人员，一经查出，必须视情节轻重给予批评教育、党纪政纪处分依法追究刑事责任。</w:t>
      </w:r>
    </w:p>
    <w:p w14:paraId="388873A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七、凡是未按规定签订《工程廉政合同》的工程项目，不得办理工程建设项目施工许可证等相关手续，不得擅自同意或者进行施工（设计、监理）。违者将由纪检监察机关追究党纪政纪责任，由有关行政主管部门依照有关法律法规进行处罚。</w:t>
      </w:r>
    </w:p>
    <w:p w14:paraId="72A111C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八、甲乙双方单位法定代表人和分管领导、有关人员要严格履行《工程廉政合同》。履行《工程廉政合同》中的相互监督、自查自纠等情况。纪检监察机关、部门可视情况进行定期不定期的检查。如有违反，对法定代表人主要领导或分管领导要从严追究责任。</w:t>
      </w:r>
    </w:p>
    <w:p w14:paraId="191905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九、此合同一式</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份：甲方</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份，乙方</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份。</w:t>
      </w:r>
    </w:p>
    <w:p w14:paraId="1920131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十、此合同自双方签字盖章后即生效，并由本单位的纪检监察部门和监证的纪检监察机关、部门监督执行。</w:t>
      </w:r>
    </w:p>
    <w:p w14:paraId="679A9341">
      <w:pPr>
        <w:spacing w:line="360" w:lineRule="auto"/>
        <w:ind w:firstLine="420" w:firstLineChars="200"/>
        <w:rPr>
          <w:rFonts w:hint="eastAsia" w:ascii="宋体" w:hAnsi="宋体" w:cs="宋体"/>
          <w:color w:val="auto"/>
          <w:szCs w:val="21"/>
          <w:highlight w:val="none"/>
        </w:rPr>
      </w:pPr>
    </w:p>
    <w:p w14:paraId="0619A83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发包人：</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承包人：</w:t>
      </w:r>
    </w:p>
    <w:p w14:paraId="59B9647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（盖单位章）                                （盖单位章）                               </w:t>
      </w:r>
    </w:p>
    <w:p w14:paraId="6DC1D6B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222C3DE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或其委托代理人：（签字）                     或其委托代理人：（签字）</w:t>
      </w:r>
    </w:p>
    <w:p w14:paraId="53927670">
      <w:pPr>
        <w:spacing w:line="276" w:lineRule="auto"/>
        <w:rPr>
          <w:rFonts w:hint="eastAsia" w:ascii="宋体" w:hAnsi="宋体"/>
          <w:color w:val="auto"/>
          <w:szCs w:val="21"/>
          <w:highlight w:val="none"/>
        </w:rPr>
      </w:pPr>
    </w:p>
    <w:p w14:paraId="61276529">
      <w:pPr>
        <w:rPr>
          <w:rFonts w:ascii="宋体" w:hAnsi="宋体"/>
          <w:color w:val="auto"/>
          <w:szCs w:val="21"/>
          <w:highlight w:val="none"/>
        </w:rPr>
      </w:pPr>
      <w:r>
        <w:rPr>
          <w:rFonts w:ascii="宋体" w:hAnsi="宋体"/>
          <w:color w:val="auto"/>
          <w:szCs w:val="21"/>
          <w:highlight w:val="none"/>
        </w:rPr>
        <w:br w:type="page"/>
      </w:r>
    </w:p>
    <w:p w14:paraId="15E68025">
      <w:pPr>
        <w:spacing w:line="360" w:lineRule="auto"/>
        <w:jc w:val="center"/>
        <w:outlineLvl w:val="0"/>
        <w:rPr>
          <w:rFonts w:asciiTheme="minorEastAsia" w:hAnsiTheme="minorEastAsia" w:eastAsiaTheme="minorEastAsia"/>
          <w:b/>
          <w:bCs/>
          <w:color w:val="auto"/>
          <w:sz w:val="32"/>
          <w:szCs w:val="32"/>
          <w:highlight w:val="none"/>
        </w:rPr>
      </w:pPr>
      <w:bookmarkStart w:id="1156" w:name="_Toc29179"/>
      <w:r>
        <w:rPr>
          <w:rFonts w:hint="eastAsia" w:asciiTheme="minorEastAsia" w:hAnsiTheme="minorEastAsia" w:eastAsiaTheme="minorEastAsia"/>
          <w:b/>
          <w:bCs/>
          <w:color w:val="auto"/>
          <w:sz w:val="32"/>
          <w:szCs w:val="32"/>
          <w:highlight w:val="none"/>
        </w:rPr>
        <w:t>第四章 响应文件格式</w:t>
      </w:r>
      <w:bookmarkEnd w:id="1156"/>
    </w:p>
    <w:p w14:paraId="46CEBA59">
      <w:pPr>
        <w:spacing w:line="360" w:lineRule="auto"/>
        <w:jc w:val="center"/>
        <w:rPr>
          <w:rFonts w:hint="eastAsia" w:asciiTheme="minorEastAsia" w:hAnsiTheme="minorEastAsia" w:eastAsiaTheme="minorEastAsia"/>
          <w:color w:val="auto"/>
          <w:sz w:val="24"/>
          <w:szCs w:val="24"/>
          <w:highlight w:val="none"/>
          <w:lang w:eastAsia="zh-CN"/>
        </w:rPr>
      </w:pPr>
      <w:bookmarkStart w:id="1157" w:name="_Toc292983027"/>
      <w:bookmarkStart w:id="1158" w:name="_Toc381796416"/>
      <w:bookmarkStart w:id="1159" w:name="_Hlk521082080"/>
      <w:r>
        <w:rPr>
          <w:rFonts w:hint="eastAsia" w:asciiTheme="minorEastAsia" w:hAnsiTheme="minorEastAsia" w:eastAsiaTheme="minorEastAsia"/>
          <w:color w:val="auto"/>
          <w:sz w:val="40"/>
          <w:szCs w:val="40"/>
          <w:highlight w:val="none"/>
          <w:lang w:eastAsia="zh-CN"/>
        </w:rPr>
        <w:t>福贡县农田水利设施建设及防灾减灾治理项目</w:t>
      </w:r>
    </w:p>
    <w:p w14:paraId="03CFB6F0">
      <w:pPr>
        <w:spacing w:line="360" w:lineRule="auto"/>
        <w:jc w:val="center"/>
        <w:rPr>
          <w:rFonts w:asciiTheme="minorEastAsia" w:hAnsiTheme="minorEastAsia" w:eastAsiaTheme="minorEastAsia"/>
          <w:color w:val="auto"/>
          <w:sz w:val="24"/>
          <w:szCs w:val="24"/>
          <w:highlight w:val="none"/>
        </w:rPr>
      </w:pPr>
    </w:p>
    <w:p w14:paraId="52A9B70E">
      <w:pPr>
        <w:spacing w:line="360" w:lineRule="auto"/>
        <w:jc w:val="center"/>
        <w:rPr>
          <w:rFonts w:asciiTheme="minorEastAsia" w:hAnsiTheme="minorEastAsia" w:eastAsiaTheme="minorEastAsia"/>
          <w:color w:val="auto"/>
          <w:sz w:val="24"/>
          <w:szCs w:val="24"/>
          <w:highlight w:val="none"/>
        </w:rPr>
      </w:pPr>
    </w:p>
    <w:p w14:paraId="53E071D2">
      <w:pPr>
        <w:spacing w:line="360" w:lineRule="auto"/>
        <w:jc w:val="center"/>
        <w:rPr>
          <w:rFonts w:asciiTheme="minorEastAsia" w:hAnsiTheme="minorEastAsia" w:eastAsiaTheme="minorEastAsia"/>
          <w:color w:val="auto"/>
          <w:sz w:val="24"/>
          <w:szCs w:val="24"/>
          <w:highlight w:val="none"/>
        </w:rPr>
      </w:pPr>
    </w:p>
    <w:p w14:paraId="647B680B">
      <w:pPr>
        <w:spacing w:line="360" w:lineRule="auto"/>
        <w:jc w:val="center"/>
        <w:rPr>
          <w:rFonts w:asciiTheme="minorEastAsia" w:hAnsiTheme="minorEastAsia" w:eastAsiaTheme="minorEastAsia"/>
          <w:color w:val="auto"/>
          <w:sz w:val="24"/>
          <w:szCs w:val="24"/>
          <w:highlight w:val="none"/>
        </w:rPr>
      </w:pPr>
    </w:p>
    <w:p w14:paraId="6D535745">
      <w:pPr>
        <w:spacing w:line="360" w:lineRule="auto"/>
        <w:jc w:val="center"/>
        <w:rPr>
          <w:rFonts w:asciiTheme="minorEastAsia" w:hAnsiTheme="minorEastAsia" w:eastAsiaTheme="minorEastAsia"/>
          <w:color w:val="auto"/>
          <w:sz w:val="24"/>
          <w:szCs w:val="24"/>
          <w:highlight w:val="none"/>
        </w:rPr>
      </w:pPr>
    </w:p>
    <w:p w14:paraId="3147D3C6">
      <w:pPr>
        <w:spacing w:line="360" w:lineRule="auto"/>
        <w:jc w:val="center"/>
        <w:rPr>
          <w:rFonts w:asciiTheme="minorEastAsia" w:hAnsiTheme="minorEastAsia" w:eastAsiaTheme="minorEastAsia"/>
          <w:color w:val="auto"/>
          <w:sz w:val="24"/>
          <w:szCs w:val="24"/>
          <w:highlight w:val="none"/>
        </w:rPr>
      </w:pPr>
    </w:p>
    <w:p w14:paraId="2B942760">
      <w:pPr>
        <w:spacing w:line="360" w:lineRule="auto"/>
        <w:jc w:val="center"/>
        <w:rPr>
          <w:rFonts w:asciiTheme="minorEastAsia" w:hAnsiTheme="minorEastAsia" w:eastAsiaTheme="minorEastAsia"/>
          <w:color w:val="auto"/>
          <w:sz w:val="24"/>
          <w:szCs w:val="24"/>
          <w:highlight w:val="none"/>
        </w:rPr>
      </w:pPr>
    </w:p>
    <w:p w14:paraId="6DB75C8C">
      <w:pPr>
        <w:pStyle w:val="36"/>
        <w:spacing w:line="276" w:lineRule="auto"/>
        <w:jc w:val="center"/>
        <w:rPr>
          <w:rFonts w:asciiTheme="minorEastAsia" w:hAnsiTheme="minorEastAsia" w:eastAsiaTheme="minorEastAsia"/>
          <w:b/>
          <w:bCs/>
          <w:color w:val="auto"/>
          <w:sz w:val="72"/>
          <w:szCs w:val="72"/>
          <w:highlight w:val="none"/>
        </w:rPr>
      </w:pPr>
      <w:r>
        <w:rPr>
          <w:rFonts w:hint="eastAsia" w:asciiTheme="minorEastAsia" w:hAnsiTheme="minorEastAsia" w:eastAsiaTheme="minorEastAsia"/>
          <w:b/>
          <w:bCs/>
          <w:color w:val="auto"/>
          <w:sz w:val="72"/>
          <w:szCs w:val="72"/>
          <w:highlight w:val="none"/>
        </w:rPr>
        <w:t>响 应 文 件</w:t>
      </w:r>
    </w:p>
    <w:p w14:paraId="2E665C6C">
      <w:pPr>
        <w:spacing w:line="360" w:lineRule="auto"/>
        <w:jc w:val="center"/>
        <w:rPr>
          <w:rFonts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项目编号：     </w:t>
      </w:r>
    </w:p>
    <w:p w14:paraId="27F474ED">
      <w:pPr>
        <w:spacing w:line="360" w:lineRule="auto"/>
        <w:jc w:val="center"/>
        <w:rPr>
          <w:rFonts w:asciiTheme="minorEastAsia" w:hAnsiTheme="minorEastAsia" w:eastAsiaTheme="minorEastAsia"/>
          <w:color w:val="auto"/>
          <w:sz w:val="24"/>
          <w:highlight w:val="none"/>
        </w:rPr>
      </w:pPr>
    </w:p>
    <w:p w14:paraId="68366BD5">
      <w:pPr>
        <w:spacing w:line="360" w:lineRule="auto"/>
        <w:jc w:val="center"/>
        <w:rPr>
          <w:rFonts w:asciiTheme="minorEastAsia" w:hAnsiTheme="minorEastAsia" w:eastAsiaTheme="minorEastAsia"/>
          <w:color w:val="auto"/>
          <w:sz w:val="24"/>
          <w:highlight w:val="none"/>
        </w:rPr>
      </w:pPr>
    </w:p>
    <w:p w14:paraId="0AD3AC04">
      <w:pPr>
        <w:spacing w:line="360" w:lineRule="auto"/>
        <w:jc w:val="center"/>
        <w:rPr>
          <w:rFonts w:asciiTheme="minorEastAsia" w:hAnsiTheme="minorEastAsia" w:eastAsiaTheme="minorEastAsia"/>
          <w:color w:val="auto"/>
          <w:sz w:val="24"/>
          <w:highlight w:val="none"/>
        </w:rPr>
      </w:pPr>
    </w:p>
    <w:p w14:paraId="757ABC90">
      <w:pPr>
        <w:spacing w:line="360" w:lineRule="auto"/>
        <w:jc w:val="center"/>
        <w:rPr>
          <w:rFonts w:asciiTheme="minorEastAsia" w:hAnsiTheme="minorEastAsia" w:eastAsiaTheme="minorEastAsia"/>
          <w:color w:val="auto"/>
          <w:sz w:val="24"/>
          <w:highlight w:val="none"/>
        </w:rPr>
      </w:pPr>
    </w:p>
    <w:p w14:paraId="00A0D97A">
      <w:pPr>
        <w:spacing w:line="360" w:lineRule="auto"/>
        <w:jc w:val="center"/>
        <w:rPr>
          <w:rFonts w:asciiTheme="minorEastAsia" w:hAnsiTheme="minorEastAsia" w:eastAsiaTheme="minorEastAsia"/>
          <w:color w:val="auto"/>
          <w:sz w:val="24"/>
          <w:highlight w:val="none"/>
        </w:rPr>
      </w:pPr>
    </w:p>
    <w:p w14:paraId="35C3C5DC">
      <w:pPr>
        <w:spacing w:line="360" w:lineRule="auto"/>
        <w:jc w:val="center"/>
        <w:rPr>
          <w:rFonts w:asciiTheme="minorEastAsia" w:hAnsiTheme="minorEastAsia" w:eastAsiaTheme="minorEastAsia"/>
          <w:color w:val="auto"/>
          <w:sz w:val="24"/>
          <w:highlight w:val="none"/>
        </w:rPr>
      </w:pPr>
    </w:p>
    <w:p w14:paraId="328A46AA">
      <w:pPr>
        <w:spacing w:line="360" w:lineRule="auto"/>
        <w:jc w:val="center"/>
        <w:rPr>
          <w:rFonts w:asciiTheme="minorEastAsia" w:hAnsiTheme="minorEastAsia" w:eastAsiaTheme="minorEastAsia"/>
          <w:color w:val="auto"/>
          <w:sz w:val="24"/>
          <w:highlight w:val="none"/>
        </w:rPr>
      </w:pPr>
    </w:p>
    <w:p w14:paraId="7DC5C078">
      <w:pPr>
        <w:spacing w:line="360" w:lineRule="auto"/>
        <w:jc w:val="center"/>
        <w:rPr>
          <w:rFonts w:asciiTheme="minorEastAsia" w:hAnsiTheme="minorEastAsia" w:eastAsiaTheme="minorEastAsia"/>
          <w:color w:val="auto"/>
          <w:sz w:val="24"/>
          <w:highlight w:val="none"/>
        </w:rPr>
      </w:pPr>
    </w:p>
    <w:p w14:paraId="2675BE32">
      <w:pPr>
        <w:spacing w:line="360" w:lineRule="auto"/>
        <w:rPr>
          <w:rFonts w:asciiTheme="minorEastAsia" w:hAnsiTheme="minorEastAsia" w:eastAsiaTheme="minorEastAsia"/>
          <w:color w:val="auto"/>
          <w:sz w:val="24"/>
          <w:highlight w:val="none"/>
        </w:rPr>
      </w:pPr>
    </w:p>
    <w:bookmarkEnd w:id="1157"/>
    <w:bookmarkEnd w:id="1158"/>
    <w:bookmarkEnd w:id="1159"/>
    <w:p w14:paraId="31937865">
      <w:pPr>
        <w:spacing w:line="360" w:lineRule="auto"/>
        <w:ind w:firstLine="1426" w:firstLineChars="444"/>
        <w:jc w:val="left"/>
        <w:rPr>
          <w:rFonts w:asciiTheme="minorEastAsia" w:hAnsiTheme="minorEastAsia" w:eastAsiaTheme="minorEastAsia"/>
          <w:b/>
          <w:bCs/>
          <w:sz w:val="32"/>
          <w:szCs w:val="32"/>
        </w:rPr>
      </w:pPr>
      <w:bookmarkStart w:id="1160" w:name="_Toc84356306"/>
      <w:bookmarkStart w:id="1161" w:name="_Toc42205044"/>
      <w:bookmarkStart w:id="1162" w:name="_Toc14337"/>
      <w:bookmarkStart w:id="1163" w:name="_Toc37603116"/>
      <w:bookmarkStart w:id="1164" w:name="_Toc265766858"/>
      <w:bookmarkStart w:id="1165" w:name="_Toc381796417"/>
      <w:bookmarkStart w:id="1166" w:name="_Toc292983029"/>
      <w:bookmarkStart w:id="1167" w:name="_Toc186354393"/>
      <w:r>
        <w:rPr>
          <w:rFonts w:hint="eastAsia" w:asciiTheme="minorEastAsia" w:hAnsiTheme="minorEastAsia" w:eastAsiaTheme="minorEastAsia"/>
          <w:b/>
          <w:bCs/>
          <w:sz w:val="32"/>
          <w:szCs w:val="32"/>
        </w:rPr>
        <w:t>供应商</w:t>
      </w:r>
      <w:r>
        <w:rPr>
          <w:rFonts w:asciiTheme="minorEastAsia" w:hAnsiTheme="minorEastAsia" w:eastAsiaTheme="minorEastAsia"/>
          <w:b/>
          <w:bCs/>
          <w:sz w:val="32"/>
          <w:szCs w:val="32"/>
        </w:rPr>
        <w:t>（</w:t>
      </w:r>
      <w:r>
        <w:rPr>
          <w:rFonts w:hint="eastAsia" w:asciiTheme="minorEastAsia" w:hAnsiTheme="minorEastAsia" w:eastAsiaTheme="minorEastAsia"/>
          <w:b/>
          <w:bCs/>
          <w:sz w:val="32"/>
          <w:szCs w:val="32"/>
          <w:lang w:val="en-US" w:eastAsia="zh-CN"/>
        </w:rPr>
        <w:t>或联合体牵头人</w:t>
      </w:r>
      <w:r>
        <w:rPr>
          <w:rFonts w:asciiTheme="minorEastAsia" w:hAnsiTheme="minorEastAsia" w:eastAsiaTheme="minorEastAsia"/>
          <w:b/>
          <w:bCs/>
          <w:sz w:val="32"/>
          <w:szCs w:val="32"/>
        </w:rPr>
        <w:t>）：</w:t>
      </w:r>
      <w:r>
        <w:rPr>
          <w:rFonts w:asciiTheme="minorEastAsia" w:hAnsiTheme="minorEastAsia" w:eastAsiaTheme="minorEastAsia"/>
          <w:b/>
          <w:bCs/>
          <w:sz w:val="32"/>
          <w:szCs w:val="32"/>
          <w:u w:val="single"/>
        </w:rPr>
        <w:t xml:space="preserve">    </w:t>
      </w:r>
      <w:r>
        <w:rPr>
          <w:rFonts w:hint="eastAsia" w:asciiTheme="minorEastAsia" w:hAnsiTheme="minorEastAsia" w:eastAsiaTheme="minorEastAsia"/>
          <w:b/>
          <w:bCs/>
          <w:sz w:val="32"/>
          <w:szCs w:val="32"/>
          <w:u w:val="single"/>
        </w:rPr>
        <w:t>（电子签章）</w:t>
      </w:r>
    </w:p>
    <w:p w14:paraId="5ECD487B">
      <w:pPr>
        <w:spacing w:line="360" w:lineRule="auto"/>
        <w:ind w:firstLine="1285" w:firstLineChars="400"/>
        <w:jc w:val="left"/>
        <w:rPr>
          <w:rFonts w:asciiTheme="minorEastAsia" w:hAnsiTheme="minorEastAsia" w:eastAsiaTheme="minorEastAsia"/>
          <w:b/>
          <w:bCs/>
          <w:sz w:val="32"/>
          <w:szCs w:val="32"/>
        </w:rPr>
      </w:pPr>
      <w:r>
        <w:rPr>
          <w:rFonts w:asciiTheme="minorEastAsia" w:hAnsiTheme="minorEastAsia" w:eastAsiaTheme="minorEastAsia"/>
          <w:b/>
          <w:bCs/>
          <w:sz w:val="32"/>
          <w:szCs w:val="32"/>
        </w:rPr>
        <w:t>法定代表人：</w:t>
      </w:r>
      <w:r>
        <w:rPr>
          <w:rFonts w:asciiTheme="minorEastAsia" w:hAnsiTheme="minorEastAsia" w:eastAsiaTheme="minorEastAsia"/>
          <w:b/>
          <w:bCs/>
          <w:sz w:val="32"/>
          <w:szCs w:val="32"/>
          <w:u w:val="single"/>
        </w:rPr>
        <w:t xml:space="preserve">    </w:t>
      </w:r>
      <w:r>
        <w:rPr>
          <w:rFonts w:hint="eastAsia" w:asciiTheme="minorEastAsia" w:hAnsiTheme="minorEastAsia" w:eastAsiaTheme="minorEastAsia"/>
          <w:b/>
          <w:bCs/>
          <w:sz w:val="32"/>
          <w:szCs w:val="32"/>
          <w:u w:val="single"/>
        </w:rPr>
        <w:t xml:space="preserve"> </w:t>
      </w:r>
      <w:r>
        <w:rPr>
          <w:rFonts w:asciiTheme="minorEastAsia" w:hAnsiTheme="minorEastAsia" w:eastAsiaTheme="minorEastAsia"/>
          <w:b/>
          <w:bCs/>
          <w:sz w:val="32"/>
          <w:szCs w:val="32"/>
          <w:u w:val="single"/>
        </w:rPr>
        <w:t xml:space="preserve">     </w:t>
      </w:r>
      <w:r>
        <w:rPr>
          <w:rFonts w:hint="eastAsia" w:asciiTheme="minorEastAsia" w:hAnsiTheme="minorEastAsia" w:eastAsiaTheme="minorEastAsia"/>
          <w:b/>
          <w:bCs/>
          <w:sz w:val="32"/>
          <w:szCs w:val="32"/>
          <w:u w:val="single"/>
        </w:rPr>
        <w:t xml:space="preserve">      （电子签章）</w:t>
      </w:r>
    </w:p>
    <w:p w14:paraId="7069B168">
      <w:pPr>
        <w:spacing w:line="360" w:lineRule="auto"/>
        <w:ind w:firstLine="2731" w:firstLineChars="850"/>
        <w:jc w:val="left"/>
        <w:rPr>
          <w:rFonts w:asciiTheme="minorEastAsia" w:hAnsiTheme="minorEastAsia" w:eastAsiaTheme="minorEastAsia"/>
          <w:b/>
          <w:bCs/>
          <w:sz w:val="32"/>
          <w:szCs w:val="32"/>
        </w:rPr>
      </w:pPr>
      <w:r>
        <w:rPr>
          <w:rFonts w:asciiTheme="minorEastAsia" w:hAnsiTheme="minorEastAsia" w:eastAsiaTheme="minorEastAsia"/>
          <w:b/>
          <w:bCs/>
          <w:sz w:val="32"/>
          <w:szCs w:val="32"/>
          <w:u w:val="single"/>
        </w:rPr>
        <w:t xml:space="preserve">        </w:t>
      </w:r>
      <w:r>
        <w:rPr>
          <w:rFonts w:asciiTheme="minorEastAsia" w:hAnsiTheme="minorEastAsia" w:eastAsiaTheme="minorEastAsia"/>
          <w:b/>
          <w:bCs/>
          <w:sz w:val="32"/>
          <w:szCs w:val="32"/>
        </w:rPr>
        <w:t>年</w:t>
      </w:r>
      <w:r>
        <w:rPr>
          <w:rFonts w:asciiTheme="minorEastAsia" w:hAnsiTheme="minorEastAsia" w:eastAsiaTheme="minorEastAsia"/>
          <w:b/>
          <w:bCs/>
          <w:sz w:val="32"/>
          <w:szCs w:val="32"/>
          <w:u w:val="single"/>
        </w:rPr>
        <w:t xml:space="preserve">     </w:t>
      </w:r>
      <w:r>
        <w:rPr>
          <w:rFonts w:asciiTheme="minorEastAsia" w:hAnsiTheme="minorEastAsia" w:eastAsiaTheme="minorEastAsia"/>
          <w:b/>
          <w:bCs/>
          <w:sz w:val="32"/>
          <w:szCs w:val="32"/>
        </w:rPr>
        <w:t>月</w:t>
      </w:r>
      <w:r>
        <w:rPr>
          <w:rFonts w:asciiTheme="minorEastAsia" w:hAnsiTheme="minorEastAsia" w:eastAsiaTheme="minorEastAsia"/>
          <w:b/>
          <w:bCs/>
          <w:sz w:val="32"/>
          <w:szCs w:val="32"/>
          <w:u w:val="single"/>
        </w:rPr>
        <w:t xml:space="preserve">     </w:t>
      </w:r>
      <w:r>
        <w:rPr>
          <w:rFonts w:asciiTheme="minorEastAsia" w:hAnsiTheme="minorEastAsia" w:eastAsiaTheme="minorEastAsia"/>
          <w:b/>
          <w:bCs/>
          <w:sz w:val="32"/>
          <w:szCs w:val="32"/>
        </w:rPr>
        <w:t>日</w:t>
      </w:r>
    </w:p>
    <w:p w14:paraId="3BE8F042">
      <w:pPr>
        <w:widowControl/>
        <w:jc w:val="left"/>
        <w:rPr>
          <w:rFonts w:asciiTheme="minorEastAsia" w:hAnsiTheme="minorEastAsia" w:eastAsiaTheme="minorEastAsia"/>
          <w:b/>
          <w:color w:val="auto"/>
          <w:kern w:val="0"/>
          <w:sz w:val="32"/>
          <w:szCs w:val="32"/>
          <w:highlight w:val="none"/>
        </w:rPr>
      </w:pPr>
      <w:r>
        <w:rPr>
          <w:rFonts w:asciiTheme="minorEastAsia" w:hAnsiTheme="minorEastAsia" w:eastAsiaTheme="minorEastAsia"/>
          <w:b/>
          <w:color w:val="auto"/>
          <w:kern w:val="0"/>
          <w:sz w:val="32"/>
          <w:szCs w:val="32"/>
          <w:highlight w:val="none"/>
        </w:rPr>
        <w:br w:type="page"/>
      </w:r>
    </w:p>
    <w:bookmarkEnd w:id="1160"/>
    <w:bookmarkEnd w:id="1161"/>
    <w:bookmarkEnd w:id="1162"/>
    <w:p w14:paraId="7255D53D">
      <w:pPr>
        <w:spacing w:line="360" w:lineRule="auto"/>
        <w:jc w:val="center"/>
        <w:outlineLvl w:val="1"/>
        <w:rPr>
          <w:rFonts w:asciiTheme="minorEastAsia" w:hAnsiTheme="minorEastAsia" w:eastAsiaTheme="minorEastAsia"/>
          <w:b/>
          <w:color w:val="auto"/>
          <w:sz w:val="30"/>
          <w:szCs w:val="30"/>
          <w:highlight w:val="none"/>
        </w:rPr>
      </w:pPr>
      <w:bookmarkStart w:id="1168" w:name="_Toc42205045"/>
      <w:bookmarkStart w:id="1169" w:name="_Toc3169"/>
      <w:r>
        <w:rPr>
          <w:rFonts w:hint="eastAsia" w:asciiTheme="minorEastAsia" w:hAnsiTheme="minorEastAsia" w:eastAsiaTheme="minorEastAsia"/>
          <w:b/>
          <w:color w:val="auto"/>
          <w:sz w:val="30"/>
          <w:szCs w:val="30"/>
          <w:highlight w:val="none"/>
        </w:rPr>
        <w:t xml:space="preserve"> </w:t>
      </w:r>
      <w:bookmarkStart w:id="1170" w:name="_Toc1962"/>
      <w:r>
        <w:rPr>
          <w:rFonts w:hint="eastAsia" w:asciiTheme="minorEastAsia" w:hAnsiTheme="minorEastAsia" w:eastAsiaTheme="minorEastAsia"/>
          <w:b/>
          <w:color w:val="auto"/>
          <w:sz w:val="30"/>
          <w:szCs w:val="30"/>
          <w:highlight w:val="none"/>
        </w:rPr>
        <w:t>一、资格</w:t>
      </w:r>
      <w:bookmarkEnd w:id="1163"/>
      <w:bookmarkEnd w:id="1168"/>
      <w:bookmarkEnd w:id="1169"/>
      <w:r>
        <w:rPr>
          <w:rFonts w:hint="eastAsia" w:asciiTheme="minorEastAsia" w:hAnsiTheme="minorEastAsia" w:eastAsiaTheme="minorEastAsia"/>
          <w:b/>
          <w:color w:val="auto"/>
          <w:sz w:val="30"/>
          <w:szCs w:val="30"/>
          <w:highlight w:val="none"/>
        </w:rPr>
        <w:t>文件</w:t>
      </w:r>
      <w:bookmarkEnd w:id="1170"/>
    </w:p>
    <w:bookmarkEnd w:id="1164"/>
    <w:bookmarkEnd w:id="1165"/>
    <w:bookmarkEnd w:id="1166"/>
    <w:bookmarkEnd w:id="1167"/>
    <w:p w14:paraId="61E26704">
      <w:pPr>
        <w:spacing w:line="360" w:lineRule="auto"/>
        <w:jc w:val="center"/>
        <w:outlineLvl w:val="2"/>
        <w:rPr>
          <w:rFonts w:asciiTheme="minorEastAsia" w:hAnsiTheme="minorEastAsia" w:eastAsiaTheme="minorEastAsia"/>
          <w:b/>
          <w:color w:val="auto"/>
          <w:sz w:val="28"/>
          <w:szCs w:val="28"/>
          <w:highlight w:val="none"/>
        </w:rPr>
      </w:pPr>
      <w:bookmarkStart w:id="1171" w:name="_Toc42205046"/>
      <w:bookmarkStart w:id="1172" w:name="_Toc110405198"/>
      <w:bookmarkStart w:id="1173" w:name="_Toc3350"/>
      <w:bookmarkStart w:id="1174" w:name="_Toc98865068"/>
      <w:bookmarkStart w:id="1175" w:name="_Toc75783586"/>
      <w:bookmarkStart w:id="1176" w:name="_Toc109809379"/>
      <w:bookmarkStart w:id="1177" w:name="_Toc45976960"/>
      <w:bookmarkStart w:id="1178" w:name="_Toc69678483"/>
      <w:bookmarkStart w:id="1179" w:name="_Toc81331001"/>
      <w:bookmarkStart w:id="1180" w:name="_Toc53412271"/>
      <w:bookmarkStart w:id="1181" w:name="_Toc116584064"/>
      <w:bookmarkStart w:id="1182" w:name="_Toc292983033"/>
      <w:bookmarkStart w:id="1183" w:name="_Toc265766862"/>
      <w:bookmarkStart w:id="1184" w:name="_Toc513923168"/>
      <w:bookmarkStart w:id="1185" w:name="_Toc518141930"/>
      <w:r>
        <w:rPr>
          <w:rFonts w:hint="eastAsia" w:asciiTheme="minorEastAsia" w:hAnsiTheme="minorEastAsia" w:eastAsiaTheme="minorEastAsia"/>
          <w:b/>
          <w:color w:val="auto"/>
          <w:sz w:val="28"/>
          <w:szCs w:val="28"/>
          <w:highlight w:val="none"/>
        </w:rPr>
        <w:t>（一）</w:t>
      </w:r>
      <w:bookmarkEnd w:id="1171"/>
      <w:bookmarkEnd w:id="1172"/>
      <w:bookmarkEnd w:id="1173"/>
      <w:bookmarkEnd w:id="1174"/>
      <w:bookmarkEnd w:id="1175"/>
      <w:bookmarkEnd w:id="1176"/>
      <w:bookmarkEnd w:id="1177"/>
      <w:bookmarkEnd w:id="1178"/>
      <w:bookmarkEnd w:id="1179"/>
      <w:bookmarkEnd w:id="1180"/>
      <w:bookmarkEnd w:id="1181"/>
      <w:r>
        <w:rPr>
          <w:rFonts w:hint="eastAsia" w:asciiTheme="minorEastAsia" w:hAnsiTheme="minorEastAsia" w:eastAsiaTheme="minorEastAsia"/>
          <w:b/>
          <w:color w:val="auto"/>
          <w:sz w:val="28"/>
          <w:szCs w:val="28"/>
          <w:highlight w:val="none"/>
        </w:rPr>
        <w:t>具有独立承担民事责任的能力</w:t>
      </w:r>
    </w:p>
    <w:p w14:paraId="4596E6FC">
      <w:pPr>
        <w:topLinePunct/>
        <w:spacing w:before="120" w:beforeLines="50" w:line="360" w:lineRule="auto"/>
        <w:jc w:val="cente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注：附有效的营业执照或其他的法定证明文件的原件扫描件。</w:t>
      </w:r>
    </w:p>
    <w:p w14:paraId="02D4007E">
      <w:pPr>
        <w:topLinePunct/>
        <w:spacing w:before="120" w:beforeLines="50" w:line="360" w:lineRule="auto"/>
        <w:ind w:firstLine="420" w:firstLineChars="200"/>
        <w:jc w:val="center"/>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5E4B0803">
      <w:pPr>
        <w:topLinePunct/>
        <w:spacing w:before="120" w:beforeLines="50" w:line="360" w:lineRule="auto"/>
        <w:jc w:val="center"/>
        <w:rPr>
          <w:rFonts w:hint="eastAsia" w:asciiTheme="minorEastAsia" w:hAnsiTheme="minorEastAsia" w:eastAsiaTheme="minorEastAsia"/>
          <w:color w:val="auto"/>
          <w:highlight w:val="none"/>
        </w:rPr>
      </w:pPr>
    </w:p>
    <w:p w14:paraId="492825EA">
      <w:pPr>
        <w:wordWrap w:val="0"/>
        <w:topLinePunct/>
        <w:spacing w:before="120" w:beforeLines="50" w:line="360" w:lineRule="auto"/>
        <w:ind w:firstLine="420"/>
        <w:jc w:val="left"/>
        <w:rPr>
          <w:rFonts w:asciiTheme="minorEastAsia" w:hAnsiTheme="minorEastAsia" w:eastAsiaTheme="minorEastAsia"/>
          <w:color w:val="auto"/>
          <w:highlight w:val="none"/>
        </w:rPr>
      </w:pPr>
    </w:p>
    <w:p w14:paraId="6015C320">
      <w:pPr>
        <w:pStyle w:val="6"/>
        <w:spacing w:line="360" w:lineRule="auto"/>
        <w:rPr>
          <w:rFonts w:asciiTheme="minorEastAsia" w:hAnsiTheme="minorEastAsia" w:eastAsiaTheme="minorEastAsia"/>
          <w:color w:val="auto"/>
          <w:highlight w:val="none"/>
        </w:rPr>
        <w:sectPr>
          <w:headerReference r:id="rId8" w:type="first"/>
          <w:footerReference r:id="rId10" w:type="first"/>
          <w:footerReference r:id="rId9" w:type="default"/>
          <w:pgSz w:w="11906" w:h="16838"/>
          <w:pgMar w:top="1134" w:right="1134" w:bottom="1134" w:left="1134" w:header="851" w:footer="851" w:gutter="0"/>
          <w:cols w:space="720" w:num="1"/>
          <w:docGrid w:linePitch="312" w:charSpace="0"/>
        </w:sectPr>
      </w:pPr>
    </w:p>
    <w:bookmarkEnd w:id="1182"/>
    <w:bookmarkEnd w:id="1183"/>
    <w:p w14:paraId="4A2F8296">
      <w:pPr>
        <w:spacing w:line="360" w:lineRule="auto"/>
        <w:jc w:val="center"/>
        <w:outlineLvl w:val="2"/>
        <w:rPr>
          <w:rFonts w:asciiTheme="minorEastAsia" w:hAnsiTheme="minorEastAsia" w:eastAsiaTheme="minorEastAsia"/>
          <w:b/>
          <w:color w:val="auto"/>
          <w:sz w:val="28"/>
          <w:szCs w:val="28"/>
          <w:highlight w:val="none"/>
        </w:rPr>
      </w:pPr>
      <w:bookmarkStart w:id="1186" w:name="_Toc110405199"/>
      <w:bookmarkStart w:id="1187" w:name="_Toc116584065"/>
      <w:bookmarkStart w:id="1188" w:name="_Toc81331002"/>
      <w:bookmarkStart w:id="1189" w:name="_Toc53412272"/>
      <w:bookmarkStart w:id="1190" w:name="_Toc98865069"/>
      <w:bookmarkStart w:id="1191" w:name="_Toc45976961"/>
      <w:bookmarkStart w:id="1192" w:name="_Toc109809380"/>
      <w:bookmarkStart w:id="1193" w:name="_Toc69678484"/>
      <w:bookmarkStart w:id="1194" w:name="_Toc75783587"/>
      <w:bookmarkStart w:id="1195" w:name="_Toc11887"/>
      <w:bookmarkStart w:id="1196" w:name="_Toc42205047"/>
      <w:r>
        <w:rPr>
          <w:rFonts w:hint="eastAsia" w:asciiTheme="minorEastAsia" w:hAnsiTheme="minorEastAsia" w:eastAsiaTheme="minorEastAsia"/>
          <w:b/>
          <w:color w:val="auto"/>
          <w:sz w:val="28"/>
          <w:szCs w:val="28"/>
          <w:highlight w:val="none"/>
        </w:rPr>
        <w:t>（二）</w:t>
      </w:r>
      <w:bookmarkEnd w:id="1186"/>
      <w:bookmarkEnd w:id="1187"/>
      <w:bookmarkEnd w:id="1188"/>
      <w:bookmarkEnd w:id="1189"/>
      <w:bookmarkEnd w:id="1190"/>
      <w:bookmarkEnd w:id="1191"/>
      <w:bookmarkEnd w:id="1192"/>
      <w:bookmarkEnd w:id="1193"/>
      <w:bookmarkEnd w:id="1194"/>
      <w:bookmarkEnd w:id="1195"/>
      <w:bookmarkEnd w:id="1196"/>
      <w:r>
        <w:rPr>
          <w:rFonts w:hint="eastAsia" w:asciiTheme="minorEastAsia" w:hAnsiTheme="minorEastAsia" w:eastAsiaTheme="minorEastAsia"/>
          <w:b/>
          <w:color w:val="auto"/>
          <w:sz w:val="28"/>
          <w:szCs w:val="28"/>
          <w:highlight w:val="none"/>
        </w:rPr>
        <w:t>具有良好的商业信誉和健全的财务会计制度</w:t>
      </w:r>
    </w:p>
    <w:p w14:paraId="666908FE">
      <w:pPr>
        <w:keepNext w:val="0"/>
        <w:keepLines w:val="0"/>
        <w:pageBreakBefore w:val="0"/>
        <w:widowControl w:val="0"/>
        <w:tabs>
          <w:tab w:val="left" w:pos="709"/>
        </w:tabs>
        <w:kinsoku/>
        <w:wordWrap/>
        <w:overflowPunct/>
        <w:topLinePunct w:val="0"/>
        <w:autoSpaceDE/>
        <w:autoSpaceDN/>
        <w:bidi w:val="0"/>
        <w:adjustRightInd/>
        <w:snapToGrid/>
        <w:spacing w:line="360" w:lineRule="auto"/>
        <w:ind w:firstLine="420" w:firstLineChars="200"/>
        <w:jc w:val="left"/>
        <w:textAlignment w:val="auto"/>
        <w:rPr>
          <w:rFonts w:hint="eastAsia" w:cs="Times New Roman" w:asciiTheme="minorEastAsia" w:hAnsiTheme="minorEastAsia" w:eastAsiaTheme="minorEastAsia"/>
          <w:color w:val="auto"/>
          <w:highlight w:val="none"/>
          <w:lang w:val="en-US" w:eastAsia="zh-CN"/>
        </w:rPr>
      </w:pPr>
      <w:r>
        <w:rPr>
          <w:rFonts w:hint="eastAsia" w:cs="Times New Roman" w:asciiTheme="minorEastAsia" w:hAnsiTheme="minorEastAsia" w:eastAsiaTheme="minorEastAsia"/>
          <w:color w:val="auto"/>
          <w:highlight w:val="none"/>
        </w:rPr>
        <w:t>注：</w:t>
      </w:r>
      <w:bookmarkStart w:id="1197" w:name="_Toc21738"/>
      <w:bookmarkStart w:id="1198" w:name="_Toc69678485"/>
      <w:bookmarkStart w:id="1199" w:name="_Toc75783588"/>
      <w:bookmarkStart w:id="1200" w:name="_Toc45976962"/>
      <w:bookmarkStart w:id="1201" w:name="_Toc98865070"/>
      <w:bookmarkStart w:id="1202" w:name="_Toc116584066"/>
      <w:bookmarkStart w:id="1203" w:name="_Toc109809381"/>
      <w:bookmarkStart w:id="1204" w:name="_Toc42205048"/>
      <w:bookmarkStart w:id="1205" w:name="_Toc53412273"/>
      <w:bookmarkStart w:id="1206" w:name="_Toc81331003"/>
      <w:bookmarkStart w:id="1207" w:name="_Toc110405200"/>
      <w:bookmarkStart w:id="1208" w:name="_Toc522397136"/>
      <w:bookmarkStart w:id="1209" w:name="_Toc518141928"/>
      <w:bookmarkStart w:id="1210" w:name="_Toc517710844"/>
      <w:bookmarkStart w:id="1211" w:name="_Toc494495988"/>
      <w:r>
        <w:rPr>
          <w:rFonts w:hint="eastAsia" w:cs="Times New Roman" w:asciiTheme="minorEastAsia" w:hAnsiTheme="minorEastAsia" w:eastAsiaTheme="minorEastAsia"/>
          <w:color w:val="auto"/>
          <w:highlight w:val="none"/>
        </w:rPr>
        <w:t>具有良好的商业信誉和健全的财务会计制度：供应商须提供202</w:t>
      </w:r>
      <w:r>
        <w:rPr>
          <w:rFonts w:hint="eastAsia" w:cs="Times New Roman" w:asciiTheme="minorEastAsia" w:hAnsiTheme="minorEastAsia" w:eastAsiaTheme="minorEastAsia"/>
          <w:color w:val="auto"/>
          <w:highlight w:val="none"/>
          <w:lang w:val="en-US" w:eastAsia="zh-CN"/>
        </w:rPr>
        <w:t>5</w:t>
      </w:r>
      <w:r>
        <w:rPr>
          <w:rFonts w:hint="eastAsia" w:cs="Times New Roman" w:asciiTheme="minorEastAsia" w:hAnsiTheme="minorEastAsia" w:eastAsiaTheme="minorEastAsia"/>
          <w:color w:val="auto"/>
          <w:highlight w:val="none"/>
        </w:rPr>
        <w:t>年度经第三方审计机构或会计师事务所出具的审计报告</w:t>
      </w:r>
      <w:r>
        <w:rPr>
          <w:rFonts w:hint="eastAsia" w:cs="Times New Roman" w:asciiTheme="minorEastAsia" w:hAnsiTheme="minorEastAsia" w:eastAsiaTheme="minorEastAsia"/>
          <w:color w:val="auto"/>
          <w:highlight w:val="none"/>
          <w:lang w:eastAsia="zh-CN"/>
        </w:rPr>
        <w:t>（</w:t>
      </w:r>
      <w:r>
        <w:rPr>
          <w:rFonts w:hint="eastAsia" w:cs="Times New Roman" w:asciiTheme="minorEastAsia" w:hAnsiTheme="minorEastAsia" w:eastAsiaTheme="minorEastAsia"/>
          <w:color w:val="auto"/>
          <w:highlight w:val="none"/>
        </w:rPr>
        <w:t>标准无保留意见</w:t>
      </w:r>
      <w:r>
        <w:rPr>
          <w:rFonts w:hint="eastAsia" w:cs="Times New Roman" w:asciiTheme="minorEastAsia" w:hAnsiTheme="minorEastAsia" w:eastAsiaTheme="minorEastAsia"/>
          <w:color w:val="auto"/>
          <w:highlight w:val="none"/>
          <w:lang w:eastAsia="zh-CN"/>
        </w:rPr>
        <w:t>）</w:t>
      </w:r>
      <w:r>
        <w:rPr>
          <w:rFonts w:hint="eastAsia" w:cs="Times New Roman" w:asciiTheme="minorEastAsia" w:hAnsiTheme="minorEastAsia" w:eastAsiaTheme="minorEastAsia"/>
          <w:color w:val="auto"/>
          <w:highlight w:val="none"/>
        </w:rPr>
        <w:t>，包括资产负债表、现金流量表、损益表（利润表）、财务报表附注或财务情况说明书。</w:t>
      </w:r>
      <w:r>
        <w:rPr>
          <w:rFonts w:hint="eastAsia" w:cs="Times New Roman" w:asciiTheme="minorEastAsia" w:hAnsiTheme="minorEastAsia" w:eastAsiaTheme="minorEastAsia"/>
          <w:color w:val="auto"/>
          <w:highlight w:val="none"/>
          <w:lang w:val="en-US" w:eastAsia="zh-CN"/>
        </w:rPr>
        <w:t>财务审计报告须按相关要求在“注册会计师行业统一监管平台”备案并赋码（注：成立不足一年的，提供成立之日起至今经单位财务审核签字的财务报表）。</w:t>
      </w:r>
    </w:p>
    <w:p w14:paraId="2F52AABF">
      <w:pPr>
        <w:topLinePunct/>
        <w:spacing w:before="120" w:beforeLines="50" w:line="360" w:lineRule="auto"/>
        <w:ind w:firstLine="420" w:firstLineChars="200"/>
        <w:jc w:val="both"/>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3EE75E47">
      <w:pPr>
        <w:keepNext w:val="0"/>
        <w:keepLines w:val="0"/>
        <w:pageBreakBefore w:val="0"/>
        <w:widowControl w:val="0"/>
        <w:tabs>
          <w:tab w:val="left" w:pos="709"/>
        </w:tabs>
        <w:kinsoku/>
        <w:wordWrap/>
        <w:overflowPunct/>
        <w:topLinePunct w:val="0"/>
        <w:autoSpaceDE/>
        <w:autoSpaceDN/>
        <w:bidi w:val="0"/>
        <w:adjustRightInd/>
        <w:snapToGrid/>
        <w:spacing w:line="360" w:lineRule="auto"/>
        <w:ind w:firstLine="420" w:firstLineChars="200"/>
        <w:jc w:val="left"/>
        <w:textAlignment w:val="auto"/>
        <w:rPr>
          <w:rFonts w:hint="eastAsia" w:cs="Times New Roman" w:asciiTheme="minorEastAsia" w:hAnsiTheme="minorEastAsia" w:eastAsiaTheme="minorEastAsia"/>
          <w:color w:val="auto"/>
          <w:highlight w:val="none"/>
          <w:lang w:val="en-US" w:eastAsia="zh-CN"/>
        </w:rPr>
      </w:pPr>
    </w:p>
    <w:p w14:paraId="05972597">
      <w:pPr>
        <w:keepNext w:val="0"/>
        <w:keepLines w:val="0"/>
        <w:pageBreakBefore w:val="0"/>
        <w:widowControl w:val="0"/>
        <w:tabs>
          <w:tab w:val="left" w:pos="709"/>
        </w:tabs>
        <w:kinsoku/>
        <w:wordWrap/>
        <w:overflowPunct/>
        <w:topLinePunct w:val="0"/>
        <w:autoSpaceDE/>
        <w:autoSpaceDN/>
        <w:bidi w:val="0"/>
        <w:adjustRightInd/>
        <w:snapToGrid/>
        <w:spacing w:line="360" w:lineRule="auto"/>
        <w:jc w:val="left"/>
        <w:textAlignment w:val="auto"/>
        <w:rPr>
          <w:rFonts w:hint="eastAsia" w:cs="Times New Roman" w:asciiTheme="minorEastAsia" w:hAnsiTheme="minorEastAsia" w:eastAsiaTheme="minorEastAsia"/>
          <w:color w:val="auto"/>
          <w:highlight w:val="none"/>
        </w:rPr>
      </w:pPr>
      <w:r>
        <w:rPr>
          <w:rFonts w:hint="eastAsia" w:cs="Times New Roman" w:asciiTheme="minorEastAsia" w:hAnsiTheme="minorEastAsia" w:eastAsiaTheme="minorEastAsia"/>
          <w:color w:val="auto"/>
          <w:highlight w:val="none"/>
        </w:rPr>
        <w:br w:type="page"/>
      </w:r>
    </w:p>
    <w:p w14:paraId="1289BF7D">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（三）具有履行合同所必需的设备和专业技术能力</w:t>
      </w:r>
      <w:bookmarkEnd w:id="1197"/>
      <w:bookmarkEnd w:id="1198"/>
      <w:bookmarkEnd w:id="1199"/>
      <w:bookmarkEnd w:id="1200"/>
      <w:bookmarkEnd w:id="1201"/>
      <w:bookmarkEnd w:id="1202"/>
      <w:bookmarkEnd w:id="1203"/>
      <w:bookmarkEnd w:id="1204"/>
      <w:bookmarkEnd w:id="1205"/>
      <w:bookmarkEnd w:id="1206"/>
      <w:bookmarkEnd w:id="1207"/>
      <w:bookmarkEnd w:id="1208"/>
    </w:p>
    <w:p w14:paraId="4983E9A3">
      <w:pPr>
        <w:spacing w:line="360" w:lineRule="auto"/>
        <w:jc w:val="center"/>
        <w:rPr>
          <w:rFonts w:hint="eastAsia" w:asciiTheme="minorEastAsia" w:hAnsiTheme="minorEastAsia" w:eastAsiaTheme="minorEastAsia"/>
          <w:color w:val="auto"/>
          <w:highlight w:val="none"/>
        </w:rPr>
      </w:pPr>
      <w:bookmarkStart w:id="1212" w:name="_Hlk6220935"/>
      <w:r>
        <w:rPr>
          <w:rFonts w:hint="eastAsia" w:asciiTheme="minorEastAsia" w:hAnsiTheme="minorEastAsia" w:eastAsiaTheme="minorEastAsia"/>
          <w:color w:val="auto"/>
          <w:highlight w:val="none"/>
        </w:rPr>
        <w:t>注：附书面承诺，内容自拟。</w:t>
      </w:r>
    </w:p>
    <w:p w14:paraId="77795561">
      <w:pPr>
        <w:topLinePunct/>
        <w:spacing w:before="120" w:beforeLines="50" w:line="360" w:lineRule="auto"/>
        <w:ind w:firstLine="420" w:firstLineChars="200"/>
        <w:jc w:val="center"/>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38594402">
      <w:pPr>
        <w:spacing w:line="360" w:lineRule="auto"/>
        <w:jc w:val="center"/>
        <w:rPr>
          <w:rFonts w:hint="eastAsia" w:asciiTheme="minorEastAsia" w:hAnsiTheme="minorEastAsia" w:eastAsiaTheme="minorEastAsia"/>
          <w:color w:val="auto"/>
          <w:highlight w:val="none"/>
        </w:rPr>
      </w:pPr>
    </w:p>
    <w:bookmarkEnd w:id="1212"/>
    <w:p w14:paraId="64A6FA23">
      <w:pPr>
        <w:spacing w:line="480" w:lineRule="auto"/>
        <w:ind w:right="105" w:firstLine="4410" w:firstLineChars="2100"/>
        <w:rPr>
          <w:rFonts w:asciiTheme="minorEastAsia" w:hAnsiTheme="minorEastAsia" w:eastAsiaTheme="minorEastAsia"/>
          <w:color w:val="auto"/>
          <w:szCs w:val="21"/>
          <w:highlight w:val="none"/>
        </w:rPr>
      </w:pPr>
      <w:bookmarkStart w:id="1213" w:name="_Toc81331004"/>
      <w:bookmarkStart w:id="1214" w:name="_Toc98865071"/>
      <w:bookmarkStart w:id="1215" w:name="_Toc116584067"/>
      <w:bookmarkStart w:id="1216" w:name="_Toc53412274"/>
      <w:bookmarkStart w:id="1217" w:name="_Toc69678486"/>
      <w:bookmarkStart w:id="1218" w:name="_Toc75783589"/>
      <w:bookmarkStart w:id="1219" w:name="_Toc45976963"/>
      <w:bookmarkStart w:id="1220" w:name="_Toc522397137"/>
      <w:bookmarkStart w:id="1221" w:name="_Toc110405201"/>
      <w:bookmarkStart w:id="1222" w:name="_Toc42205049"/>
      <w:bookmarkStart w:id="1223" w:name="_Toc109809382"/>
      <w:bookmarkStart w:id="1224" w:name="_Toc8980"/>
    </w:p>
    <w:p w14:paraId="74D70E71">
      <w:pPr>
        <w:spacing w:line="480" w:lineRule="auto"/>
        <w:ind w:right="105" w:firstLine="4410" w:firstLineChars="2100"/>
        <w:rPr>
          <w:rFonts w:asciiTheme="minorEastAsia" w:hAnsiTheme="minorEastAsia" w:eastAsiaTheme="minorEastAsia"/>
          <w:color w:val="auto"/>
          <w:szCs w:val="21"/>
          <w:highlight w:val="none"/>
        </w:rPr>
      </w:pPr>
    </w:p>
    <w:p w14:paraId="7951FD4F">
      <w:pPr>
        <w:spacing w:line="480" w:lineRule="auto"/>
        <w:ind w:right="105" w:firstLine="4410" w:firstLineChars="2100"/>
        <w:rPr>
          <w:rFonts w:asciiTheme="minorEastAsia" w:hAnsiTheme="minorEastAsia" w:eastAsiaTheme="minorEastAsia"/>
          <w:color w:val="auto"/>
          <w:szCs w:val="21"/>
          <w:highlight w:val="none"/>
        </w:rPr>
      </w:pPr>
    </w:p>
    <w:p w14:paraId="596FAE11">
      <w:pPr>
        <w:spacing w:line="480" w:lineRule="auto"/>
        <w:ind w:right="105" w:firstLine="4410" w:firstLineChars="2100"/>
        <w:rPr>
          <w:rFonts w:asciiTheme="minorEastAsia" w:hAnsiTheme="minorEastAsia" w:eastAsiaTheme="minorEastAsia"/>
          <w:color w:val="auto"/>
          <w:szCs w:val="21"/>
          <w:highlight w:val="none"/>
        </w:rPr>
      </w:pPr>
    </w:p>
    <w:p w14:paraId="2C75B172">
      <w:pPr>
        <w:spacing w:line="480" w:lineRule="auto"/>
        <w:ind w:right="105" w:firstLine="4410" w:firstLineChars="2100"/>
        <w:rPr>
          <w:rFonts w:asciiTheme="minorEastAsia" w:hAnsiTheme="minorEastAsia" w:eastAsiaTheme="minorEastAsia"/>
          <w:color w:val="auto"/>
          <w:szCs w:val="21"/>
          <w:highlight w:val="none"/>
        </w:rPr>
      </w:pPr>
    </w:p>
    <w:p w14:paraId="3A253223">
      <w:pPr>
        <w:spacing w:line="480" w:lineRule="auto"/>
        <w:ind w:right="105" w:firstLine="4410" w:firstLineChars="2100"/>
        <w:rPr>
          <w:rFonts w:asciiTheme="minorEastAsia" w:hAnsiTheme="minorEastAsia" w:eastAsiaTheme="minorEastAsia"/>
          <w:color w:val="auto"/>
          <w:szCs w:val="21"/>
          <w:highlight w:val="none"/>
        </w:rPr>
      </w:pPr>
    </w:p>
    <w:p w14:paraId="40014CBF">
      <w:pPr>
        <w:spacing w:line="480" w:lineRule="auto"/>
        <w:ind w:right="105" w:firstLine="4410" w:firstLineChars="2100"/>
        <w:rPr>
          <w:rFonts w:asciiTheme="minorEastAsia" w:hAnsiTheme="minorEastAsia" w:eastAsiaTheme="minorEastAsia"/>
          <w:color w:val="auto"/>
          <w:szCs w:val="21"/>
          <w:highlight w:val="none"/>
        </w:rPr>
      </w:pPr>
    </w:p>
    <w:p w14:paraId="0CEA01AC">
      <w:pPr>
        <w:spacing w:line="480" w:lineRule="auto"/>
        <w:ind w:right="105" w:firstLine="4410" w:firstLineChars="2100"/>
        <w:rPr>
          <w:rFonts w:asciiTheme="minorEastAsia" w:hAnsiTheme="minorEastAsia" w:eastAsiaTheme="minorEastAsia"/>
          <w:color w:val="auto"/>
          <w:szCs w:val="21"/>
          <w:highlight w:val="none"/>
        </w:rPr>
      </w:pPr>
    </w:p>
    <w:p w14:paraId="084EE580">
      <w:pPr>
        <w:spacing w:line="480" w:lineRule="auto"/>
        <w:ind w:right="105" w:firstLine="4410" w:firstLineChars="2100"/>
        <w:rPr>
          <w:rFonts w:asciiTheme="minorEastAsia" w:hAnsiTheme="minorEastAsia" w:eastAsiaTheme="minorEastAsia"/>
          <w:color w:val="auto"/>
          <w:szCs w:val="21"/>
          <w:highlight w:val="none"/>
        </w:rPr>
      </w:pPr>
    </w:p>
    <w:p w14:paraId="55C713F3">
      <w:pPr>
        <w:spacing w:line="480" w:lineRule="auto"/>
        <w:ind w:right="105" w:firstLine="4410" w:firstLineChars="2100"/>
        <w:rPr>
          <w:rFonts w:asciiTheme="minorEastAsia" w:hAnsiTheme="minorEastAsia" w:eastAsiaTheme="minorEastAsia"/>
          <w:color w:val="auto"/>
          <w:szCs w:val="21"/>
          <w:highlight w:val="none"/>
        </w:rPr>
      </w:pPr>
    </w:p>
    <w:p w14:paraId="515530CF">
      <w:pPr>
        <w:spacing w:line="480" w:lineRule="auto"/>
        <w:ind w:right="105"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4C3E65BE">
      <w:pPr>
        <w:spacing w:line="480" w:lineRule="auto"/>
        <w:ind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（电子签章）</w:t>
      </w:r>
    </w:p>
    <w:p w14:paraId="10D1FD1F">
      <w:pPr>
        <w:widowControl/>
        <w:ind w:firstLine="4410" w:firstLineChars="21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62E85298">
      <w:pPr>
        <w:widowControl/>
        <w:ind w:firstLine="5903" w:firstLineChars="2100"/>
        <w:jc w:val="left"/>
        <w:rPr>
          <w:rFonts w:asciiTheme="minorEastAsia" w:hAnsiTheme="minorEastAsia" w:eastAsiaTheme="minorEastAsia"/>
          <w:b/>
          <w:color w:val="auto"/>
          <w:sz w:val="28"/>
          <w:szCs w:val="28"/>
          <w:highlight w:val="none"/>
        </w:rPr>
      </w:pPr>
    </w:p>
    <w:p w14:paraId="05B5843D">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1F9EC4AB">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（四）有依法缴纳税收和社会保障资金的良好记录</w:t>
      </w:r>
      <w:bookmarkEnd w:id="1213"/>
      <w:bookmarkEnd w:id="1214"/>
      <w:bookmarkEnd w:id="1215"/>
      <w:bookmarkEnd w:id="1216"/>
      <w:bookmarkEnd w:id="1217"/>
      <w:bookmarkEnd w:id="1218"/>
      <w:bookmarkEnd w:id="1219"/>
      <w:bookmarkEnd w:id="1220"/>
      <w:bookmarkEnd w:id="1221"/>
      <w:bookmarkEnd w:id="1222"/>
      <w:bookmarkEnd w:id="1223"/>
      <w:bookmarkEnd w:id="1224"/>
    </w:p>
    <w:p w14:paraId="6EA9F216">
      <w:pPr>
        <w:keepNext w:val="0"/>
        <w:keepLines w:val="0"/>
        <w:pageBreakBefore w:val="0"/>
        <w:widowControl w:val="0"/>
        <w:tabs>
          <w:tab w:val="left" w:pos="709"/>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olor w:val="auto"/>
          <w:highlight w:val="none"/>
        </w:rPr>
      </w:pPr>
      <w:bookmarkStart w:id="1225" w:name="_Toc75783590"/>
      <w:bookmarkStart w:id="1226" w:name="_Toc69678487"/>
      <w:bookmarkStart w:id="1227" w:name="_Toc45976964"/>
      <w:bookmarkStart w:id="1228" w:name="_Toc81331005"/>
      <w:bookmarkStart w:id="1229" w:name="_Toc522397138"/>
      <w:bookmarkStart w:id="1230" w:name="_Toc53412275"/>
      <w:bookmarkStart w:id="1231" w:name="_Toc42205050"/>
      <w:r>
        <w:rPr>
          <w:rFonts w:hint="eastAsia" w:asciiTheme="minorEastAsia" w:hAnsiTheme="minorEastAsia" w:eastAsiaTheme="minorEastAsia"/>
          <w:color w:val="auto"/>
          <w:highlight w:val="none"/>
        </w:rPr>
        <w:t>注：提供202</w:t>
      </w:r>
      <w:r>
        <w:rPr>
          <w:rFonts w:hint="eastAsia" w:asciiTheme="minorEastAsia" w:hAnsiTheme="minorEastAsia" w:eastAsiaTheme="minorEastAsia"/>
          <w:color w:val="auto"/>
          <w:highlight w:val="none"/>
          <w:lang w:val="en-US" w:eastAsia="zh-CN"/>
        </w:rPr>
        <w:t>6</w:t>
      </w:r>
      <w:r>
        <w:rPr>
          <w:rFonts w:hint="eastAsia" w:asciiTheme="minorEastAsia" w:hAnsiTheme="minorEastAsia" w:eastAsiaTheme="minorEastAsia"/>
          <w:color w:val="auto"/>
          <w:highlight w:val="none"/>
        </w:rPr>
        <w:t>年</w:t>
      </w:r>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月至今任意</w:t>
      </w:r>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个月依法缴纳税收和缴纳社会保障资金的证明</w:t>
      </w:r>
      <w:r>
        <w:rPr>
          <w:rFonts w:hint="eastAsia" w:asciiTheme="minorEastAsia" w:hAnsiTheme="minorEastAsia" w:eastAsiaTheme="minorEastAsia"/>
          <w:color w:val="auto"/>
          <w:highlight w:val="none"/>
          <w:lang w:val="en-US" w:eastAsia="zh-CN"/>
        </w:rPr>
        <w:t>材料（</w:t>
      </w:r>
      <w:r>
        <w:rPr>
          <w:rFonts w:hint="eastAsia" w:asciiTheme="minorEastAsia" w:hAnsiTheme="minorEastAsia" w:eastAsiaTheme="minorEastAsia"/>
          <w:color w:val="auto"/>
          <w:highlight w:val="none"/>
        </w:rPr>
        <w:t>成立未满</w:t>
      </w:r>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个月的</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rPr>
        <w:t>提供成立以来的证明材料或情况说明；依法免税或不需要缴纳社会保障资金的供应商，应提供相应文件证明其依法免税或不需要缴纳社会保障资金</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rPr>
        <w:t>。</w:t>
      </w:r>
    </w:p>
    <w:p w14:paraId="41A0A65E">
      <w:pPr>
        <w:topLinePunct/>
        <w:spacing w:before="120" w:beforeLines="50" w:line="360" w:lineRule="auto"/>
        <w:ind w:firstLine="420" w:firstLineChars="200"/>
        <w:jc w:val="both"/>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7BBD1B4B">
      <w:pPr>
        <w:keepNext w:val="0"/>
        <w:keepLines w:val="0"/>
        <w:pageBreakBefore w:val="0"/>
        <w:widowControl w:val="0"/>
        <w:tabs>
          <w:tab w:val="left" w:pos="709"/>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olor w:val="auto"/>
          <w:highlight w:val="none"/>
        </w:rPr>
      </w:pPr>
    </w:p>
    <w:p w14:paraId="4BFE6AED">
      <w:pPr>
        <w:tabs>
          <w:tab w:val="left" w:pos="709"/>
        </w:tabs>
        <w:spacing w:line="360" w:lineRule="auto"/>
        <w:ind w:firstLine="562" w:firstLineChars="200"/>
        <w:jc w:val="left"/>
        <w:rPr>
          <w:rFonts w:asciiTheme="minorEastAsia" w:hAnsiTheme="minorEastAsia" w:eastAsiaTheme="minorEastAsia"/>
          <w:color w:val="auto"/>
          <w:szCs w:val="21"/>
          <w:highlight w:val="none"/>
        </w:rPr>
      </w:pPr>
      <w:r>
        <w:rPr>
          <w:rFonts w:asciiTheme="minorEastAsia" w:hAnsiTheme="minorEastAsia" w:eastAsiaTheme="minorEastAsia"/>
          <w:b/>
          <w:color w:val="auto"/>
          <w:sz w:val="28"/>
          <w:szCs w:val="28"/>
          <w:highlight w:val="none"/>
        </w:rPr>
        <w:br w:type="page"/>
      </w:r>
    </w:p>
    <w:p w14:paraId="7A58E687">
      <w:pPr>
        <w:spacing w:line="360" w:lineRule="auto"/>
        <w:jc w:val="center"/>
        <w:outlineLvl w:val="2"/>
        <w:rPr>
          <w:rFonts w:asciiTheme="minorEastAsia" w:hAnsiTheme="minorEastAsia" w:eastAsiaTheme="minorEastAsia"/>
          <w:b/>
          <w:color w:val="auto"/>
          <w:sz w:val="28"/>
          <w:szCs w:val="28"/>
          <w:highlight w:val="none"/>
        </w:rPr>
      </w:pPr>
      <w:bookmarkStart w:id="1232" w:name="_Toc4146"/>
      <w:bookmarkStart w:id="1233" w:name="_Toc116584068"/>
      <w:bookmarkStart w:id="1234" w:name="_Toc98865072"/>
      <w:bookmarkStart w:id="1235" w:name="_Toc109809383"/>
      <w:bookmarkStart w:id="1236" w:name="_Toc110405202"/>
      <w:r>
        <w:rPr>
          <w:rFonts w:hint="eastAsia" w:asciiTheme="minorEastAsia" w:hAnsiTheme="minorEastAsia" w:eastAsiaTheme="minorEastAsia"/>
          <w:b/>
          <w:color w:val="auto"/>
          <w:sz w:val="28"/>
          <w:szCs w:val="28"/>
          <w:highlight w:val="none"/>
        </w:rPr>
        <w:t>（五）参加政府采购活动前三年内，在经营活动中没有重大违法记录</w:t>
      </w:r>
      <w:bookmarkEnd w:id="1225"/>
      <w:bookmarkEnd w:id="1226"/>
      <w:bookmarkEnd w:id="1227"/>
      <w:bookmarkEnd w:id="1228"/>
      <w:bookmarkEnd w:id="1229"/>
      <w:bookmarkEnd w:id="1230"/>
      <w:bookmarkEnd w:id="1231"/>
      <w:bookmarkEnd w:id="1232"/>
      <w:bookmarkEnd w:id="1233"/>
      <w:bookmarkEnd w:id="1234"/>
      <w:bookmarkEnd w:id="1235"/>
      <w:bookmarkEnd w:id="1236"/>
    </w:p>
    <w:p w14:paraId="66C217EF">
      <w:pPr>
        <w:keepNext w:val="0"/>
        <w:keepLines w:val="0"/>
        <w:pageBreakBefore w:val="0"/>
        <w:widowControl w:val="0"/>
        <w:tabs>
          <w:tab w:val="left" w:pos="709"/>
        </w:tabs>
        <w:kinsoku/>
        <w:wordWrap/>
        <w:overflowPunct/>
        <w:topLinePunct w:val="0"/>
        <w:autoSpaceDE/>
        <w:autoSpaceDN/>
        <w:bidi w:val="0"/>
        <w:adjustRightInd/>
        <w:snapToGrid/>
        <w:spacing w:line="360" w:lineRule="auto"/>
        <w:ind w:firstLine="420" w:firstLineChars="200"/>
        <w:jc w:val="left"/>
        <w:textAlignment w:val="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注：</w:t>
      </w:r>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参加政府采购活动前三年内，在经营活动中没有重大违法记录。提供参加政府采购活动前三年内在经营活动中没有重大违法记录的书面声明（新成立的公司按实际成立时间提供）。</w:t>
      </w:r>
    </w:p>
    <w:p w14:paraId="3F90C07B">
      <w:pPr>
        <w:numPr>
          <w:ilvl w:val="0"/>
          <w:numId w:val="0"/>
        </w:numPr>
        <w:spacing w:line="360" w:lineRule="auto"/>
        <w:ind w:firstLine="840" w:firstLineChars="400"/>
        <w:jc w:val="both"/>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2</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rPr>
        <w:t>法律、行政法规规定的其他条件。</w:t>
      </w:r>
      <w:bookmarkEnd w:id="1209"/>
      <w:bookmarkEnd w:id="1210"/>
      <w:bookmarkEnd w:id="1211"/>
    </w:p>
    <w:p w14:paraId="68953D6E">
      <w:pPr>
        <w:topLinePunct/>
        <w:spacing w:before="120" w:beforeLines="50" w:line="360" w:lineRule="auto"/>
        <w:ind w:firstLine="840" w:firstLineChars="400"/>
        <w:jc w:val="both"/>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6D778049">
      <w:pPr>
        <w:numPr>
          <w:ilvl w:val="0"/>
          <w:numId w:val="0"/>
        </w:numPr>
        <w:spacing w:line="360" w:lineRule="auto"/>
        <w:jc w:val="both"/>
        <w:rPr>
          <w:rFonts w:hint="eastAsia" w:asciiTheme="minorEastAsia" w:hAnsiTheme="minorEastAsia" w:eastAsiaTheme="minorEastAsia"/>
          <w:color w:val="auto"/>
          <w:highlight w:val="none"/>
        </w:rPr>
      </w:pPr>
    </w:p>
    <w:p w14:paraId="2F34F6D7">
      <w:pPr>
        <w:spacing w:line="480" w:lineRule="auto"/>
        <w:ind w:right="105" w:firstLine="4410" w:firstLineChars="2100"/>
        <w:rPr>
          <w:rFonts w:asciiTheme="minorEastAsia" w:hAnsiTheme="minorEastAsia" w:eastAsiaTheme="minorEastAsia"/>
          <w:color w:val="auto"/>
          <w:szCs w:val="21"/>
          <w:highlight w:val="none"/>
        </w:rPr>
      </w:pPr>
    </w:p>
    <w:p w14:paraId="1DEE6CE0">
      <w:pPr>
        <w:spacing w:line="480" w:lineRule="auto"/>
        <w:ind w:right="105" w:firstLine="4410" w:firstLineChars="2100"/>
        <w:rPr>
          <w:rFonts w:asciiTheme="minorEastAsia" w:hAnsiTheme="minorEastAsia" w:eastAsiaTheme="minorEastAsia"/>
          <w:color w:val="auto"/>
          <w:szCs w:val="21"/>
          <w:highlight w:val="none"/>
        </w:rPr>
      </w:pPr>
    </w:p>
    <w:p w14:paraId="5ED38DE3">
      <w:pPr>
        <w:spacing w:line="480" w:lineRule="auto"/>
        <w:ind w:right="105" w:firstLine="4410" w:firstLineChars="2100"/>
        <w:rPr>
          <w:rFonts w:asciiTheme="minorEastAsia" w:hAnsiTheme="minorEastAsia" w:eastAsiaTheme="minorEastAsia"/>
          <w:color w:val="auto"/>
          <w:szCs w:val="21"/>
          <w:highlight w:val="none"/>
        </w:rPr>
      </w:pPr>
    </w:p>
    <w:p w14:paraId="74F7265D">
      <w:pPr>
        <w:spacing w:line="480" w:lineRule="auto"/>
        <w:ind w:right="105" w:firstLine="4410" w:firstLineChars="2100"/>
        <w:rPr>
          <w:rFonts w:asciiTheme="minorEastAsia" w:hAnsiTheme="minorEastAsia" w:eastAsiaTheme="minorEastAsia"/>
          <w:color w:val="auto"/>
          <w:szCs w:val="21"/>
          <w:highlight w:val="none"/>
        </w:rPr>
      </w:pPr>
    </w:p>
    <w:p w14:paraId="4887A303">
      <w:pPr>
        <w:spacing w:line="480" w:lineRule="auto"/>
        <w:ind w:right="105" w:firstLine="4410" w:firstLineChars="2100"/>
        <w:rPr>
          <w:rFonts w:asciiTheme="minorEastAsia" w:hAnsiTheme="minorEastAsia" w:eastAsiaTheme="minorEastAsia"/>
          <w:color w:val="auto"/>
          <w:szCs w:val="21"/>
          <w:highlight w:val="none"/>
        </w:rPr>
      </w:pPr>
    </w:p>
    <w:p w14:paraId="16859338">
      <w:pPr>
        <w:spacing w:line="480" w:lineRule="auto"/>
        <w:ind w:right="105" w:firstLine="4410" w:firstLineChars="2100"/>
        <w:rPr>
          <w:rFonts w:asciiTheme="minorEastAsia" w:hAnsiTheme="minorEastAsia" w:eastAsiaTheme="minorEastAsia"/>
          <w:color w:val="auto"/>
          <w:szCs w:val="21"/>
          <w:highlight w:val="none"/>
        </w:rPr>
      </w:pPr>
    </w:p>
    <w:p w14:paraId="1D6D78C1">
      <w:pPr>
        <w:spacing w:line="480" w:lineRule="auto"/>
        <w:ind w:right="105" w:firstLine="4410" w:firstLineChars="2100"/>
        <w:rPr>
          <w:rFonts w:asciiTheme="minorEastAsia" w:hAnsiTheme="minorEastAsia" w:eastAsiaTheme="minorEastAsia"/>
          <w:color w:val="auto"/>
          <w:szCs w:val="21"/>
          <w:highlight w:val="none"/>
        </w:rPr>
      </w:pPr>
    </w:p>
    <w:p w14:paraId="0BBE3A71">
      <w:pPr>
        <w:spacing w:line="480" w:lineRule="auto"/>
        <w:ind w:right="105" w:firstLine="4410" w:firstLineChars="2100"/>
        <w:rPr>
          <w:rFonts w:asciiTheme="minorEastAsia" w:hAnsiTheme="minorEastAsia" w:eastAsiaTheme="minorEastAsia"/>
          <w:color w:val="auto"/>
          <w:szCs w:val="21"/>
          <w:highlight w:val="none"/>
        </w:rPr>
      </w:pPr>
    </w:p>
    <w:p w14:paraId="1BD4A89E">
      <w:pPr>
        <w:spacing w:line="480" w:lineRule="auto"/>
        <w:ind w:right="105" w:firstLine="4410" w:firstLineChars="2100"/>
        <w:rPr>
          <w:rFonts w:asciiTheme="minorEastAsia" w:hAnsiTheme="minorEastAsia" w:eastAsiaTheme="minorEastAsia"/>
          <w:color w:val="auto"/>
          <w:szCs w:val="21"/>
          <w:highlight w:val="none"/>
        </w:rPr>
      </w:pPr>
    </w:p>
    <w:p w14:paraId="48556547">
      <w:pPr>
        <w:spacing w:line="480" w:lineRule="auto"/>
        <w:ind w:right="105"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0F1B3142">
      <w:pPr>
        <w:spacing w:line="480" w:lineRule="auto"/>
        <w:ind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（电子签章）</w:t>
      </w:r>
    </w:p>
    <w:p w14:paraId="213D6A00">
      <w:pPr>
        <w:widowControl/>
        <w:ind w:firstLine="4410" w:firstLineChars="2100"/>
        <w:jc w:val="left"/>
        <w:rPr>
          <w:rFonts w:asciiTheme="minorEastAsia" w:hAnsiTheme="minorEastAsia" w:eastAsiaTheme="minorEastAsia"/>
          <w:b/>
          <w:color w:val="auto"/>
          <w:sz w:val="28"/>
          <w:szCs w:val="28"/>
          <w:highlight w:val="none"/>
        </w:rPr>
      </w:pPr>
      <w:r>
        <w:rPr>
          <w:rFonts w:hint="eastAsia" w:asciiTheme="minorEastAsia" w:hAnsiTheme="minorEastAsia" w:eastAsiaTheme="minorEastAsia"/>
          <w:color w:val="auto"/>
          <w:szCs w:val="21"/>
          <w:highlight w:val="none"/>
        </w:rPr>
        <w:t>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4C183E3E">
      <w:pPr>
        <w:spacing w:line="360" w:lineRule="auto"/>
        <w:jc w:val="center"/>
        <w:outlineLvl w:val="2"/>
        <w:rPr>
          <w:rFonts w:asciiTheme="minorEastAsia" w:hAnsiTheme="minorEastAsia" w:eastAsiaTheme="minorEastAsia"/>
          <w:b/>
          <w:color w:val="auto"/>
          <w:sz w:val="28"/>
          <w:szCs w:val="28"/>
          <w:highlight w:val="none"/>
        </w:rPr>
      </w:pPr>
      <w:r>
        <w:rPr>
          <w:rFonts w:asciiTheme="minorEastAsia" w:hAnsiTheme="minorEastAsia" w:eastAsiaTheme="minorEastAsia"/>
          <w:color w:val="auto"/>
          <w:highlight w:val="none"/>
        </w:rPr>
        <w:br w:type="page"/>
      </w:r>
      <w:r>
        <w:rPr>
          <w:rFonts w:hint="eastAsia" w:asciiTheme="minorEastAsia" w:hAnsiTheme="minorEastAsia" w:eastAsiaTheme="minorEastAsia"/>
          <w:b/>
          <w:color w:val="auto"/>
          <w:sz w:val="28"/>
          <w:szCs w:val="28"/>
          <w:highlight w:val="none"/>
        </w:rPr>
        <w:t>（六）资质证书</w:t>
      </w:r>
    </w:p>
    <w:p w14:paraId="5918ABDC">
      <w:pPr>
        <w:jc w:val="both"/>
        <w:rPr>
          <w:color w:val="auto"/>
          <w:highlight w:val="none"/>
        </w:rPr>
      </w:pPr>
      <w:r>
        <w:rPr>
          <w:rFonts w:hint="eastAsia"/>
          <w:color w:val="auto"/>
          <w:highlight w:val="none"/>
        </w:rPr>
        <w:t>注：附资质证书的原件扫描件。</w:t>
      </w:r>
    </w:p>
    <w:p w14:paraId="6BA4B6C9">
      <w:pPr>
        <w:topLinePunct/>
        <w:spacing w:before="120" w:beforeLines="50" w:line="360" w:lineRule="auto"/>
        <w:ind w:firstLine="420" w:firstLineChars="200"/>
        <w:jc w:val="both"/>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228600DF">
      <w:pPr>
        <w:widowControl/>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p w14:paraId="09DC3EB6">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（七）安全生产许可证</w:t>
      </w:r>
    </w:p>
    <w:p w14:paraId="615E7B78">
      <w:pPr>
        <w:spacing w:line="360" w:lineRule="auto"/>
        <w:ind w:firstLine="420" w:firstLineChars="200"/>
        <w:jc w:val="both"/>
        <w:rPr>
          <w:color w:val="auto"/>
          <w:highlight w:val="none"/>
        </w:rPr>
      </w:pPr>
      <w:r>
        <w:rPr>
          <w:rFonts w:hint="eastAsia"/>
          <w:color w:val="auto"/>
          <w:highlight w:val="none"/>
        </w:rPr>
        <w:t>注：附安全生产许可证的原件复印件。</w:t>
      </w:r>
    </w:p>
    <w:p w14:paraId="2FE12AC4">
      <w:pPr>
        <w:topLinePunct/>
        <w:spacing w:before="120" w:beforeLines="50" w:line="360" w:lineRule="auto"/>
        <w:ind w:firstLine="420" w:firstLineChars="200"/>
        <w:jc w:val="both"/>
        <w:rPr>
          <w:rFonts w:asciiTheme="minorEastAsia" w:hAnsiTheme="minorEastAsia" w:eastAsiaTheme="minorEastAsia"/>
        </w:rPr>
      </w:pPr>
      <w:r>
        <w:rPr>
          <w:rFonts w:hint="eastAsia" w:asciiTheme="minorEastAsia" w:hAnsiTheme="minorEastAsia" w:eastAsiaTheme="minorEastAsia"/>
        </w:rPr>
        <w:t>若以联合体参与磋商的，联合体各方均须提供。</w:t>
      </w:r>
    </w:p>
    <w:p w14:paraId="51A2882B">
      <w:pPr>
        <w:topLinePunct/>
        <w:spacing w:before="120" w:beforeLines="50" w:line="360" w:lineRule="auto"/>
        <w:ind w:firstLine="420" w:firstLineChars="200"/>
        <w:jc w:val="both"/>
        <w:rPr>
          <w:rFonts w:asciiTheme="minorEastAsia" w:hAnsiTheme="minorEastAsia" w:eastAsiaTheme="minorEastAsia"/>
        </w:rPr>
      </w:pPr>
      <w:r>
        <w:rPr>
          <w:rFonts w:hint="eastAsia" w:asciiTheme="minorEastAsia" w:hAnsiTheme="minorEastAsia" w:eastAsiaTheme="minorEastAsia"/>
        </w:rPr>
        <w:t>。</w:t>
      </w:r>
    </w:p>
    <w:p w14:paraId="3758DFF9">
      <w:pPr>
        <w:spacing w:line="360" w:lineRule="auto"/>
        <w:ind w:firstLine="420" w:firstLineChars="200"/>
        <w:jc w:val="center"/>
        <w:rPr>
          <w:color w:val="auto"/>
          <w:highlight w:val="none"/>
        </w:rPr>
      </w:pPr>
    </w:p>
    <w:p w14:paraId="0681333C">
      <w:pPr>
        <w:spacing w:line="360" w:lineRule="auto"/>
        <w:ind w:firstLine="420" w:firstLineChars="200"/>
        <w:jc w:val="center"/>
        <w:rPr>
          <w:color w:val="auto"/>
          <w:highlight w:val="none"/>
        </w:rPr>
      </w:pPr>
    </w:p>
    <w:p w14:paraId="25973E6B">
      <w:pPr>
        <w:spacing w:line="360" w:lineRule="auto"/>
        <w:ind w:firstLine="420" w:firstLineChars="200"/>
        <w:jc w:val="center"/>
        <w:rPr>
          <w:color w:val="auto"/>
          <w:highlight w:val="none"/>
        </w:rPr>
      </w:pPr>
    </w:p>
    <w:p w14:paraId="28B7F3AF">
      <w:pPr>
        <w:spacing w:line="360" w:lineRule="auto"/>
        <w:jc w:val="both"/>
        <w:rPr>
          <w:color w:val="auto"/>
          <w:highlight w:val="none"/>
        </w:rPr>
      </w:pPr>
    </w:p>
    <w:p w14:paraId="340C4655">
      <w:pPr>
        <w:spacing w:line="360" w:lineRule="auto"/>
        <w:ind w:firstLine="420" w:firstLineChars="200"/>
        <w:jc w:val="center"/>
        <w:rPr>
          <w:color w:val="auto"/>
          <w:highlight w:val="none"/>
        </w:rPr>
      </w:pPr>
    </w:p>
    <w:p w14:paraId="55F308D7">
      <w:pPr>
        <w:spacing w:line="360" w:lineRule="auto"/>
        <w:ind w:firstLine="420" w:firstLineChars="200"/>
        <w:jc w:val="center"/>
        <w:rPr>
          <w:color w:val="auto"/>
          <w:highlight w:val="none"/>
        </w:rPr>
      </w:pPr>
    </w:p>
    <w:p w14:paraId="67A6F167">
      <w:pPr>
        <w:spacing w:line="360" w:lineRule="auto"/>
        <w:ind w:firstLine="420" w:firstLineChars="200"/>
        <w:jc w:val="center"/>
        <w:rPr>
          <w:color w:val="auto"/>
          <w:highlight w:val="none"/>
        </w:rPr>
      </w:pPr>
    </w:p>
    <w:p w14:paraId="0A87D955">
      <w:pPr>
        <w:spacing w:line="360" w:lineRule="auto"/>
        <w:ind w:firstLine="420" w:firstLineChars="200"/>
        <w:jc w:val="center"/>
        <w:rPr>
          <w:color w:val="auto"/>
          <w:highlight w:val="none"/>
        </w:rPr>
      </w:pPr>
    </w:p>
    <w:p w14:paraId="18A94E59">
      <w:pPr>
        <w:spacing w:line="360" w:lineRule="auto"/>
        <w:ind w:firstLine="420" w:firstLineChars="200"/>
        <w:jc w:val="center"/>
        <w:rPr>
          <w:color w:val="auto"/>
          <w:highlight w:val="none"/>
        </w:rPr>
      </w:pPr>
    </w:p>
    <w:p w14:paraId="322F7636">
      <w:pPr>
        <w:spacing w:line="360" w:lineRule="auto"/>
        <w:ind w:firstLine="420" w:firstLineChars="200"/>
        <w:jc w:val="center"/>
        <w:rPr>
          <w:color w:val="auto"/>
          <w:highlight w:val="none"/>
        </w:rPr>
      </w:pPr>
    </w:p>
    <w:p w14:paraId="61D6D333">
      <w:pPr>
        <w:spacing w:line="360" w:lineRule="auto"/>
        <w:ind w:firstLine="420" w:firstLineChars="200"/>
        <w:jc w:val="center"/>
        <w:rPr>
          <w:color w:val="auto"/>
          <w:highlight w:val="none"/>
        </w:rPr>
      </w:pPr>
    </w:p>
    <w:p w14:paraId="097146B7">
      <w:pPr>
        <w:spacing w:line="360" w:lineRule="auto"/>
        <w:ind w:firstLine="420" w:firstLineChars="200"/>
        <w:jc w:val="center"/>
        <w:rPr>
          <w:color w:val="auto"/>
          <w:highlight w:val="none"/>
        </w:rPr>
      </w:pPr>
    </w:p>
    <w:p w14:paraId="59B27F45">
      <w:pPr>
        <w:spacing w:line="360" w:lineRule="auto"/>
        <w:ind w:firstLine="420" w:firstLineChars="200"/>
        <w:jc w:val="center"/>
        <w:rPr>
          <w:color w:val="auto"/>
          <w:highlight w:val="none"/>
        </w:rPr>
      </w:pPr>
    </w:p>
    <w:p w14:paraId="2FC95B06">
      <w:pPr>
        <w:spacing w:line="360" w:lineRule="auto"/>
        <w:ind w:firstLine="420" w:firstLineChars="200"/>
        <w:jc w:val="center"/>
        <w:rPr>
          <w:color w:val="auto"/>
          <w:highlight w:val="none"/>
        </w:rPr>
      </w:pPr>
    </w:p>
    <w:p w14:paraId="5AB5D0AA">
      <w:pPr>
        <w:spacing w:line="360" w:lineRule="auto"/>
        <w:ind w:firstLine="420" w:firstLineChars="200"/>
        <w:jc w:val="center"/>
        <w:rPr>
          <w:color w:val="auto"/>
          <w:highlight w:val="none"/>
        </w:rPr>
      </w:pPr>
    </w:p>
    <w:p w14:paraId="0C1301A6">
      <w:pPr>
        <w:spacing w:line="360" w:lineRule="auto"/>
        <w:ind w:firstLine="420" w:firstLineChars="200"/>
        <w:jc w:val="center"/>
        <w:rPr>
          <w:color w:val="auto"/>
          <w:highlight w:val="none"/>
        </w:rPr>
      </w:pPr>
    </w:p>
    <w:p w14:paraId="5032E265">
      <w:pPr>
        <w:spacing w:line="360" w:lineRule="auto"/>
        <w:ind w:firstLine="420" w:firstLineChars="200"/>
        <w:jc w:val="center"/>
        <w:rPr>
          <w:color w:val="auto"/>
          <w:highlight w:val="none"/>
        </w:rPr>
      </w:pPr>
    </w:p>
    <w:p w14:paraId="4B241329">
      <w:pPr>
        <w:spacing w:line="360" w:lineRule="auto"/>
        <w:ind w:firstLine="420" w:firstLineChars="200"/>
        <w:jc w:val="center"/>
        <w:rPr>
          <w:color w:val="auto"/>
          <w:highlight w:val="none"/>
        </w:rPr>
      </w:pPr>
    </w:p>
    <w:p w14:paraId="41FFD6E6">
      <w:pPr>
        <w:spacing w:line="360" w:lineRule="auto"/>
        <w:ind w:firstLine="420" w:firstLineChars="200"/>
        <w:jc w:val="center"/>
        <w:rPr>
          <w:color w:val="auto"/>
          <w:highlight w:val="none"/>
        </w:rPr>
      </w:pPr>
    </w:p>
    <w:p w14:paraId="0EE40894">
      <w:pPr>
        <w:spacing w:line="360" w:lineRule="auto"/>
        <w:ind w:firstLine="420" w:firstLineChars="200"/>
        <w:jc w:val="center"/>
        <w:rPr>
          <w:color w:val="auto"/>
          <w:highlight w:val="none"/>
        </w:rPr>
      </w:pPr>
    </w:p>
    <w:p w14:paraId="5D29D321">
      <w:pPr>
        <w:spacing w:line="360" w:lineRule="auto"/>
        <w:ind w:firstLine="420" w:firstLineChars="200"/>
        <w:jc w:val="center"/>
        <w:rPr>
          <w:color w:val="auto"/>
          <w:highlight w:val="none"/>
        </w:rPr>
      </w:pPr>
    </w:p>
    <w:p w14:paraId="28959020">
      <w:pPr>
        <w:spacing w:line="360" w:lineRule="auto"/>
        <w:ind w:firstLine="420" w:firstLineChars="200"/>
        <w:jc w:val="center"/>
        <w:rPr>
          <w:color w:val="auto"/>
          <w:highlight w:val="none"/>
        </w:rPr>
      </w:pPr>
    </w:p>
    <w:p w14:paraId="0CC6EE20">
      <w:pPr>
        <w:spacing w:line="360" w:lineRule="auto"/>
        <w:ind w:firstLine="420" w:firstLineChars="200"/>
        <w:jc w:val="center"/>
        <w:rPr>
          <w:color w:val="auto"/>
          <w:highlight w:val="none"/>
        </w:rPr>
      </w:pPr>
    </w:p>
    <w:p w14:paraId="46A9F493">
      <w:pPr>
        <w:spacing w:line="360" w:lineRule="auto"/>
        <w:ind w:firstLine="420" w:firstLineChars="200"/>
        <w:jc w:val="center"/>
        <w:rPr>
          <w:color w:val="auto"/>
          <w:highlight w:val="none"/>
        </w:rPr>
      </w:pPr>
    </w:p>
    <w:p w14:paraId="01189907">
      <w:pPr>
        <w:spacing w:line="360" w:lineRule="auto"/>
        <w:ind w:firstLine="420" w:firstLineChars="200"/>
        <w:jc w:val="center"/>
        <w:rPr>
          <w:color w:val="auto"/>
          <w:highlight w:val="none"/>
        </w:rPr>
      </w:pPr>
    </w:p>
    <w:p w14:paraId="27B34B0E">
      <w:pPr>
        <w:spacing w:line="360" w:lineRule="auto"/>
        <w:ind w:firstLine="420" w:firstLineChars="200"/>
        <w:jc w:val="center"/>
        <w:rPr>
          <w:color w:val="auto"/>
          <w:highlight w:val="none"/>
        </w:rPr>
      </w:pPr>
    </w:p>
    <w:p w14:paraId="245323B1">
      <w:pPr>
        <w:spacing w:line="360" w:lineRule="auto"/>
        <w:ind w:firstLine="420" w:firstLineChars="200"/>
        <w:jc w:val="center"/>
        <w:rPr>
          <w:color w:val="auto"/>
          <w:highlight w:val="none"/>
        </w:rPr>
      </w:pPr>
    </w:p>
    <w:p w14:paraId="248D06D8">
      <w:pPr>
        <w:spacing w:line="360" w:lineRule="auto"/>
        <w:ind w:firstLine="420" w:firstLineChars="200"/>
        <w:jc w:val="center"/>
        <w:rPr>
          <w:color w:val="auto"/>
          <w:highlight w:val="none"/>
        </w:rPr>
      </w:pPr>
    </w:p>
    <w:p w14:paraId="514C5DE1">
      <w:pPr>
        <w:spacing w:line="360" w:lineRule="auto"/>
        <w:ind w:firstLine="420" w:firstLineChars="200"/>
        <w:jc w:val="center"/>
        <w:rPr>
          <w:color w:val="auto"/>
          <w:highlight w:val="none"/>
        </w:rPr>
      </w:pPr>
    </w:p>
    <w:p w14:paraId="79BA54EB">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7C58AB29">
      <w:pPr>
        <w:spacing w:line="360" w:lineRule="auto"/>
        <w:jc w:val="center"/>
        <w:outlineLvl w:val="2"/>
        <w:rPr>
          <w:rFonts w:asciiTheme="minorEastAsia" w:hAnsiTheme="minorEastAsia" w:eastAsiaTheme="minorEastAsia"/>
          <w:color w:val="auto"/>
          <w:sz w:val="28"/>
          <w:szCs w:val="28"/>
          <w:highlight w:val="none"/>
        </w:rPr>
      </w:pPr>
      <w:r>
        <w:rPr>
          <w:rFonts w:hint="eastAsia" w:asciiTheme="minorEastAsia" w:hAnsiTheme="minorEastAsia" w:eastAsiaTheme="minorEastAsia"/>
          <w:b/>
          <w:color w:val="auto"/>
          <w:sz w:val="28"/>
          <w:szCs w:val="28"/>
          <w:highlight w:val="none"/>
        </w:rPr>
        <w:t>（八）项目经理简历表</w:t>
      </w:r>
    </w:p>
    <w:tbl>
      <w:tblPr>
        <w:tblStyle w:val="67"/>
        <w:tblW w:w="934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12"/>
        <w:gridCol w:w="1193"/>
        <w:gridCol w:w="1516"/>
        <w:gridCol w:w="862"/>
        <w:gridCol w:w="616"/>
        <w:gridCol w:w="776"/>
        <w:gridCol w:w="1393"/>
        <w:gridCol w:w="1477"/>
      </w:tblGrid>
      <w:tr w14:paraId="2564BA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0814458F">
            <w:pPr>
              <w:tabs>
                <w:tab w:val="left" w:pos="680"/>
              </w:tabs>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姓</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t>名</w:t>
            </w:r>
          </w:p>
        </w:tc>
        <w:tc>
          <w:tcPr>
            <w:tcW w:w="1193" w:type="dxa"/>
            <w:vAlign w:val="center"/>
          </w:tcPr>
          <w:p w14:paraId="74350272">
            <w:pPr>
              <w:autoSpaceDE w:val="0"/>
              <w:autoSpaceDN w:val="0"/>
              <w:adjustRightInd w:val="0"/>
              <w:spacing w:line="360" w:lineRule="auto"/>
              <w:jc w:val="center"/>
              <w:rPr>
                <w:rFonts w:ascii="宋体" w:hAnsi="宋体" w:cs="宋体"/>
                <w:color w:val="auto"/>
                <w:kern w:val="0"/>
                <w:sz w:val="24"/>
                <w:szCs w:val="24"/>
                <w:highlight w:val="none"/>
              </w:rPr>
            </w:pPr>
          </w:p>
        </w:tc>
        <w:tc>
          <w:tcPr>
            <w:tcW w:w="1516" w:type="dxa"/>
            <w:vAlign w:val="center"/>
          </w:tcPr>
          <w:p w14:paraId="30D30464">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  龄</w:t>
            </w:r>
          </w:p>
        </w:tc>
        <w:tc>
          <w:tcPr>
            <w:tcW w:w="1478" w:type="dxa"/>
            <w:gridSpan w:val="2"/>
            <w:vAlign w:val="center"/>
          </w:tcPr>
          <w:p w14:paraId="125456D7">
            <w:pPr>
              <w:autoSpaceDE w:val="0"/>
              <w:autoSpaceDN w:val="0"/>
              <w:adjustRightInd w:val="0"/>
              <w:spacing w:line="360" w:lineRule="auto"/>
              <w:jc w:val="center"/>
              <w:rPr>
                <w:rFonts w:ascii="宋体" w:hAnsi="宋体" w:cs="宋体"/>
                <w:color w:val="auto"/>
                <w:kern w:val="0"/>
                <w:sz w:val="24"/>
                <w:szCs w:val="24"/>
                <w:highlight w:val="none"/>
              </w:rPr>
            </w:pPr>
          </w:p>
        </w:tc>
        <w:tc>
          <w:tcPr>
            <w:tcW w:w="2169" w:type="dxa"/>
            <w:gridSpan w:val="2"/>
            <w:vAlign w:val="center"/>
          </w:tcPr>
          <w:p w14:paraId="0FB887E5">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专  业</w:t>
            </w:r>
          </w:p>
        </w:tc>
        <w:tc>
          <w:tcPr>
            <w:tcW w:w="1477" w:type="dxa"/>
            <w:vAlign w:val="center"/>
          </w:tcPr>
          <w:p w14:paraId="14BE20FE">
            <w:pPr>
              <w:spacing w:line="360" w:lineRule="auto"/>
              <w:jc w:val="center"/>
              <w:rPr>
                <w:rFonts w:ascii="宋体" w:hAnsi="宋体" w:cs="宋体"/>
                <w:color w:val="auto"/>
                <w:sz w:val="24"/>
                <w:szCs w:val="24"/>
                <w:highlight w:val="none"/>
              </w:rPr>
            </w:pPr>
          </w:p>
        </w:tc>
      </w:tr>
      <w:tr w14:paraId="6383ACC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2310D893">
            <w:pPr>
              <w:tabs>
                <w:tab w:val="left" w:pos="680"/>
              </w:tabs>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技术职称</w:t>
            </w:r>
          </w:p>
        </w:tc>
        <w:tc>
          <w:tcPr>
            <w:tcW w:w="1193" w:type="dxa"/>
            <w:vAlign w:val="center"/>
          </w:tcPr>
          <w:p w14:paraId="00E64521">
            <w:pPr>
              <w:autoSpaceDE w:val="0"/>
              <w:autoSpaceDN w:val="0"/>
              <w:adjustRightInd w:val="0"/>
              <w:spacing w:line="360" w:lineRule="auto"/>
              <w:jc w:val="center"/>
              <w:rPr>
                <w:rFonts w:ascii="宋体" w:hAnsi="宋体" w:cs="宋体"/>
                <w:color w:val="auto"/>
                <w:kern w:val="0"/>
                <w:sz w:val="24"/>
                <w:szCs w:val="24"/>
                <w:highlight w:val="none"/>
              </w:rPr>
            </w:pPr>
          </w:p>
        </w:tc>
        <w:tc>
          <w:tcPr>
            <w:tcW w:w="1516" w:type="dxa"/>
            <w:vAlign w:val="center"/>
          </w:tcPr>
          <w:p w14:paraId="311C3055">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学  历</w:t>
            </w:r>
          </w:p>
        </w:tc>
        <w:tc>
          <w:tcPr>
            <w:tcW w:w="1478" w:type="dxa"/>
            <w:gridSpan w:val="2"/>
            <w:vAlign w:val="center"/>
          </w:tcPr>
          <w:p w14:paraId="4457AE60">
            <w:pPr>
              <w:autoSpaceDE w:val="0"/>
              <w:autoSpaceDN w:val="0"/>
              <w:adjustRightInd w:val="0"/>
              <w:spacing w:line="360" w:lineRule="auto"/>
              <w:jc w:val="center"/>
              <w:rPr>
                <w:rFonts w:ascii="宋体" w:hAnsi="宋体" w:cs="宋体"/>
                <w:color w:val="auto"/>
                <w:kern w:val="0"/>
                <w:sz w:val="24"/>
                <w:szCs w:val="24"/>
                <w:highlight w:val="none"/>
              </w:rPr>
            </w:pPr>
          </w:p>
        </w:tc>
        <w:tc>
          <w:tcPr>
            <w:tcW w:w="2169" w:type="dxa"/>
            <w:gridSpan w:val="2"/>
            <w:vAlign w:val="center"/>
          </w:tcPr>
          <w:p w14:paraId="2BA63E4F">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拟在本</w:t>
            </w:r>
          </w:p>
          <w:p w14:paraId="568E2EEE">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工程任职</w:t>
            </w:r>
          </w:p>
        </w:tc>
        <w:tc>
          <w:tcPr>
            <w:tcW w:w="1477" w:type="dxa"/>
            <w:vAlign w:val="center"/>
          </w:tcPr>
          <w:p w14:paraId="06D3651A">
            <w:pPr>
              <w:spacing w:line="360" w:lineRule="auto"/>
              <w:jc w:val="center"/>
              <w:rPr>
                <w:rFonts w:ascii="宋体" w:hAnsi="宋体" w:cs="宋体"/>
                <w:color w:val="auto"/>
                <w:sz w:val="24"/>
                <w:szCs w:val="24"/>
                <w:highlight w:val="none"/>
              </w:rPr>
            </w:pPr>
          </w:p>
        </w:tc>
      </w:tr>
      <w:tr w14:paraId="16DF7D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512" w:type="dxa"/>
            <w:vAlign w:val="center"/>
          </w:tcPr>
          <w:p w14:paraId="31D81D09">
            <w:pPr>
              <w:autoSpaceDE w:val="0"/>
              <w:autoSpaceDN w:val="0"/>
              <w:adjustRightInd w:val="0"/>
              <w:spacing w:before="73" w:line="360" w:lineRule="auto"/>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注册建造师</w:t>
            </w:r>
          </w:p>
          <w:p w14:paraId="779EC51C">
            <w:pPr>
              <w:autoSpaceDE w:val="0"/>
              <w:autoSpaceDN w:val="0"/>
              <w:adjustRightInd w:val="0"/>
              <w:spacing w:before="73" w:line="360" w:lineRule="auto"/>
              <w:jc w:val="center"/>
              <w:rPr>
                <w:rFonts w:hint="eastAsia"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资格等级</w:t>
            </w:r>
          </w:p>
        </w:tc>
        <w:tc>
          <w:tcPr>
            <w:tcW w:w="2709" w:type="dxa"/>
            <w:gridSpan w:val="2"/>
            <w:vAlign w:val="center"/>
          </w:tcPr>
          <w:p w14:paraId="476DCA93">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c>
          <w:tcPr>
            <w:tcW w:w="1478" w:type="dxa"/>
            <w:gridSpan w:val="2"/>
            <w:vAlign w:val="center"/>
          </w:tcPr>
          <w:p w14:paraId="29A1840D">
            <w:pPr>
              <w:autoSpaceDE w:val="0"/>
              <w:autoSpaceDN w:val="0"/>
              <w:adjustRightInd w:val="0"/>
              <w:spacing w:before="73" w:line="360" w:lineRule="auto"/>
              <w:jc w:val="center"/>
              <w:rPr>
                <w:rFonts w:hint="eastAsia"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注册专业</w:t>
            </w:r>
          </w:p>
        </w:tc>
        <w:tc>
          <w:tcPr>
            <w:tcW w:w="3646" w:type="dxa"/>
            <w:gridSpan w:val="3"/>
            <w:vAlign w:val="center"/>
          </w:tcPr>
          <w:p w14:paraId="67F0E35A">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r>
      <w:tr w14:paraId="09F9AE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512" w:type="dxa"/>
            <w:vAlign w:val="center"/>
          </w:tcPr>
          <w:p w14:paraId="49F4D3F7">
            <w:pPr>
              <w:autoSpaceDE w:val="0"/>
              <w:autoSpaceDN w:val="0"/>
              <w:adjustRightInd w:val="0"/>
              <w:spacing w:before="73" w:line="360" w:lineRule="auto"/>
              <w:jc w:val="center"/>
              <w:rPr>
                <w:rFonts w:hint="eastAsia"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安全生产考核合格证书编号</w:t>
            </w:r>
          </w:p>
        </w:tc>
        <w:tc>
          <w:tcPr>
            <w:tcW w:w="2709" w:type="dxa"/>
            <w:gridSpan w:val="2"/>
            <w:vAlign w:val="center"/>
          </w:tcPr>
          <w:p w14:paraId="2E9948A3">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c>
          <w:tcPr>
            <w:tcW w:w="1478" w:type="dxa"/>
            <w:gridSpan w:val="2"/>
            <w:vAlign w:val="center"/>
          </w:tcPr>
          <w:p w14:paraId="31FB8D54">
            <w:pPr>
              <w:autoSpaceDE w:val="0"/>
              <w:autoSpaceDN w:val="0"/>
              <w:adjustRightInd w:val="0"/>
              <w:spacing w:before="73" w:line="360"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类似施工经验年限</w:t>
            </w:r>
          </w:p>
        </w:tc>
        <w:tc>
          <w:tcPr>
            <w:tcW w:w="3646" w:type="dxa"/>
            <w:gridSpan w:val="3"/>
            <w:vAlign w:val="center"/>
          </w:tcPr>
          <w:p w14:paraId="62A001C7">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r>
      <w:tr w14:paraId="3BAD0B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0D0863C9">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毕业学校</w:t>
            </w:r>
          </w:p>
        </w:tc>
        <w:tc>
          <w:tcPr>
            <w:tcW w:w="7833" w:type="dxa"/>
            <w:gridSpan w:val="7"/>
            <w:vAlign w:val="center"/>
          </w:tcPr>
          <w:p w14:paraId="5949C3EC">
            <w:pPr>
              <w:tabs>
                <w:tab w:val="left" w:pos="2820"/>
                <w:tab w:val="left" w:pos="4080"/>
              </w:tabs>
              <w:autoSpaceDE w:val="0"/>
              <w:autoSpaceDN w:val="0"/>
              <w:adjustRightInd w:val="0"/>
              <w:spacing w:before="73" w:line="360" w:lineRule="auto"/>
              <w:ind w:left="-1291" w:leftChars="-615" w:firstLine="1440" w:firstLineChars="600"/>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月毕业于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学校</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专业，学制</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p>
        </w:tc>
      </w:tr>
      <w:tr w14:paraId="460E71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345" w:type="dxa"/>
            <w:gridSpan w:val="8"/>
            <w:vAlign w:val="center"/>
          </w:tcPr>
          <w:p w14:paraId="4E992E35">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经     历</w:t>
            </w:r>
          </w:p>
        </w:tc>
      </w:tr>
      <w:tr w14:paraId="5D448A2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4E472E4D">
            <w:pPr>
              <w:spacing w:line="360" w:lineRule="auto"/>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时间</w:t>
            </w:r>
          </w:p>
        </w:tc>
        <w:tc>
          <w:tcPr>
            <w:tcW w:w="3571" w:type="dxa"/>
            <w:gridSpan w:val="3"/>
            <w:vAlign w:val="center"/>
          </w:tcPr>
          <w:p w14:paraId="63E18232">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参加过的类似工程项目名称</w:t>
            </w:r>
          </w:p>
        </w:tc>
        <w:tc>
          <w:tcPr>
            <w:tcW w:w="1392" w:type="dxa"/>
            <w:gridSpan w:val="2"/>
            <w:vAlign w:val="center"/>
          </w:tcPr>
          <w:p w14:paraId="6CA2A73A">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担任职务</w:t>
            </w:r>
          </w:p>
        </w:tc>
        <w:tc>
          <w:tcPr>
            <w:tcW w:w="2870" w:type="dxa"/>
            <w:gridSpan w:val="2"/>
            <w:vAlign w:val="center"/>
          </w:tcPr>
          <w:p w14:paraId="25612356">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发包人及</w:t>
            </w:r>
          </w:p>
          <w:p w14:paraId="53DD1BDB">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联系电话</w:t>
            </w:r>
          </w:p>
        </w:tc>
      </w:tr>
      <w:tr w14:paraId="045ABE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4A9BA392">
            <w:pPr>
              <w:spacing w:line="360" w:lineRule="auto"/>
              <w:jc w:val="center"/>
              <w:rPr>
                <w:rFonts w:ascii="宋体" w:hAnsi="宋体" w:cs="宋体"/>
                <w:color w:val="auto"/>
                <w:sz w:val="24"/>
                <w:szCs w:val="24"/>
                <w:highlight w:val="none"/>
              </w:rPr>
            </w:pPr>
          </w:p>
        </w:tc>
        <w:tc>
          <w:tcPr>
            <w:tcW w:w="3571" w:type="dxa"/>
            <w:gridSpan w:val="3"/>
            <w:vAlign w:val="center"/>
          </w:tcPr>
          <w:p w14:paraId="052E4B72">
            <w:pPr>
              <w:spacing w:line="360" w:lineRule="auto"/>
              <w:jc w:val="center"/>
              <w:rPr>
                <w:rFonts w:ascii="宋体" w:hAnsi="宋体" w:cs="宋体"/>
                <w:color w:val="auto"/>
                <w:sz w:val="24"/>
                <w:szCs w:val="24"/>
                <w:highlight w:val="none"/>
              </w:rPr>
            </w:pPr>
          </w:p>
        </w:tc>
        <w:tc>
          <w:tcPr>
            <w:tcW w:w="1392" w:type="dxa"/>
            <w:gridSpan w:val="2"/>
            <w:vAlign w:val="center"/>
          </w:tcPr>
          <w:p w14:paraId="61871717">
            <w:pPr>
              <w:spacing w:line="360" w:lineRule="auto"/>
              <w:jc w:val="center"/>
              <w:rPr>
                <w:rFonts w:ascii="宋体" w:hAnsi="宋体" w:cs="宋体"/>
                <w:color w:val="auto"/>
                <w:sz w:val="24"/>
                <w:szCs w:val="24"/>
                <w:highlight w:val="none"/>
              </w:rPr>
            </w:pPr>
          </w:p>
        </w:tc>
        <w:tc>
          <w:tcPr>
            <w:tcW w:w="2870" w:type="dxa"/>
            <w:gridSpan w:val="2"/>
            <w:vAlign w:val="center"/>
          </w:tcPr>
          <w:p w14:paraId="159BBB53">
            <w:pPr>
              <w:spacing w:line="360" w:lineRule="auto"/>
              <w:jc w:val="center"/>
              <w:rPr>
                <w:rFonts w:ascii="宋体" w:hAnsi="宋体" w:cs="宋体"/>
                <w:color w:val="auto"/>
                <w:sz w:val="24"/>
                <w:szCs w:val="24"/>
                <w:highlight w:val="none"/>
              </w:rPr>
            </w:pPr>
          </w:p>
        </w:tc>
      </w:tr>
      <w:tr w14:paraId="1D3B2A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663C5304">
            <w:pPr>
              <w:spacing w:line="360" w:lineRule="auto"/>
              <w:jc w:val="center"/>
              <w:rPr>
                <w:rFonts w:ascii="宋体" w:hAnsi="宋体" w:cs="宋体"/>
                <w:color w:val="auto"/>
                <w:sz w:val="24"/>
                <w:szCs w:val="24"/>
                <w:highlight w:val="none"/>
              </w:rPr>
            </w:pPr>
          </w:p>
        </w:tc>
        <w:tc>
          <w:tcPr>
            <w:tcW w:w="3571" w:type="dxa"/>
            <w:gridSpan w:val="3"/>
            <w:vAlign w:val="center"/>
          </w:tcPr>
          <w:p w14:paraId="6B5DA0E6">
            <w:pPr>
              <w:spacing w:line="360" w:lineRule="auto"/>
              <w:jc w:val="center"/>
              <w:rPr>
                <w:rFonts w:ascii="宋体" w:hAnsi="宋体" w:cs="宋体"/>
                <w:color w:val="auto"/>
                <w:sz w:val="24"/>
                <w:szCs w:val="24"/>
                <w:highlight w:val="none"/>
              </w:rPr>
            </w:pPr>
          </w:p>
        </w:tc>
        <w:tc>
          <w:tcPr>
            <w:tcW w:w="1392" w:type="dxa"/>
            <w:gridSpan w:val="2"/>
            <w:vAlign w:val="center"/>
          </w:tcPr>
          <w:p w14:paraId="49EA5B21">
            <w:pPr>
              <w:spacing w:line="360" w:lineRule="auto"/>
              <w:jc w:val="center"/>
              <w:rPr>
                <w:rFonts w:ascii="宋体" w:hAnsi="宋体" w:cs="宋体"/>
                <w:color w:val="auto"/>
                <w:sz w:val="24"/>
                <w:szCs w:val="24"/>
                <w:highlight w:val="none"/>
              </w:rPr>
            </w:pPr>
          </w:p>
        </w:tc>
        <w:tc>
          <w:tcPr>
            <w:tcW w:w="2870" w:type="dxa"/>
            <w:gridSpan w:val="2"/>
            <w:vAlign w:val="center"/>
          </w:tcPr>
          <w:p w14:paraId="63D681D8">
            <w:pPr>
              <w:spacing w:line="360" w:lineRule="auto"/>
              <w:jc w:val="center"/>
              <w:rPr>
                <w:rFonts w:ascii="宋体" w:hAnsi="宋体" w:cs="宋体"/>
                <w:color w:val="auto"/>
                <w:sz w:val="24"/>
                <w:szCs w:val="24"/>
                <w:highlight w:val="none"/>
              </w:rPr>
            </w:pPr>
          </w:p>
        </w:tc>
      </w:tr>
      <w:tr w14:paraId="6854B9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09E92BFC">
            <w:pPr>
              <w:spacing w:line="360" w:lineRule="auto"/>
              <w:jc w:val="center"/>
              <w:rPr>
                <w:rFonts w:ascii="宋体" w:hAnsi="宋体" w:cs="宋体"/>
                <w:color w:val="auto"/>
                <w:sz w:val="24"/>
                <w:szCs w:val="24"/>
                <w:highlight w:val="none"/>
              </w:rPr>
            </w:pPr>
          </w:p>
        </w:tc>
        <w:tc>
          <w:tcPr>
            <w:tcW w:w="3571" w:type="dxa"/>
            <w:gridSpan w:val="3"/>
            <w:vAlign w:val="center"/>
          </w:tcPr>
          <w:p w14:paraId="1027470A">
            <w:pPr>
              <w:spacing w:line="360" w:lineRule="auto"/>
              <w:jc w:val="center"/>
              <w:rPr>
                <w:rFonts w:ascii="宋体" w:hAnsi="宋体" w:cs="宋体"/>
                <w:color w:val="auto"/>
                <w:sz w:val="24"/>
                <w:szCs w:val="24"/>
                <w:highlight w:val="none"/>
              </w:rPr>
            </w:pPr>
          </w:p>
        </w:tc>
        <w:tc>
          <w:tcPr>
            <w:tcW w:w="1392" w:type="dxa"/>
            <w:gridSpan w:val="2"/>
            <w:vAlign w:val="center"/>
          </w:tcPr>
          <w:p w14:paraId="2F7A5B6C">
            <w:pPr>
              <w:spacing w:line="360" w:lineRule="auto"/>
              <w:jc w:val="center"/>
              <w:rPr>
                <w:rFonts w:ascii="宋体" w:hAnsi="宋体" w:cs="宋体"/>
                <w:color w:val="auto"/>
                <w:sz w:val="24"/>
                <w:szCs w:val="24"/>
                <w:highlight w:val="none"/>
              </w:rPr>
            </w:pPr>
          </w:p>
        </w:tc>
        <w:tc>
          <w:tcPr>
            <w:tcW w:w="2870" w:type="dxa"/>
            <w:gridSpan w:val="2"/>
            <w:vAlign w:val="center"/>
          </w:tcPr>
          <w:p w14:paraId="2360747B">
            <w:pPr>
              <w:spacing w:line="360" w:lineRule="auto"/>
              <w:jc w:val="center"/>
              <w:rPr>
                <w:rFonts w:ascii="宋体" w:hAnsi="宋体" w:cs="宋体"/>
                <w:color w:val="auto"/>
                <w:sz w:val="24"/>
                <w:szCs w:val="24"/>
                <w:highlight w:val="none"/>
              </w:rPr>
            </w:pPr>
          </w:p>
        </w:tc>
      </w:tr>
      <w:tr w14:paraId="4AE0FC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7FDEA16F">
            <w:pPr>
              <w:spacing w:line="360" w:lineRule="auto"/>
              <w:jc w:val="center"/>
              <w:rPr>
                <w:rFonts w:ascii="宋体" w:hAnsi="宋体" w:cs="宋体"/>
                <w:color w:val="auto"/>
                <w:sz w:val="24"/>
                <w:szCs w:val="24"/>
                <w:highlight w:val="none"/>
              </w:rPr>
            </w:pPr>
          </w:p>
        </w:tc>
        <w:tc>
          <w:tcPr>
            <w:tcW w:w="3571" w:type="dxa"/>
            <w:gridSpan w:val="3"/>
            <w:vAlign w:val="center"/>
          </w:tcPr>
          <w:p w14:paraId="0BCC13E6">
            <w:pPr>
              <w:spacing w:line="360" w:lineRule="auto"/>
              <w:jc w:val="center"/>
              <w:rPr>
                <w:rFonts w:ascii="宋体" w:hAnsi="宋体" w:cs="宋体"/>
                <w:color w:val="auto"/>
                <w:sz w:val="24"/>
                <w:szCs w:val="24"/>
                <w:highlight w:val="none"/>
              </w:rPr>
            </w:pPr>
          </w:p>
        </w:tc>
        <w:tc>
          <w:tcPr>
            <w:tcW w:w="1392" w:type="dxa"/>
            <w:gridSpan w:val="2"/>
            <w:vAlign w:val="center"/>
          </w:tcPr>
          <w:p w14:paraId="75B727BF">
            <w:pPr>
              <w:spacing w:line="360" w:lineRule="auto"/>
              <w:jc w:val="center"/>
              <w:rPr>
                <w:rFonts w:ascii="宋体" w:hAnsi="宋体" w:cs="宋体"/>
                <w:color w:val="auto"/>
                <w:sz w:val="24"/>
                <w:szCs w:val="24"/>
                <w:highlight w:val="none"/>
              </w:rPr>
            </w:pPr>
          </w:p>
        </w:tc>
        <w:tc>
          <w:tcPr>
            <w:tcW w:w="2870" w:type="dxa"/>
            <w:gridSpan w:val="2"/>
            <w:vAlign w:val="center"/>
          </w:tcPr>
          <w:p w14:paraId="307FF31B">
            <w:pPr>
              <w:spacing w:line="360" w:lineRule="auto"/>
              <w:jc w:val="center"/>
              <w:rPr>
                <w:rFonts w:ascii="宋体" w:hAnsi="宋体" w:cs="宋体"/>
                <w:color w:val="auto"/>
                <w:sz w:val="24"/>
                <w:szCs w:val="24"/>
                <w:highlight w:val="none"/>
              </w:rPr>
            </w:pPr>
          </w:p>
        </w:tc>
      </w:tr>
      <w:tr w14:paraId="1B87A9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37DAB92E">
            <w:pPr>
              <w:spacing w:line="360" w:lineRule="auto"/>
              <w:jc w:val="center"/>
              <w:rPr>
                <w:rFonts w:ascii="宋体" w:hAnsi="宋体" w:cs="宋体"/>
                <w:color w:val="auto"/>
                <w:sz w:val="24"/>
                <w:szCs w:val="24"/>
                <w:highlight w:val="none"/>
              </w:rPr>
            </w:pPr>
          </w:p>
        </w:tc>
        <w:tc>
          <w:tcPr>
            <w:tcW w:w="3571" w:type="dxa"/>
            <w:gridSpan w:val="3"/>
            <w:vAlign w:val="center"/>
          </w:tcPr>
          <w:p w14:paraId="3EDD519C">
            <w:pPr>
              <w:spacing w:line="360" w:lineRule="auto"/>
              <w:jc w:val="center"/>
              <w:rPr>
                <w:rFonts w:ascii="宋体" w:hAnsi="宋体" w:cs="宋体"/>
                <w:color w:val="auto"/>
                <w:sz w:val="24"/>
                <w:szCs w:val="24"/>
                <w:highlight w:val="none"/>
              </w:rPr>
            </w:pPr>
          </w:p>
        </w:tc>
        <w:tc>
          <w:tcPr>
            <w:tcW w:w="1392" w:type="dxa"/>
            <w:gridSpan w:val="2"/>
            <w:vAlign w:val="center"/>
          </w:tcPr>
          <w:p w14:paraId="1C703136">
            <w:pPr>
              <w:spacing w:line="360" w:lineRule="auto"/>
              <w:jc w:val="center"/>
              <w:rPr>
                <w:rFonts w:ascii="宋体" w:hAnsi="宋体" w:cs="宋体"/>
                <w:color w:val="auto"/>
                <w:sz w:val="24"/>
                <w:szCs w:val="24"/>
                <w:highlight w:val="none"/>
              </w:rPr>
            </w:pPr>
          </w:p>
        </w:tc>
        <w:tc>
          <w:tcPr>
            <w:tcW w:w="2870" w:type="dxa"/>
            <w:gridSpan w:val="2"/>
            <w:vAlign w:val="center"/>
          </w:tcPr>
          <w:p w14:paraId="7C54E5DC">
            <w:pPr>
              <w:spacing w:line="360" w:lineRule="auto"/>
              <w:jc w:val="center"/>
              <w:rPr>
                <w:rFonts w:ascii="宋体" w:hAnsi="宋体" w:cs="宋体"/>
                <w:color w:val="auto"/>
                <w:sz w:val="24"/>
                <w:szCs w:val="24"/>
                <w:highlight w:val="none"/>
              </w:rPr>
            </w:pPr>
          </w:p>
        </w:tc>
      </w:tr>
      <w:tr w14:paraId="5DAD8E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1AE58545">
            <w:pPr>
              <w:spacing w:line="360" w:lineRule="auto"/>
              <w:jc w:val="center"/>
              <w:rPr>
                <w:rFonts w:ascii="宋体" w:hAnsi="宋体" w:cs="宋体"/>
                <w:color w:val="auto"/>
                <w:sz w:val="24"/>
                <w:szCs w:val="24"/>
                <w:highlight w:val="none"/>
              </w:rPr>
            </w:pPr>
          </w:p>
        </w:tc>
        <w:tc>
          <w:tcPr>
            <w:tcW w:w="3571" w:type="dxa"/>
            <w:gridSpan w:val="3"/>
            <w:vAlign w:val="center"/>
          </w:tcPr>
          <w:p w14:paraId="5A1D980A">
            <w:pPr>
              <w:spacing w:line="360" w:lineRule="auto"/>
              <w:jc w:val="center"/>
              <w:rPr>
                <w:rFonts w:ascii="宋体" w:hAnsi="宋体" w:cs="宋体"/>
                <w:color w:val="auto"/>
                <w:sz w:val="24"/>
                <w:szCs w:val="24"/>
                <w:highlight w:val="none"/>
              </w:rPr>
            </w:pPr>
          </w:p>
        </w:tc>
        <w:tc>
          <w:tcPr>
            <w:tcW w:w="1392" w:type="dxa"/>
            <w:gridSpan w:val="2"/>
            <w:vAlign w:val="center"/>
          </w:tcPr>
          <w:p w14:paraId="22EF2EF6">
            <w:pPr>
              <w:spacing w:line="360" w:lineRule="auto"/>
              <w:jc w:val="center"/>
              <w:rPr>
                <w:rFonts w:ascii="宋体" w:hAnsi="宋体" w:cs="宋体"/>
                <w:color w:val="auto"/>
                <w:sz w:val="24"/>
                <w:szCs w:val="24"/>
                <w:highlight w:val="none"/>
              </w:rPr>
            </w:pPr>
          </w:p>
        </w:tc>
        <w:tc>
          <w:tcPr>
            <w:tcW w:w="2870" w:type="dxa"/>
            <w:gridSpan w:val="2"/>
            <w:vAlign w:val="center"/>
          </w:tcPr>
          <w:p w14:paraId="295F2D40">
            <w:pPr>
              <w:spacing w:line="360" w:lineRule="auto"/>
              <w:jc w:val="center"/>
              <w:rPr>
                <w:rFonts w:ascii="宋体" w:hAnsi="宋体" w:cs="宋体"/>
                <w:color w:val="auto"/>
                <w:sz w:val="24"/>
                <w:szCs w:val="24"/>
                <w:highlight w:val="none"/>
              </w:rPr>
            </w:pPr>
          </w:p>
        </w:tc>
      </w:tr>
      <w:tr w14:paraId="1F77E7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13A98F14">
            <w:pPr>
              <w:spacing w:line="360" w:lineRule="auto"/>
              <w:jc w:val="center"/>
              <w:rPr>
                <w:rFonts w:ascii="宋体" w:hAnsi="宋体" w:cs="宋体"/>
                <w:color w:val="auto"/>
                <w:sz w:val="24"/>
                <w:szCs w:val="24"/>
                <w:highlight w:val="none"/>
              </w:rPr>
            </w:pPr>
          </w:p>
        </w:tc>
        <w:tc>
          <w:tcPr>
            <w:tcW w:w="3571" w:type="dxa"/>
            <w:gridSpan w:val="3"/>
            <w:vAlign w:val="center"/>
          </w:tcPr>
          <w:p w14:paraId="14A41FB7">
            <w:pPr>
              <w:spacing w:line="360" w:lineRule="auto"/>
              <w:jc w:val="center"/>
              <w:rPr>
                <w:rFonts w:ascii="宋体" w:hAnsi="宋体" w:cs="宋体"/>
                <w:color w:val="auto"/>
                <w:sz w:val="24"/>
                <w:szCs w:val="24"/>
                <w:highlight w:val="none"/>
              </w:rPr>
            </w:pPr>
          </w:p>
        </w:tc>
        <w:tc>
          <w:tcPr>
            <w:tcW w:w="1392" w:type="dxa"/>
            <w:gridSpan w:val="2"/>
            <w:vAlign w:val="center"/>
          </w:tcPr>
          <w:p w14:paraId="5C182B1A">
            <w:pPr>
              <w:spacing w:line="360" w:lineRule="auto"/>
              <w:jc w:val="center"/>
              <w:rPr>
                <w:rFonts w:ascii="宋体" w:hAnsi="宋体" w:cs="宋体"/>
                <w:color w:val="auto"/>
                <w:sz w:val="24"/>
                <w:szCs w:val="24"/>
                <w:highlight w:val="none"/>
              </w:rPr>
            </w:pPr>
          </w:p>
        </w:tc>
        <w:tc>
          <w:tcPr>
            <w:tcW w:w="2870" w:type="dxa"/>
            <w:gridSpan w:val="2"/>
            <w:vAlign w:val="center"/>
          </w:tcPr>
          <w:p w14:paraId="43F576C7">
            <w:pPr>
              <w:spacing w:line="360" w:lineRule="auto"/>
              <w:jc w:val="center"/>
              <w:rPr>
                <w:rFonts w:ascii="宋体" w:hAnsi="宋体" w:cs="宋体"/>
                <w:color w:val="auto"/>
                <w:sz w:val="24"/>
                <w:szCs w:val="24"/>
                <w:highlight w:val="none"/>
              </w:rPr>
            </w:pPr>
          </w:p>
        </w:tc>
      </w:tr>
      <w:tr w14:paraId="260DC0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1AC4C17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获奖情况</w:t>
            </w:r>
          </w:p>
        </w:tc>
        <w:tc>
          <w:tcPr>
            <w:tcW w:w="7833" w:type="dxa"/>
            <w:gridSpan w:val="7"/>
            <w:vAlign w:val="center"/>
          </w:tcPr>
          <w:p w14:paraId="4A276E22">
            <w:pPr>
              <w:spacing w:line="360" w:lineRule="auto"/>
              <w:jc w:val="center"/>
              <w:rPr>
                <w:rFonts w:ascii="宋体" w:hAnsi="宋体" w:cs="宋体"/>
                <w:color w:val="auto"/>
                <w:sz w:val="24"/>
                <w:szCs w:val="24"/>
                <w:highlight w:val="none"/>
              </w:rPr>
            </w:pPr>
          </w:p>
        </w:tc>
      </w:tr>
      <w:tr w14:paraId="37FB03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63" w:hRule="atLeast"/>
          <w:jc w:val="center"/>
        </w:trPr>
        <w:tc>
          <w:tcPr>
            <w:tcW w:w="1512" w:type="dxa"/>
            <w:vAlign w:val="center"/>
          </w:tcPr>
          <w:p w14:paraId="3A19C5C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833" w:type="dxa"/>
            <w:gridSpan w:val="7"/>
            <w:vAlign w:val="center"/>
          </w:tcPr>
          <w:p w14:paraId="1056B55D">
            <w:pPr>
              <w:spacing w:line="360" w:lineRule="auto"/>
              <w:jc w:val="center"/>
              <w:rPr>
                <w:rFonts w:ascii="宋体" w:hAnsi="宋体" w:cs="宋体"/>
                <w:color w:val="auto"/>
                <w:sz w:val="24"/>
                <w:szCs w:val="24"/>
                <w:highlight w:val="none"/>
              </w:rPr>
            </w:pPr>
          </w:p>
        </w:tc>
      </w:tr>
    </w:tbl>
    <w:p w14:paraId="66874A70">
      <w:pPr>
        <w:spacing w:before="120" w:beforeLines="50" w:line="360" w:lineRule="auto"/>
        <w:ind w:firstLine="357"/>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w:t>
      </w:r>
      <w:r>
        <w:rPr>
          <w:rFonts w:hint="eastAsia" w:asciiTheme="minorEastAsia" w:hAnsiTheme="minorEastAsia" w:eastAsiaTheme="minorEastAsia"/>
          <w:color w:val="auto"/>
          <w:szCs w:val="21"/>
          <w:highlight w:val="none"/>
        </w:rPr>
        <w:t>本表后应附拟派往本工程的</w:t>
      </w:r>
      <w:r>
        <w:rPr>
          <w:rFonts w:hint="eastAsia" w:cs="宋体" w:asciiTheme="minorEastAsia" w:hAnsiTheme="minorEastAsia" w:eastAsiaTheme="minorEastAsia"/>
          <w:color w:val="auto"/>
          <w:szCs w:val="21"/>
          <w:highlight w:val="none"/>
        </w:rPr>
        <w:t>项目经理的身份证、学历证</w:t>
      </w:r>
      <w:r>
        <w:rPr>
          <w:rFonts w:hint="eastAsia" w:asciiTheme="minorEastAsia" w:hAnsiTheme="minorEastAsia" w:eastAsiaTheme="minorEastAsia"/>
          <w:color w:val="auto"/>
          <w:szCs w:val="21"/>
          <w:highlight w:val="none"/>
        </w:rPr>
        <w:t>（若有）</w:t>
      </w:r>
      <w:r>
        <w:rPr>
          <w:rFonts w:hint="eastAsia" w:cs="宋体" w:asciiTheme="minorEastAsia" w:hAnsiTheme="minorEastAsia" w:eastAsiaTheme="minorEastAsia"/>
          <w:color w:val="auto"/>
          <w:szCs w:val="21"/>
          <w:highlight w:val="none"/>
        </w:rPr>
        <w:t>、注册</w:t>
      </w:r>
      <w:r>
        <w:rPr>
          <w:rFonts w:hint="eastAsia" w:asciiTheme="minorEastAsia" w:hAnsiTheme="minorEastAsia" w:eastAsiaTheme="minorEastAsia"/>
          <w:color w:val="auto"/>
          <w:szCs w:val="21"/>
          <w:highlight w:val="none"/>
        </w:rPr>
        <w:t>建造师证、</w:t>
      </w:r>
      <w:r>
        <w:rPr>
          <w:rFonts w:hint="eastAsia" w:cs="宋体" w:asciiTheme="minorEastAsia" w:hAnsiTheme="minorEastAsia" w:eastAsiaTheme="minorEastAsia"/>
          <w:color w:val="auto"/>
          <w:szCs w:val="21"/>
          <w:highlight w:val="none"/>
        </w:rPr>
        <w:t>职称证</w:t>
      </w:r>
      <w:r>
        <w:rPr>
          <w:rFonts w:hint="eastAsia" w:asciiTheme="minorEastAsia" w:hAnsiTheme="minorEastAsia" w:eastAsiaTheme="minorEastAsia"/>
          <w:color w:val="auto"/>
          <w:szCs w:val="21"/>
          <w:highlight w:val="none"/>
        </w:rPr>
        <w:t>（若有）</w:t>
      </w:r>
      <w:r>
        <w:rPr>
          <w:rFonts w:hint="eastAsia" w:cs="宋体"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安全生产考核合格证（B证）、社会保险证明材料或劳动合同或其他合法证明材料的原件扫描件</w:t>
      </w:r>
      <w:r>
        <w:rPr>
          <w:rFonts w:hint="eastAsia" w:cs="宋体" w:asciiTheme="minorEastAsia" w:hAnsiTheme="minorEastAsia" w:eastAsiaTheme="minorEastAsia"/>
          <w:color w:val="auto"/>
          <w:szCs w:val="21"/>
          <w:highlight w:val="none"/>
        </w:rPr>
        <w:t>。</w:t>
      </w:r>
    </w:p>
    <w:p w14:paraId="0CB0DF27">
      <w:pPr>
        <w:spacing w:line="480" w:lineRule="auto"/>
        <w:ind w:right="105" w:firstLine="4410" w:firstLineChars="2100"/>
        <w:rPr>
          <w:rFonts w:hint="eastAsia" w:asciiTheme="minorEastAsia" w:hAnsiTheme="minorEastAsia" w:eastAsiaTheme="minorEastAsia"/>
          <w:color w:val="auto"/>
          <w:szCs w:val="21"/>
          <w:highlight w:val="none"/>
        </w:rPr>
      </w:pPr>
    </w:p>
    <w:p w14:paraId="4EC12C6A">
      <w:pPr>
        <w:spacing w:line="480" w:lineRule="auto"/>
        <w:ind w:right="105"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63D1D079">
      <w:pPr>
        <w:spacing w:line="480" w:lineRule="auto"/>
        <w:ind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（电子签章）</w:t>
      </w:r>
    </w:p>
    <w:p w14:paraId="0337965D">
      <w:pPr>
        <w:widowControl/>
        <w:ind w:firstLine="4410" w:firstLineChars="21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776A9ECF">
      <w:pPr>
        <w:jc w:val="center"/>
        <w:rPr>
          <w:rFonts w:hint="eastAsia" w:ascii="宋体" w:hAnsi="宋体"/>
          <w:b/>
          <w:bCs/>
          <w:color w:val="auto"/>
          <w:sz w:val="28"/>
          <w:szCs w:val="28"/>
          <w:highlight w:val="none"/>
        </w:rPr>
      </w:pPr>
      <w:r>
        <w:rPr>
          <w:rFonts w:asciiTheme="minorEastAsia" w:hAnsiTheme="minorEastAsia" w:eastAsiaTheme="minorEastAsia"/>
          <w:color w:val="auto"/>
          <w:szCs w:val="21"/>
          <w:highlight w:val="none"/>
        </w:rPr>
        <w:br w:type="page"/>
      </w:r>
      <w:r>
        <w:rPr>
          <w:rFonts w:hint="eastAsia" w:ascii="宋体" w:hAnsi="宋体"/>
          <w:b/>
          <w:bCs/>
          <w:color w:val="auto"/>
          <w:sz w:val="28"/>
          <w:szCs w:val="28"/>
          <w:highlight w:val="none"/>
        </w:rPr>
        <w:t>承 诺 书</w:t>
      </w:r>
    </w:p>
    <w:p w14:paraId="3321150F">
      <w:pPr>
        <w:jc w:val="center"/>
        <w:rPr>
          <w:rFonts w:hint="eastAsia" w:ascii="黑体" w:hAnsi="宋体" w:eastAsia="黑体"/>
          <w:color w:val="auto"/>
          <w:sz w:val="28"/>
          <w:szCs w:val="28"/>
          <w:highlight w:val="none"/>
        </w:rPr>
      </w:pPr>
    </w:p>
    <w:p w14:paraId="0AEEBA75">
      <w:pPr>
        <w:spacing w:after="240" w:afterLines="100" w:line="440" w:lineRule="exact"/>
        <w:jc w:val="left"/>
        <w:rPr>
          <w:rFonts w:hint="eastAsia" w:ascii="宋体" w:hAnsi="宋体"/>
          <w:color w:val="auto"/>
          <w:szCs w:val="21"/>
          <w:highlight w:val="none"/>
          <w:u w:val="single"/>
        </w:rPr>
      </w:pPr>
      <w:r>
        <w:rPr>
          <w:rFonts w:ascii="宋体" w:hAnsi="宋体"/>
          <w:color w:val="auto"/>
          <w:highlight w:val="none"/>
        </w:rPr>
        <w:t>致：</w:t>
      </w:r>
      <w:r>
        <w:rPr>
          <w:rFonts w:ascii="宋体" w:hAnsi="宋体"/>
          <w:color w:val="auto"/>
          <w:highlight w:val="none"/>
          <w:u w:val="single"/>
        </w:rPr>
        <w:t xml:space="preserve">           </w:t>
      </w:r>
      <w:r>
        <w:rPr>
          <w:rFonts w:hint="eastAsia" w:ascii="宋体" w:hAnsi="宋体"/>
          <w:color w:val="auto"/>
          <w:highlight w:val="none"/>
          <w:u w:val="single"/>
        </w:rPr>
        <w:t>（采购人名称）</w:t>
      </w:r>
    </w:p>
    <w:p w14:paraId="1FB6F2BD">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我方在此承诺，我方拟派往</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（项目名称）的项目经理</w:t>
      </w:r>
      <w:r>
        <w:rPr>
          <w:rFonts w:hint="eastAsia" w:ascii="宋体" w:hAnsi="宋体"/>
          <w:color w:val="auto"/>
          <w:highlight w:val="none"/>
          <w:u w:val="single"/>
          <w:lang w:val="en-US" w:eastAsia="zh-CN"/>
        </w:rPr>
        <w:t xml:space="preserve">     </w:t>
      </w:r>
      <w:r>
        <w:rPr>
          <w:rFonts w:hint="eastAsia" w:ascii="宋体" w:hAnsi="宋体"/>
          <w:color w:val="auto"/>
          <w:szCs w:val="21"/>
          <w:highlight w:val="none"/>
        </w:rPr>
        <w:t>（姓名）现阶段未担任其他正在建设工程项目的项目经理</w:t>
      </w:r>
      <w:r>
        <w:rPr>
          <w:rFonts w:hint="eastAsia" w:ascii="宋体" w:hAnsi="宋体"/>
          <w:color w:val="auto"/>
          <w:szCs w:val="21"/>
          <w:highlight w:val="none"/>
          <w:lang w:eastAsia="zh-CN"/>
        </w:rPr>
        <w:t>。</w:t>
      </w:r>
    </w:p>
    <w:p w14:paraId="4AE8F3EA">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我方保证上述信息的真实和准确，并愿意承担因我方就此弄虚作假所引起的一切法律后果。</w:t>
      </w:r>
    </w:p>
    <w:p w14:paraId="3B2B008C">
      <w:pPr>
        <w:spacing w:line="440" w:lineRule="exact"/>
        <w:jc w:val="left"/>
        <w:rPr>
          <w:rFonts w:hint="eastAsia" w:ascii="宋体" w:hAnsi="宋体"/>
          <w:color w:val="auto"/>
          <w:szCs w:val="21"/>
          <w:highlight w:val="none"/>
        </w:rPr>
      </w:pPr>
    </w:p>
    <w:p w14:paraId="1E93CAB7">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特此承诺！</w:t>
      </w:r>
    </w:p>
    <w:p w14:paraId="61713B51">
      <w:pPr>
        <w:spacing w:line="360" w:lineRule="auto"/>
        <w:ind w:right="252" w:rightChars="120" w:firstLine="4410" w:firstLineChars="2100"/>
        <w:rPr>
          <w:rFonts w:hint="eastAsia" w:ascii="宋体" w:hAnsi="宋体" w:cs="仿宋_GB2312"/>
          <w:color w:val="auto"/>
          <w:szCs w:val="21"/>
          <w:highlight w:val="none"/>
        </w:rPr>
      </w:pPr>
    </w:p>
    <w:p w14:paraId="3908EE92">
      <w:pPr>
        <w:spacing w:line="360" w:lineRule="auto"/>
        <w:ind w:right="252" w:rightChars="120"/>
        <w:rPr>
          <w:rFonts w:hint="eastAsia" w:ascii="宋体" w:hAnsi="宋体" w:cs="仿宋_GB2312"/>
          <w:color w:val="auto"/>
          <w:szCs w:val="21"/>
          <w:highlight w:val="none"/>
        </w:rPr>
      </w:pPr>
    </w:p>
    <w:p w14:paraId="33A338E2">
      <w:pPr>
        <w:spacing w:line="360" w:lineRule="auto"/>
        <w:ind w:right="252" w:rightChars="120" w:firstLine="4410" w:firstLineChars="2100"/>
        <w:rPr>
          <w:rFonts w:hint="eastAsia" w:ascii="宋体" w:hAnsi="宋体" w:cs="仿宋_GB2312"/>
          <w:color w:val="auto"/>
          <w:szCs w:val="21"/>
          <w:highlight w:val="none"/>
        </w:rPr>
      </w:pPr>
    </w:p>
    <w:p w14:paraId="1E55159B">
      <w:pPr>
        <w:spacing w:line="360" w:lineRule="auto"/>
        <w:ind w:right="252" w:rightChars="120" w:firstLine="4410" w:firstLineChars="2100"/>
        <w:rPr>
          <w:rFonts w:hint="eastAsia" w:ascii="宋体" w:hAnsi="宋体" w:cs="仿宋_GB2312"/>
          <w:color w:val="auto"/>
          <w:szCs w:val="21"/>
          <w:highlight w:val="none"/>
        </w:rPr>
      </w:pPr>
    </w:p>
    <w:p w14:paraId="7E620312">
      <w:pPr>
        <w:spacing w:line="360" w:lineRule="auto"/>
        <w:ind w:right="252" w:rightChars="120" w:firstLine="4410" w:firstLineChars="2100"/>
        <w:rPr>
          <w:rFonts w:hint="eastAsia" w:ascii="宋体" w:hAnsi="宋体" w:cs="仿宋_GB2312"/>
          <w:color w:val="auto"/>
          <w:szCs w:val="21"/>
          <w:highlight w:val="none"/>
        </w:rPr>
      </w:pPr>
    </w:p>
    <w:p w14:paraId="6492EB41">
      <w:pPr>
        <w:spacing w:line="480" w:lineRule="auto"/>
        <w:ind w:right="252" w:rightChars="120" w:firstLine="4410" w:firstLineChars="2100"/>
        <w:jc w:val="left"/>
        <w:rPr>
          <w:rFonts w:hint="eastAsia" w:ascii="宋体" w:hAnsi="宋体" w:cs="仿宋_GB2312"/>
          <w:color w:val="auto"/>
          <w:szCs w:val="21"/>
          <w:highlight w:val="none"/>
          <w:u w:val="single"/>
        </w:rPr>
      </w:pPr>
      <w:r>
        <w:rPr>
          <w:rFonts w:hint="eastAsia" w:ascii="宋体" w:hAnsi="宋体" w:cs="仿宋_GB2312"/>
          <w:color w:val="auto"/>
          <w:szCs w:val="21"/>
          <w:highlight w:val="none"/>
        </w:rPr>
        <w:t>供应商：</w:t>
      </w:r>
      <w:r>
        <w:rPr>
          <w:rFonts w:hint="eastAsia" w:ascii="宋体" w:hAnsi="宋体" w:cs="仿宋_GB2312"/>
          <w:color w:val="auto"/>
          <w:szCs w:val="21"/>
          <w:highlight w:val="none"/>
          <w:u w:val="single"/>
        </w:rPr>
        <w:t xml:space="preserve">                  </w:t>
      </w:r>
      <w:r>
        <w:rPr>
          <w:rFonts w:hint="eastAsia" w:ascii="宋体" w:hAnsi="宋体" w:cs="宋体"/>
          <w:color w:val="auto"/>
          <w:szCs w:val="21"/>
          <w:highlight w:val="none"/>
          <w:u w:val="single"/>
        </w:rPr>
        <w:t>（电子签章）</w:t>
      </w:r>
    </w:p>
    <w:p w14:paraId="15DC5B4B">
      <w:pPr>
        <w:tabs>
          <w:tab w:val="left" w:pos="3990"/>
          <w:tab w:val="right" w:pos="9386"/>
        </w:tabs>
        <w:spacing w:line="480" w:lineRule="auto"/>
        <w:ind w:right="252" w:rightChars="120" w:firstLine="4410" w:firstLineChars="2100"/>
        <w:jc w:val="left"/>
        <w:rPr>
          <w:rFonts w:hint="eastAsia" w:ascii="宋体" w:hAnsi="宋体" w:cs="仿宋_GB2312"/>
          <w:color w:val="auto"/>
          <w:szCs w:val="21"/>
          <w:highlight w:val="none"/>
          <w:u w:val="single"/>
        </w:rPr>
      </w:pPr>
      <w:r>
        <w:rPr>
          <w:rFonts w:hint="eastAsia" w:ascii="宋体" w:hAnsi="宋体" w:cs="仿宋_GB2312"/>
          <w:color w:val="auto"/>
          <w:szCs w:val="21"/>
          <w:highlight w:val="none"/>
        </w:rPr>
        <w:t>法定代表人：</w:t>
      </w:r>
      <w:r>
        <w:rPr>
          <w:rFonts w:hint="eastAsia" w:ascii="宋体" w:hAnsi="宋体" w:cs="仿宋_GB2312"/>
          <w:color w:val="auto"/>
          <w:szCs w:val="21"/>
          <w:highlight w:val="none"/>
          <w:u w:val="single"/>
        </w:rPr>
        <w:t xml:space="preserve">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u w:val="single"/>
        </w:rPr>
        <w:t>（电子签章）</w:t>
      </w:r>
    </w:p>
    <w:p w14:paraId="6CBE9C89">
      <w:pPr>
        <w:spacing w:line="360" w:lineRule="auto"/>
        <w:ind w:right="252" w:rightChars="120" w:firstLine="4410" w:firstLineChars="2100"/>
        <w:rPr>
          <w:rFonts w:hint="eastAsia" w:ascii="宋体" w:hAnsi="宋体" w:cs="仿宋_GB2312"/>
          <w:color w:val="auto"/>
          <w:szCs w:val="21"/>
          <w:highlight w:val="none"/>
        </w:rPr>
      </w:pPr>
      <w:r>
        <w:rPr>
          <w:rFonts w:hint="eastAsia" w:ascii="宋体" w:hAnsi="宋体" w:cs="仿宋_GB2312"/>
          <w:color w:val="auto"/>
          <w:szCs w:val="21"/>
          <w:highlight w:val="none"/>
        </w:rPr>
        <w:t>日 期：</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年</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月</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日</w:t>
      </w:r>
    </w:p>
    <w:p w14:paraId="1B4FEA6F">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r>
    </w:p>
    <w:p w14:paraId="568CF53F">
      <w:pPr>
        <w:spacing w:before="9" w:line="360" w:lineRule="auto"/>
        <w:jc w:val="center"/>
        <w:outlineLvl w:val="2"/>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lang w:val="en-US" w:eastAsia="zh-CN"/>
        </w:rPr>
        <w:t>技</w:t>
      </w:r>
      <w:r>
        <w:rPr>
          <w:rFonts w:hint="eastAsia" w:ascii="宋体" w:hAnsi="宋体" w:cs="宋体"/>
          <w:b/>
          <w:bCs/>
          <w:color w:val="auto"/>
          <w:sz w:val="28"/>
          <w:szCs w:val="28"/>
          <w:highlight w:val="none"/>
          <w:lang w:val="en-US" w:eastAsia="zh-CN"/>
        </w:rPr>
        <w:t>术负责人简历表</w:t>
      </w:r>
    </w:p>
    <w:tbl>
      <w:tblPr>
        <w:tblStyle w:val="67"/>
        <w:tblW w:w="934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12"/>
        <w:gridCol w:w="1193"/>
        <w:gridCol w:w="1516"/>
        <w:gridCol w:w="862"/>
        <w:gridCol w:w="616"/>
        <w:gridCol w:w="776"/>
        <w:gridCol w:w="1393"/>
        <w:gridCol w:w="1477"/>
      </w:tblGrid>
      <w:tr w14:paraId="21553C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24DE52C1">
            <w:pPr>
              <w:tabs>
                <w:tab w:val="left" w:pos="680"/>
              </w:tabs>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姓</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t>名</w:t>
            </w:r>
          </w:p>
        </w:tc>
        <w:tc>
          <w:tcPr>
            <w:tcW w:w="1193" w:type="dxa"/>
            <w:vAlign w:val="center"/>
          </w:tcPr>
          <w:p w14:paraId="394E2BDB">
            <w:pPr>
              <w:autoSpaceDE w:val="0"/>
              <w:autoSpaceDN w:val="0"/>
              <w:adjustRightInd w:val="0"/>
              <w:spacing w:line="360" w:lineRule="auto"/>
              <w:jc w:val="center"/>
              <w:rPr>
                <w:rFonts w:ascii="宋体" w:hAnsi="宋体" w:cs="宋体"/>
                <w:color w:val="auto"/>
                <w:kern w:val="0"/>
                <w:sz w:val="24"/>
                <w:szCs w:val="24"/>
                <w:highlight w:val="none"/>
              </w:rPr>
            </w:pPr>
          </w:p>
        </w:tc>
        <w:tc>
          <w:tcPr>
            <w:tcW w:w="1516" w:type="dxa"/>
            <w:vAlign w:val="center"/>
          </w:tcPr>
          <w:p w14:paraId="285278B5">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  龄</w:t>
            </w:r>
          </w:p>
        </w:tc>
        <w:tc>
          <w:tcPr>
            <w:tcW w:w="1478" w:type="dxa"/>
            <w:gridSpan w:val="2"/>
            <w:vAlign w:val="center"/>
          </w:tcPr>
          <w:p w14:paraId="7A2979A2">
            <w:pPr>
              <w:autoSpaceDE w:val="0"/>
              <w:autoSpaceDN w:val="0"/>
              <w:adjustRightInd w:val="0"/>
              <w:spacing w:line="360" w:lineRule="auto"/>
              <w:jc w:val="center"/>
              <w:rPr>
                <w:rFonts w:ascii="宋体" w:hAnsi="宋体" w:cs="宋体"/>
                <w:color w:val="auto"/>
                <w:kern w:val="0"/>
                <w:sz w:val="24"/>
                <w:szCs w:val="24"/>
                <w:highlight w:val="none"/>
              </w:rPr>
            </w:pPr>
          </w:p>
        </w:tc>
        <w:tc>
          <w:tcPr>
            <w:tcW w:w="2169" w:type="dxa"/>
            <w:gridSpan w:val="2"/>
            <w:vAlign w:val="center"/>
          </w:tcPr>
          <w:p w14:paraId="51D845D4">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专  业</w:t>
            </w:r>
          </w:p>
        </w:tc>
        <w:tc>
          <w:tcPr>
            <w:tcW w:w="1477" w:type="dxa"/>
            <w:vAlign w:val="center"/>
          </w:tcPr>
          <w:p w14:paraId="7428FF50">
            <w:pPr>
              <w:spacing w:line="360" w:lineRule="auto"/>
              <w:jc w:val="center"/>
              <w:rPr>
                <w:rFonts w:ascii="宋体" w:hAnsi="宋体" w:cs="宋体"/>
                <w:color w:val="auto"/>
                <w:sz w:val="24"/>
                <w:szCs w:val="24"/>
                <w:highlight w:val="none"/>
              </w:rPr>
            </w:pPr>
          </w:p>
        </w:tc>
      </w:tr>
      <w:tr w14:paraId="17BCE4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6C8AA704">
            <w:pPr>
              <w:tabs>
                <w:tab w:val="left" w:pos="680"/>
              </w:tabs>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技术职称</w:t>
            </w:r>
          </w:p>
        </w:tc>
        <w:tc>
          <w:tcPr>
            <w:tcW w:w="1193" w:type="dxa"/>
            <w:vAlign w:val="center"/>
          </w:tcPr>
          <w:p w14:paraId="0E7B65F8">
            <w:pPr>
              <w:autoSpaceDE w:val="0"/>
              <w:autoSpaceDN w:val="0"/>
              <w:adjustRightInd w:val="0"/>
              <w:spacing w:line="360" w:lineRule="auto"/>
              <w:jc w:val="center"/>
              <w:rPr>
                <w:rFonts w:ascii="宋体" w:hAnsi="宋体" w:cs="宋体"/>
                <w:color w:val="auto"/>
                <w:kern w:val="0"/>
                <w:sz w:val="24"/>
                <w:szCs w:val="24"/>
                <w:highlight w:val="none"/>
              </w:rPr>
            </w:pPr>
          </w:p>
        </w:tc>
        <w:tc>
          <w:tcPr>
            <w:tcW w:w="1516" w:type="dxa"/>
            <w:vAlign w:val="center"/>
          </w:tcPr>
          <w:p w14:paraId="3E045DF1">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学  历</w:t>
            </w:r>
          </w:p>
        </w:tc>
        <w:tc>
          <w:tcPr>
            <w:tcW w:w="1478" w:type="dxa"/>
            <w:gridSpan w:val="2"/>
            <w:vAlign w:val="center"/>
          </w:tcPr>
          <w:p w14:paraId="0D462A54">
            <w:pPr>
              <w:autoSpaceDE w:val="0"/>
              <w:autoSpaceDN w:val="0"/>
              <w:adjustRightInd w:val="0"/>
              <w:spacing w:line="360" w:lineRule="auto"/>
              <w:jc w:val="center"/>
              <w:rPr>
                <w:rFonts w:ascii="宋体" w:hAnsi="宋体" w:cs="宋体"/>
                <w:color w:val="auto"/>
                <w:kern w:val="0"/>
                <w:sz w:val="24"/>
                <w:szCs w:val="24"/>
                <w:highlight w:val="none"/>
              </w:rPr>
            </w:pPr>
          </w:p>
        </w:tc>
        <w:tc>
          <w:tcPr>
            <w:tcW w:w="2169" w:type="dxa"/>
            <w:gridSpan w:val="2"/>
            <w:vAlign w:val="center"/>
          </w:tcPr>
          <w:p w14:paraId="50316A7B">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拟在本</w:t>
            </w:r>
          </w:p>
          <w:p w14:paraId="2893CEEB">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工程任职</w:t>
            </w:r>
          </w:p>
        </w:tc>
        <w:tc>
          <w:tcPr>
            <w:tcW w:w="1477" w:type="dxa"/>
            <w:vAlign w:val="center"/>
          </w:tcPr>
          <w:p w14:paraId="2A84853D">
            <w:pPr>
              <w:spacing w:line="360" w:lineRule="auto"/>
              <w:jc w:val="center"/>
              <w:rPr>
                <w:rFonts w:ascii="宋体" w:hAnsi="宋体" w:cs="宋体"/>
                <w:color w:val="auto"/>
                <w:sz w:val="24"/>
                <w:szCs w:val="24"/>
                <w:highlight w:val="none"/>
              </w:rPr>
            </w:pPr>
          </w:p>
        </w:tc>
      </w:tr>
      <w:tr w14:paraId="6DF06B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512" w:type="dxa"/>
            <w:vAlign w:val="center"/>
          </w:tcPr>
          <w:p w14:paraId="4C4C4D74">
            <w:pPr>
              <w:autoSpaceDE w:val="0"/>
              <w:autoSpaceDN w:val="0"/>
              <w:adjustRightInd w:val="0"/>
              <w:spacing w:before="73" w:line="360" w:lineRule="auto"/>
              <w:jc w:val="cente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注册建造师</w:t>
            </w:r>
          </w:p>
          <w:p w14:paraId="7C81B110">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资格等级</w:t>
            </w:r>
          </w:p>
        </w:tc>
        <w:tc>
          <w:tcPr>
            <w:tcW w:w="2709" w:type="dxa"/>
            <w:gridSpan w:val="2"/>
            <w:vAlign w:val="center"/>
          </w:tcPr>
          <w:p w14:paraId="112D21A2">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c>
          <w:tcPr>
            <w:tcW w:w="1478" w:type="dxa"/>
            <w:gridSpan w:val="2"/>
            <w:vAlign w:val="center"/>
          </w:tcPr>
          <w:p w14:paraId="7556EAFC">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注册专业</w:t>
            </w:r>
          </w:p>
        </w:tc>
        <w:tc>
          <w:tcPr>
            <w:tcW w:w="3646" w:type="dxa"/>
            <w:gridSpan w:val="3"/>
            <w:vAlign w:val="center"/>
          </w:tcPr>
          <w:p w14:paraId="4FC48E13">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r>
      <w:tr w14:paraId="34C3D4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4F8D423D">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cs="宋体" w:asciiTheme="minorEastAsia" w:hAnsiTheme="minorEastAsia" w:eastAsiaTheme="minorEastAsia"/>
                <w:color w:val="auto"/>
                <w:szCs w:val="21"/>
                <w:highlight w:val="none"/>
              </w:rPr>
              <w:t>安全生产考核合格证书编号</w:t>
            </w:r>
          </w:p>
        </w:tc>
        <w:tc>
          <w:tcPr>
            <w:tcW w:w="2709" w:type="dxa"/>
            <w:gridSpan w:val="2"/>
            <w:vAlign w:val="center"/>
          </w:tcPr>
          <w:p w14:paraId="1AC5220B">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rPr>
            </w:pPr>
          </w:p>
        </w:tc>
        <w:tc>
          <w:tcPr>
            <w:tcW w:w="1478" w:type="dxa"/>
            <w:gridSpan w:val="2"/>
            <w:vAlign w:val="center"/>
          </w:tcPr>
          <w:p w14:paraId="12543E44">
            <w:pPr>
              <w:autoSpaceDE w:val="0"/>
              <w:autoSpaceDN w:val="0"/>
              <w:adjustRightInd w:val="0"/>
              <w:spacing w:before="73" w:line="360" w:lineRule="auto"/>
              <w:jc w:val="center"/>
            </w:pPr>
            <w:r>
              <w:rPr>
                <w:rFonts w:hint="eastAsia" w:ascii="宋体" w:hAnsi="宋体" w:cs="宋体"/>
                <w:color w:val="auto"/>
                <w:kern w:val="0"/>
                <w:sz w:val="24"/>
                <w:szCs w:val="24"/>
                <w:highlight w:val="none"/>
              </w:rPr>
              <w:t>类似施工经验年限</w:t>
            </w:r>
          </w:p>
        </w:tc>
        <w:tc>
          <w:tcPr>
            <w:tcW w:w="3646" w:type="dxa"/>
            <w:gridSpan w:val="3"/>
            <w:vAlign w:val="center"/>
          </w:tcPr>
          <w:p w14:paraId="540702A6">
            <w:pPr>
              <w:tabs>
                <w:tab w:val="left" w:pos="2820"/>
                <w:tab w:val="left" w:pos="4080"/>
              </w:tabs>
              <w:autoSpaceDE w:val="0"/>
              <w:autoSpaceDN w:val="0"/>
              <w:adjustRightInd w:val="0"/>
              <w:spacing w:before="73" w:line="360" w:lineRule="auto"/>
              <w:ind w:left="-1291" w:leftChars="-615" w:firstLine="1260" w:firstLineChars="600"/>
            </w:pPr>
          </w:p>
        </w:tc>
      </w:tr>
      <w:tr w14:paraId="1CFE77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512" w:type="dxa"/>
            <w:vAlign w:val="center"/>
          </w:tcPr>
          <w:p w14:paraId="31456F05">
            <w:pPr>
              <w:autoSpaceDE w:val="0"/>
              <w:autoSpaceDN w:val="0"/>
              <w:adjustRightInd w:val="0"/>
              <w:spacing w:before="73"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毕业学校</w:t>
            </w:r>
          </w:p>
        </w:tc>
        <w:tc>
          <w:tcPr>
            <w:tcW w:w="7833" w:type="dxa"/>
            <w:gridSpan w:val="7"/>
            <w:vAlign w:val="center"/>
          </w:tcPr>
          <w:p w14:paraId="699A1A51">
            <w:pPr>
              <w:tabs>
                <w:tab w:val="left" w:pos="2820"/>
                <w:tab w:val="left" w:pos="4080"/>
              </w:tabs>
              <w:autoSpaceDE w:val="0"/>
              <w:autoSpaceDN w:val="0"/>
              <w:adjustRightInd w:val="0"/>
              <w:spacing w:before="73" w:line="360" w:lineRule="auto"/>
              <w:ind w:left="-1291" w:leftChars="-615" w:firstLine="1440" w:firstLineChars="600"/>
              <w:jc w:val="center"/>
            </w:pP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月毕业于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学校</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专业，学制</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p>
        </w:tc>
      </w:tr>
      <w:tr w14:paraId="5B53FB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345" w:type="dxa"/>
            <w:gridSpan w:val="8"/>
            <w:vAlign w:val="center"/>
          </w:tcPr>
          <w:p w14:paraId="5D44D59C">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经     历</w:t>
            </w:r>
          </w:p>
        </w:tc>
      </w:tr>
      <w:tr w14:paraId="31F1A4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6670C16D">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时间</w:t>
            </w:r>
          </w:p>
        </w:tc>
        <w:tc>
          <w:tcPr>
            <w:tcW w:w="3571" w:type="dxa"/>
            <w:gridSpan w:val="3"/>
            <w:vAlign w:val="center"/>
          </w:tcPr>
          <w:p w14:paraId="24A425CD">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参加过的类似工程项目名称</w:t>
            </w:r>
          </w:p>
        </w:tc>
        <w:tc>
          <w:tcPr>
            <w:tcW w:w="1392" w:type="dxa"/>
            <w:gridSpan w:val="2"/>
            <w:vAlign w:val="center"/>
          </w:tcPr>
          <w:p w14:paraId="464772A3">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担任职务</w:t>
            </w:r>
          </w:p>
        </w:tc>
        <w:tc>
          <w:tcPr>
            <w:tcW w:w="2870" w:type="dxa"/>
            <w:gridSpan w:val="2"/>
            <w:vAlign w:val="center"/>
          </w:tcPr>
          <w:p w14:paraId="180EEAB5">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发包人及</w:t>
            </w:r>
          </w:p>
          <w:p w14:paraId="13CA3B01">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联系电话</w:t>
            </w:r>
          </w:p>
        </w:tc>
      </w:tr>
      <w:tr w14:paraId="19DD6A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1FC8E21E">
            <w:pPr>
              <w:spacing w:line="360" w:lineRule="auto"/>
              <w:jc w:val="center"/>
              <w:rPr>
                <w:rFonts w:ascii="宋体" w:hAnsi="宋体" w:cs="宋体"/>
                <w:color w:val="auto"/>
                <w:sz w:val="24"/>
                <w:szCs w:val="24"/>
                <w:highlight w:val="none"/>
              </w:rPr>
            </w:pPr>
          </w:p>
        </w:tc>
        <w:tc>
          <w:tcPr>
            <w:tcW w:w="3571" w:type="dxa"/>
            <w:gridSpan w:val="3"/>
            <w:vAlign w:val="center"/>
          </w:tcPr>
          <w:p w14:paraId="61A179BB">
            <w:pPr>
              <w:spacing w:line="360" w:lineRule="auto"/>
              <w:jc w:val="center"/>
              <w:rPr>
                <w:rFonts w:ascii="宋体" w:hAnsi="宋体" w:cs="宋体"/>
                <w:color w:val="auto"/>
                <w:sz w:val="24"/>
                <w:szCs w:val="24"/>
                <w:highlight w:val="none"/>
              </w:rPr>
            </w:pPr>
          </w:p>
        </w:tc>
        <w:tc>
          <w:tcPr>
            <w:tcW w:w="1392" w:type="dxa"/>
            <w:gridSpan w:val="2"/>
            <w:vAlign w:val="center"/>
          </w:tcPr>
          <w:p w14:paraId="1EB8E982">
            <w:pPr>
              <w:spacing w:line="360" w:lineRule="auto"/>
              <w:jc w:val="center"/>
              <w:rPr>
                <w:rFonts w:ascii="宋体" w:hAnsi="宋体" w:cs="宋体"/>
                <w:color w:val="auto"/>
                <w:sz w:val="24"/>
                <w:szCs w:val="24"/>
                <w:highlight w:val="none"/>
              </w:rPr>
            </w:pPr>
          </w:p>
        </w:tc>
        <w:tc>
          <w:tcPr>
            <w:tcW w:w="2870" w:type="dxa"/>
            <w:gridSpan w:val="2"/>
            <w:vAlign w:val="center"/>
          </w:tcPr>
          <w:p w14:paraId="7FB046BE">
            <w:pPr>
              <w:spacing w:line="360" w:lineRule="auto"/>
              <w:jc w:val="center"/>
              <w:rPr>
                <w:rFonts w:ascii="宋体" w:hAnsi="宋体" w:cs="宋体"/>
                <w:color w:val="auto"/>
                <w:sz w:val="24"/>
                <w:szCs w:val="24"/>
                <w:highlight w:val="none"/>
              </w:rPr>
            </w:pPr>
          </w:p>
        </w:tc>
      </w:tr>
      <w:tr w14:paraId="1E6359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00BA02B0">
            <w:pPr>
              <w:spacing w:line="360" w:lineRule="auto"/>
              <w:jc w:val="center"/>
              <w:rPr>
                <w:rFonts w:ascii="宋体" w:hAnsi="宋体" w:cs="宋体"/>
                <w:color w:val="auto"/>
                <w:sz w:val="24"/>
                <w:szCs w:val="24"/>
                <w:highlight w:val="none"/>
              </w:rPr>
            </w:pPr>
          </w:p>
        </w:tc>
        <w:tc>
          <w:tcPr>
            <w:tcW w:w="3571" w:type="dxa"/>
            <w:gridSpan w:val="3"/>
            <w:vAlign w:val="center"/>
          </w:tcPr>
          <w:p w14:paraId="0FADA8A1">
            <w:pPr>
              <w:spacing w:line="360" w:lineRule="auto"/>
              <w:jc w:val="center"/>
              <w:rPr>
                <w:rFonts w:ascii="宋体" w:hAnsi="宋体" w:cs="宋体"/>
                <w:color w:val="auto"/>
                <w:sz w:val="24"/>
                <w:szCs w:val="24"/>
                <w:highlight w:val="none"/>
              </w:rPr>
            </w:pPr>
          </w:p>
        </w:tc>
        <w:tc>
          <w:tcPr>
            <w:tcW w:w="1392" w:type="dxa"/>
            <w:gridSpan w:val="2"/>
            <w:vAlign w:val="center"/>
          </w:tcPr>
          <w:p w14:paraId="021AD42E">
            <w:pPr>
              <w:spacing w:line="360" w:lineRule="auto"/>
              <w:jc w:val="center"/>
              <w:rPr>
                <w:rFonts w:ascii="宋体" w:hAnsi="宋体" w:cs="宋体"/>
                <w:color w:val="auto"/>
                <w:sz w:val="24"/>
                <w:szCs w:val="24"/>
                <w:highlight w:val="none"/>
              </w:rPr>
            </w:pPr>
          </w:p>
        </w:tc>
        <w:tc>
          <w:tcPr>
            <w:tcW w:w="2870" w:type="dxa"/>
            <w:gridSpan w:val="2"/>
            <w:vAlign w:val="center"/>
          </w:tcPr>
          <w:p w14:paraId="47DC957C">
            <w:pPr>
              <w:spacing w:line="360" w:lineRule="auto"/>
              <w:jc w:val="center"/>
              <w:rPr>
                <w:rFonts w:ascii="宋体" w:hAnsi="宋体" w:cs="宋体"/>
                <w:color w:val="auto"/>
                <w:sz w:val="24"/>
                <w:szCs w:val="24"/>
                <w:highlight w:val="none"/>
              </w:rPr>
            </w:pPr>
          </w:p>
        </w:tc>
      </w:tr>
      <w:tr w14:paraId="7F96B5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6F507398">
            <w:pPr>
              <w:spacing w:line="360" w:lineRule="auto"/>
              <w:jc w:val="center"/>
              <w:rPr>
                <w:rFonts w:ascii="宋体" w:hAnsi="宋体" w:cs="宋体"/>
                <w:color w:val="auto"/>
                <w:sz w:val="24"/>
                <w:szCs w:val="24"/>
                <w:highlight w:val="none"/>
              </w:rPr>
            </w:pPr>
          </w:p>
        </w:tc>
        <w:tc>
          <w:tcPr>
            <w:tcW w:w="3571" w:type="dxa"/>
            <w:gridSpan w:val="3"/>
            <w:vAlign w:val="center"/>
          </w:tcPr>
          <w:p w14:paraId="1C84A7C1">
            <w:pPr>
              <w:spacing w:line="360" w:lineRule="auto"/>
              <w:jc w:val="center"/>
              <w:rPr>
                <w:rFonts w:ascii="宋体" w:hAnsi="宋体" w:cs="宋体"/>
                <w:color w:val="auto"/>
                <w:sz w:val="24"/>
                <w:szCs w:val="24"/>
                <w:highlight w:val="none"/>
              </w:rPr>
            </w:pPr>
          </w:p>
        </w:tc>
        <w:tc>
          <w:tcPr>
            <w:tcW w:w="1392" w:type="dxa"/>
            <w:gridSpan w:val="2"/>
            <w:vAlign w:val="center"/>
          </w:tcPr>
          <w:p w14:paraId="4C0A3CF6">
            <w:pPr>
              <w:spacing w:line="360" w:lineRule="auto"/>
              <w:jc w:val="center"/>
              <w:rPr>
                <w:rFonts w:ascii="宋体" w:hAnsi="宋体" w:cs="宋体"/>
                <w:color w:val="auto"/>
                <w:sz w:val="24"/>
                <w:szCs w:val="24"/>
                <w:highlight w:val="none"/>
              </w:rPr>
            </w:pPr>
          </w:p>
        </w:tc>
        <w:tc>
          <w:tcPr>
            <w:tcW w:w="2870" w:type="dxa"/>
            <w:gridSpan w:val="2"/>
            <w:vAlign w:val="center"/>
          </w:tcPr>
          <w:p w14:paraId="15B8D90C">
            <w:pPr>
              <w:spacing w:line="360" w:lineRule="auto"/>
              <w:jc w:val="center"/>
              <w:rPr>
                <w:rFonts w:ascii="宋体" w:hAnsi="宋体" w:cs="宋体"/>
                <w:color w:val="auto"/>
                <w:sz w:val="24"/>
                <w:szCs w:val="24"/>
                <w:highlight w:val="none"/>
              </w:rPr>
            </w:pPr>
          </w:p>
        </w:tc>
      </w:tr>
      <w:tr w14:paraId="08730E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0A24A2E0">
            <w:pPr>
              <w:spacing w:line="360" w:lineRule="auto"/>
              <w:jc w:val="center"/>
              <w:rPr>
                <w:rFonts w:ascii="宋体" w:hAnsi="宋体" w:cs="宋体"/>
                <w:color w:val="auto"/>
                <w:sz w:val="24"/>
                <w:szCs w:val="24"/>
                <w:highlight w:val="none"/>
              </w:rPr>
            </w:pPr>
          </w:p>
        </w:tc>
        <w:tc>
          <w:tcPr>
            <w:tcW w:w="3571" w:type="dxa"/>
            <w:gridSpan w:val="3"/>
            <w:vAlign w:val="center"/>
          </w:tcPr>
          <w:p w14:paraId="7E57468F">
            <w:pPr>
              <w:spacing w:line="360" w:lineRule="auto"/>
              <w:jc w:val="center"/>
              <w:rPr>
                <w:rFonts w:ascii="宋体" w:hAnsi="宋体" w:cs="宋体"/>
                <w:color w:val="auto"/>
                <w:sz w:val="24"/>
                <w:szCs w:val="24"/>
                <w:highlight w:val="none"/>
              </w:rPr>
            </w:pPr>
          </w:p>
        </w:tc>
        <w:tc>
          <w:tcPr>
            <w:tcW w:w="1392" w:type="dxa"/>
            <w:gridSpan w:val="2"/>
            <w:vAlign w:val="center"/>
          </w:tcPr>
          <w:p w14:paraId="10B1DD60">
            <w:pPr>
              <w:spacing w:line="360" w:lineRule="auto"/>
              <w:jc w:val="center"/>
              <w:rPr>
                <w:rFonts w:ascii="宋体" w:hAnsi="宋体" w:cs="宋体"/>
                <w:color w:val="auto"/>
                <w:sz w:val="24"/>
                <w:szCs w:val="24"/>
                <w:highlight w:val="none"/>
              </w:rPr>
            </w:pPr>
          </w:p>
        </w:tc>
        <w:tc>
          <w:tcPr>
            <w:tcW w:w="2870" w:type="dxa"/>
            <w:gridSpan w:val="2"/>
            <w:vAlign w:val="center"/>
          </w:tcPr>
          <w:p w14:paraId="30B99859">
            <w:pPr>
              <w:spacing w:line="360" w:lineRule="auto"/>
              <w:jc w:val="center"/>
              <w:rPr>
                <w:rFonts w:ascii="宋体" w:hAnsi="宋体" w:cs="宋体"/>
                <w:color w:val="auto"/>
                <w:sz w:val="24"/>
                <w:szCs w:val="24"/>
                <w:highlight w:val="none"/>
              </w:rPr>
            </w:pPr>
          </w:p>
        </w:tc>
      </w:tr>
      <w:tr w14:paraId="14AF7DB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5EE04910">
            <w:pPr>
              <w:spacing w:line="360" w:lineRule="auto"/>
              <w:jc w:val="center"/>
              <w:rPr>
                <w:rFonts w:ascii="宋体" w:hAnsi="宋体" w:cs="宋体"/>
                <w:color w:val="auto"/>
                <w:sz w:val="24"/>
                <w:szCs w:val="24"/>
                <w:highlight w:val="none"/>
              </w:rPr>
            </w:pPr>
          </w:p>
        </w:tc>
        <w:tc>
          <w:tcPr>
            <w:tcW w:w="3571" w:type="dxa"/>
            <w:gridSpan w:val="3"/>
            <w:vAlign w:val="center"/>
          </w:tcPr>
          <w:p w14:paraId="011F4795">
            <w:pPr>
              <w:spacing w:line="360" w:lineRule="auto"/>
              <w:jc w:val="center"/>
              <w:rPr>
                <w:rFonts w:ascii="宋体" w:hAnsi="宋体" w:cs="宋体"/>
                <w:color w:val="auto"/>
                <w:sz w:val="24"/>
                <w:szCs w:val="24"/>
                <w:highlight w:val="none"/>
              </w:rPr>
            </w:pPr>
          </w:p>
        </w:tc>
        <w:tc>
          <w:tcPr>
            <w:tcW w:w="1392" w:type="dxa"/>
            <w:gridSpan w:val="2"/>
            <w:vAlign w:val="center"/>
          </w:tcPr>
          <w:p w14:paraId="62934221">
            <w:pPr>
              <w:spacing w:line="360" w:lineRule="auto"/>
              <w:jc w:val="center"/>
              <w:rPr>
                <w:rFonts w:ascii="宋体" w:hAnsi="宋体" w:cs="宋体"/>
                <w:color w:val="auto"/>
                <w:sz w:val="24"/>
                <w:szCs w:val="24"/>
                <w:highlight w:val="none"/>
              </w:rPr>
            </w:pPr>
          </w:p>
        </w:tc>
        <w:tc>
          <w:tcPr>
            <w:tcW w:w="2870" w:type="dxa"/>
            <w:gridSpan w:val="2"/>
            <w:vAlign w:val="center"/>
          </w:tcPr>
          <w:p w14:paraId="4EC79CD6">
            <w:pPr>
              <w:spacing w:line="360" w:lineRule="auto"/>
              <w:jc w:val="center"/>
              <w:rPr>
                <w:rFonts w:ascii="宋体" w:hAnsi="宋体" w:cs="宋体"/>
                <w:color w:val="auto"/>
                <w:sz w:val="24"/>
                <w:szCs w:val="24"/>
                <w:highlight w:val="none"/>
              </w:rPr>
            </w:pPr>
          </w:p>
        </w:tc>
      </w:tr>
      <w:tr w14:paraId="7C55A2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0D6D9FAA">
            <w:pPr>
              <w:spacing w:line="360" w:lineRule="auto"/>
              <w:jc w:val="center"/>
              <w:rPr>
                <w:rFonts w:ascii="宋体" w:hAnsi="宋体" w:cs="宋体"/>
                <w:color w:val="auto"/>
                <w:sz w:val="24"/>
                <w:szCs w:val="24"/>
                <w:highlight w:val="none"/>
              </w:rPr>
            </w:pPr>
          </w:p>
        </w:tc>
        <w:tc>
          <w:tcPr>
            <w:tcW w:w="3571" w:type="dxa"/>
            <w:gridSpan w:val="3"/>
            <w:vAlign w:val="center"/>
          </w:tcPr>
          <w:p w14:paraId="2A5FB172">
            <w:pPr>
              <w:spacing w:line="360" w:lineRule="auto"/>
              <w:jc w:val="center"/>
              <w:rPr>
                <w:rFonts w:ascii="宋体" w:hAnsi="宋体" w:cs="宋体"/>
                <w:color w:val="auto"/>
                <w:sz w:val="24"/>
                <w:szCs w:val="24"/>
                <w:highlight w:val="none"/>
              </w:rPr>
            </w:pPr>
          </w:p>
        </w:tc>
        <w:tc>
          <w:tcPr>
            <w:tcW w:w="1392" w:type="dxa"/>
            <w:gridSpan w:val="2"/>
            <w:vAlign w:val="center"/>
          </w:tcPr>
          <w:p w14:paraId="5DC6521D">
            <w:pPr>
              <w:spacing w:line="360" w:lineRule="auto"/>
              <w:jc w:val="center"/>
              <w:rPr>
                <w:rFonts w:ascii="宋体" w:hAnsi="宋体" w:cs="宋体"/>
                <w:color w:val="auto"/>
                <w:sz w:val="24"/>
                <w:szCs w:val="24"/>
                <w:highlight w:val="none"/>
              </w:rPr>
            </w:pPr>
          </w:p>
        </w:tc>
        <w:tc>
          <w:tcPr>
            <w:tcW w:w="2870" w:type="dxa"/>
            <w:gridSpan w:val="2"/>
            <w:vAlign w:val="center"/>
          </w:tcPr>
          <w:p w14:paraId="6B1C7DFA">
            <w:pPr>
              <w:spacing w:line="360" w:lineRule="auto"/>
              <w:jc w:val="center"/>
              <w:rPr>
                <w:rFonts w:ascii="宋体" w:hAnsi="宋体" w:cs="宋体"/>
                <w:color w:val="auto"/>
                <w:sz w:val="24"/>
                <w:szCs w:val="24"/>
                <w:highlight w:val="none"/>
              </w:rPr>
            </w:pPr>
          </w:p>
        </w:tc>
      </w:tr>
      <w:tr w14:paraId="3C2ABC6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512" w:type="dxa"/>
            <w:vAlign w:val="center"/>
          </w:tcPr>
          <w:p w14:paraId="68399E3A">
            <w:pPr>
              <w:spacing w:line="360" w:lineRule="auto"/>
              <w:jc w:val="center"/>
              <w:rPr>
                <w:rFonts w:ascii="宋体" w:hAnsi="宋体" w:cs="宋体"/>
                <w:color w:val="auto"/>
                <w:sz w:val="24"/>
                <w:szCs w:val="24"/>
                <w:highlight w:val="none"/>
              </w:rPr>
            </w:pPr>
          </w:p>
        </w:tc>
        <w:tc>
          <w:tcPr>
            <w:tcW w:w="3571" w:type="dxa"/>
            <w:gridSpan w:val="3"/>
            <w:vAlign w:val="center"/>
          </w:tcPr>
          <w:p w14:paraId="7084C9B8">
            <w:pPr>
              <w:spacing w:line="360" w:lineRule="auto"/>
              <w:jc w:val="center"/>
              <w:rPr>
                <w:rFonts w:ascii="宋体" w:hAnsi="宋体" w:cs="宋体"/>
                <w:color w:val="auto"/>
                <w:sz w:val="24"/>
                <w:szCs w:val="24"/>
                <w:highlight w:val="none"/>
              </w:rPr>
            </w:pPr>
          </w:p>
        </w:tc>
        <w:tc>
          <w:tcPr>
            <w:tcW w:w="1392" w:type="dxa"/>
            <w:gridSpan w:val="2"/>
            <w:vAlign w:val="center"/>
          </w:tcPr>
          <w:p w14:paraId="5FB6E278">
            <w:pPr>
              <w:spacing w:line="360" w:lineRule="auto"/>
              <w:jc w:val="center"/>
            </w:pPr>
          </w:p>
        </w:tc>
        <w:tc>
          <w:tcPr>
            <w:tcW w:w="2870" w:type="dxa"/>
            <w:gridSpan w:val="2"/>
            <w:vAlign w:val="center"/>
          </w:tcPr>
          <w:p w14:paraId="31832528">
            <w:pPr>
              <w:spacing w:line="360" w:lineRule="auto"/>
              <w:jc w:val="center"/>
            </w:pPr>
          </w:p>
        </w:tc>
      </w:tr>
      <w:tr w14:paraId="7E76CB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4" w:hRule="exact"/>
          <w:jc w:val="center"/>
        </w:trPr>
        <w:tc>
          <w:tcPr>
            <w:tcW w:w="1512" w:type="dxa"/>
            <w:vAlign w:val="center"/>
          </w:tcPr>
          <w:p w14:paraId="426C6C4E">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获奖情况</w:t>
            </w:r>
          </w:p>
        </w:tc>
        <w:tc>
          <w:tcPr>
            <w:tcW w:w="7833" w:type="dxa"/>
            <w:gridSpan w:val="7"/>
            <w:vAlign w:val="center"/>
          </w:tcPr>
          <w:p w14:paraId="36031B56">
            <w:pPr>
              <w:spacing w:line="360" w:lineRule="auto"/>
              <w:jc w:val="center"/>
              <w:rPr>
                <w:rFonts w:ascii="宋体" w:hAnsi="宋体" w:cs="宋体"/>
                <w:b/>
                <w:bCs/>
                <w:color w:val="auto"/>
                <w:sz w:val="24"/>
                <w:szCs w:val="24"/>
                <w:highlight w:val="none"/>
                <w:u w:val="single"/>
              </w:rPr>
            </w:pPr>
          </w:p>
        </w:tc>
      </w:tr>
      <w:tr w14:paraId="6B7953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0" w:hRule="atLeast"/>
          <w:jc w:val="center"/>
        </w:trPr>
        <w:tc>
          <w:tcPr>
            <w:tcW w:w="1512" w:type="dxa"/>
            <w:vAlign w:val="center"/>
          </w:tcPr>
          <w:p w14:paraId="47BFEB08">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833" w:type="dxa"/>
            <w:gridSpan w:val="7"/>
            <w:vAlign w:val="center"/>
          </w:tcPr>
          <w:p w14:paraId="0A6E8502">
            <w:pPr>
              <w:spacing w:line="360" w:lineRule="auto"/>
              <w:jc w:val="center"/>
              <w:rPr>
                <w:rFonts w:ascii="宋体" w:hAnsi="宋体" w:cs="宋体"/>
                <w:color w:val="auto"/>
                <w:sz w:val="24"/>
                <w:szCs w:val="24"/>
                <w:highlight w:val="none"/>
              </w:rPr>
            </w:pPr>
          </w:p>
        </w:tc>
      </w:tr>
    </w:tbl>
    <w:p w14:paraId="13BA7EF9">
      <w:pPr>
        <w:spacing w:before="120" w:beforeLines="50" w:line="360" w:lineRule="auto"/>
        <w:ind w:firstLine="357"/>
        <w:rPr>
          <w:rFonts w:asciiTheme="minorEastAsia" w:hAnsiTheme="minorEastAsia" w:eastAsiaTheme="minorEastAsia"/>
          <w:color w:val="auto"/>
          <w:highlight w:val="none"/>
        </w:rPr>
      </w:pPr>
      <w:r>
        <w:rPr>
          <w:rFonts w:hint="eastAsia" w:cs="宋体" w:asciiTheme="minorEastAsia" w:hAnsiTheme="minorEastAsia" w:eastAsiaTheme="minorEastAsia"/>
          <w:color w:val="auto"/>
          <w:szCs w:val="21"/>
          <w:highlight w:val="none"/>
        </w:rPr>
        <w:t>注：</w:t>
      </w:r>
      <w:r>
        <w:rPr>
          <w:rFonts w:hint="eastAsia" w:asciiTheme="minorEastAsia" w:hAnsiTheme="minorEastAsia" w:eastAsiaTheme="minorEastAsia"/>
          <w:color w:val="auto"/>
          <w:szCs w:val="21"/>
          <w:highlight w:val="none"/>
        </w:rPr>
        <w:t>本表后应附拟派往本工程的</w:t>
      </w:r>
      <w:r>
        <w:rPr>
          <w:rFonts w:hint="eastAsia" w:cs="宋体" w:asciiTheme="minorEastAsia" w:hAnsiTheme="minorEastAsia" w:eastAsiaTheme="minorEastAsia"/>
          <w:color w:val="auto"/>
          <w:szCs w:val="21"/>
          <w:highlight w:val="none"/>
        </w:rPr>
        <w:t>项目</w:t>
      </w:r>
      <w:r>
        <w:rPr>
          <w:rFonts w:hint="eastAsia" w:cs="宋体" w:asciiTheme="minorEastAsia" w:hAnsiTheme="minorEastAsia" w:eastAsiaTheme="minorEastAsia"/>
          <w:color w:val="auto"/>
          <w:szCs w:val="21"/>
          <w:highlight w:val="none"/>
          <w:lang w:val="en-US" w:eastAsia="zh-CN"/>
        </w:rPr>
        <w:t>技术负责人</w:t>
      </w:r>
      <w:r>
        <w:rPr>
          <w:rFonts w:hint="eastAsia" w:cs="宋体" w:asciiTheme="minorEastAsia" w:hAnsiTheme="minorEastAsia" w:eastAsiaTheme="minorEastAsia"/>
          <w:color w:val="auto"/>
          <w:szCs w:val="21"/>
          <w:highlight w:val="none"/>
        </w:rPr>
        <w:t>的身份证、学历证</w:t>
      </w:r>
      <w:r>
        <w:rPr>
          <w:rFonts w:hint="eastAsia" w:asciiTheme="minorEastAsia" w:hAnsiTheme="minorEastAsia" w:eastAsiaTheme="minorEastAsia"/>
          <w:color w:val="auto"/>
          <w:szCs w:val="21"/>
          <w:highlight w:val="none"/>
        </w:rPr>
        <w:t>（若有）</w:t>
      </w:r>
      <w:r>
        <w:rPr>
          <w:rFonts w:hint="eastAsia" w:cs="宋体" w:asciiTheme="minorEastAsia" w:hAnsiTheme="minorEastAsia" w:eastAsiaTheme="minorEastAsia"/>
          <w:color w:val="auto"/>
          <w:szCs w:val="21"/>
          <w:highlight w:val="none"/>
        </w:rPr>
        <w:t>、职称证、</w:t>
      </w:r>
      <w:r>
        <w:rPr>
          <w:rFonts w:hint="eastAsia" w:asciiTheme="minorEastAsia" w:hAnsiTheme="minorEastAsia" w:eastAsiaTheme="minorEastAsia"/>
          <w:color w:val="auto"/>
          <w:szCs w:val="21"/>
          <w:highlight w:val="none"/>
        </w:rPr>
        <w:t>社会保险证明材料或劳动合同或其他合法证明材料的原件扫描件</w:t>
      </w:r>
      <w:r>
        <w:rPr>
          <w:rFonts w:hint="eastAsia" w:asciiTheme="minorEastAsia" w:hAnsiTheme="minorEastAsia" w:eastAsiaTheme="minorEastAsia"/>
        </w:rPr>
        <w:t>。</w:t>
      </w:r>
    </w:p>
    <w:p w14:paraId="31DB9F44">
      <w:pPr>
        <w:spacing w:line="480" w:lineRule="auto"/>
        <w:ind w:right="105" w:firstLine="4410" w:firstLineChars="2100"/>
        <w:rPr>
          <w:rFonts w:hint="eastAsia" w:asciiTheme="minorEastAsia" w:hAnsiTheme="minorEastAsia" w:eastAsiaTheme="minorEastAsia"/>
          <w:color w:val="auto"/>
          <w:szCs w:val="21"/>
          <w:highlight w:val="none"/>
        </w:rPr>
      </w:pPr>
    </w:p>
    <w:p w14:paraId="2573E0D1">
      <w:pPr>
        <w:spacing w:line="480" w:lineRule="auto"/>
        <w:ind w:right="105"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4C826F81">
      <w:pPr>
        <w:spacing w:line="480" w:lineRule="auto"/>
        <w:ind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（电子签章）</w:t>
      </w:r>
    </w:p>
    <w:p w14:paraId="2BB974C9">
      <w:pPr>
        <w:widowControl/>
        <w:ind w:firstLine="4410" w:firstLineChars="21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2325D3C0">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4ED399FB">
      <w:pPr>
        <w:spacing w:line="360" w:lineRule="auto"/>
        <w:jc w:val="center"/>
        <w:outlineLvl w:val="2"/>
        <w:rPr>
          <w:rFonts w:asciiTheme="minorEastAsia" w:hAnsiTheme="minorEastAsia" w:eastAsiaTheme="minorEastAsia"/>
          <w:color w:val="auto"/>
          <w:sz w:val="28"/>
          <w:szCs w:val="28"/>
          <w:highlight w:val="none"/>
        </w:rPr>
      </w:pPr>
      <w:bookmarkStart w:id="1237" w:name="_Toc42205054"/>
      <w:bookmarkStart w:id="1238" w:name="_Toc53412276"/>
      <w:bookmarkStart w:id="1239" w:name="_Toc110405205"/>
      <w:bookmarkStart w:id="1240" w:name="_Toc45976967"/>
      <w:bookmarkStart w:id="1241" w:name="_Toc81331007"/>
      <w:bookmarkStart w:id="1242" w:name="_Toc11134"/>
      <w:bookmarkStart w:id="1243" w:name="_Toc98865073"/>
      <w:bookmarkStart w:id="1244" w:name="_Toc109809386"/>
      <w:bookmarkStart w:id="1245" w:name="_Toc69678488"/>
      <w:bookmarkStart w:id="1246" w:name="_Toc116584070"/>
      <w:bookmarkStart w:id="1247" w:name="_Toc75783591"/>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十</w:t>
      </w:r>
      <w:r>
        <w:rPr>
          <w:rFonts w:hint="eastAsia" w:asciiTheme="minorEastAsia" w:hAnsiTheme="minorEastAsia" w:eastAsiaTheme="minorEastAsia"/>
          <w:b/>
          <w:color w:val="auto"/>
          <w:sz w:val="28"/>
          <w:szCs w:val="28"/>
          <w:highlight w:val="none"/>
        </w:rPr>
        <w:t>）其他人员简历表</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54"/>
        <w:gridCol w:w="1645"/>
        <w:gridCol w:w="1516"/>
        <w:gridCol w:w="862"/>
        <w:gridCol w:w="616"/>
        <w:gridCol w:w="776"/>
        <w:gridCol w:w="1393"/>
        <w:gridCol w:w="1477"/>
      </w:tblGrid>
      <w:tr w14:paraId="73CF01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1BEDA89">
            <w:pPr>
              <w:tabs>
                <w:tab w:val="left" w:pos="680"/>
              </w:tabs>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姓</w:t>
            </w:r>
            <w:r>
              <w:rPr>
                <w:rFonts w:hint="eastAsia" w:ascii="宋体" w:hAnsi="宋体" w:cs="宋体"/>
                <w:color w:val="auto"/>
                <w:kern w:val="0"/>
                <w:sz w:val="24"/>
                <w:szCs w:val="24"/>
                <w:highlight w:val="none"/>
              </w:rPr>
              <w:tab/>
            </w:r>
            <w:r>
              <w:rPr>
                <w:rFonts w:hint="eastAsia" w:ascii="宋体" w:hAnsi="宋体" w:cs="宋体"/>
                <w:color w:val="auto"/>
                <w:kern w:val="0"/>
                <w:sz w:val="24"/>
                <w:szCs w:val="24"/>
                <w:highlight w:val="none"/>
              </w:rPr>
              <w:t>名</w:t>
            </w:r>
          </w:p>
        </w:tc>
        <w:tc>
          <w:tcPr>
            <w:tcW w:w="1645" w:type="dxa"/>
            <w:vAlign w:val="center"/>
          </w:tcPr>
          <w:p w14:paraId="542CED34">
            <w:pPr>
              <w:autoSpaceDE w:val="0"/>
              <w:autoSpaceDN w:val="0"/>
              <w:adjustRightInd w:val="0"/>
              <w:spacing w:line="360" w:lineRule="auto"/>
              <w:jc w:val="center"/>
              <w:rPr>
                <w:rFonts w:ascii="宋体" w:hAnsi="宋体" w:cs="宋体"/>
                <w:color w:val="auto"/>
                <w:kern w:val="0"/>
                <w:sz w:val="24"/>
                <w:szCs w:val="24"/>
                <w:highlight w:val="none"/>
              </w:rPr>
            </w:pPr>
          </w:p>
        </w:tc>
        <w:tc>
          <w:tcPr>
            <w:tcW w:w="1516" w:type="dxa"/>
            <w:vAlign w:val="center"/>
          </w:tcPr>
          <w:p w14:paraId="5FFAE636">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年  龄</w:t>
            </w:r>
          </w:p>
        </w:tc>
        <w:tc>
          <w:tcPr>
            <w:tcW w:w="1478" w:type="dxa"/>
            <w:gridSpan w:val="2"/>
            <w:vAlign w:val="center"/>
          </w:tcPr>
          <w:p w14:paraId="3CD6889A">
            <w:pPr>
              <w:autoSpaceDE w:val="0"/>
              <w:autoSpaceDN w:val="0"/>
              <w:adjustRightInd w:val="0"/>
              <w:spacing w:line="360" w:lineRule="auto"/>
              <w:jc w:val="center"/>
              <w:rPr>
                <w:rFonts w:ascii="宋体" w:hAnsi="宋体" w:cs="宋体"/>
                <w:color w:val="auto"/>
                <w:kern w:val="0"/>
                <w:sz w:val="24"/>
                <w:szCs w:val="24"/>
                <w:highlight w:val="none"/>
              </w:rPr>
            </w:pPr>
          </w:p>
        </w:tc>
        <w:tc>
          <w:tcPr>
            <w:tcW w:w="2169" w:type="dxa"/>
            <w:gridSpan w:val="2"/>
            <w:vAlign w:val="center"/>
          </w:tcPr>
          <w:p w14:paraId="415789BC">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专  业</w:t>
            </w:r>
          </w:p>
        </w:tc>
        <w:tc>
          <w:tcPr>
            <w:tcW w:w="1477" w:type="dxa"/>
            <w:vAlign w:val="center"/>
          </w:tcPr>
          <w:p w14:paraId="48B5D6E9">
            <w:pPr>
              <w:spacing w:line="360" w:lineRule="auto"/>
              <w:jc w:val="center"/>
              <w:rPr>
                <w:rFonts w:ascii="宋体" w:hAnsi="宋体" w:cs="宋体"/>
                <w:color w:val="auto"/>
                <w:sz w:val="24"/>
                <w:szCs w:val="24"/>
                <w:highlight w:val="none"/>
              </w:rPr>
            </w:pPr>
          </w:p>
        </w:tc>
      </w:tr>
      <w:tr w14:paraId="1EA32C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10" w:hRule="atLeast"/>
          <w:jc w:val="center"/>
        </w:trPr>
        <w:tc>
          <w:tcPr>
            <w:tcW w:w="1354" w:type="dxa"/>
            <w:vAlign w:val="center"/>
          </w:tcPr>
          <w:p w14:paraId="66E8F017">
            <w:pPr>
              <w:tabs>
                <w:tab w:val="left" w:pos="680"/>
              </w:tabs>
              <w:autoSpaceDE w:val="0"/>
              <w:autoSpaceDN w:val="0"/>
              <w:adjustRightInd w:val="0"/>
              <w:spacing w:before="73"/>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技术职称</w:t>
            </w:r>
          </w:p>
        </w:tc>
        <w:tc>
          <w:tcPr>
            <w:tcW w:w="1645" w:type="dxa"/>
            <w:vAlign w:val="center"/>
          </w:tcPr>
          <w:p w14:paraId="4D25B8F7">
            <w:pPr>
              <w:autoSpaceDE w:val="0"/>
              <w:autoSpaceDN w:val="0"/>
              <w:adjustRightInd w:val="0"/>
              <w:jc w:val="center"/>
              <w:rPr>
                <w:rFonts w:ascii="宋体" w:hAnsi="宋体" w:cs="宋体"/>
                <w:color w:val="auto"/>
                <w:kern w:val="0"/>
                <w:sz w:val="24"/>
                <w:szCs w:val="24"/>
                <w:highlight w:val="none"/>
              </w:rPr>
            </w:pPr>
          </w:p>
        </w:tc>
        <w:tc>
          <w:tcPr>
            <w:tcW w:w="1516" w:type="dxa"/>
            <w:vAlign w:val="center"/>
          </w:tcPr>
          <w:p w14:paraId="3399F237">
            <w:pPr>
              <w:autoSpaceDE w:val="0"/>
              <w:autoSpaceDN w:val="0"/>
              <w:adjustRightInd w:val="0"/>
              <w:spacing w:before="73"/>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学  历</w:t>
            </w:r>
          </w:p>
        </w:tc>
        <w:tc>
          <w:tcPr>
            <w:tcW w:w="1478" w:type="dxa"/>
            <w:gridSpan w:val="2"/>
            <w:vAlign w:val="center"/>
          </w:tcPr>
          <w:p w14:paraId="667FA534">
            <w:pPr>
              <w:autoSpaceDE w:val="0"/>
              <w:autoSpaceDN w:val="0"/>
              <w:adjustRightInd w:val="0"/>
              <w:jc w:val="center"/>
              <w:rPr>
                <w:rFonts w:ascii="宋体" w:hAnsi="宋体" w:cs="宋体"/>
                <w:color w:val="auto"/>
                <w:kern w:val="0"/>
                <w:sz w:val="24"/>
                <w:szCs w:val="24"/>
                <w:highlight w:val="none"/>
              </w:rPr>
            </w:pPr>
          </w:p>
        </w:tc>
        <w:tc>
          <w:tcPr>
            <w:tcW w:w="2169" w:type="dxa"/>
            <w:gridSpan w:val="2"/>
            <w:vAlign w:val="center"/>
          </w:tcPr>
          <w:p w14:paraId="617F9992">
            <w:pPr>
              <w:autoSpaceDE w:val="0"/>
              <w:autoSpaceDN w:val="0"/>
              <w:adjustRightInd w:val="0"/>
              <w:spacing w:before="73"/>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拟在本工程任职</w:t>
            </w:r>
          </w:p>
        </w:tc>
        <w:tc>
          <w:tcPr>
            <w:tcW w:w="1477" w:type="dxa"/>
            <w:vAlign w:val="center"/>
          </w:tcPr>
          <w:p w14:paraId="56D8DE34">
            <w:pPr>
              <w:spacing w:line="360" w:lineRule="auto"/>
              <w:jc w:val="center"/>
              <w:rPr>
                <w:rFonts w:ascii="宋体" w:hAnsi="宋体" w:cs="宋体"/>
                <w:color w:val="auto"/>
                <w:sz w:val="24"/>
                <w:szCs w:val="24"/>
                <w:highlight w:val="none"/>
              </w:rPr>
            </w:pPr>
          </w:p>
        </w:tc>
      </w:tr>
      <w:tr w14:paraId="77FA68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354" w:type="dxa"/>
            <w:vAlign w:val="center"/>
          </w:tcPr>
          <w:p w14:paraId="4F64EE35">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工作年限</w:t>
            </w:r>
          </w:p>
        </w:tc>
        <w:tc>
          <w:tcPr>
            <w:tcW w:w="3161" w:type="dxa"/>
            <w:gridSpan w:val="2"/>
            <w:vAlign w:val="center"/>
          </w:tcPr>
          <w:p w14:paraId="25B952FC">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c>
          <w:tcPr>
            <w:tcW w:w="1478" w:type="dxa"/>
            <w:gridSpan w:val="2"/>
            <w:vAlign w:val="center"/>
          </w:tcPr>
          <w:p w14:paraId="43ACDA40">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类似施工经验年限</w:t>
            </w:r>
          </w:p>
        </w:tc>
        <w:tc>
          <w:tcPr>
            <w:tcW w:w="3646" w:type="dxa"/>
            <w:gridSpan w:val="3"/>
            <w:vAlign w:val="center"/>
          </w:tcPr>
          <w:p w14:paraId="38EB99DE">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u w:val="single"/>
              </w:rPr>
            </w:pPr>
          </w:p>
        </w:tc>
      </w:tr>
      <w:tr w14:paraId="428EBF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1386AF9">
            <w:pPr>
              <w:autoSpaceDE w:val="0"/>
              <w:autoSpaceDN w:val="0"/>
              <w:adjustRightInd w:val="0"/>
              <w:spacing w:before="73"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毕业学校</w:t>
            </w:r>
          </w:p>
        </w:tc>
        <w:tc>
          <w:tcPr>
            <w:tcW w:w="8285" w:type="dxa"/>
            <w:gridSpan w:val="7"/>
            <w:vAlign w:val="center"/>
          </w:tcPr>
          <w:p w14:paraId="1FE2EBB4">
            <w:pPr>
              <w:tabs>
                <w:tab w:val="left" w:pos="2820"/>
                <w:tab w:val="left" w:pos="4080"/>
              </w:tabs>
              <w:autoSpaceDE w:val="0"/>
              <w:autoSpaceDN w:val="0"/>
              <w:adjustRightInd w:val="0"/>
              <w:spacing w:before="73" w:line="360" w:lineRule="auto"/>
              <w:ind w:left="-1291" w:leftChars="-615" w:firstLine="1440" w:firstLineChars="6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月毕业于</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学校</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专业，学制</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年</w:t>
            </w:r>
          </w:p>
        </w:tc>
      </w:tr>
      <w:tr w14:paraId="06C131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9639" w:type="dxa"/>
            <w:gridSpan w:val="8"/>
            <w:vAlign w:val="center"/>
          </w:tcPr>
          <w:p w14:paraId="4BA5FB14">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经     历</w:t>
            </w:r>
          </w:p>
        </w:tc>
      </w:tr>
      <w:tr w14:paraId="254B43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1354" w:type="dxa"/>
            <w:vAlign w:val="center"/>
          </w:tcPr>
          <w:p w14:paraId="4F5972A5">
            <w:pPr>
              <w:spacing w:line="360" w:lineRule="auto"/>
              <w:jc w:val="center"/>
              <w:rPr>
                <w:rFonts w:ascii="宋体" w:hAnsi="宋体" w:cs="宋体"/>
                <w:color w:val="auto"/>
                <w:sz w:val="24"/>
                <w:szCs w:val="24"/>
                <w:highlight w:val="none"/>
                <w:u w:val="single"/>
              </w:rPr>
            </w:pPr>
            <w:r>
              <w:rPr>
                <w:rFonts w:hint="eastAsia" w:ascii="宋体" w:hAnsi="宋体" w:cs="宋体"/>
                <w:color w:val="auto"/>
                <w:sz w:val="24"/>
                <w:szCs w:val="24"/>
                <w:highlight w:val="none"/>
              </w:rPr>
              <w:t>时间</w:t>
            </w:r>
          </w:p>
        </w:tc>
        <w:tc>
          <w:tcPr>
            <w:tcW w:w="4023" w:type="dxa"/>
            <w:gridSpan w:val="3"/>
            <w:vAlign w:val="center"/>
          </w:tcPr>
          <w:p w14:paraId="370DB0B2">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参加过的类似工程项目名称</w:t>
            </w:r>
          </w:p>
        </w:tc>
        <w:tc>
          <w:tcPr>
            <w:tcW w:w="1392" w:type="dxa"/>
            <w:gridSpan w:val="2"/>
            <w:vAlign w:val="center"/>
          </w:tcPr>
          <w:p w14:paraId="7688742E">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担任职务</w:t>
            </w:r>
          </w:p>
        </w:tc>
        <w:tc>
          <w:tcPr>
            <w:tcW w:w="2870" w:type="dxa"/>
            <w:gridSpan w:val="2"/>
            <w:vAlign w:val="center"/>
          </w:tcPr>
          <w:p w14:paraId="0BAFD8EF">
            <w:pPr>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发包人及</w:t>
            </w:r>
          </w:p>
          <w:p w14:paraId="33D149F3">
            <w:pPr>
              <w:spacing w:line="360" w:lineRule="auto"/>
              <w:jc w:val="center"/>
              <w:rPr>
                <w:rFonts w:ascii="宋体" w:hAnsi="宋体" w:cs="宋体"/>
                <w:color w:val="auto"/>
                <w:sz w:val="24"/>
                <w:szCs w:val="24"/>
                <w:highlight w:val="none"/>
              </w:rPr>
            </w:pPr>
            <w:r>
              <w:rPr>
                <w:rFonts w:hint="eastAsia" w:ascii="宋体" w:hAnsi="宋体" w:cs="宋体"/>
                <w:color w:val="auto"/>
                <w:kern w:val="0"/>
                <w:sz w:val="24"/>
                <w:szCs w:val="24"/>
                <w:highlight w:val="none"/>
              </w:rPr>
              <w:t>联系电话</w:t>
            </w:r>
          </w:p>
        </w:tc>
      </w:tr>
      <w:tr w14:paraId="24F6A2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7D9ECB5B">
            <w:pPr>
              <w:spacing w:line="360" w:lineRule="auto"/>
              <w:jc w:val="center"/>
              <w:rPr>
                <w:rFonts w:ascii="宋体" w:hAnsi="宋体" w:cs="宋体"/>
                <w:color w:val="auto"/>
                <w:sz w:val="24"/>
                <w:szCs w:val="24"/>
                <w:highlight w:val="none"/>
              </w:rPr>
            </w:pPr>
          </w:p>
        </w:tc>
        <w:tc>
          <w:tcPr>
            <w:tcW w:w="4023" w:type="dxa"/>
            <w:gridSpan w:val="3"/>
            <w:vAlign w:val="center"/>
          </w:tcPr>
          <w:p w14:paraId="5DF2B9A2">
            <w:pPr>
              <w:spacing w:line="360" w:lineRule="auto"/>
              <w:jc w:val="center"/>
              <w:rPr>
                <w:rFonts w:ascii="宋体" w:hAnsi="宋体" w:cs="宋体"/>
                <w:color w:val="auto"/>
                <w:sz w:val="24"/>
                <w:szCs w:val="24"/>
                <w:highlight w:val="none"/>
              </w:rPr>
            </w:pPr>
          </w:p>
        </w:tc>
        <w:tc>
          <w:tcPr>
            <w:tcW w:w="1392" w:type="dxa"/>
            <w:gridSpan w:val="2"/>
            <w:vAlign w:val="center"/>
          </w:tcPr>
          <w:p w14:paraId="75E5E4BA">
            <w:pPr>
              <w:spacing w:line="360" w:lineRule="auto"/>
              <w:jc w:val="center"/>
              <w:rPr>
                <w:rFonts w:ascii="宋体" w:hAnsi="宋体" w:cs="宋体"/>
                <w:color w:val="auto"/>
                <w:sz w:val="24"/>
                <w:szCs w:val="24"/>
                <w:highlight w:val="none"/>
              </w:rPr>
            </w:pPr>
          </w:p>
        </w:tc>
        <w:tc>
          <w:tcPr>
            <w:tcW w:w="2870" w:type="dxa"/>
            <w:gridSpan w:val="2"/>
            <w:vAlign w:val="center"/>
          </w:tcPr>
          <w:p w14:paraId="01661006">
            <w:pPr>
              <w:spacing w:line="360" w:lineRule="auto"/>
              <w:jc w:val="center"/>
              <w:rPr>
                <w:rFonts w:ascii="宋体" w:hAnsi="宋体" w:cs="宋体"/>
                <w:color w:val="auto"/>
                <w:sz w:val="24"/>
                <w:szCs w:val="24"/>
                <w:highlight w:val="none"/>
              </w:rPr>
            </w:pPr>
          </w:p>
        </w:tc>
      </w:tr>
      <w:tr w14:paraId="2856B3F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57242D86">
            <w:pPr>
              <w:spacing w:line="360" w:lineRule="auto"/>
              <w:jc w:val="center"/>
              <w:rPr>
                <w:rFonts w:ascii="宋体" w:hAnsi="宋体" w:cs="宋体"/>
                <w:color w:val="auto"/>
                <w:sz w:val="24"/>
                <w:szCs w:val="24"/>
                <w:highlight w:val="none"/>
              </w:rPr>
            </w:pPr>
          </w:p>
        </w:tc>
        <w:tc>
          <w:tcPr>
            <w:tcW w:w="4023" w:type="dxa"/>
            <w:gridSpan w:val="3"/>
            <w:vAlign w:val="center"/>
          </w:tcPr>
          <w:p w14:paraId="64D200D8">
            <w:pPr>
              <w:spacing w:line="360" w:lineRule="auto"/>
              <w:jc w:val="center"/>
              <w:rPr>
                <w:rFonts w:ascii="宋体" w:hAnsi="宋体" w:cs="宋体"/>
                <w:color w:val="auto"/>
                <w:sz w:val="24"/>
                <w:szCs w:val="24"/>
                <w:highlight w:val="none"/>
              </w:rPr>
            </w:pPr>
          </w:p>
        </w:tc>
        <w:tc>
          <w:tcPr>
            <w:tcW w:w="1392" w:type="dxa"/>
            <w:gridSpan w:val="2"/>
            <w:vAlign w:val="center"/>
          </w:tcPr>
          <w:p w14:paraId="44DA7B9C">
            <w:pPr>
              <w:spacing w:line="360" w:lineRule="auto"/>
              <w:jc w:val="center"/>
              <w:rPr>
                <w:rFonts w:ascii="宋体" w:hAnsi="宋体" w:cs="宋体"/>
                <w:color w:val="auto"/>
                <w:sz w:val="24"/>
                <w:szCs w:val="24"/>
                <w:highlight w:val="none"/>
              </w:rPr>
            </w:pPr>
          </w:p>
        </w:tc>
        <w:tc>
          <w:tcPr>
            <w:tcW w:w="2870" w:type="dxa"/>
            <w:gridSpan w:val="2"/>
            <w:vAlign w:val="center"/>
          </w:tcPr>
          <w:p w14:paraId="588A5302">
            <w:pPr>
              <w:spacing w:line="360" w:lineRule="auto"/>
              <w:jc w:val="center"/>
              <w:rPr>
                <w:rFonts w:ascii="宋体" w:hAnsi="宋体" w:cs="宋体"/>
                <w:color w:val="auto"/>
                <w:sz w:val="24"/>
                <w:szCs w:val="24"/>
                <w:highlight w:val="none"/>
              </w:rPr>
            </w:pPr>
          </w:p>
        </w:tc>
      </w:tr>
      <w:tr w14:paraId="30027C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0C815005">
            <w:pPr>
              <w:spacing w:line="360" w:lineRule="auto"/>
              <w:jc w:val="center"/>
              <w:rPr>
                <w:rFonts w:ascii="宋体" w:hAnsi="宋体" w:cs="宋体"/>
                <w:color w:val="auto"/>
                <w:sz w:val="24"/>
                <w:szCs w:val="24"/>
                <w:highlight w:val="none"/>
              </w:rPr>
            </w:pPr>
          </w:p>
        </w:tc>
        <w:tc>
          <w:tcPr>
            <w:tcW w:w="4023" w:type="dxa"/>
            <w:gridSpan w:val="3"/>
            <w:vAlign w:val="center"/>
          </w:tcPr>
          <w:p w14:paraId="74B6B79A">
            <w:pPr>
              <w:spacing w:line="360" w:lineRule="auto"/>
              <w:jc w:val="center"/>
              <w:rPr>
                <w:rFonts w:ascii="宋体" w:hAnsi="宋体" w:cs="宋体"/>
                <w:color w:val="auto"/>
                <w:sz w:val="24"/>
                <w:szCs w:val="24"/>
                <w:highlight w:val="none"/>
              </w:rPr>
            </w:pPr>
          </w:p>
        </w:tc>
        <w:tc>
          <w:tcPr>
            <w:tcW w:w="1392" w:type="dxa"/>
            <w:gridSpan w:val="2"/>
            <w:vAlign w:val="center"/>
          </w:tcPr>
          <w:p w14:paraId="13C258E1">
            <w:pPr>
              <w:spacing w:line="360" w:lineRule="auto"/>
              <w:jc w:val="center"/>
              <w:rPr>
                <w:rFonts w:ascii="宋体" w:hAnsi="宋体" w:cs="宋体"/>
                <w:color w:val="auto"/>
                <w:sz w:val="24"/>
                <w:szCs w:val="24"/>
                <w:highlight w:val="none"/>
              </w:rPr>
            </w:pPr>
          </w:p>
        </w:tc>
        <w:tc>
          <w:tcPr>
            <w:tcW w:w="2870" w:type="dxa"/>
            <w:gridSpan w:val="2"/>
            <w:vAlign w:val="center"/>
          </w:tcPr>
          <w:p w14:paraId="5BFDCC10">
            <w:pPr>
              <w:spacing w:line="360" w:lineRule="auto"/>
              <w:jc w:val="center"/>
              <w:rPr>
                <w:rFonts w:ascii="宋体" w:hAnsi="宋体" w:cs="宋体"/>
                <w:color w:val="auto"/>
                <w:sz w:val="24"/>
                <w:szCs w:val="24"/>
                <w:highlight w:val="none"/>
              </w:rPr>
            </w:pPr>
          </w:p>
        </w:tc>
      </w:tr>
      <w:tr w14:paraId="473C15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7C31F37B">
            <w:pPr>
              <w:spacing w:line="360" w:lineRule="auto"/>
              <w:jc w:val="center"/>
              <w:rPr>
                <w:rFonts w:ascii="宋体" w:hAnsi="宋体" w:cs="宋体"/>
                <w:color w:val="auto"/>
                <w:sz w:val="24"/>
                <w:szCs w:val="24"/>
                <w:highlight w:val="none"/>
              </w:rPr>
            </w:pPr>
          </w:p>
        </w:tc>
        <w:tc>
          <w:tcPr>
            <w:tcW w:w="4023" w:type="dxa"/>
            <w:gridSpan w:val="3"/>
            <w:vAlign w:val="center"/>
          </w:tcPr>
          <w:p w14:paraId="3EAFE8ED">
            <w:pPr>
              <w:spacing w:line="360" w:lineRule="auto"/>
              <w:jc w:val="center"/>
              <w:rPr>
                <w:rFonts w:ascii="宋体" w:hAnsi="宋体" w:cs="宋体"/>
                <w:color w:val="auto"/>
                <w:sz w:val="24"/>
                <w:szCs w:val="24"/>
                <w:highlight w:val="none"/>
              </w:rPr>
            </w:pPr>
          </w:p>
        </w:tc>
        <w:tc>
          <w:tcPr>
            <w:tcW w:w="1392" w:type="dxa"/>
            <w:gridSpan w:val="2"/>
            <w:vAlign w:val="center"/>
          </w:tcPr>
          <w:p w14:paraId="241C3810">
            <w:pPr>
              <w:spacing w:line="360" w:lineRule="auto"/>
              <w:jc w:val="center"/>
              <w:rPr>
                <w:rFonts w:ascii="宋体" w:hAnsi="宋体" w:cs="宋体"/>
                <w:color w:val="auto"/>
                <w:sz w:val="24"/>
                <w:szCs w:val="24"/>
                <w:highlight w:val="none"/>
              </w:rPr>
            </w:pPr>
          </w:p>
        </w:tc>
        <w:tc>
          <w:tcPr>
            <w:tcW w:w="2870" w:type="dxa"/>
            <w:gridSpan w:val="2"/>
            <w:vAlign w:val="center"/>
          </w:tcPr>
          <w:p w14:paraId="2F943692">
            <w:pPr>
              <w:spacing w:line="360" w:lineRule="auto"/>
              <w:jc w:val="center"/>
              <w:rPr>
                <w:rFonts w:ascii="宋体" w:hAnsi="宋体" w:cs="宋体"/>
                <w:color w:val="auto"/>
                <w:sz w:val="24"/>
                <w:szCs w:val="24"/>
                <w:highlight w:val="none"/>
              </w:rPr>
            </w:pPr>
          </w:p>
        </w:tc>
      </w:tr>
      <w:tr w14:paraId="23F3C2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36658B23">
            <w:pPr>
              <w:spacing w:line="360" w:lineRule="auto"/>
              <w:jc w:val="center"/>
              <w:rPr>
                <w:rFonts w:ascii="宋体" w:hAnsi="宋体" w:cs="宋体"/>
                <w:color w:val="auto"/>
                <w:sz w:val="24"/>
                <w:szCs w:val="24"/>
                <w:highlight w:val="none"/>
              </w:rPr>
            </w:pPr>
          </w:p>
        </w:tc>
        <w:tc>
          <w:tcPr>
            <w:tcW w:w="4023" w:type="dxa"/>
            <w:gridSpan w:val="3"/>
            <w:vAlign w:val="center"/>
          </w:tcPr>
          <w:p w14:paraId="1DC8E761">
            <w:pPr>
              <w:spacing w:line="360" w:lineRule="auto"/>
              <w:jc w:val="center"/>
              <w:rPr>
                <w:rFonts w:ascii="宋体" w:hAnsi="宋体" w:cs="宋体"/>
                <w:color w:val="auto"/>
                <w:sz w:val="24"/>
                <w:szCs w:val="24"/>
                <w:highlight w:val="none"/>
              </w:rPr>
            </w:pPr>
          </w:p>
        </w:tc>
        <w:tc>
          <w:tcPr>
            <w:tcW w:w="1392" w:type="dxa"/>
            <w:gridSpan w:val="2"/>
            <w:vAlign w:val="center"/>
          </w:tcPr>
          <w:p w14:paraId="7A2D5FE3">
            <w:pPr>
              <w:spacing w:line="360" w:lineRule="auto"/>
              <w:jc w:val="center"/>
              <w:rPr>
                <w:rFonts w:ascii="宋体" w:hAnsi="宋体" w:cs="宋体"/>
                <w:color w:val="auto"/>
                <w:sz w:val="24"/>
                <w:szCs w:val="24"/>
                <w:highlight w:val="none"/>
              </w:rPr>
            </w:pPr>
          </w:p>
        </w:tc>
        <w:tc>
          <w:tcPr>
            <w:tcW w:w="2870" w:type="dxa"/>
            <w:gridSpan w:val="2"/>
            <w:vAlign w:val="center"/>
          </w:tcPr>
          <w:p w14:paraId="2998F86E">
            <w:pPr>
              <w:spacing w:line="360" w:lineRule="auto"/>
              <w:jc w:val="center"/>
              <w:rPr>
                <w:rFonts w:ascii="宋体" w:hAnsi="宋体" w:cs="宋体"/>
                <w:color w:val="auto"/>
                <w:sz w:val="24"/>
                <w:szCs w:val="24"/>
                <w:highlight w:val="none"/>
              </w:rPr>
            </w:pPr>
          </w:p>
        </w:tc>
      </w:tr>
      <w:tr w14:paraId="792F88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exact"/>
          <w:jc w:val="center"/>
        </w:trPr>
        <w:tc>
          <w:tcPr>
            <w:tcW w:w="1354" w:type="dxa"/>
            <w:vAlign w:val="center"/>
          </w:tcPr>
          <w:p w14:paraId="1CB75995">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获奖情况</w:t>
            </w:r>
          </w:p>
        </w:tc>
        <w:tc>
          <w:tcPr>
            <w:tcW w:w="8285" w:type="dxa"/>
            <w:gridSpan w:val="7"/>
            <w:vAlign w:val="center"/>
          </w:tcPr>
          <w:p w14:paraId="53155EA0">
            <w:pPr>
              <w:spacing w:line="360" w:lineRule="auto"/>
              <w:jc w:val="center"/>
              <w:rPr>
                <w:rFonts w:ascii="宋体" w:hAnsi="宋体" w:cs="宋体"/>
                <w:color w:val="auto"/>
                <w:sz w:val="24"/>
                <w:szCs w:val="24"/>
                <w:highlight w:val="none"/>
              </w:rPr>
            </w:pPr>
          </w:p>
        </w:tc>
      </w:tr>
      <w:tr w14:paraId="7D60AF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473" w:hRule="atLeast"/>
          <w:jc w:val="center"/>
        </w:trPr>
        <w:tc>
          <w:tcPr>
            <w:tcW w:w="1354" w:type="dxa"/>
            <w:vAlign w:val="center"/>
          </w:tcPr>
          <w:p w14:paraId="6A01669B">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8285" w:type="dxa"/>
            <w:gridSpan w:val="7"/>
            <w:vAlign w:val="center"/>
          </w:tcPr>
          <w:p w14:paraId="6242979D">
            <w:pPr>
              <w:spacing w:line="360" w:lineRule="auto"/>
              <w:jc w:val="center"/>
              <w:rPr>
                <w:rFonts w:ascii="宋体" w:hAnsi="宋体" w:cs="宋体"/>
                <w:color w:val="auto"/>
                <w:sz w:val="24"/>
                <w:szCs w:val="24"/>
                <w:highlight w:val="none"/>
              </w:rPr>
            </w:pPr>
          </w:p>
        </w:tc>
      </w:tr>
    </w:tbl>
    <w:p w14:paraId="09879BDE">
      <w:pPr>
        <w:spacing w:before="120" w:beforeLines="50" w:line="360" w:lineRule="auto"/>
        <w:ind w:firstLine="357"/>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注：</w:t>
      </w:r>
      <w:r>
        <w:rPr>
          <w:rFonts w:hint="eastAsia" w:asciiTheme="minorEastAsia" w:hAnsiTheme="minorEastAsia" w:eastAsiaTheme="minorEastAsia"/>
          <w:color w:val="auto"/>
          <w:szCs w:val="21"/>
          <w:highlight w:val="none"/>
        </w:rPr>
        <w:t>本表后应附拟派往本工程的</w:t>
      </w:r>
      <w:r>
        <w:rPr>
          <w:rFonts w:hint="eastAsia" w:cs="宋体" w:asciiTheme="minorEastAsia" w:hAnsiTheme="minorEastAsia" w:eastAsiaTheme="minorEastAsia"/>
          <w:color w:val="auto"/>
          <w:szCs w:val="21"/>
          <w:highlight w:val="none"/>
        </w:rPr>
        <w:t>其他人员的身份证、学历证</w:t>
      </w:r>
      <w:r>
        <w:rPr>
          <w:rFonts w:hint="eastAsia" w:asciiTheme="minorEastAsia" w:hAnsiTheme="minorEastAsia" w:eastAsiaTheme="minorEastAsia"/>
          <w:color w:val="auto"/>
          <w:szCs w:val="21"/>
          <w:highlight w:val="none"/>
        </w:rPr>
        <w:t>（若有）</w:t>
      </w:r>
      <w:r>
        <w:rPr>
          <w:rFonts w:hint="eastAsia" w:cs="宋体" w:asciiTheme="minorEastAsia" w:hAnsiTheme="minorEastAsia" w:eastAsiaTheme="minorEastAsia"/>
          <w:color w:val="auto"/>
          <w:szCs w:val="21"/>
          <w:highlight w:val="none"/>
        </w:rPr>
        <w:t>、职称证（若有）、</w:t>
      </w:r>
      <w:r>
        <w:rPr>
          <w:rFonts w:hint="eastAsia" w:cs="宋体" w:asciiTheme="minorEastAsia" w:hAnsiTheme="minorEastAsia" w:eastAsiaTheme="minorEastAsia"/>
          <w:color w:val="auto"/>
          <w:szCs w:val="21"/>
          <w:highlight w:val="none"/>
          <w:lang w:val="en-US" w:eastAsia="zh-CN"/>
        </w:rPr>
        <w:t>资格证、</w:t>
      </w:r>
      <w:r>
        <w:rPr>
          <w:rFonts w:hint="eastAsia" w:asciiTheme="minorEastAsia" w:hAnsiTheme="minorEastAsia" w:eastAsiaTheme="minorEastAsia"/>
          <w:color w:val="auto"/>
          <w:szCs w:val="21"/>
          <w:highlight w:val="none"/>
        </w:rPr>
        <w:t>社会保险证明材料或劳动合同或其他合法证明材料的原件扫描件</w:t>
      </w:r>
      <w:r>
        <w:rPr>
          <w:rFonts w:hint="eastAsia" w:cs="宋体" w:asciiTheme="minorEastAsia" w:hAnsiTheme="minorEastAsia" w:eastAsiaTheme="minorEastAsia"/>
          <w:color w:val="auto"/>
          <w:szCs w:val="21"/>
          <w:highlight w:val="none"/>
        </w:rPr>
        <w:t>。</w:t>
      </w:r>
    </w:p>
    <w:p w14:paraId="3273454A">
      <w:pPr>
        <w:spacing w:line="360" w:lineRule="auto"/>
        <w:rPr>
          <w:rFonts w:cs="宋体" w:asciiTheme="minorEastAsia" w:hAnsiTheme="minorEastAsia" w:eastAsiaTheme="minorEastAsia"/>
          <w:color w:val="auto"/>
          <w:szCs w:val="21"/>
          <w:highlight w:val="none"/>
        </w:rPr>
      </w:pPr>
    </w:p>
    <w:p w14:paraId="30FCE2AE">
      <w:pPr>
        <w:rPr>
          <w:rFonts w:asciiTheme="minorEastAsia" w:hAnsiTheme="minorEastAsia" w:eastAsiaTheme="minorEastAsia"/>
          <w:color w:val="auto"/>
          <w:highlight w:val="none"/>
        </w:rPr>
      </w:pPr>
    </w:p>
    <w:p w14:paraId="7090F241">
      <w:pPr>
        <w:pStyle w:val="25"/>
        <w:rPr>
          <w:rFonts w:asciiTheme="minorEastAsia" w:hAnsiTheme="minorEastAsia" w:eastAsiaTheme="minorEastAsia"/>
          <w:color w:val="auto"/>
          <w:highlight w:val="none"/>
        </w:rPr>
      </w:pPr>
    </w:p>
    <w:p w14:paraId="03AAA349">
      <w:pPr>
        <w:spacing w:line="480" w:lineRule="auto"/>
        <w:ind w:right="105"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4446E689">
      <w:pPr>
        <w:spacing w:line="480" w:lineRule="auto"/>
        <w:ind w:firstLine="4410" w:firstLineChars="21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（电子签章）</w:t>
      </w:r>
    </w:p>
    <w:p w14:paraId="6F06E664">
      <w:pPr>
        <w:widowControl/>
        <w:ind w:firstLine="4410" w:firstLineChars="21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76C1753F">
      <w:pPr>
        <w:widowControl/>
        <w:spacing w:line="360" w:lineRule="auto"/>
        <w:ind w:right="210"/>
        <w:jc w:val="right"/>
        <w:rPr>
          <w:rFonts w:asciiTheme="minorEastAsia" w:hAnsiTheme="minorEastAsia" w:eastAsiaTheme="minorEastAsia"/>
          <w:color w:val="auto"/>
          <w:szCs w:val="21"/>
          <w:highlight w:val="none"/>
        </w:rPr>
      </w:pPr>
    </w:p>
    <w:p w14:paraId="42A1B6BC">
      <w:pPr>
        <w:spacing w:line="360" w:lineRule="auto"/>
        <w:jc w:val="center"/>
        <w:outlineLvl w:val="2"/>
        <w:rPr>
          <w:rFonts w:asciiTheme="minorEastAsia" w:hAnsiTheme="minorEastAsia" w:eastAsiaTheme="minorEastAsia"/>
          <w:b/>
          <w:bCs/>
          <w:kern w:val="0"/>
          <w:sz w:val="36"/>
        </w:rPr>
      </w:pPr>
      <w:r>
        <w:rPr>
          <w:color w:val="auto"/>
          <w:highlight w:val="none"/>
        </w:rPr>
        <w:br w:type="page"/>
      </w:r>
      <w:bookmarkStart w:id="1248" w:name="_Toc16305"/>
      <w:r>
        <w:rPr>
          <w:rFonts w:hint="eastAsia"/>
          <w:color w:val="auto"/>
          <w:highlight w:val="none"/>
          <w:lang w:eastAsia="zh-CN"/>
        </w:rPr>
        <w:t>（十一）</w:t>
      </w:r>
      <w:r>
        <w:rPr>
          <w:rFonts w:hint="eastAsia" w:asciiTheme="minorEastAsia" w:hAnsiTheme="minorEastAsia" w:eastAsiaTheme="minorEastAsia"/>
          <w:b/>
          <w:color w:val="auto"/>
          <w:sz w:val="28"/>
          <w:szCs w:val="28"/>
          <w:highlight w:val="none"/>
        </w:rPr>
        <w:t>其他资料</w:t>
      </w:r>
      <w:bookmarkEnd w:id="1248"/>
    </w:p>
    <w:p w14:paraId="50EC184C">
      <w:pPr>
        <w:pStyle w:val="6"/>
      </w:pPr>
    </w:p>
    <w:p w14:paraId="0C6CF8D3">
      <w:pPr>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供应商认为应该提供的其他资料。</w:t>
      </w:r>
    </w:p>
    <w:p w14:paraId="4B9268A1">
      <w:pPr>
        <w:pStyle w:val="6"/>
        <w:spacing w:line="360" w:lineRule="auto"/>
        <w:ind w:firstLine="504" w:firstLineChars="200"/>
        <w:rPr>
          <w:rFonts w:asciiTheme="minorEastAsia" w:hAnsiTheme="minorEastAsia" w:eastAsiaTheme="minorEastAsia"/>
          <w:spacing w:val="6"/>
          <w:sz w:val="24"/>
        </w:rPr>
      </w:pPr>
      <w:r>
        <w:rPr>
          <w:rFonts w:hint="eastAsia" w:asciiTheme="minorEastAsia" w:hAnsiTheme="minorEastAsia" w:eastAsiaTheme="minorEastAsia"/>
          <w:spacing w:val="6"/>
          <w:sz w:val="24"/>
        </w:rPr>
        <w:t>（其他未提供附件格式部分）</w:t>
      </w:r>
    </w:p>
    <w:p w14:paraId="4AC4C83F">
      <w:pPr>
        <w:rPr>
          <w:rFonts w:asciiTheme="minorEastAsia" w:hAnsiTheme="minorEastAsia" w:eastAsiaTheme="minorEastAsia"/>
          <w:spacing w:val="6"/>
          <w:sz w:val="24"/>
        </w:rPr>
      </w:pPr>
      <w:r>
        <w:rPr>
          <w:rFonts w:hint="eastAsia" w:asciiTheme="minorEastAsia" w:hAnsiTheme="minorEastAsia" w:eastAsiaTheme="minorEastAsia"/>
          <w:spacing w:val="6"/>
          <w:sz w:val="24"/>
        </w:rPr>
        <w:br w:type="page"/>
      </w:r>
    </w:p>
    <w:p w14:paraId="531B3194">
      <w:pPr>
        <w:spacing w:line="360" w:lineRule="auto"/>
        <w:jc w:val="center"/>
        <w:outlineLvl w:val="3"/>
        <w:rPr>
          <w:rFonts w:hint="eastAsia" w:asciiTheme="minorEastAsia" w:hAnsiTheme="minorEastAsia" w:eastAsiaTheme="minorEastAsia"/>
          <w:b/>
          <w:color w:val="auto"/>
          <w:sz w:val="28"/>
          <w:szCs w:val="28"/>
          <w:highlight w:val="none"/>
          <w:lang w:eastAsia="zh-CN"/>
        </w:rPr>
      </w:pPr>
      <w:r>
        <w:rPr>
          <w:rFonts w:hint="eastAsia" w:asciiTheme="minorEastAsia" w:hAnsiTheme="minorEastAsia" w:eastAsiaTheme="minorEastAsia"/>
          <w:b/>
          <w:color w:val="auto"/>
          <w:sz w:val="28"/>
          <w:szCs w:val="28"/>
          <w:highlight w:val="none"/>
          <w:lang w:val="en-US" w:eastAsia="zh-CN"/>
        </w:rPr>
        <w:t>1</w:t>
      </w:r>
      <w:r>
        <w:rPr>
          <w:rFonts w:hint="eastAsia" w:asciiTheme="minorEastAsia" w:hAnsiTheme="minorEastAsia" w:eastAsiaTheme="minorEastAsia"/>
          <w:b/>
          <w:color w:val="auto"/>
          <w:sz w:val="28"/>
          <w:szCs w:val="28"/>
          <w:highlight w:val="none"/>
        </w:rPr>
        <w:t>.中小企业声明函</w:t>
      </w:r>
      <w:r>
        <w:rPr>
          <w:rFonts w:hint="eastAsia" w:asciiTheme="minorEastAsia" w:hAnsiTheme="minorEastAsia" w:eastAsiaTheme="minorEastAsia"/>
          <w:b/>
          <w:color w:val="auto"/>
          <w:sz w:val="28"/>
          <w:szCs w:val="28"/>
          <w:highlight w:val="none"/>
          <w:lang w:eastAsia="zh-CN"/>
        </w:rPr>
        <w:t>（</w:t>
      </w:r>
      <w:r>
        <w:rPr>
          <w:rFonts w:hint="eastAsia" w:asciiTheme="minorEastAsia" w:hAnsiTheme="minorEastAsia" w:eastAsiaTheme="minorEastAsia"/>
          <w:b/>
          <w:color w:val="auto"/>
          <w:sz w:val="28"/>
          <w:szCs w:val="28"/>
          <w:highlight w:val="none"/>
          <w:lang w:val="en-US" w:eastAsia="zh-CN"/>
        </w:rPr>
        <w:t>工程</w:t>
      </w:r>
      <w:r>
        <w:rPr>
          <w:rFonts w:hint="eastAsia" w:asciiTheme="minorEastAsia" w:hAnsiTheme="minorEastAsia" w:eastAsiaTheme="minorEastAsia"/>
          <w:b/>
          <w:color w:val="auto"/>
          <w:sz w:val="28"/>
          <w:szCs w:val="28"/>
          <w:highlight w:val="none"/>
          <w:lang w:eastAsia="zh-CN"/>
        </w:rPr>
        <w:t>）</w:t>
      </w:r>
    </w:p>
    <w:p w14:paraId="687C694F">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本公司郑重声明，根据《政府采购促进中小企业发展管理办法》（财库﹝2020﹞46号）的规定，本公司参加</w:t>
      </w:r>
      <w:r>
        <w:rPr>
          <w:rFonts w:hint="eastAsia" w:asciiTheme="minorEastAsia" w:hAnsiTheme="minorEastAsia" w:eastAsiaTheme="minorEastAsia"/>
          <w:color w:val="auto"/>
          <w:spacing w:val="6"/>
          <w:szCs w:val="21"/>
          <w:highlight w:val="none"/>
          <w:u w:val="single"/>
        </w:rPr>
        <w:t xml:space="preserve"> </w:t>
      </w:r>
      <w:r>
        <w:rPr>
          <w:rFonts w:hint="eastAsia" w:asciiTheme="minorEastAsia" w:hAnsiTheme="minorEastAsia" w:eastAsiaTheme="minorEastAsia"/>
          <w:color w:val="auto"/>
          <w:spacing w:val="6"/>
          <w:szCs w:val="21"/>
          <w:highlight w:val="none"/>
          <w:u w:val="single"/>
          <w:lang w:val="en-US" w:eastAsia="zh-CN"/>
        </w:rPr>
        <w:t xml:space="preserve">         </w:t>
      </w:r>
      <w:r>
        <w:rPr>
          <w:rFonts w:hint="eastAsia" w:asciiTheme="minorEastAsia" w:hAnsiTheme="minorEastAsia" w:eastAsiaTheme="minorEastAsia"/>
          <w:color w:val="auto"/>
          <w:spacing w:val="6"/>
          <w:szCs w:val="21"/>
          <w:highlight w:val="none"/>
          <w:u w:val="single"/>
        </w:rPr>
        <w:t>（单位名称）</w:t>
      </w:r>
      <w:r>
        <w:rPr>
          <w:rFonts w:hint="eastAsia" w:asciiTheme="minorEastAsia" w:hAnsiTheme="minorEastAsia" w:eastAsiaTheme="minorEastAsia"/>
          <w:color w:val="auto"/>
          <w:spacing w:val="6"/>
          <w:szCs w:val="21"/>
          <w:highlight w:val="none"/>
        </w:rPr>
        <w:t>的</w:t>
      </w:r>
      <w:r>
        <w:rPr>
          <w:rFonts w:hint="eastAsia" w:asciiTheme="minorEastAsia" w:hAnsiTheme="minorEastAsia" w:eastAsiaTheme="minorEastAsia"/>
          <w:color w:val="auto"/>
          <w:spacing w:val="6"/>
          <w:szCs w:val="21"/>
          <w:highlight w:val="none"/>
          <w:u w:val="single"/>
          <w:lang w:val="en-US" w:eastAsia="zh-CN"/>
        </w:rPr>
        <w:t xml:space="preserve">         </w:t>
      </w:r>
      <w:r>
        <w:rPr>
          <w:rFonts w:hint="eastAsia" w:asciiTheme="minorEastAsia" w:hAnsiTheme="minorEastAsia" w:eastAsiaTheme="minorEastAsia"/>
          <w:color w:val="auto"/>
          <w:spacing w:val="6"/>
          <w:szCs w:val="21"/>
          <w:highlight w:val="none"/>
          <w:u w:val="single"/>
        </w:rPr>
        <w:t>（项目名称）</w:t>
      </w:r>
      <w:r>
        <w:rPr>
          <w:rFonts w:hint="eastAsia" w:asciiTheme="minorEastAsia" w:hAnsiTheme="minorEastAsia" w:eastAsiaTheme="minorEastAsia"/>
          <w:color w:val="auto"/>
          <w:spacing w:val="6"/>
          <w:szCs w:val="21"/>
          <w:highlight w:val="none"/>
        </w:rPr>
        <w:t>采购活动，工程的施工单位全部为符合政策要求的中小企业。企业的具体情况如下：</w:t>
      </w:r>
    </w:p>
    <w:p w14:paraId="77637F6D">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u w:val="single"/>
          <w:lang w:val="en-US" w:eastAsia="zh-CN"/>
        </w:rPr>
        <w:t xml:space="preserve">         </w:t>
      </w:r>
      <w:r>
        <w:rPr>
          <w:rFonts w:hint="eastAsia" w:asciiTheme="minorEastAsia" w:hAnsiTheme="minorEastAsia" w:eastAsiaTheme="minorEastAsia"/>
          <w:color w:val="auto"/>
          <w:spacing w:val="6"/>
          <w:szCs w:val="21"/>
          <w:highlight w:val="none"/>
          <w:u w:val="single"/>
        </w:rPr>
        <w:t>（项目名称）</w:t>
      </w:r>
      <w:r>
        <w:rPr>
          <w:rFonts w:hint="eastAsia" w:asciiTheme="minorEastAsia" w:hAnsiTheme="minorEastAsia" w:eastAsiaTheme="minorEastAsia"/>
          <w:color w:val="auto"/>
          <w:spacing w:val="6"/>
          <w:szCs w:val="21"/>
          <w:highlight w:val="none"/>
        </w:rPr>
        <w:t>，属于</w:t>
      </w:r>
      <w:r>
        <w:rPr>
          <w:rFonts w:hint="eastAsia" w:asciiTheme="minorEastAsia" w:hAnsiTheme="minorEastAsia" w:eastAsiaTheme="minorEastAsia"/>
          <w:color w:val="auto"/>
          <w:spacing w:val="6"/>
          <w:szCs w:val="21"/>
          <w:highlight w:val="none"/>
          <w:u w:val="single"/>
          <w:lang w:val="en-US" w:eastAsia="zh-CN"/>
        </w:rPr>
        <w:t xml:space="preserve">      </w:t>
      </w:r>
      <w:r>
        <w:rPr>
          <w:rFonts w:hint="eastAsia" w:asciiTheme="minorEastAsia" w:hAnsiTheme="minorEastAsia" w:eastAsiaTheme="minorEastAsia"/>
          <w:color w:val="auto"/>
          <w:spacing w:val="6"/>
          <w:szCs w:val="21"/>
          <w:highlight w:val="none"/>
          <w:u w:val="single"/>
        </w:rPr>
        <w:t>（采购文件中明确的所属行业）</w:t>
      </w:r>
      <w:r>
        <w:rPr>
          <w:rFonts w:hint="eastAsia" w:asciiTheme="minorEastAsia" w:hAnsiTheme="minorEastAsia" w:eastAsiaTheme="minorEastAsia"/>
          <w:color w:val="auto"/>
          <w:spacing w:val="6"/>
          <w:szCs w:val="21"/>
          <w:highlight w:val="none"/>
        </w:rPr>
        <w:t>；承接企业为</w:t>
      </w:r>
      <w:r>
        <w:rPr>
          <w:rFonts w:hint="eastAsia" w:asciiTheme="minorEastAsia" w:hAnsiTheme="minorEastAsia" w:eastAsiaTheme="minorEastAsia"/>
          <w:color w:val="auto"/>
          <w:spacing w:val="6"/>
          <w:szCs w:val="21"/>
          <w:highlight w:val="none"/>
          <w:u w:val="single"/>
          <w:lang w:val="en-US" w:eastAsia="zh-CN"/>
        </w:rPr>
        <w:t xml:space="preserve">     </w:t>
      </w:r>
      <w:r>
        <w:rPr>
          <w:rFonts w:hint="eastAsia" w:asciiTheme="minorEastAsia" w:hAnsiTheme="minorEastAsia" w:eastAsiaTheme="minorEastAsia"/>
          <w:color w:val="auto"/>
          <w:spacing w:val="6"/>
          <w:szCs w:val="21"/>
          <w:highlight w:val="none"/>
          <w:u w:val="single"/>
        </w:rPr>
        <w:t>（企业名称）</w:t>
      </w:r>
      <w:r>
        <w:rPr>
          <w:rFonts w:hint="eastAsia" w:asciiTheme="minorEastAsia" w:hAnsiTheme="minorEastAsia" w:eastAsiaTheme="minorEastAsia"/>
          <w:color w:val="auto"/>
          <w:spacing w:val="6"/>
          <w:szCs w:val="21"/>
          <w:highlight w:val="none"/>
        </w:rPr>
        <w:t>，从业人员</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人，营业收入为</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万元，资产总额为</w:t>
      </w:r>
      <w:r>
        <w:rPr>
          <w:rFonts w:hint="eastAsia" w:asciiTheme="minorEastAsia" w:hAnsiTheme="minorEastAsia" w:eastAsiaTheme="minorEastAsia"/>
          <w:color w:val="auto"/>
          <w:spacing w:val="6"/>
          <w:szCs w:val="21"/>
          <w:highlight w:val="none"/>
          <w:u w:val="single"/>
        </w:rPr>
        <w:t>　　　　</w:t>
      </w:r>
      <w:r>
        <w:rPr>
          <w:rFonts w:hint="eastAsia" w:asciiTheme="minorEastAsia" w:hAnsiTheme="minorEastAsia" w:eastAsiaTheme="minorEastAsia"/>
          <w:color w:val="auto"/>
          <w:spacing w:val="6"/>
          <w:szCs w:val="21"/>
          <w:highlight w:val="none"/>
        </w:rPr>
        <w:t>万元，属于</w:t>
      </w:r>
      <w:r>
        <w:rPr>
          <w:rFonts w:hint="eastAsia" w:asciiTheme="minorEastAsia" w:hAnsiTheme="minorEastAsia" w:eastAsiaTheme="minorEastAsia"/>
          <w:color w:val="auto"/>
          <w:spacing w:val="6"/>
          <w:szCs w:val="21"/>
          <w:highlight w:val="none"/>
          <w:u w:val="single"/>
        </w:rPr>
        <w:t>（中型企业、小型企业、微型企业）</w:t>
      </w:r>
      <w:r>
        <w:rPr>
          <w:rFonts w:hint="eastAsia" w:asciiTheme="minorEastAsia" w:hAnsiTheme="minorEastAsia" w:eastAsiaTheme="minorEastAsia"/>
          <w:color w:val="auto"/>
          <w:spacing w:val="6"/>
          <w:szCs w:val="21"/>
          <w:highlight w:val="none"/>
        </w:rPr>
        <w:t>。</w:t>
      </w:r>
    </w:p>
    <w:p w14:paraId="17208C6C">
      <w:pPr>
        <w:spacing w:line="360" w:lineRule="auto"/>
        <w:ind w:firstLine="444" w:firstLineChars="200"/>
        <w:rPr>
          <w:rFonts w:asciiTheme="minorEastAsia" w:hAnsiTheme="minorEastAsia" w:eastAsiaTheme="minorEastAsia"/>
          <w:color w:val="auto"/>
          <w:spacing w:val="6"/>
          <w:szCs w:val="21"/>
          <w:highlight w:val="none"/>
        </w:rPr>
      </w:pPr>
    </w:p>
    <w:p w14:paraId="37C4572C">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本公司不属于大企业的分支机构，不存在控股股东为大企业的情形，也不存在与大企业的负责人为同一人的情形。</w:t>
      </w:r>
    </w:p>
    <w:p w14:paraId="489F8DEA">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本企业对上述声明内容的真实性负责。如有虚假，将依法承担相应责任。</w:t>
      </w:r>
    </w:p>
    <w:p w14:paraId="4AA1A330">
      <w:pPr>
        <w:widowControl/>
        <w:spacing w:line="360" w:lineRule="auto"/>
        <w:jc w:val="left"/>
        <w:rPr>
          <w:rFonts w:asciiTheme="minorEastAsia" w:hAnsiTheme="minorEastAsia" w:eastAsiaTheme="minorEastAsia"/>
          <w:color w:val="auto"/>
          <w:spacing w:val="6"/>
          <w:szCs w:val="21"/>
          <w:highlight w:val="none"/>
        </w:rPr>
      </w:pPr>
    </w:p>
    <w:p w14:paraId="1474C3DD">
      <w:pPr>
        <w:widowControl/>
        <w:spacing w:line="360" w:lineRule="auto"/>
        <w:jc w:val="left"/>
        <w:rPr>
          <w:rFonts w:asciiTheme="minorEastAsia" w:hAnsiTheme="minorEastAsia" w:eastAsiaTheme="minorEastAsia"/>
          <w:color w:val="auto"/>
          <w:spacing w:val="6"/>
          <w:szCs w:val="21"/>
          <w:highlight w:val="none"/>
        </w:rPr>
      </w:pPr>
    </w:p>
    <w:p w14:paraId="3CE09F4F">
      <w:pPr>
        <w:widowControl/>
        <w:spacing w:line="360" w:lineRule="auto"/>
        <w:jc w:val="left"/>
        <w:rPr>
          <w:rFonts w:asciiTheme="minorEastAsia" w:hAnsiTheme="minorEastAsia" w:eastAsiaTheme="minorEastAsia"/>
          <w:color w:val="auto"/>
          <w:spacing w:val="6"/>
          <w:szCs w:val="21"/>
          <w:highlight w:val="none"/>
        </w:rPr>
      </w:pPr>
    </w:p>
    <w:p w14:paraId="74FDD3FC">
      <w:pPr>
        <w:widowControl/>
        <w:spacing w:line="360" w:lineRule="auto"/>
        <w:jc w:val="left"/>
        <w:rPr>
          <w:rFonts w:asciiTheme="minorEastAsia" w:hAnsiTheme="minorEastAsia" w:eastAsiaTheme="minorEastAsia"/>
          <w:color w:val="auto"/>
          <w:spacing w:val="6"/>
          <w:szCs w:val="21"/>
          <w:highlight w:val="none"/>
        </w:rPr>
      </w:pPr>
    </w:p>
    <w:p w14:paraId="7007CF1D">
      <w:pPr>
        <w:spacing w:line="480" w:lineRule="auto"/>
        <w:ind w:right="252" w:rightChars="120" w:firstLine="6090" w:firstLineChars="29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企业名称（电子签章）：</w:t>
      </w:r>
    </w:p>
    <w:p w14:paraId="265D919A">
      <w:pPr>
        <w:spacing w:line="480" w:lineRule="auto"/>
        <w:ind w:right="252" w:rightChars="120" w:firstLine="6090" w:firstLineChars="2900"/>
        <w:rPr>
          <w:rFonts w:cs="仿宋_GB2312"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日 期：</w:t>
      </w:r>
    </w:p>
    <w:p w14:paraId="628D0F26">
      <w:pPr>
        <w:spacing w:line="360" w:lineRule="auto"/>
        <w:ind w:right="252" w:rightChars="120" w:firstLine="6510" w:firstLineChars="3100"/>
        <w:rPr>
          <w:rFonts w:cs="仿宋_GB2312" w:asciiTheme="minorEastAsia" w:hAnsiTheme="minorEastAsia" w:eastAsiaTheme="minorEastAsia"/>
          <w:color w:val="auto"/>
          <w:szCs w:val="21"/>
          <w:highlight w:val="none"/>
        </w:rPr>
      </w:pPr>
    </w:p>
    <w:p w14:paraId="78C843F0">
      <w:pPr>
        <w:spacing w:line="360" w:lineRule="auto"/>
        <w:ind w:right="252" w:rightChars="120" w:firstLine="6510" w:firstLineChars="3100"/>
        <w:rPr>
          <w:rFonts w:cs="仿宋_GB2312" w:asciiTheme="minorEastAsia" w:hAnsiTheme="minorEastAsia" w:eastAsiaTheme="minorEastAsia"/>
          <w:color w:val="auto"/>
          <w:szCs w:val="21"/>
          <w:highlight w:val="none"/>
        </w:rPr>
      </w:pPr>
    </w:p>
    <w:p w14:paraId="35E83C4F">
      <w:pPr>
        <w:spacing w:line="360" w:lineRule="auto"/>
        <w:ind w:right="252" w:rightChars="120" w:firstLine="6510" w:firstLineChars="3100"/>
        <w:rPr>
          <w:rFonts w:cs="仿宋_GB2312" w:asciiTheme="minorEastAsia" w:hAnsiTheme="minorEastAsia" w:eastAsiaTheme="minorEastAsia"/>
          <w:color w:val="auto"/>
          <w:szCs w:val="21"/>
          <w:highlight w:val="none"/>
        </w:rPr>
      </w:pPr>
    </w:p>
    <w:p w14:paraId="605A9144">
      <w:pPr>
        <w:spacing w:line="360" w:lineRule="auto"/>
        <w:ind w:right="252" w:rightChars="120" w:firstLine="422" w:firstLineChars="200"/>
        <w:rPr>
          <w:rFonts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t>注：1.从业人员、营业收入、资产总额填报上一年度数据，无上一年度数据的新成立企业可不填报；</w:t>
      </w:r>
    </w:p>
    <w:p w14:paraId="7D90C8A8">
      <w:pPr>
        <w:spacing w:line="360" w:lineRule="auto"/>
        <w:ind w:right="252" w:rightChars="120" w:firstLine="802" w:firstLineChars="360"/>
        <w:rPr>
          <w:rFonts w:hint="eastAsia" w:asciiTheme="minorEastAsia" w:hAnsiTheme="minorEastAsia" w:eastAsiaTheme="minorEastAsia"/>
          <w:b/>
          <w:bCs/>
          <w:color w:val="auto"/>
          <w:spacing w:val="6"/>
          <w:szCs w:val="21"/>
          <w:highlight w:val="none"/>
          <w:lang w:eastAsia="zh-CN"/>
        </w:rPr>
      </w:pPr>
      <w:r>
        <w:rPr>
          <w:rFonts w:asciiTheme="minorEastAsia" w:hAnsiTheme="minorEastAsia" w:eastAsiaTheme="minorEastAsia"/>
          <w:b/>
          <w:bCs/>
          <w:color w:val="auto"/>
          <w:spacing w:val="6"/>
          <w:szCs w:val="21"/>
          <w:highlight w:val="none"/>
        </w:rPr>
        <w:t>2</w:t>
      </w:r>
      <w:r>
        <w:rPr>
          <w:rFonts w:hint="eastAsia" w:asciiTheme="minorEastAsia" w:hAnsiTheme="minorEastAsia" w:eastAsiaTheme="minorEastAsia"/>
          <w:b/>
          <w:bCs/>
          <w:color w:val="auto"/>
          <w:spacing w:val="6"/>
          <w:szCs w:val="21"/>
          <w:highlight w:val="none"/>
        </w:rPr>
        <w:t>.供应商若为中小企业，须按以上要求完整的填写《中小企业声明函》；本项目属于专门面向中小企业采购的项目</w:t>
      </w:r>
      <w:r>
        <w:rPr>
          <w:rFonts w:hint="eastAsia" w:asciiTheme="minorEastAsia" w:hAnsiTheme="minorEastAsia" w:eastAsiaTheme="minorEastAsia"/>
          <w:b/>
          <w:bCs/>
          <w:color w:val="auto"/>
          <w:spacing w:val="6"/>
          <w:szCs w:val="21"/>
          <w:highlight w:val="none"/>
          <w:lang w:eastAsia="zh-CN"/>
        </w:rPr>
        <w:t>；</w:t>
      </w:r>
    </w:p>
    <w:p w14:paraId="5CEDF192">
      <w:pPr>
        <w:spacing w:line="360" w:lineRule="auto"/>
        <w:ind w:right="252" w:rightChars="120" w:firstLine="802" w:firstLineChars="360"/>
        <w:rPr>
          <w:rFonts w:hint="default" w:asciiTheme="minorEastAsia" w:hAnsiTheme="minorEastAsia" w:eastAsiaTheme="minorEastAsia"/>
          <w:b/>
          <w:bCs/>
          <w:color w:val="auto"/>
          <w:spacing w:val="6"/>
          <w:szCs w:val="21"/>
          <w:highlight w:val="none"/>
          <w:lang w:val="en-US" w:eastAsia="zh-CN"/>
        </w:rPr>
      </w:pPr>
      <w:r>
        <w:rPr>
          <w:rFonts w:hint="eastAsia" w:asciiTheme="minorEastAsia" w:hAnsiTheme="minorEastAsia" w:eastAsiaTheme="minorEastAsia"/>
          <w:b/>
          <w:bCs/>
          <w:color w:val="auto"/>
          <w:spacing w:val="6"/>
          <w:szCs w:val="21"/>
          <w:highlight w:val="none"/>
          <w:lang w:val="en-US" w:eastAsia="zh-CN"/>
        </w:rPr>
        <w:t>3.联合体投标的，联合体各方均需提供。</w:t>
      </w:r>
    </w:p>
    <w:p w14:paraId="05DEE053">
      <w:r>
        <w:rPr>
          <w:rFonts w:cs="仿宋_GB2312" w:asciiTheme="minorEastAsia" w:hAnsiTheme="minorEastAsia" w:eastAsiaTheme="minorEastAsia"/>
          <w:color w:val="auto"/>
          <w:szCs w:val="21"/>
          <w:highlight w:val="none"/>
        </w:rPr>
        <w:br w:type="page"/>
      </w:r>
    </w:p>
    <w:p w14:paraId="656FF409">
      <w:pPr>
        <w:spacing w:line="360" w:lineRule="auto"/>
        <w:ind w:firstLine="891" w:firstLineChars="400"/>
        <w:rPr>
          <w:rFonts w:asciiTheme="minorEastAsia" w:hAnsiTheme="minorEastAsia" w:eastAsiaTheme="minorEastAsia"/>
          <w:b/>
          <w:bCs/>
          <w:color w:val="auto"/>
          <w:spacing w:val="6"/>
          <w:szCs w:val="21"/>
          <w:highlight w:val="none"/>
        </w:rPr>
      </w:pPr>
    </w:p>
    <w:p w14:paraId="65D26860">
      <w:pPr>
        <w:spacing w:line="360" w:lineRule="auto"/>
        <w:jc w:val="center"/>
        <w:outlineLvl w:val="3"/>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lang w:val="en-US" w:eastAsia="zh-CN"/>
        </w:rPr>
        <w:t>2</w:t>
      </w:r>
      <w:r>
        <w:rPr>
          <w:rFonts w:hint="eastAsia" w:asciiTheme="minorEastAsia" w:hAnsiTheme="minorEastAsia" w:eastAsiaTheme="minorEastAsia"/>
          <w:b/>
          <w:color w:val="auto"/>
          <w:sz w:val="28"/>
          <w:szCs w:val="28"/>
          <w:highlight w:val="none"/>
        </w:rPr>
        <w:t>.残疾人福利性单位声明函</w:t>
      </w:r>
    </w:p>
    <w:p w14:paraId="160E11AF">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本单位郑重声明，根据《财政部 民政部 中国残疾人联合会关于促进残疾人就业政府采购政策的通知》（财库</w:t>
      </w:r>
      <w:r>
        <w:rPr>
          <w:rFonts w:hint="eastAsia" w:asciiTheme="minorEastAsia" w:hAnsiTheme="minorEastAsia" w:eastAsiaTheme="minorEastAsia"/>
          <w:color w:val="auto"/>
          <w:spacing w:val="6"/>
          <w:szCs w:val="21"/>
          <w:highlight w:val="none"/>
          <w:lang w:eastAsia="zh-CN"/>
        </w:rPr>
        <w:t>〔2017〕141号</w:t>
      </w:r>
      <w:r>
        <w:rPr>
          <w:rFonts w:hint="eastAsia" w:asciiTheme="minorEastAsia" w:hAnsiTheme="minorEastAsia" w:eastAsiaTheme="minorEastAsia"/>
          <w:color w:val="auto"/>
          <w:spacing w:val="6"/>
          <w:szCs w:val="21"/>
          <w:highlight w:val="none"/>
        </w:rPr>
        <w:t>）的规定，本单位参加</w:t>
      </w:r>
      <w:r>
        <w:rPr>
          <w:rFonts w:hint="eastAsia" w:asciiTheme="minorEastAsia" w:hAnsiTheme="minorEastAsia" w:eastAsiaTheme="minorEastAsia"/>
          <w:color w:val="auto"/>
          <w:spacing w:val="6"/>
          <w:szCs w:val="21"/>
          <w:highlight w:val="none"/>
          <w:u w:val="single"/>
        </w:rPr>
        <w:t xml:space="preserve"> </w:t>
      </w:r>
      <w:r>
        <w:rPr>
          <w:rFonts w:asciiTheme="minorEastAsia" w:hAnsiTheme="minorEastAsia" w:eastAsiaTheme="minorEastAsia"/>
          <w:color w:val="auto"/>
          <w:spacing w:val="6"/>
          <w:szCs w:val="21"/>
          <w:highlight w:val="none"/>
          <w:u w:val="single"/>
        </w:rPr>
        <w:t xml:space="preserve">               </w:t>
      </w:r>
      <w:r>
        <w:rPr>
          <w:rFonts w:hint="eastAsia" w:asciiTheme="minorEastAsia" w:hAnsiTheme="minorEastAsia" w:eastAsiaTheme="minorEastAsia"/>
          <w:color w:val="auto"/>
          <w:spacing w:val="6"/>
          <w:szCs w:val="21"/>
          <w:highlight w:val="none"/>
        </w:rPr>
        <w:t>单位的</w:t>
      </w:r>
      <w:r>
        <w:rPr>
          <w:rFonts w:hint="eastAsia" w:asciiTheme="minorEastAsia" w:hAnsiTheme="minorEastAsia" w:eastAsiaTheme="minorEastAsia"/>
          <w:color w:val="auto"/>
          <w:spacing w:val="6"/>
          <w:szCs w:val="21"/>
          <w:highlight w:val="none"/>
          <w:u w:val="single"/>
        </w:rPr>
        <w:t xml:space="preserve">      </w:t>
      </w:r>
      <w:r>
        <w:rPr>
          <w:rFonts w:hint="eastAsia" w:asciiTheme="minorEastAsia" w:hAnsiTheme="minorEastAsia" w:eastAsiaTheme="minorEastAsia"/>
          <w:color w:val="auto"/>
          <w:spacing w:val="6"/>
          <w:szCs w:val="21"/>
          <w:highlight w:val="none"/>
        </w:rPr>
        <w:t>项目采购活动，本单位为符合条件的残疾人福利性单位。</w:t>
      </w:r>
    </w:p>
    <w:p w14:paraId="59047336">
      <w:pPr>
        <w:spacing w:line="360" w:lineRule="auto"/>
        <w:ind w:firstLine="444" w:firstLineChars="200"/>
        <w:rPr>
          <w:rFonts w:asciiTheme="minorEastAsia" w:hAnsiTheme="minorEastAsia" w:eastAsiaTheme="minorEastAsia"/>
          <w:color w:val="auto"/>
          <w:spacing w:val="6"/>
          <w:szCs w:val="21"/>
          <w:highlight w:val="none"/>
        </w:rPr>
      </w:pPr>
      <w:r>
        <w:rPr>
          <w:rFonts w:hint="eastAsia" w:asciiTheme="minorEastAsia" w:hAnsiTheme="minorEastAsia" w:eastAsiaTheme="minorEastAsia"/>
          <w:color w:val="auto"/>
          <w:spacing w:val="6"/>
          <w:szCs w:val="21"/>
          <w:highlight w:val="none"/>
        </w:rPr>
        <w:t>本单位对上述声明的真实性负责。如有虚假，将依法承担相应责任。</w:t>
      </w:r>
    </w:p>
    <w:p w14:paraId="785BD325">
      <w:pPr>
        <w:spacing w:line="360" w:lineRule="auto"/>
        <w:ind w:firstLine="444" w:firstLineChars="200"/>
        <w:rPr>
          <w:rFonts w:asciiTheme="minorEastAsia" w:hAnsiTheme="minorEastAsia" w:eastAsiaTheme="minorEastAsia"/>
          <w:color w:val="auto"/>
          <w:spacing w:val="6"/>
          <w:szCs w:val="21"/>
          <w:highlight w:val="none"/>
        </w:rPr>
      </w:pPr>
    </w:p>
    <w:p w14:paraId="36B3ACAE">
      <w:pPr>
        <w:spacing w:line="360" w:lineRule="auto"/>
        <w:jc w:val="left"/>
        <w:rPr>
          <w:rFonts w:asciiTheme="minorEastAsia" w:hAnsiTheme="minorEastAsia" w:eastAsiaTheme="minorEastAsia"/>
          <w:color w:val="auto"/>
          <w:spacing w:val="6"/>
          <w:szCs w:val="21"/>
          <w:highlight w:val="none"/>
        </w:rPr>
      </w:pPr>
    </w:p>
    <w:p w14:paraId="57EDBCF4">
      <w:pPr>
        <w:spacing w:line="360" w:lineRule="auto"/>
        <w:jc w:val="left"/>
        <w:rPr>
          <w:rFonts w:asciiTheme="minorEastAsia" w:hAnsiTheme="minorEastAsia" w:eastAsiaTheme="minorEastAsia"/>
          <w:color w:val="auto"/>
          <w:spacing w:val="6"/>
          <w:szCs w:val="21"/>
          <w:highlight w:val="none"/>
        </w:rPr>
      </w:pPr>
    </w:p>
    <w:p w14:paraId="6DD68C67">
      <w:pPr>
        <w:spacing w:line="360" w:lineRule="auto"/>
        <w:jc w:val="left"/>
        <w:rPr>
          <w:rFonts w:asciiTheme="minorEastAsia" w:hAnsiTheme="minorEastAsia" w:eastAsiaTheme="minorEastAsia"/>
          <w:color w:val="auto"/>
          <w:spacing w:val="6"/>
          <w:szCs w:val="21"/>
          <w:highlight w:val="none"/>
        </w:rPr>
      </w:pPr>
    </w:p>
    <w:p w14:paraId="43F41585">
      <w:pPr>
        <w:autoSpaceDE w:val="0"/>
        <w:autoSpaceDN w:val="0"/>
        <w:adjustRightInd w:val="0"/>
        <w:spacing w:line="480" w:lineRule="auto"/>
        <w:ind w:firstLine="6405" w:firstLineChars="305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企业名称（电子签章）：</w:t>
      </w:r>
    </w:p>
    <w:p w14:paraId="6F0E18D5">
      <w:pPr>
        <w:autoSpaceDE w:val="0"/>
        <w:autoSpaceDN w:val="0"/>
        <w:adjustRightInd w:val="0"/>
        <w:spacing w:line="480" w:lineRule="auto"/>
        <w:ind w:firstLine="6405" w:firstLineChars="305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p>
    <w:p w14:paraId="7382D62D">
      <w:pPr>
        <w:spacing w:line="360" w:lineRule="auto"/>
        <w:ind w:right="252" w:rightChars="120" w:firstLine="6510" w:firstLineChars="3100"/>
        <w:jc w:val="left"/>
        <w:rPr>
          <w:rFonts w:cs="仿宋_GB2312" w:asciiTheme="minorEastAsia" w:hAnsiTheme="minorEastAsia" w:eastAsiaTheme="minorEastAsia"/>
          <w:color w:val="auto"/>
          <w:szCs w:val="21"/>
          <w:highlight w:val="none"/>
        </w:rPr>
      </w:pPr>
    </w:p>
    <w:p w14:paraId="7E53DC79">
      <w:pPr>
        <w:spacing w:line="360" w:lineRule="auto"/>
        <w:ind w:right="252" w:rightChars="120" w:firstLine="6510" w:firstLineChars="3100"/>
        <w:jc w:val="left"/>
        <w:rPr>
          <w:rFonts w:cs="仿宋_GB2312" w:asciiTheme="minorEastAsia" w:hAnsiTheme="minorEastAsia" w:eastAsiaTheme="minorEastAsia"/>
          <w:color w:val="auto"/>
          <w:szCs w:val="21"/>
          <w:highlight w:val="none"/>
        </w:rPr>
      </w:pPr>
    </w:p>
    <w:p w14:paraId="4BAC0C39">
      <w:pPr>
        <w:spacing w:line="360" w:lineRule="auto"/>
        <w:ind w:firstLine="422" w:firstLineChars="200"/>
        <w:jc w:val="left"/>
        <w:rPr>
          <w:rFonts w:asciiTheme="minorEastAsia" w:hAnsiTheme="minorEastAsia" w:eastAsiaTheme="minorEastAsia"/>
          <w:b/>
          <w:bCs/>
          <w:color w:val="auto"/>
          <w:spacing w:val="6"/>
          <w:szCs w:val="21"/>
          <w:highlight w:val="none"/>
        </w:rPr>
      </w:pPr>
      <w:r>
        <w:rPr>
          <w:rFonts w:hint="eastAsia" w:cs="仿宋_GB2312" w:asciiTheme="minorEastAsia" w:hAnsiTheme="minorEastAsia" w:eastAsiaTheme="minorEastAsia"/>
          <w:b/>
          <w:bCs/>
          <w:color w:val="auto"/>
          <w:szCs w:val="21"/>
          <w:highlight w:val="none"/>
        </w:rPr>
        <w:t>注：若企业为</w:t>
      </w:r>
      <w:r>
        <w:rPr>
          <w:rFonts w:hint="eastAsia" w:asciiTheme="minorEastAsia" w:hAnsiTheme="minorEastAsia" w:eastAsiaTheme="minorEastAsia"/>
          <w:b/>
          <w:bCs/>
          <w:color w:val="auto"/>
          <w:spacing w:val="6"/>
          <w:szCs w:val="21"/>
          <w:highlight w:val="none"/>
        </w:rPr>
        <w:t>符合政策要求的残疾人福利性单位，即可填报声明；否则，可不填报及签章。</w:t>
      </w:r>
    </w:p>
    <w:p w14:paraId="0293F471">
      <w:pPr>
        <w:widowControl/>
        <w:jc w:val="lef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br w:type="page"/>
      </w:r>
    </w:p>
    <w:p w14:paraId="0A82BD54">
      <w:pPr>
        <w:spacing w:line="360" w:lineRule="auto"/>
        <w:jc w:val="center"/>
        <w:outlineLvl w:val="3"/>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lang w:val="en-US" w:eastAsia="zh-CN"/>
        </w:rPr>
        <w:t>3</w:t>
      </w:r>
      <w:r>
        <w:rPr>
          <w:rFonts w:hint="eastAsia" w:asciiTheme="minorEastAsia" w:hAnsiTheme="minorEastAsia" w:eastAsiaTheme="minorEastAsia"/>
          <w:b/>
          <w:color w:val="auto"/>
          <w:sz w:val="28"/>
          <w:szCs w:val="28"/>
          <w:highlight w:val="none"/>
        </w:rPr>
        <w:t>.监狱企业证明</w:t>
      </w:r>
    </w:p>
    <w:p w14:paraId="1865C077">
      <w:pPr>
        <w:spacing w:line="360" w:lineRule="auto"/>
        <w:jc w:val="center"/>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rPr>
        <w:t>注：若供应商为监狱企业，须附监狱企业证明材料的原件扫描件。</w:t>
      </w:r>
    </w:p>
    <w:p w14:paraId="249A6598">
      <w:pPr>
        <w:spacing w:line="360" w:lineRule="auto"/>
        <w:ind w:right="252" w:rightChars="120"/>
        <w:rPr>
          <w:rFonts w:cs="仿宋_GB2312" w:asciiTheme="minorEastAsia" w:hAnsiTheme="minorEastAsia" w:eastAsiaTheme="minorEastAsia"/>
          <w:color w:val="auto"/>
          <w:szCs w:val="21"/>
          <w:highlight w:val="none"/>
        </w:rPr>
      </w:pPr>
    </w:p>
    <w:p w14:paraId="41234BEC">
      <w:pPr>
        <w:spacing w:line="360" w:lineRule="auto"/>
        <w:ind w:right="252" w:rightChars="120"/>
        <w:rPr>
          <w:rFonts w:cs="仿宋_GB2312" w:asciiTheme="minorEastAsia" w:hAnsiTheme="minorEastAsia" w:eastAsiaTheme="minorEastAsia"/>
          <w:color w:val="auto"/>
          <w:szCs w:val="21"/>
          <w:highlight w:val="none"/>
        </w:rPr>
      </w:pPr>
    </w:p>
    <w:p w14:paraId="7384A77E">
      <w:pPr>
        <w:spacing w:line="360" w:lineRule="auto"/>
        <w:ind w:right="252" w:rightChars="120"/>
        <w:rPr>
          <w:rFonts w:cs="仿宋_GB2312" w:asciiTheme="minorEastAsia" w:hAnsiTheme="minorEastAsia" w:eastAsiaTheme="minorEastAsia"/>
          <w:color w:val="auto"/>
          <w:szCs w:val="21"/>
          <w:highlight w:val="none"/>
        </w:rPr>
      </w:pPr>
    </w:p>
    <w:p w14:paraId="5717168B">
      <w:pPr>
        <w:spacing w:line="360" w:lineRule="auto"/>
        <w:ind w:right="252" w:rightChars="120"/>
        <w:rPr>
          <w:rFonts w:cs="仿宋_GB2312" w:asciiTheme="minorEastAsia" w:hAnsiTheme="minorEastAsia" w:eastAsiaTheme="minorEastAsia"/>
          <w:color w:val="auto"/>
          <w:szCs w:val="21"/>
          <w:highlight w:val="none"/>
        </w:rPr>
      </w:pPr>
    </w:p>
    <w:p w14:paraId="24438CBC">
      <w:pPr>
        <w:spacing w:line="360" w:lineRule="auto"/>
        <w:ind w:right="252" w:rightChars="120"/>
        <w:rPr>
          <w:rFonts w:cs="仿宋_GB2312" w:asciiTheme="minorEastAsia" w:hAnsiTheme="minorEastAsia" w:eastAsiaTheme="minorEastAsia"/>
          <w:color w:val="auto"/>
          <w:szCs w:val="21"/>
          <w:highlight w:val="none"/>
        </w:rPr>
      </w:pPr>
    </w:p>
    <w:p w14:paraId="1434CFF6">
      <w:pPr>
        <w:spacing w:line="360" w:lineRule="auto"/>
        <w:ind w:right="252" w:rightChars="120"/>
        <w:rPr>
          <w:rFonts w:cs="仿宋_GB2312" w:asciiTheme="minorEastAsia" w:hAnsiTheme="minorEastAsia" w:eastAsiaTheme="minorEastAsia"/>
          <w:color w:val="auto"/>
          <w:szCs w:val="21"/>
          <w:highlight w:val="none"/>
        </w:rPr>
      </w:pPr>
    </w:p>
    <w:p w14:paraId="3E3A32E9">
      <w:pPr>
        <w:spacing w:line="360" w:lineRule="auto"/>
        <w:ind w:right="252" w:rightChars="120"/>
        <w:rPr>
          <w:rFonts w:cs="仿宋_GB2312" w:asciiTheme="minorEastAsia" w:hAnsiTheme="minorEastAsia" w:eastAsiaTheme="minorEastAsia"/>
          <w:color w:val="auto"/>
          <w:szCs w:val="21"/>
          <w:highlight w:val="none"/>
        </w:rPr>
      </w:pPr>
    </w:p>
    <w:p w14:paraId="1927AE15">
      <w:pPr>
        <w:spacing w:line="360" w:lineRule="auto"/>
        <w:ind w:right="252" w:rightChars="120"/>
        <w:rPr>
          <w:rFonts w:cs="仿宋_GB2312" w:asciiTheme="minorEastAsia" w:hAnsiTheme="minorEastAsia" w:eastAsiaTheme="minorEastAsia"/>
          <w:color w:val="auto"/>
          <w:szCs w:val="21"/>
          <w:highlight w:val="none"/>
        </w:rPr>
      </w:pPr>
    </w:p>
    <w:p w14:paraId="33DE6678">
      <w:pPr>
        <w:spacing w:line="360" w:lineRule="auto"/>
        <w:ind w:right="252" w:rightChars="120"/>
        <w:rPr>
          <w:rFonts w:cs="仿宋_GB2312" w:asciiTheme="minorEastAsia" w:hAnsiTheme="minorEastAsia" w:eastAsiaTheme="minorEastAsia"/>
          <w:color w:val="auto"/>
          <w:szCs w:val="21"/>
          <w:highlight w:val="none"/>
        </w:rPr>
      </w:pPr>
    </w:p>
    <w:p w14:paraId="72BAC504">
      <w:pPr>
        <w:widowControl/>
        <w:jc w:val="left"/>
        <w:rPr>
          <w:rFonts w:cs="仿宋_GB2312" w:asciiTheme="minorEastAsia" w:hAnsiTheme="minorEastAsia" w:eastAsiaTheme="minorEastAsia"/>
          <w:color w:val="auto"/>
          <w:szCs w:val="21"/>
          <w:highlight w:val="none"/>
        </w:rPr>
      </w:pPr>
      <w:r>
        <w:rPr>
          <w:rFonts w:cs="仿宋_GB2312" w:asciiTheme="minorEastAsia" w:hAnsiTheme="minorEastAsia" w:eastAsiaTheme="minorEastAsia"/>
          <w:color w:val="auto"/>
          <w:szCs w:val="21"/>
          <w:highlight w:val="none"/>
        </w:rPr>
        <w:br w:type="page"/>
      </w:r>
    </w:p>
    <w:bookmarkEnd w:id="1184"/>
    <w:bookmarkEnd w:id="1185"/>
    <w:bookmarkEnd w:id="1237"/>
    <w:bookmarkEnd w:id="1238"/>
    <w:bookmarkEnd w:id="1239"/>
    <w:bookmarkEnd w:id="1240"/>
    <w:bookmarkEnd w:id="1241"/>
    <w:bookmarkEnd w:id="1242"/>
    <w:bookmarkEnd w:id="1243"/>
    <w:bookmarkEnd w:id="1244"/>
    <w:bookmarkEnd w:id="1245"/>
    <w:bookmarkEnd w:id="1246"/>
    <w:bookmarkEnd w:id="1247"/>
    <w:p w14:paraId="246E20A8">
      <w:pPr>
        <w:spacing w:line="360" w:lineRule="auto"/>
        <w:jc w:val="center"/>
        <w:outlineLvl w:val="1"/>
        <w:rPr>
          <w:rFonts w:asciiTheme="minorEastAsia" w:hAnsiTheme="minorEastAsia" w:eastAsiaTheme="minorEastAsia"/>
          <w:b/>
          <w:color w:val="auto"/>
          <w:sz w:val="30"/>
          <w:szCs w:val="30"/>
          <w:highlight w:val="none"/>
        </w:rPr>
      </w:pPr>
      <w:bookmarkStart w:id="1249" w:name="_Toc4859"/>
      <w:bookmarkStart w:id="1250" w:name="_Toc116584073"/>
      <w:bookmarkStart w:id="1251" w:name="_Toc21376"/>
      <w:bookmarkStart w:id="1252" w:name="_Toc103586124"/>
      <w:bookmarkStart w:id="1253" w:name="_Toc37603119"/>
      <w:bookmarkStart w:id="1254" w:name="_Toc42205066"/>
      <w:r>
        <w:rPr>
          <w:rFonts w:hint="eastAsia" w:asciiTheme="minorEastAsia" w:hAnsiTheme="minorEastAsia" w:eastAsiaTheme="minorEastAsia"/>
          <w:b/>
          <w:color w:val="auto"/>
          <w:sz w:val="30"/>
          <w:szCs w:val="30"/>
          <w:highlight w:val="none"/>
        </w:rPr>
        <w:t>二、商务报价文件</w:t>
      </w:r>
      <w:bookmarkEnd w:id="1249"/>
    </w:p>
    <w:p w14:paraId="2FE78082">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（一）磋商</w:t>
      </w:r>
      <w:r>
        <w:rPr>
          <w:rFonts w:asciiTheme="minorEastAsia" w:hAnsiTheme="minorEastAsia" w:eastAsiaTheme="minorEastAsia"/>
          <w:b/>
          <w:color w:val="auto"/>
          <w:sz w:val="28"/>
          <w:szCs w:val="28"/>
          <w:highlight w:val="none"/>
        </w:rPr>
        <w:t>函</w:t>
      </w:r>
      <w:bookmarkEnd w:id="1250"/>
    </w:p>
    <w:p w14:paraId="5F39CCE6">
      <w:pPr>
        <w:spacing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致：</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（采购人名称）</w:t>
      </w:r>
    </w:p>
    <w:p w14:paraId="47766CF2">
      <w:pPr>
        <w:spacing w:line="360" w:lineRule="auto"/>
        <w:rPr>
          <w:rFonts w:asciiTheme="minorEastAsia" w:hAnsiTheme="minorEastAsia" w:eastAsiaTheme="minorEastAsia"/>
          <w:color w:val="auto"/>
          <w:szCs w:val="21"/>
          <w:highlight w:val="none"/>
        </w:rPr>
      </w:pPr>
    </w:p>
    <w:p w14:paraId="253E4E24">
      <w:pPr>
        <w:wordWrap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rPr>
        <w:t>.根据你方采购项目编号为</w:t>
      </w:r>
      <w:r>
        <w:rPr>
          <w:rFonts w:hint="eastAsia" w:asciiTheme="minorEastAsia" w:hAnsiTheme="minorEastAsia" w:eastAsiaTheme="minorEastAsia"/>
          <w:color w:val="auto"/>
          <w:szCs w:val="21"/>
          <w:highlight w:val="none"/>
          <w:u w:val="single"/>
        </w:rPr>
        <w:t xml:space="preserve">  （项目编号）  </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（项目名称）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采购文件，遵照《中华人民共和国政府采购法</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中华人民共和国政府采购法实施条例》等相关法律法规的规定，经研究上述采购文件的供应商须知及采购需求后，</w:t>
      </w:r>
      <w:r>
        <w:rPr>
          <w:rFonts w:hint="eastAsia" w:asciiTheme="minorEastAsia" w:hAnsiTheme="minorEastAsia" w:eastAsiaTheme="minorEastAsia"/>
          <w:snapToGrid w:val="0"/>
          <w:color w:val="auto"/>
          <w:kern w:val="0"/>
          <w:szCs w:val="21"/>
          <w:highlight w:val="none"/>
        </w:rPr>
        <w:t>我公司现</w:t>
      </w:r>
      <w:r>
        <w:rPr>
          <w:rFonts w:hint="eastAsia" w:asciiTheme="minorEastAsia" w:hAnsiTheme="minorEastAsia" w:eastAsiaTheme="minorEastAsia"/>
          <w:color w:val="auto"/>
          <w:highlight w:val="none"/>
        </w:rPr>
        <w:t>参与本项目的竞争性磋商采购活动。</w:t>
      </w:r>
    </w:p>
    <w:p w14:paraId="624886D4">
      <w:pPr>
        <w:wordWrap w:val="0"/>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.磋商有效期：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，我方承诺我方所提交的响应文件在此期间内有效。</w:t>
      </w:r>
    </w:p>
    <w:p w14:paraId="1369655C">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如我方</w:t>
      </w:r>
      <w:r>
        <w:rPr>
          <w:rFonts w:hint="eastAsia" w:asciiTheme="minorEastAsia" w:hAnsiTheme="minorEastAsia" w:eastAsiaTheme="minorEastAsia"/>
          <w:color w:val="auto"/>
          <w:szCs w:val="21"/>
          <w:highlight w:val="none"/>
        </w:rPr>
        <w:t>成交</w:t>
      </w:r>
      <w:r>
        <w:rPr>
          <w:rFonts w:asciiTheme="minorEastAsia" w:hAnsiTheme="minorEastAsia" w:eastAsiaTheme="minorEastAsia"/>
          <w:color w:val="auto"/>
          <w:szCs w:val="21"/>
          <w:highlight w:val="none"/>
        </w:rPr>
        <w:t>：</w:t>
      </w:r>
    </w:p>
    <w:p w14:paraId="4D6234F1">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（1）我方承诺在收到</w:t>
      </w:r>
      <w:r>
        <w:rPr>
          <w:rFonts w:hint="eastAsia" w:asciiTheme="minorEastAsia" w:hAnsiTheme="minorEastAsia" w:eastAsiaTheme="minorEastAsia"/>
          <w:color w:val="auto"/>
          <w:szCs w:val="21"/>
          <w:highlight w:val="none"/>
        </w:rPr>
        <w:t>成交通知书</w:t>
      </w:r>
      <w:r>
        <w:rPr>
          <w:rFonts w:asciiTheme="minorEastAsia" w:hAnsiTheme="minorEastAsia" w:eastAsiaTheme="minorEastAsia"/>
          <w:color w:val="auto"/>
          <w:szCs w:val="21"/>
          <w:highlight w:val="none"/>
        </w:rPr>
        <w:t>后，在</w:t>
      </w:r>
      <w:r>
        <w:rPr>
          <w:rFonts w:hint="eastAsia" w:asciiTheme="minorEastAsia" w:hAnsiTheme="minorEastAsia" w:eastAsiaTheme="minorEastAsia"/>
          <w:color w:val="auto"/>
          <w:szCs w:val="21"/>
          <w:highlight w:val="none"/>
        </w:rPr>
        <w:t>成交通知书</w:t>
      </w:r>
      <w:r>
        <w:rPr>
          <w:rFonts w:asciiTheme="minorEastAsia" w:hAnsiTheme="minorEastAsia" w:eastAsiaTheme="minorEastAsia"/>
          <w:color w:val="auto"/>
          <w:szCs w:val="21"/>
          <w:highlight w:val="none"/>
        </w:rPr>
        <w:t>规定的期限内与你方签订合同</w:t>
      </w:r>
      <w:r>
        <w:rPr>
          <w:rFonts w:hint="eastAsia" w:asciiTheme="minorEastAsia" w:hAnsiTheme="minorEastAsia" w:eastAsiaTheme="minorEastAsia"/>
          <w:color w:val="auto"/>
          <w:szCs w:val="21"/>
          <w:highlight w:val="none"/>
        </w:rPr>
        <w:t>；</w:t>
      </w:r>
    </w:p>
    <w:p w14:paraId="4B95D612">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）我方承诺在合同约定的期限内完成</w:t>
      </w:r>
      <w:r>
        <w:rPr>
          <w:rFonts w:hint="eastAsia" w:asciiTheme="minorEastAsia" w:hAnsiTheme="minorEastAsia" w:eastAsiaTheme="minorEastAsia"/>
          <w:color w:val="auto"/>
          <w:szCs w:val="21"/>
          <w:highlight w:val="none"/>
        </w:rPr>
        <w:t>所有工程内容</w:t>
      </w:r>
      <w:r>
        <w:rPr>
          <w:rFonts w:asciiTheme="minorEastAsia" w:hAnsiTheme="minorEastAsia" w:eastAsiaTheme="minorEastAsia"/>
          <w:color w:val="auto"/>
          <w:szCs w:val="21"/>
          <w:highlight w:val="none"/>
        </w:rPr>
        <w:t>。</w:t>
      </w:r>
    </w:p>
    <w:p w14:paraId="4E42462E">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w:t>
      </w:r>
      <w:r>
        <w:rPr>
          <w:rFonts w:asciiTheme="minorEastAsia" w:hAnsiTheme="minorEastAsia" w:eastAsiaTheme="minorEastAsia"/>
          <w:color w:val="auto"/>
          <w:szCs w:val="21"/>
          <w:highlight w:val="none"/>
        </w:rPr>
        <w:t>我方在此声明，所</w:t>
      </w:r>
      <w:r>
        <w:rPr>
          <w:rFonts w:hint="eastAsia" w:asciiTheme="minorEastAsia" w:hAnsiTheme="minorEastAsia" w:eastAsiaTheme="minorEastAsia"/>
          <w:color w:val="auto"/>
          <w:szCs w:val="21"/>
          <w:highlight w:val="none"/>
        </w:rPr>
        <w:t>提</w:t>
      </w:r>
      <w:r>
        <w:rPr>
          <w:rFonts w:asciiTheme="minorEastAsia" w:hAnsiTheme="minorEastAsia" w:eastAsiaTheme="minorEastAsia"/>
          <w:color w:val="auto"/>
          <w:szCs w:val="21"/>
          <w:highlight w:val="none"/>
        </w:rPr>
        <w:t>交的</w:t>
      </w:r>
      <w:r>
        <w:rPr>
          <w:rFonts w:hint="eastAsia" w:asciiTheme="minorEastAsia" w:hAnsiTheme="minorEastAsia" w:eastAsiaTheme="minorEastAsia"/>
          <w:color w:val="auto"/>
          <w:szCs w:val="21"/>
          <w:highlight w:val="none"/>
        </w:rPr>
        <w:t>响应</w:t>
      </w:r>
      <w:r>
        <w:rPr>
          <w:rFonts w:asciiTheme="minorEastAsia" w:hAnsiTheme="minorEastAsia" w:eastAsiaTheme="minorEastAsia"/>
          <w:color w:val="auto"/>
          <w:szCs w:val="21"/>
          <w:highlight w:val="none"/>
        </w:rPr>
        <w:t>文件及有关资料内容完整、真实和准确。</w:t>
      </w:r>
    </w:p>
    <w:p w14:paraId="5F8B442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5.在合同协议书正式签署生效之前，本磋商函连同你方的成交通知书将构成我们双方之间共同遵守的文件，对双方具有约束力。</w:t>
      </w:r>
    </w:p>
    <w:p w14:paraId="7CC2662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（其他补充说明）。</w:t>
      </w:r>
    </w:p>
    <w:p w14:paraId="48D5EC24">
      <w:pPr>
        <w:autoSpaceDE w:val="0"/>
        <w:autoSpaceDN w:val="0"/>
        <w:adjustRightInd w:val="0"/>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p>
    <w:p w14:paraId="51D0F23A">
      <w:pPr>
        <w:autoSpaceDE w:val="0"/>
        <w:autoSpaceDN w:val="0"/>
        <w:adjustRightInd w:val="0"/>
        <w:spacing w:line="360" w:lineRule="auto"/>
        <w:rPr>
          <w:rFonts w:asciiTheme="minorEastAsia" w:hAnsiTheme="minorEastAsia" w:eastAsiaTheme="minorEastAsia"/>
          <w:color w:val="auto"/>
          <w:szCs w:val="21"/>
          <w:highlight w:val="none"/>
        </w:rPr>
      </w:pPr>
    </w:p>
    <w:p w14:paraId="64668BDA">
      <w:pPr>
        <w:tabs>
          <w:tab w:val="left" w:pos="3360"/>
        </w:tabs>
        <w:autoSpaceDE w:val="0"/>
        <w:autoSpaceDN w:val="0"/>
        <w:adjustRightInd w:val="0"/>
        <w:spacing w:line="480" w:lineRule="auto"/>
        <w:rPr>
          <w:rFonts w:asciiTheme="minorEastAsia" w:hAnsiTheme="minorEastAsia" w:eastAsiaTheme="minorEastAsia"/>
          <w:szCs w:val="21"/>
        </w:rPr>
      </w:pPr>
      <w:bookmarkStart w:id="1255" w:name="_Toc116584074"/>
    </w:p>
    <w:p w14:paraId="33E75F06">
      <w:pPr>
        <w:autoSpaceDE w:val="0"/>
        <w:autoSpaceDN w:val="0"/>
        <w:adjustRightInd w:val="0"/>
        <w:spacing w:line="360" w:lineRule="auto"/>
        <w:ind w:firstLine="3150" w:firstLineChars="1500"/>
        <w:jc w:val="left"/>
        <w:rPr>
          <w:rFonts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供应商（或联合体牵头人）：</w:t>
      </w:r>
      <w:r>
        <w:rPr>
          <w:rFonts w:hint="eastAsia" w:asciiTheme="minorEastAsia" w:hAnsiTheme="minorEastAsia" w:eastAsiaTheme="minorEastAsia"/>
          <w:bCs/>
          <w:szCs w:val="21"/>
          <w:highlight w:val="none"/>
          <w:u w:val="single"/>
        </w:rPr>
        <w:t xml:space="preserve">         （</w:t>
      </w:r>
      <w:r>
        <w:rPr>
          <w:rFonts w:hint="eastAsia" w:asciiTheme="minorEastAsia" w:hAnsiTheme="minorEastAsia" w:eastAsiaTheme="minorEastAsia"/>
          <w:szCs w:val="21"/>
          <w:highlight w:val="none"/>
          <w:u w:val="single"/>
        </w:rPr>
        <w:t>电子签章</w:t>
      </w:r>
      <w:r>
        <w:rPr>
          <w:rFonts w:hint="eastAsia" w:asciiTheme="minorEastAsia" w:hAnsiTheme="minorEastAsia" w:eastAsiaTheme="minorEastAsia"/>
          <w:bCs/>
          <w:szCs w:val="21"/>
          <w:highlight w:val="none"/>
          <w:u w:val="single"/>
        </w:rPr>
        <w:t>）</w:t>
      </w:r>
    </w:p>
    <w:p w14:paraId="09D21AD6">
      <w:pPr>
        <w:autoSpaceDE w:val="0"/>
        <w:autoSpaceDN w:val="0"/>
        <w:adjustRightInd w:val="0"/>
        <w:spacing w:line="360" w:lineRule="auto"/>
        <w:ind w:firstLine="3158" w:firstLineChars="1504"/>
        <w:jc w:val="left"/>
        <w:rPr>
          <w:rFonts w:asciiTheme="minorEastAsia" w:hAnsiTheme="minorEastAsia" w:eastAsiaTheme="minorEastAsia"/>
          <w:bCs/>
          <w:szCs w:val="21"/>
        </w:rPr>
      </w:pPr>
      <w:r>
        <w:rPr>
          <w:rFonts w:hint="eastAsia" w:asciiTheme="minorEastAsia" w:hAnsiTheme="minorEastAsia" w:eastAsiaTheme="minorEastAsia"/>
          <w:bCs/>
          <w:szCs w:val="21"/>
        </w:rPr>
        <w:t>法定代表人：</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eastAsia="zh-CN"/>
        </w:rPr>
        <w:t>（</w:t>
      </w:r>
      <w:r>
        <w:rPr>
          <w:rFonts w:hint="eastAsia" w:asciiTheme="minorEastAsia" w:hAnsiTheme="minorEastAsia" w:eastAsiaTheme="minorEastAsia"/>
          <w:bCs/>
          <w:szCs w:val="21"/>
          <w:u w:val="single"/>
        </w:rPr>
        <w:t>电子签章</w:t>
      </w:r>
      <w:r>
        <w:rPr>
          <w:rFonts w:hint="eastAsia" w:asciiTheme="minorEastAsia" w:hAnsiTheme="minorEastAsia" w:eastAsiaTheme="minorEastAsia"/>
          <w:bCs/>
          <w:szCs w:val="21"/>
          <w:u w:val="single"/>
          <w:lang w:eastAsia="zh-CN"/>
        </w:rPr>
        <w:t>）</w:t>
      </w:r>
      <w:r>
        <w:rPr>
          <w:rFonts w:hint="eastAsia" w:asciiTheme="minorEastAsia" w:hAnsiTheme="minorEastAsia" w:eastAsiaTheme="minorEastAsia"/>
          <w:bCs/>
          <w:szCs w:val="21"/>
          <w:u w:val="single"/>
        </w:rPr>
        <w:t xml:space="preserve"> </w:t>
      </w:r>
    </w:p>
    <w:p w14:paraId="437619AF">
      <w:pPr>
        <w:autoSpaceDE w:val="0"/>
        <w:autoSpaceDN w:val="0"/>
        <w:adjustRightInd w:val="0"/>
        <w:spacing w:line="360" w:lineRule="auto"/>
        <w:ind w:firstLine="3150" w:firstLineChars="1500"/>
        <w:jc w:val="left"/>
        <w:rPr>
          <w:rFonts w:asciiTheme="minorEastAsia" w:hAnsiTheme="minorEastAsia" w:eastAsiaTheme="minorEastAsia"/>
          <w:bCs/>
          <w:szCs w:val="21"/>
          <w:u w:val="single"/>
        </w:rPr>
      </w:pPr>
      <w:r>
        <w:rPr>
          <w:rFonts w:hint="eastAsia" w:asciiTheme="minorEastAsia" w:hAnsiTheme="minorEastAsia" w:eastAsiaTheme="minorEastAsia"/>
          <w:bCs/>
          <w:szCs w:val="21"/>
        </w:rPr>
        <w:t>地址：</w:t>
      </w:r>
      <w:r>
        <w:rPr>
          <w:rFonts w:hint="eastAsia" w:asciiTheme="minorEastAsia" w:hAnsiTheme="minorEastAsia" w:eastAsiaTheme="minorEastAsia"/>
          <w:bCs/>
          <w:szCs w:val="21"/>
          <w:u w:val="single"/>
        </w:rPr>
        <w:t xml:space="preserve">                      </w:t>
      </w:r>
    </w:p>
    <w:p w14:paraId="28E42684">
      <w:pPr>
        <w:autoSpaceDE w:val="0"/>
        <w:autoSpaceDN w:val="0"/>
        <w:adjustRightInd w:val="0"/>
        <w:spacing w:line="360" w:lineRule="auto"/>
        <w:ind w:firstLine="3150" w:firstLineChars="1500"/>
        <w:jc w:val="left"/>
        <w:rPr>
          <w:rFonts w:asciiTheme="minorEastAsia" w:hAnsiTheme="minorEastAsia" w:eastAsiaTheme="minorEastAsia"/>
          <w:bCs/>
          <w:szCs w:val="21"/>
          <w:u w:val="single"/>
        </w:rPr>
      </w:pPr>
      <w:r>
        <w:rPr>
          <w:rFonts w:hint="eastAsia" w:asciiTheme="minorEastAsia" w:hAnsiTheme="minorEastAsia" w:eastAsiaTheme="minorEastAsia"/>
          <w:bCs/>
          <w:szCs w:val="21"/>
        </w:rPr>
        <w:t>电话：</w:t>
      </w:r>
      <w:r>
        <w:rPr>
          <w:rFonts w:hint="eastAsia" w:asciiTheme="minorEastAsia" w:hAnsiTheme="minorEastAsia" w:eastAsiaTheme="minorEastAsia"/>
          <w:bCs/>
          <w:szCs w:val="21"/>
          <w:u w:val="single"/>
        </w:rPr>
        <w:t xml:space="preserve">                     </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rPr>
        <w:t xml:space="preserve"> </w:t>
      </w:r>
    </w:p>
    <w:p w14:paraId="1650BA62">
      <w:pPr>
        <w:autoSpaceDE w:val="0"/>
        <w:autoSpaceDN w:val="0"/>
        <w:adjustRightInd w:val="0"/>
        <w:spacing w:line="360" w:lineRule="auto"/>
        <w:ind w:firstLine="3150" w:firstLineChars="1500"/>
        <w:jc w:val="left"/>
        <w:rPr>
          <w:rFonts w:asciiTheme="minorEastAsia" w:hAnsiTheme="minorEastAsia" w:eastAsiaTheme="minorEastAsia"/>
          <w:bCs/>
          <w:szCs w:val="21"/>
        </w:rPr>
      </w:pPr>
      <w:r>
        <w:rPr>
          <w:rFonts w:hint="eastAsia" w:asciiTheme="minorEastAsia" w:hAnsiTheme="minorEastAsia" w:eastAsiaTheme="minorEastAsia"/>
          <w:bCs/>
          <w:szCs w:val="21"/>
        </w:rPr>
        <w:t>日期：</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年</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月</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日</w:t>
      </w:r>
    </w:p>
    <w:p w14:paraId="22E8ECAE">
      <w:pPr>
        <w:widowControl/>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r>
    </w:p>
    <w:p w14:paraId="5CCC998A">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（二）法定代表人身份证明及授权委托书</w:t>
      </w:r>
    </w:p>
    <w:p w14:paraId="302B242B">
      <w:pPr>
        <w:spacing w:line="360" w:lineRule="auto"/>
        <w:jc w:val="center"/>
        <w:outlineLvl w:val="3"/>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1.</w:t>
      </w:r>
      <w:r>
        <w:rPr>
          <w:rFonts w:asciiTheme="minorEastAsia" w:hAnsiTheme="minorEastAsia" w:eastAsiaTheme="minorEastAsia"/>
          <w:b/>
          <w:color w:val="auto"/>
          <w:sz w:val="28"/>
          <w:szCs w:val="28"/>
          <w:highlight w:val="none"/>
        </w:rPr>
        <w:t>法定代表人身份证明</w:t>
      </w:r>
      <w:bookmarkEnd w:id="1255"/>
    </w:p>
    <w:p w14:paraId="021741B8">
      <w:pPr>
        <w:spacing w:line="360" w:lineRule="auto"/>
        <w:rPr>
          <w:rFonts w:asciiTheme="minorEastAsia" w:hAnsiTheme="minorEastAsia" w:eastAsiaTheme="minorEastAsia"/>
          <w:color w:val="auto"/>
          <w:highlight w:val="none"/>
        </w:rPr>
      </w:pPr>
    </w:p>
    <w:p w14:paraId="5140D6E1">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p>
    <w:p w14:paraId="3F8067EF">
      <w:pPr>
        <w:spacing w:line="360" w:lineRule="auto"/>
        <w:ind w:firstLine="539" w:firstLineChars="257"/>
        <w:rPr>
          <w:rFonts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单位性质：</w:t>
      </w:r>
      <w:r>
        <w:rPr>
          <w:rFonts w:hint="eastAsia" w:cs="仿宋_GB2312" w:asciiTheme="minorEastAsia" w:hAnsiTheme="minorEastAsia" w:eastAsiaTheme="minorEastAsia"/>
          <w:color w:val="auto"/>
          <w:szCs w:val="21"/>
          <w:highlight w:val="none"/>
          <w:u w:val="single"/>
        </w:rPr>
        <w:t xml:space="preserve">                                         </w:t>
      </w:r>
    </w:p>
    <w:p w14:paraId="3C1FFF69">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地    址：</w:t>
      </w:r>
      <w:r>
        <w:rPr>
          <w:rFonts w:hint="eastAsia" w:cs="仿宋_GB2312" w:asciiTheme="minorEastAsia" w:hAnsiTheme="minorEastAsia" w:eastAsiaTheme="minorEastAsia"/>
          <w:color w:val="auto"/>
          <w:szCs w:val="21"/>
          <w:highlight w:val="none"/>
          <w:u w:val="single"/>
        </w:rPr>
        <w:t xml:space="preserve">                                         </w:t>
      </w:r>
    </w:p>
    <w:p w14:paraId="329632D7">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成立时间：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月</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日</w:t>
      </w:r>
    </w:p>
    <w:p w14:paraId="472937D3">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经营期限：</w:t>
      </w:r>
      <w:r>
        <w:rPr>
          <w:rFonts w:hint="eastAsia" w:cs="仿宋_GB2312" w:asciiTheme="minorEastAsia" w:hAnsiTheme="minorEastAsia" w:eastAsiaTheme="minorEastAsia"/>
          <w:color w:val="auto"/>
          <w:szCs w:val="21"/>
          <w:highlight w:val="none"/>
          <w:u w:val="single"/>
        </w:rPr>
        <w:t xml:space="preserve">                                         </w:t>
      </w:r>
    </w:p>
    <w:p w14:paraId="134F6BB4">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姓    名：</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 xml:space="preserve">    性    别：</w:t>
      </w:r>
      <w:r>
        <w:rPr>
          <w:rFonts w:hint="eastAsia" w:cs="仿宋_GB2312" w:asciiTheme="minorEastAsia" w:hAnsiTheme="minorEastAsia" w:eastAsiaTheme="minorEastAsia"/>
          <w:color w:val="auto"/>
          <w:szCs w:val="21"/>
          <w:highlight w:val="none"/>
          <w:u w:val="single"/>
        </w:rPr>
        <w:t xml:space="preserve">           </w:t>
      </w:r>
    </w:p>
    <w:p w14:paraId="68E387E5">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年    龄：</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 xml:space="preserve">    职    务：</w:t>
      </w:r>
      <w:r>
        <w:rPr>
          <w:rFonts w:hint="eastAsia" w:cs="仿宋_GB2312" w:asciiTheme="minorEastAsia" w:hAnsiTheme="minorEastAsia" w:eastAsiaTheme="minorEastAsia"/>
          <w:color w:val="auto"/>
          <w:szCs w:val="21"/>
          <w:highlight w:val="none"/>
          <w:u w:val="single"/>
        </w:rPr>
        <w:t xml:space="preserve">           </w:t>
      </w:r>
    </w:p>
    <w:p w14:paraId="7BE13C2C">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系</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（供应商）的法定代表人。</w:t>
      </w:r>
    </w:p>
    <w:p w14:paraId="0ACE57FA">
      <w:pPr>
        <w:autoSpaceDE w:val="0"/>
        <w:autoSpaceDN w:val="0"/>
        <w:adjustRightInd w:val="0"/>
        <w:spacing w:line="360" w:lineRule="auto"/>
        <w:ind w:firstLine="420"/>
        <w:jc w:val="center"/>
        <w:rPr>
          <w:rFonts w:asciiTheme="minorEastAsia" w:hAnsiTheme="minorEastAsia" w:eastAsiaTheme="minorEastAsia"/>
          <w:color w:val="auto"/>
          <w:szCs w:val="21"/>
          <w:highlight w:val="none"/>
        </w:rPr>
      </w:pPr>
    </w:p>
    <w:p w14:paraId="2911CC31">
      <w:pPr>
        <w:spacing w:line="360" w:lineRule="auto"/>
        <w:ind w:firstLine="539" w:firstLineChars="257"/>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特此证明。</w:t>
      </w:r>
    </w:p>
    <w:p w14:paraId="2AD33A63">
      <w:pPr>
        <w:autoSpaceDE w:val="0"/>
        <w:autoSpaceDN w:val="0"/>
        <w:adjustRightInd w:val="0"/>
        <w:spacing w:line="360" w:lineRule="auto"/>
        <w:jc w:val="center"/>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附：法定代表人身份证的原件扫描件。</w:t>
      </w:r>
    </w:p>
    <w:p w14:paraId="04739F7E">
      <w:pPr>
        <w:spacing w:line="360" w:lineRule="auto"/>
        <w:rPr>
          <w:rFonts w:cs="仿宋_GB2312" w:asciiTheme="minorEastAsia" w:hAnsiTheme="minorEastAsia" w:eastAsiaTheme="minorEastAsia"/>
          <w:color w:val="auto"/>
          <w:szCs w:val="21"/>
          <w:highlight w:val="none"/>
        </w:rPr>
      </w:pPr>
    </w:p>
    <w:p w14:paraId="62BA48BD">
      <w:pPr>
        <w:spacing w:line="360" w:lineRule="auto"/>
        <w:rPr>
          <w:rFonts w:cs="仿宋_GB2312" w:asciiTheme="minorEastAsia" w:hAnsiTheme="minorEastAsia" w:eastAsiaTheme="minorEastAsia"/>
          <w:color w:val="auto"/>
          <w:szCs w:val="21"/>
          <w:highlight w:val="none"/>
        </w:rPr>
      </w:pPr>
    </w:p>
    <w:p w14:paraId="1F855BB2">
      <w:pPr>
        <w:spacing w:line="360" w:lineRule="auto"/>
        <w:rPr>
          <w:rFonts w:cs="仿宋_GB2312" w:asciiTheme="minorEastAsia" w:hAnsiTheme="minorEastAsia" w:eastAsiaTheme="minorEastAsia"/>
          <w:color w:val="auto"/>
          <w:szCs w:val="21"/>
          <w:highlight w:val="none"/>
        </w:rPr>
      </w:pPr>
    </w:p>
    <w:p w14:paraId="5A1B77C1">
      <w:pPr>
        <w:spacing w:line="360" w:lineRule="auto"/>
        <w:rPr>
          <w:rFonts w:cs="仿宋_GB2312" w:asciiTheme="minorEastAsia" w:hAnsiTheme="minorEastAsia" w:eastAsiaTheme="minorEastAsia"/>
          <w:color w:val="auto"/>
          <w:szCs w:val="21"/>
          <w:highlight w:val="none"/>
        </w:rPr>
      </w:pPr>
    </w:p>
    <w:p w14:paraId="6ACE1AE0">
      <w:pPr>
        <w:spacing w:line="360" w:lineRule="auto"/>
        <w:rPr>
          <w:rFonts w:cs="仿宋_GB2312" w:asciiTheme="minorEastAsia" w:hAnsiTheme="minorEastAsia" w:eastAsiaTheme="minorEastAsia"/>
          <w:color w:val="auto"/>
          <w:szCs w:val="21"/>
          <w:highlight w:val="none"/>
        </w:rPr>
      </w:pPr>
    </w:p>
    <w:p w14:paraId="7FE9F590">
      <w:pPr>
        <w:spacing w:line="360" w:lineRule="auto"/>
        <w:rPr>
          <w:rFonts w:cs="仿宋_GB2312" w:asciiTheme="minorEastAsia" w:hAnsiTheme="minorEastAsia" w:eastAsiaTheme="minorEastAsia"/>
          <w:color w:val="auto"/>
          <w:szCs w:val="21"/>
          <w:highlight w:val="none"/>
        </w:rPr>
      </w:pPr>
    </w:p>
    <w:p w14:paraId="4D7E8E9F">
      <w:pPr>
        <w:spacing w:line="360" w:lineRule="auto"/>
        <w:rPr>
          <w:rFonts w:cs="仿宋_GB2312" w:asciiTheme="minorEastAsia" w:hAnsiTheme="minorEastAsia" w:eastAsiaTheme="minorEastAsia"/>
          <w:color w:val="auto"/>
          <w:szCs w:val="21"/>
          <w:highlight w:val="none"/>
        </w:rPr>
      </w:pPr>
    </w:p>
    <w:p w14:paraId="0B32469A">
      <w:pPr>
        <w:spacing w:line="360" w:lineRule="auto"/>
        <w:rPr>
          <w:rFonts w:cs="仿宋_GB2312" w:asciiTheme="minorEastAsia" w:hAnsiTheme="minorEastAsia" w:eastAsiaTheme="minorEastAsia"/>
          <w:color w:val="auto"/>
          <w:szCs w:val="21"/>
          <w:highlight w:val="none"/>
        </w:rPr>
      </w:pPr>
    </w:p>
    <w:p w14:paraId="22CB3772">
      <w:pPr>
        <w:spacing w:line="360" w:lineRule="auto"/>
        <w:ind w:left="5457" w:leftChars="2362" w:right="525" w:hanging="497" w:hangingChars="237"/>
        <w:jc w:val="left"/>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691ADE6A">
      <w:pPr>
        <w:spacing w:line="360" w:lineRule="auto"/>
        <w:ind w:left="5457" w:leftChars="2362" w:right="525" w:hanging="497" w:hangingChars="237"/>
        <w:jc w:val="left"/>
        <w:rPr>
          <w:rFonts w:cs="仿宋_GB2312"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日 期：</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46D365B8">
      <w:pPr>
        <w:widowControl/>
        <w:spacing w:line="360" w:lineRule="auto"/>
        <w:jc w:val="left"/>
        <w:rPr>
          <w:rFonts w:cs="仿宋_GB2312" w:asciiTheme="minorEastAsia" w:hAnsiTheme="minorEastAsia" w:eastAsiaTheme="minorEastAsia"/>
          <w:color w:val="auto"/>
          <w:szCs w:val="21"/>
          <w:highlight w:val="none"/>
        </w:rPr>
      </w:pPr>
    </w:p>
    <w:p w14:paraId="4E2C4F19">
      <w:pPr>
        <w:rPr>
          <w:rFonts w:hint="eastAsia"/>
          <w:highlight w:val="none"/>
        </w:rPr>
      </w:pPr>
      <w:bookmarkStart w:id="1256" w:name="_Toc116584075"/>
      <w:r>
        <w:rPr>
          <w:rFonts w:hint="eastAsia"/>
          <w:highlight w:val="none"/>
        </w:rPr>
        <w:t>注：若以联合体参与磋商的，联合体各方均须提供。</w:t>
      </w:r>
    </w:p>
    <w:p w14:paraId="4232FC62">
      <w:pPr>
        <w:rPr>
          <w:rFonts w:hint="eastAsia"/>
          <w:highlight w:val="none"/>
        </w:rPr>
      </w:pPr>
      <w:r>
        <w:rPr>
          <w:rFonts w:hint="eastAsia"/>
          <w:highlight w:val="none"/>
        </w:rPr>
        <w:br w:type="page"/>
      </w:r>
    </w:p>
    <w:p w14:paraId="5D8EFDA5">
      <w:pPr>
        <w:spacing w:line="360" w:lineRule="auto"/>
        <w:jc w:val="center"/>
        <w:outlineLvl w:val="3"/>
        <w:rPr>
          <w:rFonts w:hint="eastAsia" w:cs="Times New Roman" w:asciiTheme="minorEastAsia" w:hAnsiTheme="minorEastAsia" w:eastAsiaTheme="minorEastAsia"/>
          <w:b/>
          <w:color w:val="auto"/>
          <w:sz w:val="28"/>
          <w:szCs w:val="28"/>
          <w:highlight w:val="none"/>
        </w:rPr>
      </w:pPr>
      <w:r>
        <w:rPr>
          <w:rFonts w:hint="eastAsia" w:cs="Times New Roman" w:asciiTheme="minorEastAsia" w:hAnsiTheme="minorEastAsia" w:eastAsiaTheme="minorEastAsia"/>
          <w:b/>
          <w:color w:val="auto"/>
          <w:sz w:val="28"/>
          <w:szCs w:val="28"/>
          <w:highlight w:val="none"/>
        </w:rPr>
        <w:t>2.授权委托书</w:t>
      </w:r>
      <w:bookmarkEnd w:id="1256"/>
    </w:p>
    <w:p w14:paraId="618A2360">
      <w:pPr>
        <w:spacing w:line="360" w:lineRule="auto"/>
        <w:jc w:val="center"/>
        <w:rPr>
          <w:rFonts w:hint="eastAsia" w:asciiTheme="minorEastAsia" w:hAnsiTheme="minorEastAsia" w:eastAsiaTheme="minorEastAsia"/>
          <w:color w:val="auto"/>
          <w:highlight w:val="none"/>
        </w:rPr>
      </w:pPr>
    </w:p>
    <w:p w14:paraId="49FD584E">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本人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（姓名）系</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（供应商名称）的法定代表人，现委托</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（姓名）为我方代理人。代理人根据授权，以我方名义签署、澄清、说明、补正、</w:t>
      </w:r>
      <w:r>
        <w:rPr>
          <w:rFonts w:hint="eastAsia" w:asciiTheme="minorEastAsia" w:hAnsiTheme="minorEastAsia" w:eastAsiaTheme="minorEastAsia"/>
          <w:color w:val="auto"/>
          <w:szCs w:val="28"/>
          <w:highlight w:val="none"/>
        </w:rPr>
        <w:t>提交</w:t>
      </w:r>
      <w:r>
        <w:rPr>
          <w:rFonts w:hint="eastAsia" w:cs="仿宋_GB2312" w:asciiTheme="minorEastAsia" w:hAnsiTheme="minorEastAsia" w:eastAsiaTheme="minorEastAsia"/>
          <w:color w:val="auto"/>
          <w:szCs w:val="21"/>
          <w:highlight w:val="none"/>
        </w:rPr>
        <w:t>、撤回、修改</w:t>
      </w:r>
      <w:r>
        <w:rPr>
          <w:rFonts w:hint="eastAsia" w:cs="仿宋_GB2312" w:asciiTheme="minorEastAsia" w:hAnsiTheme="minorEastAsia" w:eastAsiaTheme="minorEastAsia"/>
          <w:color w:val="auto"/>
          <w:szCs w:val="21"/>
          <w:highlight w:val="none"/>
          <w:u w:val="single"/>
          <w:lang w:val="en-US" w:eastAsia="zh-CN"/>
        </w:rPr>
        <w:t xml:space="preserve">         </w:t>
      </w:r>
      <w:r>
        <w:rPr>
          <w:rFonts w:hint="eastAsia" w:cs="仿宋_GB2312" w:asciiTheme="minorEastAsia" w:hAnsiTheme="minorEastAsia" w:eastAsiaTheme="minorEastAsia"/>
          <w:color w:val="auto"/>
          <w:szCs w:val="21"/>
          <w:highlight w:val="none"/>
          <w:u w:val="single"/>
        </w:rPr>
        <w:t>（项目名称）</w:t>
      </w:r>
      <w:r>
        <w:rPr>
          <w:rFonts w:hint="eastAsia" w:cs="仿宋_GB2312" w:asciiTheme="minorEastAsia" w:hAnsiTheme="minorEastAsia" w:eastAsiaTheme="minorEastAsia"/>
          <w:color w:val="auto"/>
          <w:szCs w:val="21"/>
          <w:highlight w:val="none"/>
        </w:rPr>
        <w:t>的响应文件，其法律后果由我方承担。</w:t>
      </w:r>
    </w:p>
    <w:p w14:paraId="03D7DAE5">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委托期限：</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w:t>
      </w:r>
    </w:p>
    <w:p w14:paraId="46B89380">
      <w:pPr>
        <w:spacing w:line="360" w:lineRule="auto"/>
        <w:ind w:firstLine="420" w:firstLineChars="200"/>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代理人无转委托权。</w:t>
      </w:r>
    </w:p>
    <w:p w14:paraId="1BF0F6AC">
      <w:pPr>
        <w:autoSpaceDE w:val="0"/>
        <w:autoSpaceDN w:val="0"/>
        <w:adjustRightInd w:val="0"/>
        <w:spacing w:line="360" w:lineRule="auto"/>
        <w:ind w:firstLine="420"/>
        <w:jc w:val="center"/>
        <w:rPr>
          <w:rFonts w:hint="eastAsia"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 xml:space="preserve">        </w:t>
      </w:r>
    </w:p>
    <w:p w14:paraId="4AEA3D96">
      <w:pPr>
        <w:autoSpaceDE w:val="0"/>
        <w:autoSpaceDN w:val="0"/>
        <w:adjustRightInd w:val="0"/>
        <w:spacing w:line="360" w:lineRule="auto"/>
        <w:jc w:val="center"/>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附：委托代理人身份证的原件扫描件。</w:t>
      </w:r>
    </w:p>
    <w:p w14:paraId="49A26BDD">
      <w:pPr>
        <w:spacing w:line="360" w:lineRule="auto"/>
        <w:ind w:firstLine="420" w:firstLineChars="200"/>
        <w:rPr>
          <w:rFonts w:cs="仿宋_GB2312" w:asciiTheme="minorEastAsia" w:hAnsiTheme="minorEastAsia" w:eastAsiaTheme="minorEastAsia"/>
          <w:color w:val="auto"/>
          <w:szCs w:val="21"/>
          <w:highlight w:val="none"/>
        </w:rPr>
      </w:pPr>
    </w:p>
    <w:p w14:paraId="212C9CB5">
      <w:pPr>
        <w:spacing w:line="360" w:lineRule="auto"/>
        <w:ind w:firstLine="420" w:firstLineChars="200"/>
        <w:rPr>
          <w:rFonts w:cs="仿宋_GB2312" w:asciiTheme="minorEastAsia" w:hAnsiTheme="minorEastAsia" w:eastAsiaTheme="minorEastAsia"/>
          <w:color w:val="auto"/>
          <w:szCs w:val="21"/>
          <w:highlight w:val="none"/>
        </w:rPr>
      </w:pPr>
    </w:p>
    <w:p w14:paraId="4784A2BF">
      <w:pPr>
        <w:spacing w:line="360" w:lineRule="auto"/>
        <w:rPr>
          <w:rFonts w:cs="仿宋_GB2312" w:asciiTheme="minorEastAsia" w:hAnsiTheme="minorEastAsia" w:eastAsiaTheme="minorEastAsia"/>
          <w:color w:val="auto"/>
          <w:szCs w:val="21"/>
          <w:highlight w:val="none"/>
        </w:rPr>
      </w:pPr>
    </w:p>
    <w:p w14:paraId="46644ECE">
      <w:pPr>
        <w:spacing w:line="360" w:lineRule="auto"/>
        <w:ind w:firstLine="420" w:firstLineChars="200"/>
        <w:rPr>
          <w:rFonts w:cs="仿宋_GB2312" w:asciiTheme="minorEastAsia" w:hAnsiTheme="minorEastAsia" w:eastAsiaTheme="minorEastAsia"/>
          <w:color w:val="auto"/>
          <w:szCs w:val="21"/>
          <w:highlight w:val="none"/>
        </w:rPr>
      </w:pPr>
    </w:p>
    <w:p w14:paraId="11301160">
      <w:pPr>
        <w:spacing w:line="360" w:lineRule="auto"/>
        <w:ind w:firstLine="539" w:firstLineChars="257"/>
        <w:rPr>
          <w:rFonts w:cs="仿宋_GB2312" w:asciiTheme="minorEastAsia" w:hAnsiTheme="minorEastAsia" w:eastAsiaTheme="minorEastAsia"/>
          <w:color w:val="auto"/>
          <w:szCs w:val="21"/>
          <w:highlight w:val="none"/>
        </w:rPr>
      </w:pPr>
    </w:p>
    <w:p w14:paraId="7C174FDC">
      <w:pPr>
        <w:spacing w:line="360" w:lineRule="auto"/>
        <w:ind w:firstLine="539" w:firstLineChars="257"/>
        <w:rPr>
          <w:rFonts w:cs="仿宋_GB2312" w:asciiTheme="minorEastAsia" w:hAnsiTheme="minorEastAsia" w:eastAsiaTheme="minorEastAsia"/>
          <w:color w:val="auto"/>
          <w:szCs w:val="21"/>
          <w:highlight w:val="none"/>
        </w:rPr>
      </w:pPr>
    </w:p>
    <w:p w14:paraId="255FAFC6">
      <w:pPr>
        <w:spacing w:line="360" w:lineRule="auto"/>
        <w:ind w:firstLine="539" w:firstLineChars="257"/>
        <w:rPr>
          <w:rFonts w:cs="仿宋_GB2312" w:asciiTheme="minorEastAsia" w:hAnsiTheme="minorEastAsia" w:eastAsiaTheme="minorEastAsia"/>
          <w:color w:val="auto"/>
          <w:szCs w:val="21"/>
          <w:highlight w:val="none"/>
        </w:rPr>
      </w:pPr>
    </w:p>
    <w:p w14:paraId="62E6F45A">
      <w:pPr>
        <w:spacing w:line="360" w:lineRule="auto"/>
        <w:ind w:firstLine="539" w:firstLineChars="257"/>
        <w:rPr>
          <w:rFonts w:cs="仿宋_GB2312" w:asciiTheme="minorEastAsia" w:hAnsiTheme="minorEastAsia" w:eastAsiaTheme="minorEastAsia"/>
          <w:color w:val="auto"/>
          <w:szCs w:val="21"/>
          <w:highlight w:val="none"/>
        </w:rPr>
      </w:pPr>
    </w:p>
    <w:p w14:paraId="51390E17">
      <w:pPr>
        <w:spacing w:line="360" w:lineRule="auto"/>
        <w:ind w:right="420" w:firstLine="4095" w:firstLineChars="1950"/>
        <w:jc w:val="left"/>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供应商：</w:t>
      </w:r>
      <w:r>
        <w:rPr>
          <w:rFonts w:hint="eastAsia" w:cs="仿宋_GB2312"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14DE69B1">
      <w:pPr>
        <w:wordWrap w:val="0"/>
        <w:spacing w:line="360" w:lineRule="auto"/>
        <w:ind w:right="420" w:firstLine="4095" w:firstLineChars="1950"/>
        <w:jc w:val="left"/>
        <w:rPr>
          <w:rFonts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法定代表人：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r>
        <w:rPr>
          <w:rFonts w:hint="eastAsia" w:cs="仿宋_GB2312" w:asciiTheme="minorEastAsia" w:hAnsiTheme="minorEastAsia" w:eastAsiaTheme="minorEastAsia"/>
          <w:color w:val="auto"/>
          <w:szCs w:val="21"/>
          <w:highlight w:val="none"/>
          <w:u w:val="single"/>
        </w:rPr>
        <w:t>）</w:t>
      </w:r>
    </w:p>
    <w:p w14:paraId="33895CE8">
      <w:pPr>
        <w:wordWrap w:val="0"/>
        <w:spacing w:line="360" w:lineRule="auto"/>
        <w:ind w:right="464" w:firstLine="4095" w:firstLineChars="1950"/>
        <w:jc w:val="left"/>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身份证号码：</w:t>
      </w:r>
      <w:r>
        <w:rPr>
          <w:rFonts w:hint="eastAsia" w:cs="仿宋_GB2312" w:asciiTheme="minorEastAsia" w:hAnsiTheme="minorEastAsia" w:eastAsiaTheme="minorEastAsia"/>
          <w:color w:val="auto"/>
          <w:szCs w:val="21"/>
          <w:highlight w:val="none"/>
          <w:u w:val="single"/>
        </w:rPr>
        <w:t xml:space="preserve">                         </w:t>
      </w:r>
    </w:p>
    <w:p w14:paraId="37BDED33">
      <w:pPr>
        <w:wordWrap w:val="0"/>
        <w:spacing w:line="360" w:lineRule="auto"/>
        <w:ind w:right="420" w:firstLine="4095" w:firstLineChars="1950"/>
        <w:jc w:val="left"/>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授权委托人：</w:t>
      </w:r>
      <w:r>
        <w:rPr>
          <w:rFonts w:hint="eastAsia" w:cs="仿宋_GB2312" w:asciiTheme="minorEastAsia" w:hAnsiTheme="minorEastAsia" w:eastAsiaTheme="minorEastAsia"/>
          <w:color w:val="auto"/>
          <w:szCs w:val="21"/>
          <w:highlight w:val="none"/>
          <w:u w:val="single"/>
        </w:rPr>
        <w:t xml:space="preserve">                 </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u w:val="single"/>
        </w:rPr>
        <w:t xml:space="preserve"> </w:t>
      </w:r>
    </w:p>
    <w:p w14:paraId="0C418ADB">
      <w:pPr>
        <w:wordWrap w:val="0"/>
        <w:spacing w:line="360" w:lineRule="auto"/>
        <w:ind w:right="464" w:firstLine="4095" w:firstLineChars="1950"/>
        <w:jc w:val="left"/>
        <w:rPr>
          <w:rFonts w:cs="仿宋_GB2312" w:asciiTheme="minorEastAsia" w:hAnsiTheme="minorEastAsia" w:eastAsiaTheme="minorEastAsia"/>
          <w:color w:val="auto"/>
          <w:szCs w:val="21"/>
          <w:highlight w:val="none"/>
          <w:u w:val="single"/>
        </w:rPr>
      </w:pPr>
      <w:r>
        <w:rPr>
          <w:rFonts w:hint="eastAsia" w:cs="仿宋_GB2312" w:asciiTheme="minorEastAsia" w:hAnsiTheme="minorEastAsia" w:eastAsiaTheme="minorEastAsia"/>
          <w:color w:val="auto"/>
          <w:szCs w:val="21"/>
          <w:highlight w:val="none"/>
        </w:rPr>
        <w:t>身份证号码：</w:t>
      </w:r>
      <w:r>
        <w:rPr>
          <w:rFonts w:hint="eastAsia" w:cs="仿宋_GB2312" w:asciiTheme="minorEastAsia" w:hAnsiTheme="minorEastAsia" w:eastAsiaTheme="minorEastAsia"/>
          <w:color w:val="auto"/>
          <w:szCs w:val="21"/>
          <w:highlight w:val="none"/>
          <w:u w:val="single"/>
        </w:rPr>
        <w:t xml:space="preserve">                         </w:t>
      </w:r>
    </w:p>
    <w:p w14:paraId="4978B86B">
      <w:pPr>
        <w:wordWrap w:val="0"/>
        <w:spacing w:line="360" w:lineRule="auto"/>
        <w:ind w:right="464" w:firstLine="4095" w:firstLineChars="1950"/>
        <w:jc w:val="left"/>
        <w:rPr>
          <w:rFonts w:cs="仿宋_GB2312"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14:paraId="3747B7F0">
      <w:pPr>
        <w:spacing w:before="60" w:after="60" w:line="360" w:lineRule="auto"/>
        <w:ind w:right="840"/>
        <w:jc w:val="center"/>
        <w:rPr>
          <w:rFonts w:asciiTheme="minorEastAsia" w:hAnsiTheme="minorEastAsia" w:eastAsiaTheme="minorEastAsia"/>
          <w:color w:val="auto"/>
          <w:szCs w:val="21"/>
          <w:highlight w:val="none"/>
        </w:rPr>
      </w:pPr>
    </w:p>
    <w:p w14:paraId="55684E93">
      <w:pPr>
        <w:spacing w:line="360" w:lineRule="auto"/>
        <w:ind w:right="420"/>
        <w:rPr>
          <w:rFonts w:cs="仿宋_GB2312" w:asciiTheme="minorEastAsia" w:hAnsiTheme="minorEastAsia" w:eastAsiaTheme="minorEastAsia"/>
          <w:b/>
          <w:color w:val="auto"/>
          <w:szCs w:val="21"/>
          <w:highlight w:val="none"/>
        </w:rPr>
      </w:pPr>
    </w:p>
    <w:p w14:paraId="1D9B35D2">
      <w:pPr>
        <w:spacing w:line="360" w:lineRule="auto"/>
        <w:ind w:right="420" w:firstLine="422" w:firstLineChars="200"/>
        <w:rPr>
          <w:rFonts w:hint="eastAsia"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t>注：1.如供应商由法定代表人亲自签署响应文件并参与相关活动，则不需要办理授权；如有被授权的代理人签署上述文件，则必须按本格式规定填报并提交授权书，否则被授权的代理人将不被认可。</w:t>
      </w:r>
    </w:p>
    <w:p w14:paraId="666C79A7">
      <w:pPr>
        <w:spacing w:line="360" w:lineRule="auto"/>
        <w:ind w:right="420" w:firstLine="843" w:firstLineChars="400"/>
        <w:rPr>
          <w:rFonts w:cs="仿宋_GB2312" w:asciiTheme="minorEastAsia" w:hAnsiTheme="minorEastAsia" w:eastAsiaTheme="minorEastAsia"/>
          <w:b/>
          <w:bCs/>
          <w:szCs w:val="21"/>
        </w:rPr>
      </w:pPr>
      <w:r>
        <w:rPr>
          <w:rFonts w:hint="eastAsia" w:cs="仿宋_GB2312" w:asciiTheme="minorEastAsia" w:hAnsiTheme="minorEastAsia" w:eastAsiaTheme="minorEastAsia"/>
          <w:b/>
          <w:bCs/>
          <w:szCs w:val="21"/>
        </w:rPr>
        <w:t>2.若为联合体参与磋商的，本授权委托书应由联合体牵头人的法定代表人按上述规定签署。</w:t>
      </w:r>
    </w:p>
    <w:p w14:paraId="18B8F465">
      <w:pPr>
        <w:rPr>
          <w:rFonts w:hint="eastAsia" w:cs="仿宋_GB2312" w:asciiTheme="minorEastAsia" w:hAnsiTheme="minorEastAsia" w:eastAsiaTheme="minorEastAsia"/>
          <w:b/>
          <w:bCs/>
          <w:color w:val="auto"/>
          <w:szCs w:val="21"/>
          <w:highlight w:val="none"/>
        </w:rPr>
      </w:pPr>
      <w:r>
        <w:rPr>
          <w:rFonts w:hint="eastAsia" w:cs="仿宋_GB2312" w:asciiTheme="minorEastAsia" w:hAnsiTheme="minorEastAsia" w:eastAsiaTheme="minorEastAsia"/>
          <w:b/>
          <w:bCs/>
          <w:color w:val="auto"/>
          <w:szCs w:val="21"/>
          <w:highlight w:val="none"/>
        </w:rPr>
        <w:br w:type="page"/>
      </w:r>
    </w:p>
    <w:p w14:paraId="7D7C9D9F">
      <w:pPr>
        <w:spacing w:line="360" w:lineRule="auto"/>
        <w:jc w:val="center"/>
        <w:outlineLvl w:val="2"/>
        <w:rPr>
          <w:rFonts w:hint="eastAsia" w:cs="Times New Roman" w:asciiTheme="minorEastAsia" w:hAnsiTheme="minorEastAsia" w:eastAsiaTheme="minorEastAsia"/>
          <w:b/>
          <w:color w:val="auto"/>
          <w:sz w:val="28"/>
          <w:szCs w:val="28"/>
          <w:highlight w:val="none"/>
        </w:rPr>
      </w:pPr>
      <w:bookmarkStart w:id="1257" w:name="_Toc20590"/>
      <w:bookmarkStart w:id="1258" w:name="_Toc15630"/>
      <w:bookmarkStart w:id="1259" w:name="_Toc152045793"/>
      <w:bookmarkStart w:id="1260" w:name="_Toc7407"/>
      <w:bookmarkStart w:id="1261" w:name="_Toc31051"/>
      <w:bookmarkStart w:id="1262" w:name="_Toc247527833"/>
      <w:bookmarkStart w:id="1263" w:name="_Toc8629"/>
      <w:bookmarkStart w:id="1264" w:name="_Toc5292"/>
      <w:bookmarkStart w:id="1265" w:name="_Toc247514285"/>
      <w:bookmarkStart w:id="1266" w:name="_Toc32344"/>
      <w:bookmarkStart w:id="1267" w:name="_Toc152042582"/>
      <w:bookmarkStart w:id="1268" w:name="_Toc30046"/>
      <w:bookmarkStart w:id="1269" w:name="_Toc12599"/>
      <w:bookmarkStart w:id="1270" w:name="_Toc116584077"/>
      <w:r>
        <w:rPr>
          <w:rFonts w:hint="eastAsia" w:cs="Times New Roman" w:asciiTheme="minorEastAsia" w:hAnsiTheme="minorEastAsia" w:eastAsiaTheme="minorEastAsia"/>
          <w:b/>
          <w:color w:val="auto"/>
          <w:sz w:val="28"/>
          <w:szCs w:val="28"/>
          <w:highlight w:val="none"/>
          <w:lang w:eastAsia="zh-CN"/>
        </w:rPr>
        <w:t>（三）</w:t>
      </w:r>
      <w:r>
        <w:rPr>
          <w:rFonts w:hint="eastAsia" w:cs="Times New Roman" w:asciiTheme="minorEastAsia" w:hAnsiTheme="minorEastAsia" w:eastAsiaTheme="minorEastAsia"/>
          <w:b/>
          <w:color w:val="auto"/>
          <w:sz w:val="28"/>
          <w:szCs w:val="28"/>
          <w:highlight w:val="none"/>
        </w:rPr>
        <w:t>联合体协议书</w:t>
      </w:r>
      <w:bookmarkEnd w:id="1257"/>
      <w:bookmarkEnd w:id="1258"/>
      <w:bookmarkEnd w:id="1259"/>
      <w:bookmarkEnd w:id="1260"/>
      <w:bookmarkEnd w:id="1261"/>
      <w:bookmarkEnd w:id="1262"/>
      <w:bookmarkEnd w:id="1263"/>
      <w:bookmarkEnd w:id="1264"/>
      <w:bookmarkEnd w:id="1265"/>
      <w:bookmarkEnd w:id="1266"/>
      <w:bookmarkEnd w:id="1267"/>
      <w:bookmarkEnd w:id="1268"/>
      <w:bookmarkEnd w:id="1269"/>
    </w:p>
    <w:p w14:paraId="29108B9A">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（所有成员单位名称）自愿组成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（联合体名称）联合体，共同参加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（项目名称）</w:t>
      </w:r>
      <w:r>
        <w:rPr>
          <w:rFonts w:hint="eastAsia" w:ascii="宋体" w:hAnsi="宋体" w:eastAsia="宋体" w:cs="宋体"/>
          <w:color w:val="auto"/>
          <w:szCs w:val="21"/>
          <w:highlight w:val="none"/>
          <w:lang w:val="en-US" w:eastAsia="zh-CN"/>
        </w:rPr>
        <w:t>磋商响应</w:t>
      </w:r>
      <w:r>
        <w:rPr>
          <w:rFonts w:hint="eastAsia" w:ascii="宋体" w:hAnsi="宋体" w:eastAsia="宋体" w:cs="宋体"/>
          <w:color w:val="auto"/>
          <w:szCs w:val="21"/>
          <w:highlight w:val="none"/>
        </w:rPr>
        <w:t>。现就联合体投标事宜订立如下协议。</w:t>
      </w:r>
    </w:p>
    <w:p w14:paraId="30C5B66E">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（某成员单位名称）为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（联合体名称）牵头人。</w:t>
      </w:r>
    </w:p>
    <w:p w14:paraId="130B875E">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eastAsia="宋体" w:cs="宋体"/>
          <w:color w:val="auto"/>
          <w:szCs w:val="21"/>
          <w:highlight w:val="none"/>
        </w:rPr>
        <w:t>联合体牵头人合法代表联合体各成员负责本项目</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文件编制和合同谈判活动，并代表联合体提交和接收相关的资料、信息及指示，并处理与之有关的一切事务，负责合同实施阶段的主办、组织和协调工作。</w:t>
      </w:r>
    </w:p>
    <w:p w14:paraId="0ABAE848">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eastAsia="宋体" w:cs="宋体"/>
          <w:color w:val="auto"/>
          <w:szCs w:val="21"/>
          <w:highlight w:val="none"/>
        </w:rPr>
        <w:t>联合体将严格按照</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文件的各项要求，递交</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文件，履行合同，并对外承担连带责任。</w:t>
      </w:r>
    </w:p>
    <w:p w14:paraId="34CB8BD4">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4.</w:t>
      </w:r>
      <w:r>
        <w:rPr>
          <w:rFonts w:hint="eastAsia" w:ascii="宋体" w:hAnsi="宋体" w:eastAsia="宋体" w:cs="宋体"/>
          <w:color w:val="auto"/>
          <w:szCs w:val="21"/>
          <w:highlight w:val="none"/>
        </w:rPr>
        <w:t>联合体各成员单位内部的职责分工如下：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9760BC0">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5.</w:t>
      </w:r>
      <w:r>
        <w:rPr>
          <w:rFonts w:hint="eastAsia" w:ascii="宋体" w:hAnsi="宋体" w:eastAsia="宋体" w:cs="宋体"/>
          <w:color w:val="auto"/>
          <w:szCs w:val="21"/>
          <w:highlight w:val="none"/>
        </w:rPr>
        <w:t xml:space="preserve">本协议书自签署之日起生效，合同履行完毕后自动失效。 </w:t>
      </w:r>
    </w:p>
    <w:p w14:paraId="6974086E">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6.</w:t>
      </w:r>
      <w:r>
        <w:rPr>
          <w:rFonts w:hint="eastAsia" w:ascii="宋体" w:hAnsi="宋体" w:eastAsia="宋体" w:cs="宋体"/>
          <w:color w:val="auto"/>
          <w:szCs w:val="21"/>
          <w:highlight w:val="none"/>
        </w:rPr>
        <w:t>本协议书一式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份，联合体成员和招标人各执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份。</w:t>
      </w:r>
    </w:p>
    <w:p w14:paraId="7B4F5265">
      <w:pPr>
        <w:topLinePunct/>
        <w:spacing w:line="440" w:lineRule="exact"/>
        <w:rPr>
          <w:rFonts w:hint="eastAsia" w:ascii="宋体" w:hAnsi="宋体" w:eastAsia="宋体" w:cs="宋体"/>
          <w:color w:val="auto"/>
          <w:szCs w:val="21"/>
          <w:highlight w:val="none"/>
        </w:rPr>
      </w:pPr>
    </w:p>
    <w:p w14:paraId="77E8C4D3">
      <w:pPr>
        <w:topLinePunct/>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注：本协议书由委托代理人签字的，应附法定代表人签字的授权委托书。</w:t>
      </w:r>
    </w:p>
    <w:p w14:paraId="7C35B851">
      <w:pPr>
        <w:topLinePunct/>
        <w:spacing w:line="440" w:lineRule="exact"/>
        <w:rPr>
          <w:rFonts w:hint="eastAsia" w:ascii="宋体" w:hAnsi="宋体" w:eastAsia="宋体" w:cs="宋体"/>
          <w:color w:val="auto"/>
          <w:szCs w:val="21"/>
          <w:highlight w:val="none"/>
        </w:rPr>
      </w:pPr>
    </w:p>
    <w:p w14:paraId="7EF5DD14">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牵头人名称：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5B7EF16E">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6E06ADD7">
      <w:pPr>
        <w:topLinePunct/>
        <w:spacing w:line="440" w:lineRule="exact"/>
        <w:rPr>
          <w:rFonts w:hint="eastAsia" w:ascii="宋体" w:hAnsi="宋体" w:eastAsia="宋体" w:cs="宋体"/>
          <w:color w:val="auto"/>
          <w:szCs w:val="21"/>
          <w:highlight w:val="none"/>
        </w:rPr>
      </w:pPr>
    </w:p>
    <w:p w14:paraId="5924FFF3">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成员一名称：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45E7788A">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（签章）</w:t>
      </w:r>
    </w:p>
    <w:p w14:paraId="3997411E">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754BC6EE">
      <w:pPr>
        <w:topLinePunct/>
        <w:spacing w:line="440" w:lineRule="exact"/>
        <w:rPr>
          <w:rFonts w:hint="eastAsia" w:ascii="宋体" w:hAnsi="宋体" w:eastAsia="宋体" w:cs="宋体"/>
          <w:color w:val="auto"/>
          <w:szCs w:val="21"/>
          <w:highlight w:val="none"/>
        </w:rPr>
      </w:pPr>
    </w:p>
    <w:p w14:paraId="12CBB3CA">
      <w:pPr>
        <w:topLinePunc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5D668FF7">
      <w:pPr>
        <w:topLinePunct/>
        <w:spacing w:line="440" w:lineRule="exact"/>
        <w:rPr>
          <w:rFonts w:hint="eastAsia" w:ascii="宋体" w:hAnsi="宋体" w:eastAsia="宋体" w:cs="宋体"/>
          <w:color w:val="auto"/>
          <w:szCs w:val="21"/>
          <w:highlight w:val="none"/>
        </w:rPr>
      </w:pPr>
    </w:p>
    <w:p w14:paraId="6FF7028D">
      <w:pPr>
        <w:ind w:firstLine="2879" w:firstLineChars="1371"/>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BFB9A63">
      <w:pPr>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18165E4F">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四</w:t>
      </w:r>
      <w:r>
        <w:rPr>
          <w:rFonts w:hint="eastAsia" w:asciiTheme="minorEastAsia" w:hAnsiTheme="minorEastAsia" w:eastAsiaTheme="minorEastAsia"/>
          <w:b/>
          <w:color w:val="auto"/>
          <w:sz w:val="28"/>
          <w:szCs w:val="28"/>
          <w:highlight w:val="none"/>
        </w:rPr>
        <w:t>）供应商承诺</w:t>
      </w:r>
      <w:r>
        <w:rPr>
          <w:rFonts w:asciiTheme="minorEastAsia" w:hAnsiTheme="minorEastAsia" w:eastAsiaTheme="minorEastAsia"/>
          <w:b/>
          <w:color w:val="auto"/>
          <w:sz w:val="28"/>
          <w:szCs w:val="28"/>
          <w:highlight w:val="none"/>
        </w:rPr>
        <w:t>书</w:t>
      </w:r>
      <w:bookmarkEnd w:id="1270"/>
    </w:p>
    <w:p w14:paraId="2D2CAA2F">
      <w:pPr>
        <w:pStyle w:val="151"/>
        <w:spacing w:line="360" w:lineRule="auto"/>
        <w:jc w:val="center"/>
        <w:rPr>
          <w:rFonts w:asciiTheme="minorEastAsia" w:hAnsiTheme="minorEastAsia" w:eastAsiaTheme="minorEastAsia"/>
          <w:color w:val="auto"/>
          <w:highlight w:val="none"/>
          <w:u w:val="single"/>
          <w:lang w:val="zh-CN"/>
        </w:rPr>
      </w:pPr>
    </w:p>
    <w:p w14:paraId="25898A5E">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我方</w:t>
      </w:r>
      <w:r>
        <w:rPr>
          <w:rFonts w:hint="eastAsia" w:cs="宋体" w:asciiTheme="minorEastAsia" w:hAnsiTheme="minorEastAsia" w:eastAsiaTheme="minorEastAsia"/>
          <w:color w:val="auto"/>
          <w:szCs w:val="21"/>
          <w:highlight w:val="none"/>
          <w:u w:val="single"/>
        </w:rPr>
        <w:t xml:space="preserve">   （供应商名称）   </w:t>
      </w:r>
      <w:r>
        <w:rPr>
          <w:rFonts w:hint="eastAsia" w:asciiTheme="minorEastAsia" w:hAnsiTheme="minorEastAsia" w:eastAsiaTheme="minorEastAsia"/>
          <w:color w:val="auto"/>
          <w:highlight w:val="none"/>
          <w:lang w:val="zh-CN"/>
        </w:rPr>
        <w:t>参与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highlight w:val="none"/>
          <w:u w:val="single"/>
          <w:lang w:val="zh-CN"/>
        </w:rPr>
        <w:t xml:space="preserve">项目名称） </w:t>
      </w:r>
      <w:r>
        <w:rPr>
          <w:rFonts w:asciiTheme="minorEastAsia" w:hAnsiTheme="minorEastAsia" w:eastAsiaTheme="minorEastAsia"/>
          <w:color w:val="auto"/>
          <w:highlight w:val="none"/>
          <w:u w:val="single"/>
          <w:lang w:val="zh-CN"/>
        </w:rPr>
        <w:t xml:space="preserve">  </w:t>
      </w:r>
      <w:r>
        <w:rPr>
          <w:rFonts w:hint="eastAsia" w:asciiTheme="minorEastAsia" w:hAnsiTheme="minorEastAsia" w:eastAsiaTheme="minorEastAsia"/>
          <w:color w:val="auto"/>
          <w:highlight w:val="none"/>
          <w:lang w:val="zh-CN"/>
        </w:rPr>
        <w:t>的竞争性磋商，现作如下承诺：</w:t>
      </w:r>
    </w:p>
    <w:p w14:paraId="288E01F4">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1.我方参与此次磋商活动所提交的所有资料都是合法、真实、有效的。</w:t>
      </w:r>
    </w:p>
    <w:p w14:paraId="6AEDC441">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2.不与其他</w:t>
      </w:r>
      <w:r>
        <w:rPr>
          <w:rFonts w:hint="eastAsia" w:asciiTheme="minorEastAsia" w:hAnsiTheme="minorEastAsia" w:eastAsiaTheme="minorEastAsia"/>
          <w:bCs/>
          <w:color w:val="auto"/>
          <w:szCs w:val="21"/>
          <w:highlight w:val="none"/>
        </w:rPr>
        <w:t>供应商</w:t>
      </w:r>
      <w:r>
        <w:rPr>
          <w:rFonts w:hint="eastAsia" w:asciiTheme="minorEastAsia" w:hAnsiTheme="minorEastAsia" w:eastAsiaTheme="minorEastAsia"/>
          <w:color w:val="auto"/>
          <w:highlight w:val="none"/>
          <w:lang w:val="zh-CN"/>
        </w:rPr>
        <w:t>串通磋商、围标，依法、依规公平竞争，不损害采购人或其他供应商的合法权益。</w:t>
      </w:r>
    </w:p>
    <w:p w14:paraId="3E8EF0EB">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3.不转让、出租、出借资质证书、人员岗位证书，不以法律法规禁止的方式磋商。</w:t>
      </w:r>
    </w:p>
    <w:p w14:paraId="0CBD323A">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4.不与采购人或采购代理机构串通磋商，不损害国家利益、社会公共利益或其他当事人的合法权益。</w:t>
      </w:r>
    </w:p>
    <w:p w14:paraId="513CA027">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5.不向采购人、磋商</w:t>
      </w:r>
      <w:r>
        <w:rPr>
          <w:rFonts w:hint="eastAsia" w:asciiTheme="minorEastAsia" w:hAnsiTheme="minorEastAsia" w:eastAsiaTheme="minorEastAsia"/>
          <w:color w:val="auto"/>
          <w:highlight w:val="none"/>
          <w:lang w:val="en-US" w:eastAsia="zh-CN"/>
        </w:rPr>
        <w:t>评审</w:t>
      </w:r>
      <w:r>
        <w:rPr>
          <w:rFonts w:hint="eastAsia" w:asciiTheme="minorEastAsia" w:hAnsiTheme="minorEastAsia" w:eastAsiaTheme="minorEastAsia"/>
          <w:color w:val="auto"/>
          <w:highlight w:val="none"/>
          <w:lang w:val="zh-CN"/>
        </w:rPr>
        <w:t>小组成员、监督人员行贿。</w:t>
      </w:r>
    </w:p>
    <w:p w14:paraId="1DD8E424">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6.不扰乱交易活动正常秩序。</w:t>
      </w:r>
    </w:p>
    <w:p w14:paraId="24B5091B">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7.不进行虚假恶意投诉。</w:t>
      </w:r>
    </w:p>
    <w:p w14:paraId="502B03FC">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8.因违反法律法规或相关规定被查处的，不干预案件查处。</w:t>
      </w:r>
    </w:p>
    <w:p w14:paraId="1D44B6B6">
      <w:pPr>
        <w:pStyle w:val="151"/>
        <w:spacing w:line="360" w:lineRule="auto"/>
        <w:ind w:firstLine="420" w:firstLineChars="200"/>
        <w:rPr>
          <w:rFonts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t>如出现违法、违规或不良行为，自愿接受监督管理部门、纪检监察机关或司法机关调查处理。违法、违规或不良行为事实成立的，我方将依法承担相关责任。给采购人造成损失的，依法承担赔偿责任。</w:t>
      </w:r>
    </w:p>
    <w:p w14:paraId="702227A0">
      <w:pPr>
        <w:pStyle w:val="151"/>
        <w:spacing w:line="360" w:lineRule="auto"/>
        <w:ind w:firstLine="420" w:firstLineChars="200"/>
        <w:rPr>
          <w:rFonts w:asciiTheme="minorEastAsia" w:hAnsiTheme="minorEastAsia" w:eastAsiaTheme="minorEastAsia"/>
          <w:color w:val="auto"/>
          <w:highlight w:val="none"/>
          <w:lang w:val="zh-CN"/>
        </w:rPr>
      </w:pPr>
    </w:p>
    <w:p w14:paraId="69571836">
      <w:pPr>
        <w:pStyle w:val="151"/>
        <w:spacing w:line="360" w:lineRule="auto"/>
        <w:ind w:firstLine="420" w:firstLineChars="200"/>
        <w:rPr>
          <w:rFonts w:asciiTheme="minorEastAsia" w:hAnsiTheme="minorEastAsia" w:eastAsiaTheme="minorEastAsia"/>
          <w:color w:val="auto"/>
          <w:highlight w:val="none"/>
          <w:lang w:val="zh-CN"/>
        </w:rPr>
      </w:pPr>
    </w:p>
    <w:p w14:paraId="4D48CFD2">
      <w:pPr>
        <w:pStyle w:val="151"/>
        <w:spacing w:line="360" w:lineRule="auto"/>
        <w:ind w:firstLine="420" w:firstLineChars="200"/>
        <w:rPr>
          <w:rFonts w:asciiTheme="minorEastAsia" w:hAnsiTheme="minorEastAsia" w:eastAsiaTheme="minorEastAsia"/>
          <w:color w:val="auto"/>
          <w:highlight w:val="none"/>
          <w:lang w:val="zh-CN"/>
        </w:rPr>
      </w:pPr>
    </w:p>
    <w:p w14:paraId="14204DB3">
      <w:pPr>
        <w:spacing w:line="480" w:lineRule="auto"/>
        <w:ind w:right="105" w:firstLine="2730" w:firstLineChars="1300"/>
        <w:rPr>
          <w:rFonts w:asciiTheme="minorEastAsia" w:hAnsiTheme="minorEastAsia" w:eastAsiaTheme="minorEastAsia"/>
          <w:szCs w:val="21"/>
          <w:u w:val="single"/>
        </w:rPr>
      </w:pPr>
      <w:r>
        <w:rPr>
          <w:rFonts w:hint="eastAsia" w:asciiTheme="minorEastAsia" w:hAnsiTheme="minorEastAsia" w:eastAsiaTheme="minorEastAsia"/>
          <w:szCs w:val="21"/>
          <w:highlight w:val="none"/>
        </w:rPr>
        <w:t>供应商（或联合体牵头人</w:t>
      </w:r>
      <w:bookmarkStart w:id="1271" w:name="OLE_LINK6"/>
      <w:r>
        <w:rPr>
          <w:rFonts w:hint="eastAsia" w:asciiTheme="minorEastAsia" w:hAnsiTheme="minorEastAsia" w:eastAsiaTheme="minorEastAsia"/>
          <w:szCs w:val="21"/>
          <w:highlight w:val="none"/>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（电子签章）</w:t>
      </w:r>
      <w:bookmarkEnd w:id="1271"/>
    </w:p>
    <w:p w14:paraId="460F0C92">
      <w:pPr>
        <w:spacing w:line="480" w:lineRule="auto"/>
        <w:ind w:firstLine="2730" w:firstLineChars="1300"/>
        <w:rPr>
          <w:rFonts w:asciiTheme="minorEastAsia" w:hAnsiTheme="minorEastAsia" w:eastAsiaTheme="minorEastAsia"/>
          <w:szCs w:val="21"/>
          <w:u w:val="single"/>
        </w:rPr>
      </w:pPr>
      <w:r>
        <w:rPr>
          <w:rFonts w:hint="eastAsia" w:asciiTheme="minorEastAsia" w:hAnsiTheme="minorEastAsia" w:eastAsiaTheme="minorEastAsia"/>
          <w:szCs w:val="21"/>
        </w:rPr>
        <w:t>法定代表人：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（电子签章）</w:t>
      </w:r>
    </w:p>
    <w:p w14:paraId="1977C23A">
      <w:pPr>
        <w:widowControl/>
        <w:ind w:firstLine="2730" w:firstLineChars="1300"/>
        <w:jc w:val="left"/>
        <w:rPr>
          <w:rFonts w:asciiTheme="minorEastAsia" w:hAnsiTheme="minorEastAsia" w:eastAsiaTheme="minorEastAsia"/>
          <w:szCs w:val="21"/>
        </w:rPr>
      </w:pPr>
      <w:r>
        <w:rPr>
          <w:rFonts w:hint="eastAsia" w:asciiTheme="minorEastAsia" w:hAnsiTheme="minorEastAsia" w:eastAsiaTheme="minorEastAsia"/>
          <w:szCs w:val="21"/>
        </w:rPr>
        <w:t>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76E9A54A">
      <w:pPr>
        <w:pStyle w:val="6"/>
        <w:spacing w:line="360" w:lineRule="auto"/>
        <w:ind w:firstLine="0"/>
        <w:rPr>
          <w:rFonts w:asciiTheme="minorEastAsia" w:hAnsiTheme="minorEastAsia" w:eastAsiaTheme="minorEastAsia"/>
          <w:color w:val="auto"/>
          <w:highlight w:val="none"/>
        </w:rPr>
      </w:pPr>
    </w:p>
    <w:bookmarkEnd w:id="1251"/>
    <w:bookmarkEnd w:id="1252"/>
    <w:p w14:paraId="6367DC2E">
      <w:pPr>
        <w:rPr>
          <w:rFonts w:asciiTheme="minorEastAsia" w:hAnsiTheme="minorEastAsia" w:eastAsiaTheme="minorEastAsia"/>
          <w:b/>
          <w:color w:val="auto"/>
          <w:sz w:val="28"/>
          <w:szCs w:val="28"/>
          <w:highlight w:val="none"/>
        </w:rPr>
      </w:pPr>
      <w:bookmarkStart w:id="1272" w:name="_Toc103586119"/>
      <w:bookmarkStart w:id="1273" w:name="_Toc65244969"/>
      <w:bookmarkStart w:id="1274" w:name="_Toc77683060"/>
      <w:bookmarkStart w:id="1275" w:name="_Toc110405209"/>
      <w:bookmarkStart w:id="1276" w:name="_Toc89820110"/>
      <w:bookmarkStart w:id="1277" w:name="_Toc103579236"/>
      <w:bookmarkStart w:id="1278" w:name="_Toc103586010"/>
      <w:bookmarkStart w:id="1279" w:name="_Toc91516421"/>
      <w:bookmarkStart w:id="1280" w:name="_Toc45976970"/>
      <w:bookmarkStart w:id="1281" w:name="_Toc56502683"/>
      <w:bookmarkStart w:id="1282" w:name="_Toc20609"/>
      <w:bookmarkStart w:id="1283" w:name="_Toc116584080"/>
      <w:bookmarkStart w:id="1284" w:name="_Toc109809397"/>
      <w:r>
        <w:rPr>
          <w:rFonts w:hint="eastAsia" w:asciiTheme="minorEastAsia" w:hAnsiTheme="minorEastAsia" w:eastAsiaTheme="minorEastAsia"/>
          <w:b/>
          <w:color w:val="auto"/>
          <w:sz w:val="28"/>
          <w:szCs w:val="28"/>
          <w:highlight w:val="none"/>
        </w:rPr>
        <w:br w:type="page"/>
      </w:r>
    </w:p>
    <w:p w14:paraId="2276ADD9">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五</w:t>
      </w:r>
      <w:r>
        <w:rPr>
          <w:rFonts w:hint="eastAsia" w:asciiTheme="minorEastAsia" w:hAnsiTheme="minorEastAsia" w:eastAsiaTheme="minorEastAsia"/>
          <w:b/>
          <w:color w:val="auto"/>
          <w:sz w:val="28"/>
          <w:szCs w:val="28"/>
          <w:highlight w:val="none"/>
        </w:rPr>
        <w:t>）</w:t>
      </w:r>
      <w:bookmarkEnd w:id="1272"/>
      <w:bookmarkEnd w:id="1273"/>
      <w:bookmarkEnd w:id="1274"/>
      <w:bookmarkEnd w:id="1275"/>
      <w:bookmarkEnd w:id="1276"/>
      <w:bookmarkEnd w:id="1277"/>
      <w:bookmarkEnd w:id="1278"/>
      <w:bookmarkEnd w:id="1279"/>
      <w:bookmarkEnd w:id="1280"/>
      <w:bookmarkEnd w:id="1281"/>
      <w:bookmarkStart w:id="1285" w:name="_Toc513923170"/>
      <w:bookmarkStart w:id="1286" w:name="_Toc516246160"/>
      <w:bookmarkStart w:id="1287" w:name="_Toc419473139"/>
      <w:bookmarkStart w:id="1288" w:name="_Toc330828144"/>
      <w:bookmarkStart w:id="1289" w:name="_Toc364244845"/>
      <w:r>
        <w:rPr>
          <w:rFonts w:hint="eastAsia" w:asciiTheme="minorEastAsia" w:hAnsiTheme="minorEastAsia" w:eastAsiaTheme="minorEastAsia"/>
          <w:b/>
          <w:color w:val="auto"/>
          <w:sz w:val="28"/>
          <w:szCs w:val="28"/>
          <w:highlight w:val="none"/>
        </w:rPr>
        <w:t>无拖欠农民工工资承诺</w:t>
      </w:r>
    </w:p>
    <w:p w14:paraId="3DF82F34">
      <w:pPr>
        <w:spacing w:line="360" w:lineRule="auto"/>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注：供应商自行承诺，内容自拟。</w:t>
      </w:r>
    </w:p>
    <w:p w14:paraId="7537C1C4">
      <w:pPr>
        <w:spacing w:line="480" w:lineRule="auto"/>
        <w:ind w:right="105" w:firstLine="4410" w:firstLineChars="2100"/>
        <w:rPr>
          <w:rFonts w:asciiTheme="minorEastAsia" w:hAnsiTheme="minorEastAsia" w:eastAsiaTheme="minorEastAsia"/>
          <w:color w:val="auto"/>
          <w:szCs w:val="21"/>
          <w:highlight w:val="none"/>
        </w:rPr>
      </w:pPr>
    </w:p>
    <w:p w14:paraId="77118146">
      <w:pPr>
        <w:spacing w:line="480" w:lineRule="auto"/>
        <w:ind w:right="105" w:firstLine="4410" w:firstLineChars="2100"/>
        <w:rPr>
          <w:rFonts w:asciiTheme="minorEastAsia" w:hAnsiTheme="minorEastAsia" w:eastAsiaTheme="minorEastAsia"/>
          <w:color w:val="auto"/>
          <w:szCs w:val="21"/>
          <w:highlight w:val="none"/>
        </w:rPr>
      </w:pPr>
    </w:p>
    <w:p w14:paraId="75994B0B">
      <w:pPr>
        <w:spacing w:line="480" w:lineRule="auto"/>
        <w:ind w:right="105" w:firstLine="4410" w:firstLineChars="2100"/>
        <w:rPr>
          <w:rFonts w:asciiTheme="minorEastAsia" w:hAnsiTheme="minorEastAsia" w:eastAsiaTheme="minorEastAsia"/>
          <w:color w:val="auto"/>
          <w:szCs w:val="21"/>
          <w:highlight w:val="none"/>
        </w:rPr>
      </w:pPr>
    </w:p>
    <w:p w14:paraId="14E0E580">
      <w:pPr>
        <w:spacing w:line="480" w:lineRule="auto"/>
        <w:ind w:right="105" w:firstLine="4410" w:firstLineChars="2100"/>
        <w:rPr>
          <w:rFonts w:asciiTheme="minorEastAsia" w:hAnsiTheme="minorEastAsia" w:eastAsiaTheme="minorEastAsia"/>
          <w:color w:val="auto"/>
          <w:szCs w:val="21"/>
          <w:highlight w:val="none"/>
        </w:rPr>
      </w:pPr>
    </w:p>
    <w:p w14:paraId="12D126C3">
      <w:pPr>
        <w:spacing w:line="480" w:lineRule="auto"/>
        <w:ind w:right="105" w:firstLine="4410" w:firstLineChars="2100"/>
        <w:rPr>
          <w:rFonts w:asciiTheme="minorEastAsia" w:hAnsiTheme="minorEastAsia" w:eastAsiaTheme="minorEastAsia"/>
          <w:color w:val="auto"/>
          <w:szCs w:val="21"/>
          <w:highlight w:val="none"/>
        </w:rPr>
      </w:pPr>
    </w:p>
    <w:p w14:paraId="7CC8B059">
      <w:pPr>
        <w:spacing w:line="480" w:lineRule="auto"/>
        <w:ind w:right="105" w:firstLine="4410" w:firstLineChars="2100"/>
        <w:rPr>
          <w:rFonts w:asciiTheme="minorEastAsia" w:hAnsiTheme="minorEastAsia" w:eastAsiaTheme="minorEastAsia"/>
          <w:color w:val="auto"/>
          <w:szCs w:val="21"/>
          <w:highlight w:val="none"/>
        </w:rPr>
      </w:pPr>
    </w:p>
    <w:p w14:paraId="3A22384C">
      <w:pPr>
        <w:spacing w:line="480" w:lineRule="auto"/>
        <w:ind w:right="105" w:firstLine="4410" w:firstLineChars="2100"/>
        <w:rPr>
          <w:rFonts w:asciiTheme="minorEastAsia" w:hAnsiTheme="minorEastAsia" w:eastAsiaTheme="minorEastAsia"/>
          <w:color w:val="auto"/>
          <w:szCs w:val="21"/>
          <w:highlight w:val="none"/>
        </w:rPr>
      </w:pPr>
    </w:p>
    <w:p w14:paraId="203962AB">
      <w:pPr>
        <w:spacing w:line="480" w:lineRule="auto"/>
        <w:ind w:right="105" w:firstLine="2730" w:firstLineChars="1300"/>
        <w:rPr>
          <w:rFonts w:asciiTheme="minorEastAsia" w:hAnsiTheme="minorEastAsia" w:eastAsiaTheme="minorEastAsia"/>
          <w:szCs w:val="21"/>
          <w:u w:val="single"/>
        </w:rPr>
      </w:pPr>
      <w:r>
        <w:rPr>
          <w:rFonts w:hint="eastAsia" w:asciiTheme="minorEastAsia" w:hAnsiTheme="minorEastAsia" w:eastAsiaTheme="minorEastAsia"/>
          <w:szCs w:val="21"/>
          <w:highlight w:val="none"/>
        </w:rPr>
        <w:t>供应商（或联合体牵头人）</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（电子签章）</w:t>
      </w:r>
    </w:p>
    <w:p w14:paraId="16C53B55">
      <w:pPr>
        <w:spacing w:line="480" w:lineRule="auto"/>
        <w:ind w:firstLine="2730" w:firstLineChars="1300"/>
        <w:rPr>
          <w:rFonts w:asciiTheme="minorEastAsia" w:hAnsiTheme="minorEastAsia" w:eastAsiaTheme="minorEastAsia"/>
          <w:szCs w:val="21"/>
          <w:u w:val="single"/>
        </w:rPr>
      </w:pPr>
      <w:r>
        <w:rPr>
          <w:rFonts w:hint="eastAsia" w:asciiTheme="minorEastAsia" w:hAnsiTheme="minorEastAsia" w:eastAsiaTheme="minorEastAsia"/>
          <w:szCs w:val="21"/>
        </w:rPr>
        <w:t>法定代表人：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（电子签章）</w:t>
      </w:r>
    </w:p>
    <w:p w14:paraId="7F96F081">
      <w:pPr>
        <w:widowControl/>
        <w:ind w:firstLine="2730" w:firstLineChars="1300"/>
        <w:jc w:val="left"/>
        <w:rPr>
          <w:rFonts w:asciiTheme="minorEastAsia" w:hAnsiTheme="minorEastAsia" w:eastAsiaTheme="minorEastAsia"/>
          <w:szCs w:val="21"/>
        </w:rPr>
      </w:pPr>
      <w:r>
        <w:rPr>
          <w:rFonts w:hint="eastAsia" w:asciiTheme="minorEastAsia" w:hAnsiTheme="minorEastAsia" w:eastAsiaTheme="minorEastAsia"/>
          <w:szCs w:val="21"/>
        </w:rPr>
        <w:t>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5B7BF0B6">
      <w:pPr>
        <w:rPr>
          <w:color w:val="auto"/>
          <w:highlight w:val="none"/>
        </w:rPr>
      </w:pPr>
    </w:p>
    <w:p w14:paraId="5FBD0CFB">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72A7E12E">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六</w:t>
      </w:r>
      <w:r>
        <w:rPr>
          <w:rFonts w:hint="eastAsia" w:asciiTheme="minorEastAsia" w:hAnsiTheme="minorEastAsia" w:eastAsiaTheme="minorEastAsia"/>
          <w:b/>
          <w:color w:val="auto"/>
          <w:sz w:val="28"/>
          <w:szCs w:val="28"/>
          <w:highlight w:val="none"/>
        </w:rPr>
        <w:t>）</w:t>
      </w:r>
      <w:r>
        <w:rPr>
          <w:rFonts w:hint="eastAsia" w:ascii="宋体" w:hAnsi="宋体" w:cs="宋体"/>
          <w:b/>
          <w:bCs/>
          <w:color w:val="auto"/>
          <w:sz w:val="28"/>
          <w:szCs w:val="28"/>
          <w:highlight w:val="none"/>
        </w:rPr>
        <w:t>磋商保证金缴纳凭据</w:t>
      </w:r>
    </w:p>
    <w:p w14:paraId="2D76A669">
      <w:pPr>
        <w:spacing w:line="360" w:lineRule="auto"/>
        <w:jc w:val="center"/>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附凭据复印件或扫描件</w:t>
      </w:r>
      <w:r>
        <w:rPr>
          <w:rFonts w:hint="eastAsia" w:ascii="宋体" w:hAnsi="宋体" w:cs="宋体"/>
          <w:color w:val="auto"/>
          <w:sz w:val="24"/>
          <w:highlight w:val="none"/>
          <w:lang w:eastAsia="zh-CN"/>
        </w:rPr>
        <w:t>）</w:t>
      </w:r>
    </w:p>
    <w:p w14:paraId="3BDAD7FF">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r>
    </w:p>
    <w:p w14:paraId="559D20E9">
      <w:pPr>
        <w:spacing w:line="360" w:lineRule="auto"/>
        <w:jc w:val="center"/>
        <w:outlineLvl w:val="2"/>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七</w:t>
      </w:r>
      <w:r>
        <w:rPr>
          <w:rFonts w:hint="eastAsia" w:asciiTheme="minorEastAsia" w:hAnsiTheme="minorEastAsia" w:eastAsiaTheme="minorEastAsia"/>
          <w:b/>
          <w:color w:val="auto"/>
          <w:sz w:val="28"/>
          <w:szCs w:val="28"/>
          <w:highlight w:val="none"/>
        </w:rPr>
        <w:t>）磋商报价</w:t>
      </w:r>
      <w:bookmarkEnd w:id="1282"/>
      <w:bookmarkEnd w:id="1285"/>
      <w:bookmarkEnd w:id="1286"/>
    </w:p>
    <w:p w14:paraId="08046B3B">
      <w:pPr>
        <w:spacing w:line="360" w:lineRule="auto"/>
        <w:jc w:val="center"/>
        <w:outlineLvl w:val="3"/>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t>1.磋商报价一览表</w:t>
      </w:r>
      <w:bookmarkEnd w:id="1283"/>
    </w:p>
    <w:bookmarkEnd w:id="1287"/>
    <w:bookmarkEnd w:id="1288"/>
    <w:bookmarkEnd w:id="1289"/>
    <w:tbl>
      <w:tblPr>
        <w:tblStyle w:val="67"/>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95"/>
      </w:tblGrid>
      <w:tr w14:paraId="37CC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2122" w:type="dxa"/>
            <w:vAlign w:val="center"/>
          </w:tcPr>
          <w:p w14:paraId="2C926F15">
            <w:pPr>
              <w:spacing w:before="120" w:after="12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供应商名称</w:t>
            </w:r>
          </w:p>
        </w:tc>
        <w:tc>
          <w:tcPr>
            <w:tcW w:w="6895" w:type="dxa"/>
            <w:vAlign w:val="center"/>
          </w:tcPr>
          <w:p w14:paraId="08BC3866">
            <w:pPr>
              <w:wordWrap w:val="0"/>
              <w:rPr>
                <w:rFonts w:asciiTheme="minorEastAsia" w:hAnsiTheme="minorEastAsia" w:eastAsiaTheme="minorEastAsia"/>
                <w:color w:val="auto"/>
                <w:szCs w:val="21"/>
                <w:highlight w:val="none"/>
              </w:rPr>
            </w:pPr>
          </w:p>
        </w:tc>
      </w:tr>
      <w:tr w14:paraId="5368F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122" w:type="dxa"/>
            <w:vAlign w:val="center"/>
          </w:tcPr>
          <w:p w14:paraId="560E5DC7">
            <w:pPr>
              <w:spacing w:before="120" w:after="120"/>
              <w:jc w:val="center"/>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磋商报价</w:t>
            </w:r>
          </w:p>
        </w:tc>
        <w:tc>
          <w:tcPr>
            <w:tcW w:w="6895" w:type="dxa"/>
            <w:vAlign w:val="center"/>
          </w:tcPr>
          <w:p w14:paraId="411A6C9C">
            <w:pPr>
              <w:jc w:val="center"/>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总报价：</w:t>
            </w:r>
            <w:r>
              <w:rPr>
                <w:rFonts w:hint="default" w:ascii="Arial" w:hAnsi="Arial" w:cs="Arial" w:eastAsiaTheme="minorEastAsia"/>
                <w:color w:val="auto"/>
                <w:szCs w:val="21"/>
                <w:highlight w:val="none"/>
                <w:lang w:val="en-US" w:eastAsia="zh-CN"/>
              </w:rPr>
              <w:t>¥</w:t>
            </w:r>
            <w:r>
              <w:rPr>
                <w:rFonts w:hint="eastAsia" w:asciiTheme="minorEastAsia" w:hAnsiTheme="minorEastAsia" w:eastAsiaTheme="minorEastAsia"/>
                <w:color w:val="auto"/>
                <w:szCs w:val="21"/>
                <w:highlight w:val="none"/>
                <w:lang w:val="en-US" w:eastAsia="zh-CN"/>
              </w:rPr>
              <w:t xml:space="preserve">            ，大写：           </w:t>
            </w:r>
          </w:p>
        </w:tc>
      </w:tr>
      <w:tr w14:paraId="1986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2122" w:type="dxa"/>
            <w:vAlign w:val="center"/>
          </w:tcPr>
          <w:p w14:paraId="5AD17AA8">
            <w:pPr>
              <w:spacing w:before="120" w:after="12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项目经理</w:t>
            </w:r>
          </w:p>
        </w:tc>
        <w:tc>
          <w:tcPr>
            <w:tcW w:w="6895" w:type="dxa"/>
            <w:vAlign w:val="center"/>
          </w:tcPr>
          <w:p w14:paraId="315B6037">
            <w:pPr>
              <w:spacing w:before="120" w:after="120"/>
              <w:rPr>
                <w:rFonts w:asciiTheme="minorEastAsia" w:hAnsiTheme="minorEastAsia" w:eastAsiaTheme="minorEastAsia"/>
                <w:color w:val="auto"/>
                <w:szCs w:val="21"/>
                <w:highlight w:val="none"/>
              </w:rPr>
            </w:pPr>
          </w:p>
        </w:tc>
      </w:tr>
      <w:tr w14:paraId="4E834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2122" w:type="dxa"/>
            <w:vAlign w:val="center"/>
          </w:tcPr>
          <w:p w14:paraId="7FB4BEA6">
            <w:pPr>
              <w:spacing w:before="120" w:after="120"/>
              <w:jc w:val="center"/>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技术负责人</w:t>
            </w:r>
          </w:p>
        </w:tc>
        <w:tc>
          <w:tcPr>
            <w:tcW w:w="6895" w:type="dxa"/>
            <w:vAlign w:val="center"/>
          </w:tcPr>
          <w:p w14:paraId="0FD01AF6">
            <w:pPr>
              <w:spacing w:before="120" w:after="120"/>
              <w:rPr>
                <w:rFonts w:asciiTheme="minorEastAsia" w:hAnsiTheme="minorEastAsia" w:eastAsiaTheme="minorEastAsia"/>
                <w:color w:val="auto"/>
                <w:szCs w:val="21"/>
                <w:highlight w:val="none"/>
              </w:rPr>
            </w:pPr>
          </w:p>
        </w:tc>
      </w:tr>
      <w:tr w14:paraId="299C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2122" w:type="dxa"/>
            <w:vAlign w:val="center"/>
          </w:tcPr>
          <w:p w14:paraId="677F803F">
            <w:pPr>
              <w:spacing w:before="120" w:after="12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计划工期</w:t>
            </w:r>
          </w:p>
        </w:tc>
        <w:tc>
          <w:tcPr>
            <w:tcW w:w="6895" w:type="dxa"/>
            <w:vAlign w:val="center"/>
          </w:tcPr>
          <w:p w14:paraId="2167E3D4">
            <w:pPr>
              <w:spacing w:before="120" w:after="120"/>
              <w:rPr>
                <w:rFonts w:asciiTheme="minorEastAsia" w:hAnsiTheme="minorEastAsia" w:eastAsiaTheme="minorEastAsia"/>
                <w:color w:val="auto"/>
                <w:szCs w:val="21"/>
                <w:highlight w:val="none"/>
              </w:rPr>
            </w:pPr>
          </w:p>
        </w:tc>
      </w:tr>
      <w:tr w14:paraId="795B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2122" w:type="dxa"/>
            <w:vAlign w:val="center"/>
          </w:tcPr>
          <w:p w14:paraId="61E89C49">
            <w:pPr>
              <w:spacing w:before="120" w:after="12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质量标准</w:t>
            </w:r>
          </w:p>
        </w:tc>
        <w:tc>
          <w:tcPr>
            <w:tcW w:w="6895" w:type="dxa"/>
            <w:vAlign w:val="center"/>
          </w:tcPr>
          <w:p w14:paraId="33C07529">
            <w:pPr>
              <w:spacing w:before="120" w:after="120"/>
              <w:rPr>
                <w:rFonts w:asciiTheme="minorEastAsia" w:hAnsiTheme="minorEastAsia" w:eastAsiaTheme="minorEastAsia"/>
                <w:color w:val="auto"/>
                <w:szCs w:val="21"/>
                <w:highlight w:val="none"/>
              </w:rPr>
            </w:pPr>
          </w:p>
        </w:tc>
      </w:tr>
      <w:tr w14:paraId="5E766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3" w:hRule="atLeast"/>
          <w:jc w:val="center"/>
        </w:trPr>
        <w:tc>
          <w:tcPr>
            <w:tcW w:w="9017" w:type="dxa"/>
            <w:gridSpan w:val="2"/>
            <w:vAlign w:val="center"/>
          </w:tcPr>
          <w:p w14:paraId="4590C8DC">
            <w:pPr>
              <w:spacing w:before="120" w:after="12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或联合体牵头人）</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tc>
      </w:tr>
      <w:tr w14:paraId="3CE92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9017" w:type="dxa"/>
            <w:gridSpan w:val="2"/>
            <w:vAlign w:val="bottom"/>
          </w:tcPr>
          <w:p w14:paraId="7F895DC5">
            <w:pPr>
              <w:spacing w:before="120" w:after="120"/>
              <w:ind w:right="48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（电子签章）</w:t>
            </w:r>
          </w:p>
          <w:p w14:paraId="53DF5390">
            <w:pPr>
              <w:spacing w:before="120" w:after="120"/>
              <w:jc w:val="right"/>
              <w:rPr>
                <w:rFonts w:asciiTheme="minorEastAsia" w:hAnsiTheme="minorEastAsia" w:eastAsiaTheme="minorEastAsia"/>
                <w:color w:val="auto"/>
                <w:szCs w:val="21"/>
                <w:highlight w:val="none"/>
              </w:rPr>
            </w:pPr>
          </w:p>
          <w:p w14:paraId="3995A509">
            <w:pPr>
              <w:spacing w:before="120" w:after="120"/>
              <w:jc w:val="righ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日 期：    年    月    日</w:t>
            </w:r>
          </w:p>
        </w:tc>
      </w:tr>
    </w:tbl>
    <w:p w14:paraId="58CD2450">
      <w:pPr>
        <w:widowControl/>
        <w:spacing w:line="360" w:lineRule="auto"/>
        <w:jc w:val="left"/>
        <w:rPr>
          <w:rFonts w:asciiTheme="minorEastAsia" w:hAnsiTheme="minorEastAsia" w:eastAsiaTheme="minorEastAsia"/>
          <w:b/>
          <w:color w:val="auto"/>
          <w:sz w:val="28"/>
          <w:szCs w:val="28"/>
          <w:highlight w:val="none"/>
        </w:rPr>
      </w:pPr>
    </w:p>
    <w:p w14:paraId="50F70859">
      <w:pPr>
        <w:widowControl/>
        <w:spacing w:line="360" w:lineRule="auto"/>
        <w:jc w:val="left"/>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br w:type="page"/>
      </w:r>
    </w:p>
    <w:bookmarkEnd w:id="1284"/>
    <w:p w14:paraId="66331A20">
      <w:pPr>
        <w:spacing w:line="360" w:lineRule="auto"/>
        <w:jc w:val="center"/>
        <w:outlineLvl w:val="2"/>
        <w:rPr>
          <w:rFonts w:asciiTheme="minorEastAsia" w:hAnsiTheme="minorEastAsia" w:eastAsiaTheme="minorEastAsia"/>
          <w:b/>
          <w:color w:val="auto"/>
          <w:sz w:val="28"/>
          <w:szCs w:val="28"/>
          <w:highlight w:val="none"/>
        </w:rPr>
      </w:pPr>
      <w:bookmarkStart w:id="1290" w:name="_Toc28025"/>
      <w:r>
        <w:rPr>
          <w:rFonts w:hint="eastAsia" w:asciiTheme="minorEastAsia" w:hAnsiTheme="minorEastAsia" w:eastAsiaTheme="minorEastAsia"/>
          <w:b/>
          <w:color w:val="auto"/>
          <w:sz w:val="28"/>
          <w:szCs w:val="28"/>
          <w:highlight w:val="none"/>
        </w:rPr>
        <w:t>（</w:t>
      </w:r>
      <w:r>
        <w:rPr>
          <w:rFonts w:hint="eastAsia" w:asciiTheme="minorEastAsia" w:hAnsiTheme="minorEastAsia" w:eastAsiaTheme="minorEastAsia"/>
          <w:b/>
          <w:color w:val="auto"/>
          <w:sz w:val="28"/>
          <w:szCs w:val="28"/>
          <w:highlight w:val="none"/>
          <w:lang w:val="en-US" w:eastAsia="zh-CN"/>
        </w:rPr>
        <w:t>八</w:t>
      </w:r>
      <w:r>
        <w:rPr>
          <w:rFonts w:hint="eastAsia" w:asciiTheme="minorEastAsia" w:hAnsiTheme="minorEastAsia" w:eastAsiaTheme="minorEastAsia"/>
          <w:b/>
          <w:color w:val="auto"/>
          <w:sz w:val="28"/>
          <w:szCs w:val="28"/>
          <w:highlight w:val="none"/>
        </w:rPr>
        <w:t>）其他</w:t>
      </w:r>
    </w:p>
    <w:tbl>
      <w:tblPr>
        <w:tblStyle w:val="67"/>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58"/>
        <w:gridCol w:w="3828"/>
        <w:gridCol w:w="2352"/>
        <w:gridCol w:w="674"/>
      </w:tblGrid>
      <w:tr w14:paraId="5131D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blHeader/>
          <w:jc w:val="center"/>
        </w:trPr>
        <w:tc>
          <w:tcPr>
            <w:tcW w:w="675" w:type="dxa"/>
            <w:vAlign w:val="center"/>
          </w:tcPr>
          <w:p w14:paraId="517E239A">
            <w:pPr>
              <w:spacing w:before="60" w:beforeLines="25" w:after="60" w:afterLines="25"/>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758" w:type="dxa"/>
            <w:vAlign w:val="center"/>
          </w:tcPr>
          <w:p w14:paraId="6F28ACF3">
            <w:pPr>
              <w:widowControl/>
              <w:spacing w:before="60" w:beforeLines="25" w:after="60" w:afterLines="25"/>
              <w:jc w:val="center"/>
              <w:rPr>
                <w:rFonts w:ascii="宋体" w:hAnsi="宋体" w:cs="宋体"/>
                <w:b/>
                <w:color w:val="auto"/>
                <w:szCs w:val="21"/>
                <w:highlight w:val="none"/>
              </w:rPr>
            </w:pPr>
            <w:r>
              <w:rPr>
                <w:rFonts w:hint="eastAsia" w:ascii="宋体" w:hAnsi="宋体" w:cs="宋体"/>
                <w:b/>
                <w:color w:val="auto"/>
                <w:szCs w:val="21"/>
                <w:highlight w:val="none"/>
              </w:rPr>
              <w:t>符合性审查内容</w:t>
            </w:r>
          </w:p>
        </w:tc>
        <w:tc>
          <w:tcPr>
            <w:tcW w:w="3828" w:type="dxa"/>
            <w:vAlign w:val="center"/>
          </w:tcPr>
          <w:p w14:paraId="067FD699">
            <w:pPr>
              <w:widowControl/>
              <w:spacing w:before="60" w:beforeLines="25" w:after="60" w:afterLines="25"/>
              <w:jc w:val="center"/>
              <w:rPr>
                <w:rFonts w:ascii="宋体" w:hAnsi="宋体" w:cs="宋体"/>
                <w:b/>
                <w:color w:val="auto"/>
                <w:szCs w:val="21"/>
                <w:highlight w:val="none"/>
              </w:rPr>
            </w:pPr>
            <w:r>
              <w:rPr>
                <w:rFonts w:hint="eastAsia" w:ascii="宋体" w:hAnsi="宋体" w:cs="宋体"/>
                <w:b/>
                <w:color w:val="auto"/>
                <w:szCs w:val="21"/>
                <w:highlight w:val="none"/>
              </w:rPr>
              <w:t>采购文件要求</w:t>
            </w:r>
          </w:p>
        </w:tc>
        <w:tc>
          <w:tcPr>
            <w:tcW w:w="2352" w:type="dxa"/>
            <w:vAlign w:val="center"/>
          </w:tcPr>
          <w:p w14:paraId="715869D8">
            <w:pPr>
              <w:spacing w:before="60" w:beforeLines="25" w:after="60" w:afterLines="25"/>
              <w:jc w:val="center"/>
              <w:rPr>
                <w:rFonts w:ascii="宋体" w:hAnsi="宋体" w:cs="宋体"/>
                <w:b/>
                <w:color w:val="auto"/>
                <w:szCs w:val="21"/>
                <w:highlight w:val="none"/>
              </w:rPr>
            </w:pPr>
            <w:r>
              <w:rPr>
                <w:rFonts w:hint="eastAsia" w:ascii="宋体" w:hAnsi="宋体" w:cs="宋体"/>
                <w:b/>
                <w:color w:val="auto"/>
                <w:szCs w:val="21"/>
                <w:highlight w:val="none"/>
              </w:rPr>
              <w:t>供应商响应情况</w:t>
            </w:r>
          </w:p>
        </w:tc>
        <w:tc>
          <w:tcPr>
            <w:tcW w:w="674" w:type="dxa"/>
            <w:vAlign w:val="center"/>
          </w:tcPr>
          <w:p w14:paraId="67E1817F">
            <w:pPr>
              <w:spacing w:before="60" w:beforeLines="25" w:after="60" w:afterLines="25"/>
              <w:jc w:val="center"/>
              <w:rPr>
                <w:rFonts w:ascii="宋体" w:hAnsi="宋体" w:cs="宋体"/>
                <w:b/>
                <w:color w:val="auto"/>
                <w:szCs w:val="21"/>
                <w:highlight w:val="none"/>
              </w:rPr>
            </w:pPr>
            <w:r>
              <w:rPr>
                <w:rFonts w:hint="eastAsia" w:ascii="宋体" w:hAnsi="宋体" w:cs="宋体"/>
                <w:b/>
                <w:color w:val="auto"/>
                <w:szCs w:val="21"/>
                <w:highlight w:val="none"/>
              </w:rPr>
              <w:t>备注</w:t>
            </w:r>
          </w:p>
        </w:tc>
      </w:tr>
      <w:tr w14:paraId="51C1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vAlign w:val="center"/>
          </w:tcPr>
          <w:p w14:paraId="7F7AABD4">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1</w:t>
            </w:r>
          </w:p>
        </w:tc>
        <w:tc>
          <w:tcPr>
            <w:tcW w:w="1758" w:type="dxa"/>
            <w:vAlign w:val="center"/>
          </w:tcPr>
          <w:p w14:paraId="201EEBDD">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磋商内容</w:t>
            </w:r>
          </w:p>
        </w:tc>
        <w:tc>
          <w:tcPr>
            <w:tcW w:w="3828" w:type="dxa"/>
            <w:vAlign w:val="center"/>
          </w:tcPr>
          <w:p w14:paraId="5D4B3CE6">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符合“供应商须知前附表”第1.3.1项</w:t>
            </w:r>
          </w:p>
        </w:tc>
        <w:tc>
          <w:tcPr>
            <w:tcW w:w="2352" w:type="dxa"/>
            <w:vAlign w:val="center"/>
          </w:tcPr>
          <w:p w14:paraId="2A6C2590">
            <w:pPr>
              <w:spacing w:line="340" w:lineRule="exact"/>
              <w:jc w:val="left"/>
              <w:rPr>
                <w:rFonts w:ascii="宋体" w:hAnsi="宋体" w:cs="宋体"/>
                <w:color w:val="auto"/>
                <w:szCs w:val="24"/>
                <w:highlight w:val="none"/>
              </w:rPr>
            </w:pPr>
          </w:p>
        </w:tc>
        <w:tc>
          <w:tcPr>
            <w:tcW w:w="674" w:type="dxa"/>
            <w:vAlign w:val="center"/>
          </w:tcPr>
          <w:p w14:paraId="11E9CF45">
            <w:pPr>
              <w:spacing w:line="340" w:lineRule="exact"/>
              <w:jc w:val="left"/>
              <w:rPr>
                <w:rFonts w:ascii="宋体" w:hAnsi="宋体" w:cs="宋体"/>
                <w:color w:val="auto"/>
                <w:szCs w:val="24"/>
                <w:highlight w:val="none"/>
              </w:rPr>
            </w:pPr>
          </w:p>
        </w:tc>
      </w:tr>
      <w:tr w14:paraId="15CA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vAlign w:val="center"/>
          </w:tcPr>
          <w:p w14:paraId="7EFDDCAC">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2</w:t>
            </w:r>
          </w:p>
        </w:tc>
        <w:tc>
          <w:tcPr>
            <w:tcW w:w="1758" w:type="dxa"/>
            <w:vAlign w:val="center"/>
          </w:tcPr>
          <w:p w14:paraId="6C07A45F">
            <w:pPr>
              <w:spacing w:before="60" w:beforeLines="25" w:after="60" w:afterLines="25"/>
              <w:jc w:val="center"/>
              <w:rPr>
                <w:rFonts w:ascii="宋体" w:hAnsi="宋体" w:cs="宋体"/>
                <w:color w:val="auto"/>
                <w:szCs w:val="24"/>
                <w:highlight w:val="none"/>
              </w:rPr>
            </w:pPr>
            <w:r>
              <w:rPr>
                <w:rFonts w:hint="eastAsia" w:asciiTheme="minorEastAsia" w:hAnsiTheme="minorEastAsia" w:eastAsiaTheme="minorEastAsia"/>
                <w:color w:val="auto"/>
                <w:highlight w:val="none"/>
              </w:rPr>
              <w:t>计划工期</w:t>
            </w:r>
          </w:p>
        </w:tc>
        <w:tc>
          <w:tcPr>
            <w:tcW w:w="3828" w:type="dxa"/>
            <w:vAlign w:val="center"/>
          </w:tcPr>
          <w:p w14:paraId="7C39D44F">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“供应商须知前附表”第1.3.2项</w:t>
            </w:r>
          </w:p>
        </w:tc>
        <w:tc>
          <w:tcPr>
            <w:tcW w:w="2352" w:type="dxa"/>
            <w:vAlign w:val="center"/>
          </w:tcPr>
          <w:p w14:paraId="5192C805">
            <w:pPr>
              <w:spacing w:line="340" w:lineRule="exact"/>
              <w:jc w:val="left"/>
              <w:rPr>
                <w:rFonts w:ascii="宋体" w:hAnsi="宋体" w:cs="宋体"/>
                <w:color w:val="auto"/>
                <w:sz w:val="29"/>
                <w:szCs w:val="32"/>
                <w:highlight w:val="none"/>
              </w:rPr>
            </w:pPr>
          </w:p>
        </w:tc>
        <w:tc>
          <w:tcPr>
            <w:tcW w:w="674" w:type="dxa"/>
            <w:vAlign w:val="center"/>
          </w:tcPr>
          <w:p w14:paraId="07104242">
            <w:pPr>
              <w:spacing w:line="340" w:lineRule="exact"/>
              <w:jc w:val="left"/>
              <w:rPr>
                <w:rFonts w:ascii="宋体" w:hAnsi="宋体" w:cs="宋体"/>
                <w:color w:val="auto"/>
                <w:szCs w:val="24"/>
                <w:highlight w:val="none"/>
              </w:rPr>
            </w:pPr>
          </w:p>
        </w:tc>
      </w:tr>
      <w:tr w14:paraId="070B8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vAlign w:val="center"/>
          </w:tcPr>
          <w:p w14:paraId="189C70E8">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3</w:t>
            </w:r>
          </w:p>
        </w:tc>
        <w:tc>
          <w:tcPr>
            <w:tcW w:w="1758" w:type="dxa"/>
            <w:vAlign w:val="center"/>
          </w:tcPr>
          <w:p w14:paraId="44A44581">
            <w:pPr>
              <w:spacing w:before="60" w:beforeLines="25" w:after="60" w:afterLines="25"/>
              <w:jc w:val="center"/>
              <w:rPr>
                <w:rFonts w:ascii="宋体" w:hAnsi="宋体" w:cs="宋体"/>
                <w:color w:val="auto"/>
                <w:szCs w:val="24"/>
                <w:highlight w:val="none"/>
              </w:rPr>
            </w:pPr>
            <w:r>
              <w:rPr>
                <w:rFonts w:hint="eastAsia" w:asciiTheme="minorEastAsia" w:hAnsiTheme="minorEastAsia" w:eastAsiaTheme="minorEastAsia"/>
                <w:color w:val="auto"/>
                <w:highlight w:val="none"/>
              </w:rPr>
              <w:t>质量标准</w:t>
            </w:r>
          </w:p>
        </w:tc>
        <w:tc>
          <w:tcPr>
            <w:tcW w:w="3828" w:type="dxa"/>
            <w:vAlign w:val="center"/>
          </w:tcPr>
          <w:p w14:paraId="6D0B3BCE">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“供应商须知前附表”第1.3.3项</w:t>
            </w:r>
          </w:p>
        </w:tc>
        <w:tc>
          <w:tcPr>
            <w:tcW w:w="2352" w:type="dxa"/>
            <w:vAlign w:val="center"/>
          </w:tcPr>
          <w:p w14:paraId="630234C9">
            <w:pPr>
              <w:spacing w:line="340" w:lineRule="exact"/>
              <w:jc w:val="left"/>
              <w:rPr>
                <w:rFonts w:ascii="宋体" w:hAnsi="宋体" w:cs="宋体"/>
                <w:color w:val="auto"/>
                <w:sz w:val="29"/>
                <w:szCs w:val="32"/>
                <w:highlight w:val="none"/>
              </w:rPr>
            </w:pPr>
          </w:p>
        </w:tc>
        <w:tc>
          <w:tcPr>
            <w:tcW w:w="674" w:type="dxa"/>
            <w:vAlign w:val="center"/>
          </w:tcPr>
          <w:p w14:paraId="66AFF309">
            <w:pPr>
              <w:spacing w:line="340" w:lineRule="exact"/>
              <w:jc w:val="left"/>
              <w:rPr>
                <w:rFonts w:ascii="宋体" w:hAnsi="宋体" w:cs="宋体"/>
                <w:color w:val="auto"/>
                <w:szCs w:val="24"/>
                <w:highlight w:val="none"/>
              </w:rPr>
            </w:pPr>
          </w:p>
        </w:tc>
      </w:tr>
      <w:tr w14:paraId="7FA5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vAlign w:val="center"/>
          </w:tcPr>
          <w:p w14:paraId="6185D13E">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4</w:t>
            </w:r>
          </w:p>
        </w:tc>
        <w:tc>
          <w:tcPr>
            <w:tcW w:w="1758" w:type="dxa"/>
            <w:vAlign w:val="center"/>
          </w:tcPr>
          <w:p w14:paraId="65B927EA">
            <w:pPr>
              <w:spacing w:before="60" w:beforeLines="25" w:after="60" w:afterLines="25"/>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供应商信誉</w:t>
            </w:r>
          </w:p>
        </w:tc>
        <w:tc>
          <w:tcPr>
            <w:tcW w:w="3828" w:type="dxa"/>
            <w:vAlign w:val="center"/>
          </w:tcPr>
          <w:p w14:paraId="0B3D2789">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“供应商须知前附表”第1.4.</w:t>
            </w:r>
            <w:r>
              <w:rPr>
                <w:rFonts w:hint="eastAsia" w:asciiTheme="minorEastAsia" w:hAnsiTheme="minorEastAsia" w:eastAsiaTheme="minorEastAsia"/>
                <w:color w:val="auto"/>
                <w:highlight w:val="none"/>
                <w:lang w:val="en-US" w:eastAsia="zh-CN"/>
              </w:rPr>
              <w:t>1</w:t>
            </w:r>
            <w:r>
              <w:rPr>
                <w:rFonts w:hint="eastAsia" w:asciiTheme="minorEastAsia" w:hAnsiTheme="minorEastAsia" w:eastAsiaTheme="minorEastAsia"/>
                <w:color w:val="auto"/>
                <w:highlight w:val="none"/>
              </w:rPr>
              <w:t>项</w:t>
            </w:r>
          </w:p>
        </w:tc>
        <w:tc>
          <w:tcPr>
            <w:tcW w:w="2352" w:type="dxa"/>
            <w:vAlign w:val="center"/>
          </w:tcPr>
          <w:p w14:paraId="442258FC">
            <w:pPr>
              <w:spacing w:line="340" w:lineRule="exact"/>
              <w:jc w:val="left"/>
              <w:rPr>
                <w:rFonts w:ascii="宋体" w:hAnsi="宋体" w:cs="宋体"/>
                <w:color w:val="auto"/>
                <w:sz w:val="29"/>
                <w:szCs w:val="32"/>
                <w:highlight w:val="none"/>
              </w:rPr>
            </w:pPr>
          </w:p>
        </w:tc>
        <w:tc>
          <w:tcPr>
            <w:tcW w:w="674" w:type="dxa"/>
            <w:vAlign w:val="center"/>
          </w:tcPr>
          <w:p w14:paraId="74BC8772">
            <w:pPr>
              <w:spacing w:line="340" w:lineRule="exact"/>
              <w:jc w:val="left"/>
              <w:rPr>
                <w:rFonts w:ascii="宋体" w:hAnsi="宋体" w:cs="宋体"/>
                <w:color w:val="auto"/>
                <w:szCs w:val="24"/>
                <w:highlight w:val="none"/>
              </w:rPr>
            </w:pPr>
          </w:p>
        </w:tc>
      </w:tr>
      <w:tr w14:paraId="2C8B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675" w:type="dxa"/>
            <w:vAlign w:val="center"/>
          </w:tcPr>
          <w:p w14:paraId="7CE3FEF0">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5</w:t>
            </w:r>
          </w:p>
        </w:tc>
        <w:tc>
          <w:tcPr>
            <w:tcW w:w="1758" w:type="dxa"/>
            <w:vAlign w:val="center"/>
          </w:tcPr>
          <w:p w14:paraId="51B838E5">
            <w:pPr>
              <w:spacing w:before="60" w:beforeLines="25" w:after="60" w:afterLines="25"/>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联合体磋商</w:t>
            </w:r>
          </w:p>
        </w:tc>
        <w:tc>
          <w:tcPr>
            <w:tcW w:w="3828" w:type="dxa"/>
            <w:vAlign w:val="center"/>
          </w:tcPr>
          <w:p w14:paraId="236B7ED6">
            <w:pPr>
              <w:spacing w:before="60" w:beforeLines="25" w:after="60" w:afterLines="25"/>
              <w:jc w:val="center"/>
              <w:rPr>
                <w:rFonts w:asciiTheme="minorEastAsia" w:hAnsiTheme="minorEastAsia" w:eastAsiaTheme="minorEastAsia"/>
                <w:color w:val="auto"/>
                <w:highlight w:val="none"/>
              </w:rPr>
            </w:pPr>
            <w:r>
              <w:rPr>
                <w:rFonts w:hint="eastAsia" w:ascii="宋体" w:hAnsi="宋体" w:cs="宋体"/>
                <w:color w:val="auto"/>
                <w:szCs w:val="24"/>
                <w:highlight w:val="none"/>
              </w:rPr>
              <w:t>符合</w:t>
            </w:r>
            <w:r>
              <w:rPr>
                <w:rFonts w:hint="eastAsia" w:asciiTheme="minorEastAsia" w:hAnsiTheme="minorEastAsia" w:eastAsiaTheme="minorEastAsia"/>
                <w:color w:val="auto"/>
                <w:highlight w:val="none"/>
              </w:rPr>
              <w:t>“供应商须知前附表”第1.4.3项</w:t>
            </w:r>
          </w:p>
        </w:tc>
        <w:tc>
          <w:tcPr>
            <w:tcW w:w="2352" w:type="dxa"/>
            <w:vAlign w:val="center"/>
          </w:tcPr>
          <w:p w14:paraId="6DEDA2D1">
            <w:pPr>
              <w:spacing w:line="340" w:lineRule="exact"/>
              <w:jc w:val="left"/>
              <w:rPr>
                <w:rFonts w:ascii="宋体" w:hAnsi="宋体" w:cs="宋体"/>
                <w:color w:val="auto"/>
                <w:sz w:val="29"/>
                <w:szCs w:val="32"/>
                <w:highlight w:val="none"/>
              </w:rPr>
            </w:pPr>
          </w:p>
        </w:tc>
        <w:tc>
          <w:tcPr>
            <w:tcW w:w="674" w:type="dxa"/>
            <w:vAlign w:val="center"/>
          </w:tcPr>
          <w:p w14:paraId="508C2C47">
            <w:pPr>
              <w:spacing w:line="340" w:lineRule="exact"/>
              <w:jc w:val="left"/>
              <w:rPr>
                <w:rFonts w:ascii="宋体" w:hAnsi="宋体" w:cs="宋体"/>
                <w:color w:val="auto"/>
                <w:szCs w:val="24"/>
                <w:highlight w:val="none"/>
              </w:rPr>
            </w:pPr>
          </w:p>
        </w:tc>
      </w:tr>
      <w:tr w14:paraId="250E6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Align w:val="center"/>
          </w:tcPr>
          <w:p w14:paraId="7EA6436F">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6</w:t>
            </w:r>
          </w:p>
        </w:tc>
        <w:tc>
          <w:tcPr>
            <w:tcW w:w="1758" w:type="dxa"/>
            <w:vAlign w:val="center"/>
          </w:tcPr>
          <w:p w14:paraId="4B75EA8A">
            <w:pPr>
              <w:spacing w:before="60" w:beforeLines="25" w:after="60" w:afterLines="25"/>
              <w:jc w:val="center"/>
              <w:rPr>
                <w:rFonts w:ascii="宋体" w:hAnsi="宋体" w:cs="宋体"/>
                <w:color w:val="auto"/>
                <w:szCs w:val="24"/>
                <w:highlight w:val="none"/>
              </w:rPr>
            </w:pPr>
            <w:r>
              <w:rPr>
                <w:rFonts w:asciiTheme="minorEastAsia" w:hAnsiTheme="minorEastAsia" w:eastAsiaTheme="minorEastAsia"/>
                <w:color w:val="auto"/>
                <w:highlight w:val="none"/>
              </w:rPr>
              <w:t>分包</w:t>
            </w:r>
          </w:p>
        </w:tc>
        <w:tc>
          <w:tcPr>
            <w:tcW w:w="3828" w:type="dxa"/>
            <w:vAlign w:val="center"/>
          </w:tcPr>
          <w:p w14:paraId="05B39BA9">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符合“供应商须知前附表”第1.</w:t>
            </w:r>
            <w:r>
              <w:rPr>
                <w:rFonts w:ascii="宋体" w:hAnsi="宋体" w:cs="宋体"/>
                <w:color w:val="auto"/>
                <w:szCs w:val="24"/>
                <w:highlight w:val="none"/>
              </w:rPr>
              <w:t>11</w:t>
            </w:r>
            <w:r>
              <w:rPr>
                <w:rFonts w:hint="eastAsia" w:ascii="宋体" w:hAnsi="宋体" w:cs="宋体"/>
                <w:color w:val="auto"/>
                <w:szCs w:val="24"/>
                <w:highlight w:val="none"/>
              </w:rPr>
              <w:t>项</w:t>
            </w:r>
          </w:p>
        </w:tc>
        <w:tc>
          <w:tcPr>
            <w:tcW w:w="2352" w:type="dxa"/>
            <w:vAlign w:val="center"/>
          </w:tcPr>
          <w:p w14:paraId="5667489B">
            <w:pPr>
              <w:spacing w:line="320" w:lineRule="exact"/>
              <w:ind w:left="840" w:hanging="840" w:hangingChars="400"/>
              <w:jc w:val="left"/>
              <w:rPr>
                <w:rFonts w:ascii="宋体" w:hAnsi="宋体" w:cs="宋体"/>
                <w:color w:val="auto"/>
                <w:szCs w:val="24"/>
                <w:highlight w:val="none"/>
              </w:rPr>
            </w:pPr>
          </w:p>
        </w:tc>
        <w:tc>
          <w:tcPr>
            <w:tcW w:w="674" w:type="dxa"/>
            <w:vAlign w:val="center"/>
          </w:tcPr>
          <w:p w14:paraId="53595493">
            <w:pPr>
              <w:spacing w:line="320" w:lineRule="exact"/>
              <w:ind w:left="840" w:hanging="840" w:hangingChars="400"/>
              <w:jc w:val="left"/>
              <w:rPr>
                <w:rFonts w:ascii="宋体" w:hAnsi="宋体" w:cs="宋体"/>
                <w:color w:val="auto"/>
                <w:szCs w:val="24"/>
                <w:highlight w:val="none"/>
              </w:rPr>
            </w:pPr>
          </w:p>
        </w:tc>
      </w:tr>
      <w:tr w14:paraId="78C80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Align w:val="center"/>
          </w:tcPr>
          <w:p w14:paraId="3451AD11">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7</w:t>
            </w:r>
          </w:p>
        </w:tc>
        <w:tc>
          <w:tcPr>
            <w:tcW w:w="1758" w:type="dxa"/>
            <w:vAlign w:val="center"/>
          </w:tcPr>
          <w:p w14:paraId="3C693A72">
            <w:pPr>
              <w:spacing w:before="60" w:beforeLines="25" w:after="60" w:afterLines="25"/>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偏离</w:t>
            </w:r>
          </w:p>
        </w:tc>
        <w:tc>
          <w:tcPr>
            <w:tcW w:w="3828" w:type="dxa"/>
            <w:vAlign w:val="center"/>
          </w:tcPr>
          <w:p w14:paraId="2BF3F604">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符合“供应商须知前附表”第1.</w:t>
            </w:r>
            <w:r>
              <w:rPr>
                <w:rFonts w:ascii="宋体" w:hAnsi="宋体" w:cs="宋体"/>
                <w:color w:val="auto"/>
                <w:szCs w:val="24"/>
                <w:highlight w:val="none"/>
              </w:rPr>
              <w:t>12</w:t>
            </w:r>
            <w:r>
              <w:rPr>
                <w:rFonts w:hint="eastAsia" w:ascii="宋体" w:hAnsi="宋体" w:cs="宋体"/>
                <w:color w:val="auto"/>
                <w:szCs w:val="24"/>
                <w:highlight w:val="none"/>
              </w:rPr>
              <w:t>项</w:t>
            </w:r>
          </w:p>
        </w:tc>
        <w:tc>
          <w:tcPr>
            <w:tcW w:w="2352" w:type="dxa"/>
            <w:vAlign w:val="center"/>
          </w:tcPr>
          <w:p w14:paraId="4931BFAF">
            <w:pPr>
              <w:spacing w:line="320" w:lineRule="exact"/>
              <w:ind w:left="840" w:hanging="840" w:hangingChars="400"/>
              <w:jc w:val="left"/>
              <w:rPr>
                <w:rFonts w:ascii="宋体" w:hAnsi="宋体" w:cs="宋体"/>
                <w:color w:val="auto"/>
                <w:szCs w:val="24"/>
                <w:highlight w:val="none"/>
              </w:rPr>
            </w:pPr>
          </w:p>
        </w:tc>
        <w:tc>
          <w:tcPr>
            <w:tcW w:w="674" w:type="dxa"/>
            <w:vAlign w:val="center"/>
          </w:tcPr>
          <w:p w14:paraId="14937A50">
            <w:pPr>
              <w:spacing w:line="320" w:lineRule="exact"/>
              <w:ind w:left="840" w:hanging="840" w:hangingChars="400"/>
              <w:jc w:val="left"/>
              <w:rPr>
                <w:rFonts w:ascii="宋体" w:hAnsi="宋体" w:cs="宋体"/>
                <w:color w:val="auto"/>
                <w:szCs w:val="24"/>
                <w:highlight w:val="none"/>
              </w:rPr>
            </w:pPr>
          </w:p>
        </w:tc>
      </w:tr>
      <w:tr w14:paraId="0063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75" w:type="dxa"/>
            <w:vAlign w:val="center"/>
          </w:tcPr>
          <w:p w14:paraId="2D6C4A6B">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8</w:t>
            </w:r>
          </w:p>
        </w:tc>
        <w:tc>
          <w:tcPr>
            <w:tcW w:w="1758" w:type="dxa"/>
            <w:vAlign w:val="center"/>
          </w:tcPr>
          <w:p w14:paraId="2E6FA64A">
            <w:pPr>
              <w:spacing w:before="60" w:beforeLines="25" w:after="60" w:afterLines="25"/>
              <w:jc w:val="center"/>
              <w:rPr>
                <w:rFonts w:ascii="宋体" w:hAnsi="宋体" w:cs="宋体"/>
                <w:color w:val="auto"/>
                <w:szCs w:val="24"/>
                <w:highlight w:val="none"/>
              </w:rPr>
            </w:pPr>
            <w:r>
              <w:rPr>
                <w:rFonts w:hint="eastAsia" w:asciiTheme="minorEastAsia" w:hAnsiTheme="minorEastAsia" w:eastAsiaTheme="minorEastAsia"/>
                <w:color w:val="auto"/>
                <w:highlight w:val="none"/>
              </w:rPr>
              <w:t>磋商有效期</w:t>
            </w:r>
          </w:p>
        </w:tc>
        <w:tc>
          <w:tcPr>
            <w:tcW w:w="3828" w:type="dxa"/>
            <w:vAlign w:val="center"/>
          </w:tcPr>
          <w:p w14:paraId="0C4B404C">
            <w:pPr>
              <w:spacing w:before="60" w:beforeLines="25" w:after="60" w:afterLines="25"/>
              <w:jc w:val="center"/>
              <w:rPr>
                <w:rFonts w:ascii="宋体" w:hAnsi="宋体" w:cs="宋体"/>
                <w:color w:val="auto"/>
                <w:szCs w:val="24"/>
                <w:highlight w:val="none"/>
              </w:rPr>
            </w:pPr>
            <w:r>
              <w:rPr>
                <w:rFonts w:hint="eastAsia" w:ascii="宋体" w:hAnsi="宋体" w:cs="宋体"/>
                <w:color w:val="auto"/>
                <w:szCs w:val="24"/>
                <w:highlight w:val="none"/>
              </w:rPr>
              <w:t>符合“供应商须知前附表”第</w:t>
            </w:r>
            <w:r>
              <w:rPr>
                <w:rFonts w:ascii="宋体" w:hAnsi="宋体" w:cs="宋体"/>
                <w:color w:val="auto"/>
                <w:szCs w:val="24"/>
                <w:highlight w:val="none"/>
              </w:rPr>
              <w:t>3.3.1</w:t>
            </w:r>
            <w:r>
              <w:rPr>
                <w:rFonts w:hint="eastAsia" w:ascii="宋体" w:hAnsi="宋体" w:cs="宋体"/>
                <w:color w:val="auto"/>
                <w:szCs w:val="24"/>
                <w:highlight w:val="none"/>
              </w:rPr>
              <w:t>项</w:t>
            </w:r>
          </w:p>
        </w:tc>
        <w:tc>
          <w:tcPr>
            <w:tcW w:w="2352" w:type="dxa"/>
            <w:vAlign w:val="center"/>
          </w:tcPr>
          <w:p w14:paraId="3DEE6E2A">
            <w:pPr>
              <w:spacing w:line="320" w:lineRule="exact"/>
              <w:ind w:left="840" w:hanging="840" w:hangingChars="400"/>
              <w:jc w:val="left"/>
              <w:rPr>
                <w:rFonts w:ascii="宋体" w:hAnsi="宋体" w:cs="宋体"/>
                <w:color w:val="auto"/>
                <w:szCs w:val="24"/>
                <w:highlight w:val="none"/>
              </w:rPr>
            </w:pPr>
          </w:p>
        </w:tc>
        <w:tc>
          <w:tcPr>
            <w:tcW w:w="674" w:type="dxa"/>
            <w:vAlign w:val="center"/>
          </w:tcPr>
          <w:p w14:paraId="7F0510D4">
            <w:pPr>
              <w:spacing w:line="320" w:lineRule="exact"/>
              <w:ind w:left="840" w:hanging="840" w:hangingChars="400"/>
              <w:jc w:val="left"/>
              <w:rPr>
                <w:rFonts w:ascii="宋体" w:hAnsi="宋体" w:cs="宋体"/>
                <w:color w:val="auto"/>
                <w:szCs w:val="24"/>
                <w:highlight w:val="none"/>
              </w:rPr>
            </w:pPr>
          </w:p>
        </w:tc>
      </w:tr>
    </w:tbl>
    <w:p w14:paraId="06D09D90">
      <w:pPr>
        <w:autoSpaceDE w:val="0"/>
        <w:autoSpaceDN w:val="0"/>
        <w:adjustRightInd w:val="0"/>
        <w:spacing w:before="120" w:beforeLines="50" w:line="360" w:lineRule="auto"/>
        <w:ind w:firstLine="420" w:firstLineChars="200"/>
        <w:jc w:val="left"/>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注：根据采购文件要求，在“供应商响应情况”栏填写响应的内容或</w:t>
      </w:r>
      <w:r>
        <w:rPr>
          <w:rFonts w:hint="eastAsia" w:asciiTheme="minorEastAsia" w:hAnsiTheme="minorEastAsia" w:eastAsiaTheme="minorEastAsia"/>
          <w:bCs/>
          <w:color w:val="auto"/>
          <w:szCs w:val="21"/>
          <w:highlight w:val="none"/>
          <w:lang w:eastAsia="zh-CN"/>
        </w:rPr>
        <w:t>作出</w:t>
      </w:r>
      <w:r>
        <w:rPr>
          <w:rFonts w:hint="eastAsia" w:asciiTheme="minorEastAsia" w:hAnsiTheme="minorEastAsia" w:eastAsiaTheme="minorEastAsia"/>
          <w:bCs/>
          <w:color w:val="auto"/>
          <w:szCs w:val="21"/>
          <w:highlight w:val="none"/>
        </w:rPr>
        <w:t>说明，响应的内容不符合采购文件要求或负偏离，响应文件将按否决处理。</w:t>
      </w:r>
    </w:p>
    <w:p w14:paraId="0C393F2F">
      <w:pPr>
        <w:autoSpaceDE w:val="0"/>
        <w:autoSpaceDN w:val="0"/>
        <w:adjustRightInd w:val="0"/>
        <w:spacing w:line="480" w:lineRule="auto"/>
        <w:jc w:val="left"/>
        <w:rPr>
          <w:rFonts w:asciiTheme="minorEastAsia" w:hAnsiTheme="minorEastAsia" w:eastAsiaTheme="minorEastAsia"/>
          <w:bCs/>
          <w:color w:val="auto"/>
          <w:szCs w:val="21"/>
          <w:highlight w:val="none"/>
        </w:rPr>
      </w:pPr>
    </w:p>
    <w:p w14:paraId="499EBC69">
      <w:pPr>
        <w:spacing w:line="480" w:lineRule="auto"/>
        <w:ind w:right="105" w:firstLine="2940" w:firstLineChars="1400"/>
        <w:rPr>
          <w:rFonts w:asciiTheme="minorEastAsia" w:hAnsiTheme="minorEastAsia" w:eastAsiaTheme="minorEastAsia"/>
          <w:szCs w:val="21"/>
          <w:u w:val="single"/>
        </w:rPr>
      </w:pPr>
      <w:r>
        <w:rPr>
          <w:rFonts w:hint="eastAsia" w:asciiTheme="minorEastAsia" w:hAnsiTheme="minorEastAsia" w:eastAsiaTheme="minorEastAsia"/>
          <w:szCs w:val="21"/>
          <w:highlight w:val="none"/>
        </w:rPr>
        <w:t>供应商（或联合体牵头人）</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（电子签章）</w:t>
      </w:r>
    </w:p>
    <w:p w14:paraId="44216CC6">
      <w:pPr>
        <w:spacing w:line="480" w:lineRule="auto"/>
        <w:ind w:firstLine="2940" w:firstLineChars="1400"/>
        <w:rPr>
          <w:rFonts w:asciiTheme="minorEastAsia" w:hAnsiTheme="minorEastAsia" w:eastAsiaTheme="minorEastAsia"/>
          <w:szCs w:val="21"/>
          <w:u w:val="single"/>
        </w:rPr>
      </w:pPr>
      <w:r>
        <w:rPr>
          <w:rFonts w:hint="eastAsia" w:asciiTheme="minorEastAsia" w:hAnsiTheme="minorEastAsia" w:eastAsiaTheme="minorEastAsia"/>
          <w:szCs w:val="21"/>
        </w:rPr>
        <w:t>法定代表人：</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（电子签章）</w:t>
      </w:r>
    </w:p>
    <w:p w14:paraId="25F3279F">
      <w:pPr>
        <w:widowControl/>
        <w:ind w:firstLine="2940" w:firstLineChars="1400"/>
        <w:jc w:val="left"/>
        <w:rPr>
          <w:rFonts w:asciiTheme="minorEastAsia" w:hAnsiTheme="minorEastAsia" w:eastAsiaTheme="minorEastAsia"/>
          <w:szCs w:val="21"/>
        </w:rPr>
      </w:pPr>
      <w:r>
        <w:rPr>
          <w:rFonts w:hint="eastAsia" w:asciiTheme="minorEastAsia" w:hAnsiTheme="minorEastAsia" w:eastAsiaTheme="minorEastAsia"/>
          <w:szCs w:val="21"/>
        </w:rPr>
        <w:t>日  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2C0D72C7">
      <w:pPr>
        <w:widowControl/>
        <w:jc w:val="left"/>
        <w:rPr>
          <w:rFonts w:asciiTheme="minorEastAsia" w:hAnsiTheme="minorEastAsia" w:eastAsiaTheme="minorEastAsia"/>
          <w:b/>
          <w:color w:val="auto"/>
          <w:sz w:val="30"/>
          <w:szCs w:val="30"/>
          <w:highlight w:val="none"/>
        </w:rPr>
      </w:pPr>
      <w:r>
        <w:rPr>
          <w:rFonts w:asciiTheme="minorEastAsia" w:hAnsiTheme="minorEastAsia" w:eastAsiaTheme="minorEastAsia"/>
          <w:b/>
          <w:color w:val="auto"/>
          <w:sz w:val="30"/>
          <w:szCs w:val="30"/>
          <w:highlight w:val="none"/>
        </w:rPr>
        <w:br w:type="page"/>
      </w:r>
    </w:p>
    <w:p w14:paraId="1BC067F7">
      <w:pPr>
        <w:jc w:val="center"/>
        <w:outlineLvl w:val="2"/>
        <w:rPr>
          <w:rFonts w:ascii="宋体" w:hAnsi="宋体"/>
          <w:b/>
          <w:bCs/>
          <w:color w:val="auto"/>
          <w:sz w:val="24"/>
          <w:highlight w:val="none"/>
        </w:rPr>
      </w:pPr>
      <w:r>
        <w:rPr>
          <w:rFonts w:hint="eastAsia" w:asciiTheme="minorEastAsia" w:hAnsiTheme="minorEastAsia" w:eastAsiaTheme="minorEastAsia"/>
          <w:b/>
          <w:bCs/>
          <w:color w:val="auto"/>
          <w:kern w:val="0"/>
          <w:sz w:val="36"/>
          <w:highlight w:val="none"/>
        </w:rPr>
        <w:t>磋商承诺及最终报价表</w:t>
      </w:r>
    </w:p>
    <w:tbl>
      <w:tblPr>
        <w:tblStyle w:val="67"/>
        <w:tblW w:w="9875" w:type="dxa"/>
        <w:tblInd w:w="0" w:type="dxa"/>
        <w:tblLayout w:type="fixed"/>
        <w:tblCellMar>
          <w:top w:w="15" w:type="dxa"/>
          <w:left w:w="15" w:type="dxa"/>
          <w:bottom w:w="15" w:type="dxa"/>
          <w:right w:w="15" w:type="dxa"/>
        </w:tblCellMar>
      </w:tblPr>
      <w:tblGrid>
        <w:gridCol w:w="2030"/>
        <w:gridCol w:w="3810"/>
        <w:gridCol w:w="4035"/>
      </w:tblGrid>
      <w:tr w14:paraId="78BB5BF6">
        <w:tblPrEx>
          <w:tblCellMar>
            <w:top w:w="15" w:type="dxa"/>
            <w:left w:w="15" w:type="dxa"/>
            <w:bottom w:w="15" w:type="dxa"/>
            <w:right w:w="15" w:type="dxa"/>
          </w:tblCellMar>
        </w:tblPrEx>
        <w:trPr>
          <w:trHeight w:val="1050" w:hRule="atLeast"/>
        </w:trPr>
        <w:tc>
          <w:tcPr>
            <w:tcW w:w="9875" w:type="dxa"/>
            <w:gridSpan w:val="3"/>
            <w:tcBorders>
              <w:top w:val="single" w:color="auto" w:sz="4" w:space="0"/>
              <w:left w:val="single" w:color="auto" w:sz="4" w:space="0"/>
              <w:bottom w:val="single" w:color="auto" w:sz="4" w:space="0"/>
              <w:right w:val="single" w:color="auto" w:sz="4" w:space="0"/>
            </w:tcBorders>
            <w:vAlign w:val="center"/>
          </w:tcPr>
          <w:p w14:paraId="75E9B0CE">
            <w:pPr>
              <w:widowControl/>
              <w:jc w:val="center"/>
              <w:textAlignment w:val="center"/>
              <w:rPr>
                <w:rFonts w:ascii="宋体" w:hAnsi="宋体" w:cs="宋体"/>
                <w:b/>
                <w:color w:val="auto"/>
                <w:sz w:val="48"/>
                <w:szCs w:val="48"/>
                <w:highlight w:val="none"/>
              </w:rPr>
            </w:pPr>
            <w:r>
              <w:rPr>
                <w:rFonts w:hint="eastAsia" w:ascii="宋体" w:hAnsi="宋体" w:cs="宋体"/>
                <w:b/>
                <w:color w:val="auto"/>
                <w:kern w:val="0"/>
                <w:sz w:val="32"/>
                <w:szCs w:val="32"/>
                <w:highlight w:val="none"/>
                <w:lang w:bidi="ar"/>
              </w:rPr>
              <w:t>磋商承诺及最终报价表</w:t>
            </w:r>
          </w:p>
        </w:tc>
      </w:tr>
      <w:tr w14:paraId="298BE4E6">
        <w:tblPrEx>
          <w:tblCellMar>
            <w:top w:w="15" w:type="dxa"/>
            <w:left w:w="15" w:type="dxa"/>
            <w:bottom w:w="15" w:type="dxa"/>
            <w:right w:w="15" w:type="dxa"/>
          </w:tblCellMar>
        </w:tblPrEx>
        <w:trPr>
          <w:trHeight w:val="564" w:hRule="atLeast"/>
        </w:trPr>
        <w:tc>
          <w:tcPr>
            <w:tcW w:w="2030" w:type="dxa"/>
            <w:tcBorders>
              <w:top w:val="single" w:color="auto" w:sz="4" w:space="0"/>
              <w:left w:val="single" w:color="auto" w:sz="4" w:space="0"/>
              <w:bottom w:val="single" w:color="auto" w:sz="4" w:space="0"/>
              <w:right w:val="single" w:color="auto" w:sz="4" w:space="0"/>
            </w:tcBorders>
            <w:vAlign w:val="center"/>
          </w:tcPr>
          <w:p w14:paraId="1DEEF767">
            <w:pPr>
              <w:jc w:val="center"/>
              <w:rPr>
                <w:color w:val="auto"/>
                <w:sz w:val="24"/>
                <w:szCs w:val="24"/>
                <w:highlight w:val="none"/>
              </w:rPr>
            </w:pPr>
            <w:r>
              <w:rPr>
                <w:rFonts w:hint="eastAsia"/>
                <w:color w:val="auto"/>
                <w:sz w:val="24"/>
                <w:szCs w:val="24"/>
                <w:highlight w:val="none"/>
              </w:rPr>
              <w:t>项目名称</w:t>
            </w:r>
          </w:p>
        </w:tc>
        <w:tc>
          <w:tcPr>
            <w:tcW w:w="7845" w:type="dxa"/>
            <w:gridSpan w:val="2"/>
            <w:tcBorders>
              <w:top w:val="single" w:color="auto" w:sz="4" w:space="0"/>
              <w:left w:val="single" w:color="auto" w:sz="4" w:space="0"/>
              <w:bottom w:val="single" w:color="auto" w:sz="4" w:space="0"/>
              <w:right w:val="single" w:color="auto" w:sz="4" w:space="0"/>
            </w:tcBorders>
            <w:vAlign w:val="center"/>
          </w:tcPr>
          <w:p w14:paraId="16BF1973">
            <w:pPr>
              <w:jc w:val="center"/>
              <w:rPr>
                <w:color w:val="auto"/>
                <w:sz w:val="24"/>
                <w:szCs w:val="24"/>
                <w:highlight w:val="none"/>
              </w:rPr>
            </w:pPr>
          </w:p>
        </w:tc>
      </w:tr>
      <w:tr w14:paraId="179BFEAA">
        <w:tblPrEx>
          <w:tblCellMar>
            <w:top w:w="15" w:type="dxa"/>
            <w:left w:w="15" w:type="dxa"/>
            <w:bottom w:w="15" w:type="dxa"/>
            <w:right w:w="15" w:type="dxa"/>
          </w:tblCellMar>
        </w:tblPrEx>
        <w:trPr>
          <w:trHeight w:val="564" w:hRule="atLeast"/>
        </w:trPr>
        <w:tc>
          <w:tcPr>
            <w:tcW w:w="2030" w:type="dxa"/>
            <w:tcBorders>
              <w:top w:val="single" w:color="auto" w:sz="4" w:space="0"/>
              <w:left w:val="single" w:color="auto" w:sz="4" w:space="0"/>
              <w:bottom w:val="single" w:color="auto" w:sz="4" w:space="0"/>
              <w:right w:val="single" w:color="auto" w:sz="4" w:space="0"/>
            </w:tcBorders>
            <w:vAlign w:val="center"/>
          </w:tcPr>
          <w:p w14:paraId="10778CD4">
            <w:pPr>
              <w:jc w:val="center"/>
              <w:rPr>
                <w:rFonts w:hint="eastAsia"/>
                <w:sz w:val="24"/>
                <w:szCs w:val="24"/>
                <w:highlight w:val="none"/>
              </w:rPr>
            </w:pPr>
            <w:r>
              <w:rPr>
                <w:rFonts w:hint="eastAsia"/>
                <w:sz w:val="24"/>
                <w:szCs w:val="24"/>
              </w:rPr>
              <w:t>供应商</w:t>
            </w:r>
            <w:r>
              <w:rPr>
                <w:rFonts w:hint="eastAsia"/>
                <w:sz w:val="24"/>
                <w:szCs w:val="24"/>
                <w:highlight w:val="none"/>
              </w:rPr>
              <w:t>（或联合体牵头人名称）</w:t>
            </w:r>
          </w:p>
          <w:p w14:paraId="514960C8">
            <w:pPr>
              <w:jc w:val="center"/>
              <w:rPr>
                <w:rFonts w:hint="eastAsia" w:eastAsia="宋体"/>
                <w:color w:val="auto"/>
                <w:sz w:val="24"/>
                <w:szCs w:val="24"/>
                <w:highlight w:val="none"/>
                <w:lang w:eastAsia="zh-CN"/>
              </w:rPr>
            </w:pPr>
            <w:r>
              <w:rPr>
                <w:rFonts w:hint="eastAsia"/>
                <w:sz w:val="24"/>
                <w:szCs w:val="24"/>
                <w:highlight w:val="none"/>
              </w:rPr>
              <w:t>（签章）</w:t>
            </w:r>
          </w:p>
        </w:tc>
        <w:tc>
          <w:tcPr>
            <w:tcW w:w="7845" w:type="dxa"/>
            <w:gridSpan w:val="2"/>
            <w:tcBorders>
              <w:top w:val="single" w:color="auto" w:sz="4" w:space="0"/>
              <w:left w:val="single" w:color="auto" w:sz="4" w:space="0"/>
              <w:bottom w:val="single" w:color="auto" w:sz="4" w:space="0"/>
              <w:right w:val="single" w:color="auto" w:sz="4" w:space="0"/>
            </w:tcBorders>
            <w:vAlign w:val="center"/>
          </w:tcPr>
          <w:p w14:paraId="503FE5BC">
            <w:pPr>
              <w:jc w:val="center"/>
              <w:rPr>
                <w:color w:val="auto"/>
                <w:sz w:val="24"/>
                <w:szCs w:val="24"/>
                <w:highlight w:val="none"/>
              </w:rPr>
            </w:pPr>
          </w:p>
        </w:tc>
      </w:tr>
      <w:tr w14:paraId="3DFC58BE">
        <w:tblPrEx>
          <w:tblCellMar>
            <w:top w:w="15" w:type="dxa"/>
            <w:left w:w="15" w:type="dxa"/>
            <w:bottom w:w="15" w:type="dxa"/>
            <w:right w:w="15" w:type="dxa"/>
          </w:tblCellMar>
        </w:tblPrEx>
        <w:trPr>
          <w:trHeight w:val="495" w:hRule="atLeast"/>
        </w:trPr>
        <w:tc>
          <w:tcPr>
            <w:tcW w:w="2030" w:type="dxa"/>
            <w:tcBorders>
              <w:top w:val="single" w:color="auto" w:sz="4" w:space="0"/>
              <w:left w:val="single" w:color="auto" w:sz="4" w:space="0"/>
              <w:bottom w:val="single" w:color="auto" w:sz="4" w:space="0"/>
              <w:right w:val="single" w:color="auto" w:sz="4" w:space="0"/>
            </w:tcBorders>
            <w:vAlign w:val="bottom"/>
          </w:tcPr>
          <w:p w14:paraId="3BF18364">
            <w:pPr>
              <w:jc w:val="center"/>
              <w:rPr>
                <w:color w:val="auto"/>
                <w:sz w:val="24"/>
                <w:szCs w:val="24"/>
                <w:highlight w:val="none"/>
              </w:rPr>
            </w:pPr>
            <w:r>
              <w:rPr>
                <w:rFonts w:hint="eastAsia"/>
                <w:color w:val="auto"/>
                <w:sz w:val="24"/>
                <w:szCs w:val="24"/>
                <w:highlight w:val="none"/>
              </w:rPr>
              <w:t>法定代表人或授权代表（签字</w:t>
            </w:r>
            <w:r>
              <w:rPr>
                <w:rFonts w:hint="eastAsia"/>
                <w:color w:val="auto"/>
                <w:sz w:val="24"/>
                <w:szCs w:val="24"/>
                <w:highlight w:val="none"/>
                <w:lang w:val="en-US" w:eastAsia="zh-CN"/>
              </w:rPr>
              <w:t>或盖章</w:t>
            </w:r>
            <w:r>
              <w:rPr>
                <w:rFonts w:hint="eastAsia"/>
                <w:color w:val="auto"/>
                <w:sz w:val="24"/>
                <w:szCs w:val="24"/>
                <w:highlight w:val="none"/>
              </w:rPr>
              <w:t>）</w:t>
            </w:r>
          </w:p>
        </w:tc>
        <w:tc>
          <w:tcPr>
            <w:tcW w:w="3810" w:type="dxa"/>
            <w:tcBorders>
              <w:top w:val="single" w:color="auto" w:sz="4" w:space="0"/>
              <w:left w:val="single" w:color="auto" w:sz="4" w:space="0"/>
              <w:bottom w:val="single" w:color="auto" w:sz="4" w:space="0"/>
              <w:right w:val="single" w:color="auto" w:sz="4" w:space="0"/>
            </w:tcBorders>
            <w:vAlign w:val="bottom"/>
          </w:tcPr>
          <w:p w14:paraId="5324125F">
            <w:pPr>
              <w:rPr>
                <w:rFonts w:ascii="宋体" w:hAnsi="宋体" w:cs="宋体"/>
                <w:bCs/>
                <w:color w:val="auto"/>
                <w:sz w:val="24"/>
                <w:szCs w:val="24"/>
                <w:highlight w:val="none"/>
              </w:rPr>
            </w:pPr>
          </w:p>
        </w:tc>
        <w:tc>
          <w:tcPr>
            <w:tcW w:w="4035" w:type="dxa"/>
            <w:tcBorders>
              <w:top w:val="single" w:color="auto" w:sz="4" w:space="0"/>
              <w:left w:val="single" w:color="auto" w:sz="4" w:space="0"/>
              <w:bottom w:val="single" w:color="auto" w:sz="4" w:space="0"/>
              <w:right w:val="single" w:color="auto" w:sz="4" w:space="0"/>
            </w:tcBorders>
            <w:vAlign w:val="center"/>
          </w:tcPr>
          <w:p w14:paraId="1D4360DA">
            <w:pPr>
              <w:widowControl/>
              <w:textAlignment w:val="bottom"/>
              <w:rPr>
                <w:rFonts w:ascii="宋体" w:hAnsi="宋体" w:cs="宋体"/>
                <w:bCs/>
                <w:color w:val="auto"/>
                <w:sz w:val="24"/>
                <w:szCs w:val="24"/>
                <w:highlight w:val="none"/>
              </w:rPr>
            </w:pPr>
            <w:r>
              <w:rPr>
                <w:rFonts w:hint="eastAsia"/>
                <w:color w:val="auto"/>
                <w:sz w:val="24"/>
                <w:szCs w:val="24"/>
                <w:highlight w:val="none"/>
              </w:rPr>
              <w:t>日期：     年    月    日</w:t>
            </w:r>
          </w:p>
        </w:tc>
      </w:tr>
      <w:tr w14:paraId="47514859">
        <w:tblPrEx>
          <w:tblCellMar>
            <w:top w:w="15" w:type="dxa"/>
            <w:left w:w="15" w:type="dxa"/>
            <w:bottom w:w="15" w:type="dxa"/>
            <w:right w:w="15" w:type="dxa"/>
          </w:tblCellMar>
        </w:tblPrEx>
        <w:trPr>
          <w:trHeight w:val="3825" w:hRule="atLeast"/>
        </w:trPr>
        <w:tc>
          <w:tcPr>
            <w:tcW w:w="9875" w:type="dxa"/>
            <w:gridSpan w:val="3"/>
            <w:tcBorders>
              <w:top w:val="single" w:color="auto" w:sz="4" w:space="0"/>
              <w:left w:val="single" w:color="000000" w:sz="4" w:space="0"/>
              <w:right w:val="single" w:color="000000" w:sz="4" w:space="0"/>
            </w:tcBorders>
          </w:tcPr>
          <w:p w14:paraId="7C977D37">
            <w:pPr>
              <w:autoSpaceDE w:val="0"/>
              <w:autoSpaceDN w:val="0"/>
              <w:adjustRightInd w:val="0"/>
              <w:spacing w:line="360" w:lineRule="auto"/>
              <w:ind w:right="-66" w:firstLine="560"/>
              <w:rPr>
                <w:rFonts w:hint="eastAsia" w:ascii="宋体" w:hAnsi="宋体" w:cs="宋体"/>
                <w:bCs/>
                <w:color w:val="auto"/>
                <w:kern w:val="0"/>
                <w:sz w:val="24"/>
                <w:szCs w:val="24"/>
                <w:highlight w:val="none"/>
                <w:lang w:bidi="ar"/>
              </w:rPr>
            </w:pPr>
            <w:r>
              <w:rPr>
                <w:rFonts w:hint="eastAsia" w:ascii="宋体" w:hAnsi="宋体" w:cs="宋体"/>
                <w:bCs/>
                <w:color w:val="auto"/>
                <w:kern w:val="0"/>
                <w:sz w:val="24"/>
                <w:szCs w:val="24"/>
                <w:highlight w:val="none"/>
                <w:lang w:bidi="ar"/>
              </w:rPr>
              <w:br w:type="textWrapping"/>
            </w:r>
            <w:r>
              <w:rPr>
                <w:rFonts w:hint="eastAsia" w:ascii="宋体" w:hAnsi="宋体" w:cs="宋体"/>
                <w:bCs/>
                <w:color w:val="auto"/>
                <w:kern w:val="0"/>
                <w:sz w:val="24"/>
                <w:szCs w:val="24"/>
                <w:highlight w:val="none"/>
                <w:lang w:bidi="ar"/>
              </w:rPr>
              <w:t>我方郑重承诺此报价为本次竞争性磋商的最终磋商报价：</w:t>
            </w:r>
          </w:p>
          <w:p w14:paraId="72C05160">
            <w:pPr>
              <w:widowControl/>
              <w:jc w:val="left"/>
              <w:textAlignment w:val="top"/>
              <w:rPr>
                <w:rFonts w:hint="eastAsia"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 xml:space="preserve"> </w:t>
            </w:r>
          </w:p>
          <w:p w14:paraId="414FA29E">
            <w:pPr>
              <w:autoSpaceDE w:val="0"/>
              <w:autoSpaceDN w:val="0"/>
              <w:adjustRightInd w:val="0"/>
              <w:spacing w:line="360" w:lineRule="auto"/>
              <w:ind w:right="-66" w:firstLine="560"/>
              <w:rPr>
                <w:rFonts w:hint="default" w:ascii="宋体" w:hAnsi="宋体" w:eastAsia="宋体" w:cs="宋体"/>
                <w:bCs/>
                <w:color w:val="auto"/>
                <w:kern w:val="0"/>
                <w:sz w:val="24"/>
                <w:szCs w:val="24"/>
                <w:highlight w:val="none"/>
                <w:lang w:val="en-US" w:eastAsia="zh-CN" w:bidi="ar"/>
              </w:rPr>
            </w:pPr>
            <w:r>
              <w:rPr>
                <w:rFonts w:hint="eastAsia" w:ascii="宋体" w:hAnsi="宋体" w:eastAsia="宋体" w:cs="宋体"/>
                <w:bCs/>
                <w:color w:val="auto"/>
                <w:kern w:val="0"/>
                <w:sz w:val="24"/>
                <w:szCs w:val="24"/>
                <w:highlight w:val="none"/>
                <w:lang w:val="en-US" w:eastAsia="zh-CN" w:bidi="ar"/>
              </w:rPr>
              <w:t>总报价：</w:t>
            </w:r>
            <w:r>
              <w:rPr>
                <w:rFonts w:hint="default" w:ascii="宋体" w:hAnsi="宋体" w:eastAsia="宋体" w:cs="宋体"/>
                <w:bCs/>
                <w:color w:val="auto"/>
                <w:kern w:val="0"/>
                <w:sz w:val="24"/>
                <w:szCs w:val="24"/>
                <w:highlight w:val="none"/>
                <w:lang w:val="en-US" w:eastAsia="zh-CN" w:bidi="ar"/>
              </w:rPr>
              <w:t>¥</w:t>
            </w:r>
            <w:r>
              <w:rPr>
                <w:rFonts w:hint="eastAsia" w:ascii="宋体" w:hAnsi="宋体" w:eastAsia="宋体" w:cs="宋体"/>
                <w:bCs/>
                <w:color w:val="auto"/>
                <w:kern w:val="0"/>
                <w:sz w:val="24"/>
                <w:szCs w:val="24"/>
                <w:highlight w:val="none"/>
                <w:lang w:val="en-US" w:eastAsia="zh-CN" w:bidi="ar"/>
              </w:rPr>
              <w:t xml:space="preserve">            ，大写：           </w:t>
            </w:r>
          </w:p>
          <w:p w14:paraId="2B2CC2AE">
            <w:pPr>
              <w:autoSpaceDE w:val="0"/>
              <w:autoSpaceDN w:val="0"/>
              <w:adjustRightInd w:val="0"/>
              <w:spacing w:line="360" w:lineRule="auto"/>
              <w:ind w:right="-66" w:firstLine="560"/>
              <w:rPr>
                <w:rFonts w:hint="eastAsia" w:ascii="宋体" w:hAnsi="宋体" w:eastAsia="宋体" w:cs="宋体"/>
                <w:bCs/>
                <w:color w:val="auto"/>
                <w:kern w:val="0"/>
                <w:sz w:val="24"/>
                <w:szCs w:val="24"/>
                <w:highlight w:val="none"/>
                <w:lang w:val="en-US" w:eastAsia="zh-CN" w:bidi="ar"/>
              </w:rPr>
            </w:pPr>
          </w:p>
          <w:p w14:paraId="3A6C5DDA">
            <w:pPr>
              <w:widowControl/>
              <w:jc w:val="left"/>
              <w:textAlignment w:val="top"/>
              <w:rPr>
                <w:rStyle w:val="939"/>
                <w:rFonts w:hint="default"/>
                <w:b w:val="0"/>
                <w:bCs/>
                <w:color w:val="auto"/>
                <w:highlight w:val="none"/>
                <w:lang w:bidi="ar"/>
              </w:rPr>
            </w:pPr>
          </w:p>
          <w:p w14:paraId="3A31D2D7">
            <w:pPr>
              <w:widowControl/>
              <w:jc w:val="left"/>
              <w:textAlignment w:val="top"/>
              <w:rPr>
                <w:rStyle w:val="939"/>
                <w:rFonts w:hint="default"/>
                <w:b w:val="0"/>
                <w:bCs/>
                <w:color w:val="auto"/>
                <w:highlight w:val="none"/>
                <w:lang w:bidi="ar"/>
              </w:rPr>
            </w:pPr>
          </w:p>
          <w:p w14:paraId="70E93A61">
            <w:pPr>
              <w:widowControl/>
              <w:jc w:val="left"/>
              <w:textAlignment w:val="top"/>
              <w:rPr>
                <w:rFonts w:ascii="宋体" w:hAnsi="宋体" w:cs="宋体"/>
                <w:bCs/>
                <w:color w:val="auto"/>
                <w:sz w:val="24"/>
                <w:szCs w:val="24"/>
                <w:highlight w:val="none"/>
              </w:rPr>
            </w:pPr>
            <w:r>
              <w:rPr>
                <w:rFonts w:hint="default" w:ascii="宋体" w:hAnsi="宋体" w:cs="宋体"/>
                <w:bCs/>
                <w:color w:val="auto"/>
                <w:kern w:val="0"/>
                <w:sz w:val="24"/>
                <w:szCs w:val="24"/>
                <w:highlight w:val="none"/>
                <w:lang w:bidi="ar"/>
              </w:rPr>
              <w:t>其他澄清及承诺：</w:t>
            </w:r>
          </w:p>
        </w:tc>
      </w:tr>
      <w:tr w14:paraId="645081B9">
        <w:tblPrEx>
          <w:tblCellMar>
            <w:top w:w="15" w:type="dxa"/>
            <w:left w:w="15" w:type="dxa"/>
            <w:bottom w:w="15" w:type="dxa"/>
            <w:right w:w="15" w:type="dxa"/>
          </w:tblCellMar>
        </w:tblPrEx>
        <w:trPr>
          <w:trHeight w:val="1801" w:hRule="atLeast"/>
        </w:trPr>
        <w:tc>
          <w:tcPr>
            <w:tcW w:w="9875" w:type="dxa"/>
            <w:gridSpan w:val="3"/>
            <w:tcBorders>
              <w:left w:val="single" w:color="000000" w:sz="4" w:space="0"/>
              <w:bottom w:val="single" w:color="000000" w:sz="4" w:space="0"/>
              <w:right w:val="single" w:color="000000" w:sz="4" w:space="0"/>
            </w:tcBorders>
          </w:tcPr>
          <w:p w14:paraId="5D674026">
            <w:pPr>
              <w:jc w:val="center"/>
              <w:rPr>
                <w:rFonts w:ascii="宋体" w:hAnsi="宋体" w:cs="宋体"/>
                <w:b/>
                <w:color w:val="auto"/>
                <w:sz w:val="24"/>
                <w:szCs w:val="24"/>
                <w:highlight w:val="none"/>
              </w:rPr>
            </w:pPr>
          </w:p>
        </w:tc>
      </w:tr>
      <w:tr w14:paraId="068AF748">
        <w:tblPrEx>
          <w:tblCellMar>
            <w:top w:w="15" w:type="dxa"/>
            <w:left w:w="15" w:type="dxa"/>
            <w:bottom w:w="15" w:type="dxa"/>
            <w:right w:w="15" w:type="dxa"/>
          </w:tblCellMar>
        </w:tblPrEx>
        <w:trPr>
          <w:trHeight w:val="615" w:hRule="atLeast"/>
        </w:trPr>
        <w:tc>
          <w:tcPr>
            <w:tcW w:w="9875" w:type="dxa"/>
            <w:gridSpan w:val="3"/>
            <w:tcBorders>
              <w:top w:val="single" w:color="000000" w:sz="4" w:space="0"/>
              <w:left w:val="single" w:color="000000" w:sz="4" w:space="0"/>
              <w:bottom w:val="single" w:color="000000" w:sz="4" w:space="0"/>
              <w:right w:val="single" w:color="000000" w:sz="4" w:space="0"/>
            </w:tcBorders>
            <w:vAlign w:val="center"/>
          </w:tcPr>
          <w:p w14:paraId="1A86EF72">
            <w:pPr>
              <w:autoSpaceDE w:val="0"/>
              <w:autoSpaceDN w:val="0"/>
              <w:adjustRightInd w:val="0"/>
              <w:spacing w:line="360" w:lineRule="auto"/>
              <w:jc w:val="left"/>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注：（1）磋商</w:t>
            </w:r>
            <w:r>
              <w:rPr>
                <w:rFonts w:hint="eastAsia" w:asciiTheme="minorEastAsia" w:hAnsiTheme="minorEastAsia" w:eastAsiaTheme="minorEastAsia"/>
                <w:b/>
                <w:color w:val="auto"/>
                <w:szCs w:val="21"/>
                <w:highlight w:val="none"/>
                <w:lang w:val="en-US" w:eastAsia="zh-CN"/>
              </w:rPr>
              <w:t>评审</w:t>
            </w:r>
            <w:r>
              <w:rPr>
                <w:rFonts w:hint="eastAsia" w:asciiTheme="minorEastAsia" w:hAnsiTheme="minorEastAsia" w:eastAsiaTheme="minorEastAsia"/>
                <w:b/>
                <w:color w:val="auto"/>
                <w:szCs w:val="21"/>
                <w:highlight w:val="none"/>
              </w:rPr>
              <w:t>小组在政府采购云平台上发起二次报价（最终报价）后，供应商</w:t>
            </w:r>
            <w:r>
              <w:rPr>
                <w:rFonts w:hint="eastAsia" w:asciiTheme="minorEastAsia" w:hAnsiTheme="minorEastAsia" w:eastAsiaTheme="minorEastAsia"/>
                <w:b/>
                <w:color w:val="auto"/>
                <w:szCs w:val="21"/>
                <w:highlight w:val="none"/>
                <w:lang w:val="en-US" w:eastAsia="zh-CN"/>
              </w:rPr>
              <w:t>按照</w:t>
            </w:r>
            <w:r>
              <w:rPr>
                <w:rFonts w:hint="eastAsia" w:asciiTheme="minorEastAsia" w:hAnsiTheme="minorEastAsia" w:eastAsiaTheme="minorEastAsia"/>
                <w:b/>
                <w:color w:val="auto"/>
                <w:szCs w:val="21"/>
                <w:highlight w:val="none"/>
              </w:rPr>
              <w:t>《二次报价表》（最终报价）格式在规定的时间内进行填报并上传。此《二次报价表》在提交响应文件时无需提供，仅作为二次报价（最终报价）的依据。</w:t>
            </w:r>
          </w:p>
          <w:p w14:paraId="08F8D381">
            <w:pPr>
              <w:numPr>
                <w:ilvl w:val="0"/>
                <w:numId w:val="0"/>
              </w:numPr>
              <w:autoSpaceDE w:val="0"/>
              <w:autoSpaceDN w:val="0"/>
              <w:adjustRightInd w:val="0"/>
              <w:spacing w:line="360" w:lineRule="auto"/>
              <w:ind w:firstLine="422" w:firstLineChars="200"/>
              <w:jc w:val="left"/>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lang w:eastAsia="zh-CN"/>
              </w:rPr>
              <w:t>（</w:t>
            </w:r>
            <w:r>
              <w:rPr>
                <w:rFonts w:hint="eastAsia" w:asciiTheme="minorEastAsia" w:hAnsiTheme="minorEastAsia" w:eastAsiaTheme="minorEastAsia"/>
                <w:b/>
                <w:bCs/>
                <w:color w:val="auto"/>
                <w:highlight w:val="none"/>
                <w:lang w:val="en-US" w:eastAsia="zh-CN"/>
              </w:rPr>
              <w:t>2</w:t>
            </w:r>
            <w:r>
              <w:rPr>
                <w:rFonts w:hint="eastAsia" w:asciiTheme="minorEastAsia" w:hAnsiTheme="minorEastAsia" w:eastAsiaTheme="minorEastAsia"/>
                <w:b/>
                <w:bCs/>
                <w:color w:val="auto"/>
                <w:highlight w:val="none"/>
                <w:lang w:eastAsia="zh-CN"/>
              </w:rPr>
              <w:t>）</w:t>
            </w:r>
            <w:r>
              <w:rPr>
                <w:rFonts w:asciiTheme="minorEastAsia" w:hAnsiTheme="minorEastAsia" w:eastAsiaTheme="minorEastAsia"/>
                <w:b/>
                <w:bCs/>
                <w:color w:val="auto"/>
                <w:highlight w:val="none"/>
              </w:rPr>
              <w:t>请供应商务必在规定的时间内进行二次报价</w:t>
            </w:r>
            <w:r>
              <w:rPr>
                <w:rFonts w:hint="eastAsia" w:asciiTheme="minorEastAsia" w:hAnsiTheme="minorEastAsia" w:eastAsiaTheme="minorEastAsia"/>
                <w:b/>
                <w:bCs/>
                <w:color w:val="auto"/>
                <w:highlight w:val="none"/>
              </w:rPr>
              <w:t>并</w:t>
            </w:r>
            <w:r>
              <w:rPr>
                <w:rFonts w:asciiTheme="minorEastAsia" w:hAnsiTheme="minorEastAsia" w:eastAsiaTheme="minorEastAsia"/>
                <w:b/>
                <w:bCs/>
                <w:color w:val="auto"/>
                <w:highlight w:val="none"/>
              </w:rPr>
              <w:t>上传经电子签章后的《二次报价表》</w:t>
            </w:r>
            <w:r>
              <w:rPr>
                <w:rFonts w:hint="eastAsia" w:asciiTheme="minorEastAsia" w:hAnsiTheme="minorEastAsia" w:eastAsiaTheme="minorEastAsia"/>
                <w:b/>
                <w:bCs/>
                <w:color w:val="auto"/>
                <w:highlight w:val="none"/>
              </w:rPr>
              <w:t>及二次报价“已标价工程量清单”</w:t>
            </w:r>
            <w:r>
              <w:rPr>
                <w:rFonts w:asciiTheme="minorEastAsia" w:hAnsiTheme="minorEastAsia" w:eastAsiaTheme="minorEastAsia"/>
                <w:b/>
                <w:bCs/>
                <w:color w:val="auto"/>
                <w:highlight w:val="none"/>
              </w:rPr>
              <w:t>，同时保持通讯工具畅通。若供应商未在规定的时间内进行二次报价或联系不上的，</w:t>
            </w:r>
            <w:r>
              <w:rPr>
                <w:rFonts w:hint="eastAsia" w:asciiTheme="minorEastAsia" w:hAnsiTheme="minorEastAsia" w:eastAsiaTheme="minorEastAsia"/>
                <w:b/>
                <w:bCs/>
                <w:color w:val="auto"/>
                <w:highlight w:val="none"/>
              </w:rPr>
              <w:t>磋商</w:t>
            </w:r>
            <w:r>
              <w:rPr>
                <w:rFonts w:asciiTheme="minorEastAsia" w:hAnsiTheme="minorEastAsia" w:eastAsiaTheme="minorEastAsia"/>
                <w:b/>
                <w:bCs/>
                <w:color w:val="auto"/>
                <w:highlight w:val="none"/>
              </w:rPr>
              <w:t>小组将视为其放弃二次报价，并将其响应文件中的</w:t>
            </w:r>
            <w:r>
              <w:rPr>
                <w:rFonts w:hint="eastAsia" w:asciiTheme="minorEastAsia" w:hAnsiTheme="minorEastAsia" w:eastAsiaTheme="minorEastAsia"/>
                <w:b/>
                <w:bCs/>
                <w:color w:val="auto"/>
                <w:highlight w:val="none"/>
              </w:rPr>
              <w:t>磋商总</w:t>
            </w:r>
            <w:r>
              <w:rPr>
                <w:rFonts w:asciiTheme="minorEastAsia" w:hAnsiTheme="minorEastAsia" w:eastAsiaTheme="minorEastAsia"/>
                <w:b/>
                <w:bCs/>
                <w:color w:val="auto"/>
                <w:highlight w:val="none"/>
              </w:rPr>
              <w:t>报价作为其最后报价参与评审。</w:t>
            </w:r>
            <w:r>
              <w:rPr>
                <w:rFonts w:hint="eastAsia" w:asciiTheme="minorEastAsia" w:hAnsiTheme="minorEastAsia" w:eastAsiaTheme="minorEastAsia"/>
                <w:b/>
                <w:bCs/>
                <w:color w:val="auto"/>
                <w:highlight w:val="none"/>
              </w:rPr>
              <w:t>若因供应商自身原因导致出现以上情况的，供应商自行承担评审结果，与采购人和采购代理机构无关。</w:t>
            </w:r>
          </w:p>
          <w:p w14:paraId="47471605">
            <w:pPr>
              <w:numPr>
                <w:ilvl w:val="0"/>
                <w:numId w:val="0"/>
              </w:numPr>
              <w:autoSpaceDE w:val="0"/>
              <w:autoSpaceDN w:val="0"/>
              <w:adjustRightInd w:val="0"/>
              <w:spacing w:line="360" w:lineRule="auto"/>
              <w:ind w:firstLine="422" w:firstLineChars="200"/>
              <w:jc w:val="left"/>
              <w:rPr>
                <w:rFonts w:hint="eastAsia" w:asciiTheme="minorEastAsia" w:hAnsiTheme="minorEastAsia" w:eastAsiaTheme="minorEastAsia"/>
                <w:b/>
                <w:bCs/>
                <w:color w:val="auto"/>
                <w:highlight w:val="none"/>
              </w:rPr>
            </w:pPr>
            <w:r>
              <w:rPr>
                <w:rFonts w:hint="eastAsia" w:asciiTheme="minorEastAsia" w:hAnsiTheme="minorEastAsia" w:eastAsiaTheme="minorEastAsia"/>
                <w:b/>
                <w:color w:val="auto"/>
                <w:szCs w:val="21"/>
                <w:highlight w:val="none"/>
                <w:lang w:eastAsia="zh-CN"/>
              </w:rPr>
              <w:t>（</w:t>
            </w:r>
            <w:r>
              <w:rPr>
                <w:rFonts w:hint="eastAsia" w:asciiTheme="minorEastAsia" w:hAnsiTheme="minorEastAsia" w:eastAsiaTheme="minorEastAsia"/>
                <w:b/>
                <w:color w:val="auto"/>
                <w:szCs w:val="21"/>
                <w:highlight w:val="none"/>
                <w:lang w:val="en-US" w:eastAsia="zh-CN"/>
              </w:rPr>
              <w:t>3</w:t>
            </w:r>
            <w:r>
              <w:rPr>
                <w:rFonts w:hint="eastAsia" w:asciiTheme="minorEastAsia" w:hAnsiTheme="minorEastAsia" w:eastAsiaTheme="minorEastAsia"/>
                <w:b/>
                <w:color w:val="auto"/>
                <w:szCs w:val="21"/>
                <w:highlight w:val="none"/>
                <w:lang w:eastAsia="zh-CN"/>
              </w:rPr>
              <w:t>）</w:t>
            </w:r>
            <w:r>
              <w:rPr>
                <w:rFonts w:hint="eastAsia" w:asciiTheme="minorEastAsia" w:hAnsiTheme="minorEastAsia" w:eastAsiaTheme="minorEastAsia"/>
                <w:b/>
                <w:color w:val="auto"/>
                <w:szCs w:val="21"/>
                <w:highlight w:val="none"/>
              </w:rPr>
              <w:t>二次报价（最终报价）</w:t>
            </w:r>
            <w:r>
              <w:rPr>
                <w:rFonts w:hint="eastAsia" w:asciiTheme="minorEastAsia" w:hAnsiTheme="minorEastAsia" w:eastAsiaTheme="minorEastAsia"/>
                <w:b/>
                <w:bCs/>
                <w:color w:val="auto"/>
                <w:highlight w:val="none"/>
              </w:rPr>
              <w:t>只能小于或等于一次报价，不能大于一次报价。</w:t>
            </w:r>
          </w:p>
        </w:tc>
      </w:tr>
    </w:tbl>
    <w:p w14:paraId="6F14CE9C">
      <w:pPr>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r>
    </w:p>
    <w:p w14:paraId="0C472C50">
      <w:pPr>
        <w:spacing w:line="360" w:lineRule="auto"/>
        <w:jc w:val="center"/>
        <w:outlineLvl w:val="1"/>
        <w:rPr>
          <w:rFonts w:asciiTheme="minorEastAsia" w:hAnsiTheme="minorEastAsia" w:eastAsiaTheme="minorEastAsia"/>
          <w:b/>
          <w:color w:val="auto"/>
          <w:sz w:val="30"/>
          <w:szCs w:val="30"/>
          <w:highlight w:val="none"/>
        </w:rPr>
      </w:pPr>
      <w:bookmarkStart w:id="1291" w:name="_Toc26399"/>
      <w:r>
        <w:rPr>
          <w:rFonts w:hint="eastAsia" w:asciiTheme="minorEastAsia" w:hAnsiTheme="minorEastAsia" w:eastAsiaTheme="minorEastAsia"/>
          <w:b/>
          <w:color w:val="auto"/>
          <w:sz w:val="30"/>
          <w:szCs w:val="30"/>
          <w:highlight w:val="none"/>
        </w:rPr>
        <w:t>三、技术</w:t>
      </w:r>
      <w:bookmarkEnd w:id="1253"/>
      <w:bookmarkEnd w:id="1254"/>
      <w:bookmarkEnd w:id="1290"/>
      <w:r>
        <w:rPr>
          <w:rFonts w:hint="eastAsia" w:asciiTheme="minorEastAsia" w:hAnsiTheme="minorEastAsia" w:eastAsiaTheme="minorEastAsia"/>
          <w:b/>
          <w:color w:val="auto"/>
          <w:sz w:val="30"/>
          <w:szCs w:val="30"/>
          <w:highlight w:val="none"/>
        </w:rPr>
        <w:t>文件</w:t>
      </w:r>
      <w:bookmarkEnd w:id="1291"/>
    </w:p>
    <w:p w14:paraId="2B356E0D">
      <w:pPr>
        <w:pStyle w:val="991"/>
        <w:spacing w:line="360" w:lineRule="auto"/>
        <w:ind w:firstLine="480" w:firstLineChars="200"/>
        <w:jc w:val="left"/>
        <w:rPr>
          <w:rFonts w:hint="eastAsia" w:hAnsi="宋体" w:cs="Times New Roman"/>
          <w:bCs w:val="0"/>
          <w:color w:val="auto"/>
          <w:sz w:val="30"/>
          <w:szCs w:val="30"/>
          <w:highlight w:val="none"/>
        </w:rPr>
      </w:pPr>
      <w:r>
        <w:rPr>
          <w:rFonts w:hint="eastAsia"/>
          <w:color w:val="auto"/>
          <w:sz w:val="24"/>
          <w:szCs w:val="24"/>
          <w:highlight w:val="none"/>
          <w:lang w:val="en-US" w:eastAsia="zh-CN"/>
        </w:rPr>
        <w:t>供应商</w:t>
      </w:r>
      <w:r>
        <w:rPr>
          <w:rFonts w:hint="eastAsia"/>
          <w:color w:val="auto"/>
          <w:sz w:val="24"/>
          <w:szCs w:val="24"/>
          <w:highlight w:val="none"/>
        </w:rPr>
        <w:t>应按以下要点编制</w:t>
      </w:r>
      <w:r>
        <w:rPr>
          <w:rFonts w:hint="eastAsia"/>
          <w:color w:val="auto"/>
          <w:sz w:val="24"/>
          <w:szCs w:val="24"/>
          <w:highlight w:val="none"/>
          <w:lang w:val="en-US" w:eastAsia="zh-CN"/>
        </w:rPr>
        <w:t>技术方案</w:t>
      </w:r>
      <w:r>
        <w:rPr>
          <w:rFonts w:hint="eastAsia"/>
          <w:color w:val="auto"/>
          <w:sz w:val="24"/>
          <w:szCs w:val="24"/>
          <w:highlight w:val="none"/>
        </w:rPr>
        <w:t>（文字宜</w:t>
      </w:r>
      <w:r>
        <w:rPr>
          <w:rFonts w:hint="eastAsia"/>
          <w:color w:val="auto"/>
          <w:sz w:val="24"/>
          <w:szCs w:val="24"/>
          <w:highlight w:val="none"/>
          <w:lang w:eastAsia="zh-CN"/>
        </w:rPr>
        <w:t>精练</w:t>
      </w:r>
      <w:r>
        <w:rPr>
          <w:rFonts w:hint="eastAsia"/>
          <w:color w:val="auto"/>
          <w:sz w:val="24"/>
          <w:szCs w:val="24"/>
          <w:highlight w:val="none"/>
        </w:rPr>
        <w:t>、内容具有针对性）</w:t>
      </w:r>
      <w:r>
        <w:rPr>
          <w:rFonts w:hint="eastAsia"/>
          <w:color w:val="auto"/>
          <w:sz w:val="24"/>
          <w:szCs w:val="24"/>
          <w:highlight w:val="none"/>
          <w:lang w:eastAsia="zh-CN"/>
        </w:rPr>
        <w:t>，</w:t>
      </w:r>
      <w:r>
        <w:rPr>
          <w:rFonts w:hint="eastAsia"/>
          <w:color w:val="auto"/>
          <w:sz w:val="24"/>
          <w:szCs w:val="24"/>
          <w:highlight w:val="none"/>
        </w:rPr>
        <w:t>包括但不限于下列内容：</w:t>
      </w:r>
    </w:p>
    <w:p w14:paraId="2D744C2B">
      <w:pPr>
        <w:rPr>
          <w:color w:val="auto"/>
          <w:highlight w:val="none"/>
        </w:rPr>
      </w:pPr>
    </w:p>
    <w:p w14:paraId="219F6FE9">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一、总体施工组织布置及计划措施</w:t>
      </w:r>
    </w:p>
    <w:p w14:paraId="7C94F52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二、施工方案、方法与技术措施</w:t>
      </w:r>
    </w:p>
    <w:p w14:paraId="798E3CF2">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三、工期保证体系及保证措施</w:t>
      </w:r>
    </w:p>
    <w:p w14:paraId="60C5174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四、工程质量管理体系及保证措施</w:t>
      </w:r>
    </w:p>
    <w:p w14:paraId="041C143C">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五、安全管理体系及保证措施</w:t>
      </w:r>
    </w:p>
    <w:p w14:paraId="4440EFCE">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六、环境保护管理体系及保证措施</w:t>
      </w:r>
    </w:p>
    <w:p w14:paraId="0A3C798C">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七、文明施工管理体系及保证措施</w:t>
      </w:r>
    </w:p>
    <w:p w14:paraId="4D0F9CD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八、项目风险预测与防范，事故应急预案</w:t>
      </w:r>
    </w:p>
    <w:p w14:paraId="6CBFF636">
      <w:pPr>
        <w:spacing w:line="360" w:lineRule="auto"/>
        <w:ind w:firstLine="480" w:firstLineChars="200"/>
        <w:rPr>
          <w:rFonts w:ascii="宋体" w:hAnsi="宋体" w:cs="宋体"/>
          <w:kern w:val="0"/>
          <w:sz w:val="24"/>
          <w:highlight w:val="none"/>
        </w:rPr>
      </w:pPr>
      <w:r>
        <w:rPr>
          <w:rFonts w:ascii="宋体" w:hAnsi="宋体" w:cs="宋体"/>
          <w:kern w:val="0"/>
          <w:sz w:val="24"/>
          <w:highlight w:val="none"/>
        </w:rPr>
        <w:t>……</w:t>
      </w:r>
    </w:p>
    <w:p w14:paraId="0F3411CA">
      <w:pPr>
        <w:spacing w:line="360" w:lineRule="auto"/>
        <w:ind w:firstLine="602" w:firstLineChars="200"/>
        <w:rPr>
          <w:rFonts w:hint="eastAsia" w:asciiTheme="minorEastAsia" w:hAnsiTheme="minorEastAsia" w:eastAsiaTheme="minorEastAsia"/>
          <w:b/>
          <w:color w:val="auto"/>
          <w:sz w:val="30"/>
          <w:szCs w:val="30"/>
          <w:highlight w:val="none"/>
        </w:rPr>
      </w:pPr>
    </w:p>
    <w:p w14:paraId="6AFFD72A">
      <w:pPr>
        <w:rPr>
          <w:rFonts w:asciiTheme="minorEastAsia" w:hAnsiTheme="minorEastAsia" w:eastAsiaTheme="minorEastAsia"/>
          <w:b/>
          <w:color w:val="auto"/>
          <w:sz w:val="30"/>
          <w:szCs w:val="30"/>
          <w:highlight w:val="none"/>
        </w:rPr>
      </w:pPr>
      <w:r>
        <w:rPr>
          <w:rFonts w:hint="eastAsia" w:asciiTheme="minorEastAsia" w:hAnsiTheme="minorEastAsia" w:eastAsiaTheme="minorEastAsia"/>
          <w:b/>
          <w:color w:val="auto"/>
          <w:sz w:val="30"/>
          <w:szCs w:val="30"/>
          <w:highlight w:val="none"/>
        </w:rPr>
        <w:br w:type="page"/>
      </w:r>
    </w:p>
    <w:p w14:paraId="73EE4CE8">
      <w:pPr>
        <w:pStyle w:val="3"/>
        <w:spacing w:before="0" w:after="0" w:line="360" w:lineRule="auto"/>
        <w:rPr>
          <w:rFonts w:ascii="宋体" w:hAnsi="宋体"/>
          <w:b w:val="0"/>
          <w:bCs/>
          <w:color w:val="auto"/>
          <w:szCs w:val="32"/>
          <w:highlight w:val="none"/>
        </w:rPr>
      </w:pPr>
      <w:bookmarkStart w:id="1292" w:name="_Toc14040"/>
      <w:bookmarkStart w:id="1293" w:name="_Toc109809399"/>
      <w:bookmarkStart w:id="1294" w:name="_Toc26364"/>
      <w:bookmarkStart w:id="1295" w:name="_Toc116584087"/>
      <w:bookmarkStart w:id="1296" w:name="_Toc110405216"/>
      <w:r>
        <w:rPr>
          <w:rFonts w:hint="eastAsia" w:asciiTheme="minorEastAsia" w:hAnsiTheme="minorEastAsia" w:eastAsiaTheme="minorEastAsia"/>
          <w:color w:val="auto"/>
          <w:szCs w:val="32"/>
          <w:highlight w:val="none"/>
        </w:rPr>
        <w:t>第五章 采购需求</w:t>
      </w:r>
      <w:bookmarkEnd w:id="1292"/>
    </w:p>
    <w:p w14:paraId="18095ACB">
      <w:pPr>
        <w:widowControl/>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一、采购标的需实现的功能或者目标，以及为落实政府采购政策需满足的要求；</w:t>
      </w:r>
    </w:p>
    <w:p w14:paraId="0CD0ED28">
      <w:pPr>
        <w:widowControl/>
        <w:numPr>
          <w:ilvl w:val="0"/>
          <w:numId w:val="0"/>
        </w:numPr>
        <w:shd w:val="clear" w:color="auto" w:fill="FFFFFF"/>
        <w:spacing w:line="360" w:lineRule="auto"/>
        <w:ind w:firstLine="420" w:firstLineChars="200"/>
        <w:jc w:val="left"/>
        <w:rPr>
          <w:rFonts w:hint="default" w:cs="宋体" w:asciiTheme="minorEastAsia" w:hAnsiTheme="minorEastAsia" w:eastAsiaTheme="minorEastAsia"/>
          <w:color w:val="auto"/>
          <w:kern w:val="0"/>
          <w:szCs w:val="21"/>
          <w:highlight w:val="none"/>
          <w:lang w:val="en-US" w:eastAsia="zh-CN"/>
        </w:rPr>
      </w:pPr>
      <w:r>
        <w:rPr>
          <w:rFonts w:hint="eastAsia" w:cs="宋体" w:asciiTheme="minorEastAsia" w:hAnsiTheme="minorEastAsia" w:eastAsiaTheme="minorEastAsia"/>
          <w:color w:val="auto"/>
          <w:kern w:val="0"/>
          <w:szCs w:val="21"/>
          <w:highlight w:val="none"/>
        </w:rPr>
        <w:t>1.采购标的需实现的功能或者目标：</w:t>
      </w:r>
      <w:r>
        <w:rPr>
          <w:rFonts w:hint="default" w:cs="宋体" w:asciiTheme="minorEastAsia" w:hAnsiTheme="minorEastAsia" w:eastAsiaTheme="minorEastAsia"/>
          <w:color w:val="auto"/>
          <w:kern w:val="0"/>
          <w:szCs w:val="21"/>
          <w:highlight w:val="none"/>
          <w:lang w:val="en-US" w:eastAsia="zh-CN"/>
        </w:rPr>
        <w:t>①草果庄园水毁区域开展生态修复，修复120m人行步道、345m自行车道，软基换填，新建钢筋混凝土暗板涵</w:t>
      </w:r>
      <w:r>
        <w:rPr>
          <w:rFonts w:hint="eastAsia" w:cs="宋体" w:asciiTheme="minorEastAsia" w:hAnsiTheme="minorEastAsia" w:eastAsiaTheme="minorEastAsia"/>
          <w:color w:val="auto"/>
          <w:kern w:val="0"/>
          <w:szCs w:val="21"/>
          <w:highlight w:val="none"/>
          <w:lang w:val="en-US" w:eastAsia="zh-CN"/>
        </w:rPr>
        <w:t>；</w:t>
      </w:r>
      <w:r>
        <w:rPr>
          <w:rFonts w:hint="default" w:cs="宋体" w:asciiTheme="minorEastAsia" w:hAnsiTheme="minorEastAsia" w:eastAsiaTheme="minorEastAsia"/>
          <w:color w:val="auto"/>
          <w:kern w:val="0"/>
          <w:szCs w:val="21"/>
          <w:highlight w:val="none"/>
          <w:lang w:val="en-US" w:eastAsia="zh-CN"/>
        </w:rPr>
        <w:t>配套修复化粪池，修复园区景观照明，翻新路面彩绘，同步完成乔灌草植被恢复，施工统一剥离60cm厚表土后期覆土回用；②亚货洛河下游（靠近河口、地势平缓）的河段修建3座拦沙坝，总坝长43.30m，配套消力池、护坦及排水盲管；铺设总长371mPE自流灌溉管道并配套沉砂池。</w:t>
      </w:r>
    </w:p>
    <w:p w14:paraId="748E99A4">
      <w:pPr>
        <w:widowControl/>
        <w:numPr>
          <w:ilvl w:val="0"/>
          <w:numId w:val="0"/>
        </w:numPr>
        <w:shd w:val="clear" w:color="auto" w:fill="FFFFFF"/>
        <w:spacing w:line="360" w:lineRule="auto"/>
        <w:ind w:firstLine="420" w:firstLineChars="200"/>
        <w:jc w:val="left"/>
        <w:rPr>
          <w:rFonts w:hint="default" w:cs="宋体" w:asciiTheme="minorEastAsia" w:hAnsiTheme="minorEastAsia" w:eastAsiaTheme="minorEastAsia"/>
          <w:color w:val="auto"/>
          <w:kern w:val="0"/>
          <w:szCs w:val="21"/>
          <w:highlight w:val="none"/>
          <w:lang w:val="en-US" w:eastAsia="zh-CN"/>
        </w:rPr>
      </w:pPr>
      <w:r>
        <w:rPr>
          <w:rFonts w:hint="default" w:cs="宋体" w:asciiTheme="minorEastAsia" w:hAnsiTheme="minorEastAsia" w:eastAsiaTheme="minorEastAsia"/>
          <w:color w:val="auto"/>
          <w:kern w:val="0"/>
          <w:szCs w:val="21"/>
          <w:highlight w:val="none"/>
          <w:lang w:val="en-US" w:eastAsia="zh-CN"/>
        </w:rPr>
        <w:t>统筹河道防灾治理、灌溉供水与草果庄园农文旅生态修复。</w:t>
      </w:r>
    </w:p>
    <w:p w14:paraId="63F93246">
      <w:pPr>
        <w:widowControl/>
        <w:numPr>
          <w:ilvl w:val="0"/>
          <w:numId w:val="0"/>
        </w:numPr>
        <w:shd w:val="clear" w:color="auto" w:fill="FFFFFF"/>
        <w:spacing w:line="360" w:lineRule="auto"/>
        <w:ind w:firstLine="420" w:firstLineChars="200"/>
        <w:jc w:val="left"/>
        <w:rPr>
          <w:rFonts w:hint="eastAsia"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lang w:val="en-US" w:eastAsia="zh-CN"/>
        </w:rPr>
        <w:t>2.</w:t>
      </w:r>
      <w:r>
        <w:rPr>
          <w:rFonts w:hint="eastAsia" w:cs="宋体" w:asciiTheme="minorEastAsia" w:hAnsiTheme="minorEastAsia" w:eastAsiaTheme="minorEastAsia"/>
          <w:color w:val="auto"/>
          <w:kern w:val="0"/>
          <w:szCs w:val="21"/>
          <w:highlight w:val="none"/>
        </w:rPr>
        <w:t>本项目需要落实的政府采购政策：本项目属于专门面向中小企业采购的项目。</w:t>
      </w:r>
    </w:p>
    <w:p w14:paraId="6B8F9880">
      <w:pPr>
        <w:widowControl/>
        <w:numPr>
          <w:ilvl w:val="0"/>
          <w:numId w:val="0"/>
        </w:numPr>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二、采购标的需执行的国家相关标准、行业标准、地方标准或者其他标准、规范；</w:t>
      </w:r>
    </w:p>
    <w:p w14:paraId="14865D3A">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需执行的相关标准：符合国家、省、市（州）有关</w:t>
      </w:r>
      <w:r>
        <w:rPr>
          <w:rFonts w:hint="eastAsia" w:cs="宋体" w:asciiTheme="minorEastAsia" w:hAnsiTheme="minorEastAsia" w:eastAsiaTheme="minorEastAsia"/>
          <w:color w:val="auto"/>
          <w:kern w:val="0"/>
          <w:szCs w:val="21"/>
          <w:highlight w:val="none"/>
          <w:lang w:eastAsia="zh-CN"/>
        </w:rPr>
        <w:t>法律法规</w:t>
      </w:r>
      <w:r>
        <w:rPr>
          <w:rFonts w:hint="eastAsia" w:cs="宋体" w:asciiTheme="minorEastAsia" w:hAnsiTheme="minorEastAsia" w:eastAsiaTheme="minorEastAsia"/>
          <w:color w:val="auto"/>
          <w:kern w:val="0"/>
          <w:szCs w:val="21"/>
          <w:highlight w:val="none"/>
        </w:rPr>
        <w:t>和规章的规定。</w:t>
      </w:r>
    </w:p>
    <w:p w14:paraId="19725249">
      <w:pPr>
        <w:widowControl/>
        <w:shd w:val="clear" w:color="auto" w:fill="FFFFFF"/>
        <w:spacing w:line="360" w:lineRule="auto"/>
        <w:ind w:firstLine="422" w:firstLineChars="200"/>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三、采购标的需满足的质量、安全、技术规格、物理特性等要求；</w:t>
      </w:r>
    </w:p>
    <w:p w14:paraId="51CB6B99">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质量要求：符合现行的国家、地方相关质量标准和技术规范，并确保一次性验收合格。</w:t>
      </w:r>
    </w:p>
    <w:p w14:paraId="03EBA573">
      <w:pPr>
        <w:widowControl/>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四、采购标的的数量、采购项目交付或者实施的时间和地点；</w:t>
      </w:r>
    </w:p>
    <w:p w14:paraId="0236F097">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1.数量：1项。</w:t>
      </w:r>
    </w:p>
    <w:p w14:paraId="10B89318">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2.实施时间：2026年。</w:t>
      </w:r>
    </w:p>
    <w:p w14:paraId="13EFC914">
      <w:pPr>
        <w:widowControl/>
        <w:shd w:val="clear" w:color="auto" w:fill="FFFFFF"/>
        <w:spacing w:line="360" w:lineRule="auto"/>
        <w:ind w:firstLine="420" w:firstLineChars="200"/>
        <w:jc w:val="left"/>
        <w:rPr>
          <w:rFonts w:hint="default" w:cs="宋体" w:asciiTheme="minorEastAsia" w:hAnsiTheme="minorEastAsia" w:eastAsiaTheme="minorEastAsia"/>
          <w:color w:val="auto"/>
          <w:kern w:val="0"/>
          <w:szCs w:val="21"/>
          <w:highlight w:val="none"/>
          <w:lang w:val="en-US" w:eastAsia="zh-CN"/>
        </w:rPr>
      </w:pPr>
      <w:r>
        <w:rPr>
          <w:rFonts w:hint="eastAsia" w:cs="宋体" w:asciiTheme="minorEastAsia" w:hAnsiTheme="minorEastAsia" w:eastAsiaTheme="minorEastAsia"/>
          <w:color w:val="auto"/>
          <w:kern w:val="0"/>
          <w:szCs w:val="21"/>
          <w:highlight w:val="none"/>
        </w:rPr>
        <w:t>3.实施地点：</w:t>
      </w:r>
      <w:r>
        <w:rPr>
          <w:rFonts w:hint="eastAsia" w:cs="宋体" w:asciiTheme="minorEastAsia" w:hAnsiTheme="minorEastAsia" w:eastAsiaTheme="minorEastAsia"/>
          <w:color w:val="auto"/>
          <w:kern w:val="0"/>
          <w:szCs w:val="21"/>
          <w:highlight w:val="none"/>
          <w:lang w:val="en-US" w:eastAsia="zh-CN"/>
        </w:rPr>
        <w:t>福贡县境内。</w:t>
      </w:r>
    </w:p>
    <w:p w14:paraId="7101C813">
      <w:pPr>
        <w:widowControl/>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五、采购标的需满足的服务标准、期限、效率等要求；</w:t>
      </w:r>
    </w:p>
    <w:p w14:paraId="6C656980">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1.计划工期：</w:t>
      </w:r>
      <w:r>
        <w:rPr>
          <w:rFonts w:hint="eastAsia" w:asciiTheme="minorEastAsia" w:hAnsiTheme="minorEastAsia" w:eastAsiaTheme="minorEastAsia"/>
          <w:color w:val="auto"/>
          <w:szCs w:val="21"/>
          <w:highlight w:val="none"/>
          <w:lang w:val="en-US" w:eastAsia="zh-CN"/>
        </w:rPr>
        <w:t>5个月。</w:t>
      </w:r>
    </w:p>
    <w:p w14:paraId="098D4339">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w:t>
      </w:r>
      <w:r>
        <w:rPr>
          <w:rFonts w:hint="eastAsia" w:cs="宋体" w:asciiTheme="minorEastAsia" w:hAnsiTheme="minorEastAsia" w:eastAsiaTheme="minorEastAsia"/>
          <w:color w:val="auto"/>
          <w:kern w:val="0"/>
          <w:szCs w:val="21"/>
          <w:highlight w:val="none"/>
          <w:lang w:val="en-US" w:eastAsia="zh-CN"/>
        </w:rPr>
        <w:t>质量</w:t>
      </w:r>
      <w:r>
        <w:rPr>
          <w:rFonts w:hint="eastAsia" w:cs="宋体" w:asciiTheme="minorEastAsia" w:hAnsiTheme="minorEastAsia" w:eastAsiaTheme="minorEastAsia"/>
          <w:color w:val="auto"/>
          <w:kern w:val="0"/>
          <w:szCs w:val="21"/>
          <w:highlight w:val="none"/>
        </w:rPr>
        <w:t>标准：</w:t>
      </w:r>
      <w:r>
        <w:rPr>
          <w:rFonts w:hint="eastAsia" w:asciiTheme="minorEastAsia" w:hAnsiTheme="minorEastAsia" w:eastAsiaTheme="minorEastAsia"/>
          <w:color w:val="auto"/>
          <w:szCs w:val="21"/>
          <w:highlight w:val="none"/>
        </w:rPr>
        <w:t>符合现行的国家、地方相关质量标准和技术规范，并确保一次性验收合格</w:t>
      </w:r>
      <w:r>
        <w:rPr>
          <w:rFonts w:hint="eastAsia" w:cs="宋体" w:asciiTheme="minorEastAsia" w:hAnsiTheme="minorEastAsia" w:eastAsiaTheme="minorEastAsia"/>
          <w:color w:val="auto"/>
          <w:kern w:val="0"/>
          <w:szCs w:val="21"/>
          <w:highlight w:val="none"/>
        </w:rPr>
        <w:t>。</w:t>
      </w:r>
    </w:p>
    <w:p w14:paraId="0B588E98">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w:t>
      </w:r>
      <w:r>
        <w:rPr>
          <w:rFonts w:hint="eastAsia" w:cs="宋体" w:asciiTheme="minorEastAsia" w:hAnsiTheme="minorEastAsia" w:eastAsiaTheme="minorEastAsia"/>
          <w:color w:val="auto"/>
          <w:kern w:val="0"/>
          <w:szCs w:val="21"/>
          <w:highlight w:val="none"/>
          <w:lang w:val="en-US" w:eastAsia="zh-CN"/>
        </w:rPr>
        <w:t>实施</w:t>
      </w:r>
      <w:r>
        <w:rPr>
          <w:rFonts w:hint="eastAsia" w:cs="宋体" w:asciiTheme="minorEastAsia" w:hAnsiTheme="minorEastAsia" w:eastAsiaTheme="minorEastAsia"/>
          <w:color w:val="auto"/>
          <w:kern w:val="0"/>
          <w:szCs w:val="21"/>
          <w:highlight w:val="none"/>
        </w:rPr>
        <w:t>效率：满足采购人要求。</w:t>
      </w:r>
    </w:p>
    <w:p w14:paraId="5F630920">
      <w:pPr>
        <w:widowControl/>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六、采购标的的验收标准；</w:t>
      </w:r>
    </w:p>
    <w:p w14:paraId="7561FB65">
      <w:pPr>
        <w:widowControl/>
        <w:shd w:val="clear" w:color="auto" w:fill="FFFFFF"/>
        <w:spacing w:line="360" w:lineRule="auto"/>
        <w:ind w:firstLine="420" w:firstLineChars="200"/>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验收标准：符合现行的国家、地方相关质量标准和技术规范，并确保一次性验收合格。</w:t>
      </w:r>
    </w:p>
    <w:p w14:paraId="4AF64BAD">
      <w:pPr>
        <w:widowControl/>
        <w:shd w:val="clear" w:color="auto" w:fill="FFFFFF"/>
        <w:spacing w:line="360" w:lineRule="auto"/>
        <w:jc w:val="left"/>
        <w:rPr>
          <w:rFonts w:cs="宋体" w:asciiTheme="minorEastAsia" w:hAnsiTheme="minorEastAsia" w:eastAsiaTheme="minorEastAsia"/>
          <w:b/>
          <w:bCs/>
          <w:color w:val="auto"/>
          <w:kern w:val="0"/>
          <w:szCs w:val="21"/>
          <w:highlight w:val="none"/>
        </w:rPr>
      </w:pPr>
      <w:r>
        <w:rPr>
          <w:rFonts w:hint="eastAsia" w:cs="宋体" w:asciiTheme="minorEastAsia" w:hAnsiTheme="minorEastAsia" w:eastAsiaTheme="minorEastAsia"/>
          <w:b/>
          <w:bCs/>
          <w:color w:val="auto"/>
          <w:kern w:val="0"/>
          <w:szCs w:val="21"/>
          <w:highlight w:val="none"/>
        </w:rPr>
        <w:t>七、采购标的的其他技术、服务等要求。</w:t>
      </w:r>
    </w:p>
    <w:p w14:paraId="65C1FA98">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完成</w:t>
      </w:r>
      <w:r>
        <w:rPr>
          <w:rFonts w:hint="eastAsia" w:asciiTheme="minorEastAsia" w:hAnsiTheme="minorEastAsia" w:eastAsiaTheme="minorEastAsia"/>
          <w:color w:val="auto"/>
          <w:szCs w:val="21"/>
          <w:highlight w:val="none"/>
          <w:lang w:eastAsia="zh-CN"/>
        </w:rPr>
        <w:t>福贡县农田水利设施建设及防灾减灾治理项目</w:t>
      </w:r>
      <w:r>
        <w:rPr>
          <w:rFonts w:hint="eastAsia" w:asciiTheme="minorEastAsia" w:hAnsiTheme="minorEastAsia" w:eastAsiaTheme="minorEastAsia"/>
          <w:color w:val="auto"/>
          <w:szCs w:val="21"/>
          <w:highlight w:val="none"/>
        </w:rPr>
        <w:t>的所有施工工作。</w:t>
      </w:r>
    </w:p>
    <w:p w14:paraId="5DB795C0">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p w14:paraId="66F8BC3E">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p w14:paraId="6F5A7A07">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p w14:paraId="7D0840C5">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p w14:paraId="40A9CADD">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p w14:paraId="4CD85F85">
      <w:pPr>
        <w:widowControl/>
        <w:shd w:val="clear" w:color="auto" w:fill="FFFFFF"/>
        <w:spacing w:line="360" w:lineRule="auto"/>
        <w:ind w:firstLine="420" w:firstLineChars="200"/>
        <w:jc w:val="left"/>
        <w:rPr>
          <w:rFonts w:asciiTheme="minorEastAsia" w:hAnsiTheme="minorEastAsia" w:eastAsiaTheme="minorEastAsia"/>
          <w:color w:val="auto"/>
          <w:szCs w:val="21"/>
          <w:highlight w:val="none"/>
        </w:rPr>
      </w:pPr>
    </w:p>
    <w:bookmarkEnd w:id="1076"/>
    <w:bookmarkEnd w:id="1077"/>
    <w:bookmarkEnd w:id="1078"/>
    <w:bookmarkEnd w:id="1079"/>
    <w:bookmarkEnd w:id="1293"/>
    <w:bookmarkEnd w:id="1294"/>
    <w:bookmarkEnd w:id="1295"/>
    <w:bookmarkEnd w:id="1296"/>
    <w:p w14:paraId="23D545FD">
      <w:pPr>
        <w:rPr>
          <w:rFonts w:asciiTheme="minorEastAsia" w:hAnsiTheme="minorEastAsia" w:eastAsiaTheme="minorEastAsia"/>
          <w:color w:val="auto"/>
          <w:szCs w:val="32"/>
          <w:highlight w:val="none"/>
        </w:rPr>
      </w:pPr>
      <w:bookmarkStart w:id="1297" w:name="_Toc30390"/>
      <w:bookmarkStart w:id="1298" w:name="_Hlk106380765"/>
      <w:bookmarkStart w:id="1299" w:name="_Toc29357077"/>
      <w:r>
        <w:rPr>
          <w:rFonts w:hint="eastAsia" w:asciiTheme="minorEastAsia" w:hAnsiTheme="minorEastAsia" w:eastAsiaTheme="minorEastAsia"/>
          <w:color w:val="auto"/>
          <w:szCs w:val="32"/>
          <w:highlight w:val="none"/>
        </w:rPr>
        <w:br w:type="page"/>
      </w:r>
    </w:p>
    <w:p w14:paraId="47EAB820">
      <w:pPr>
        <w:pStyle w:val="3"/>
        <w:spacing w:before="0" w:after="0" w:line="360" w:lineRule="auto"/>
        <w:rPr>
          <w:rFonts w:asciiTheme="minorEastAsia" w:hAnsiTheme="minorEastAsia" w:eastAsiaTheme="minorEastAsia"/>
          <w:color w:val="auto"/>
          <w:szCs w:val="32"/>
          <w:highlight w:val="none"/>
        </w:rPr>
      </w:pPr>
      <w:bookmarkStart w:id="1300" w:name="_Toc6124"/>
      <w:r>
        <w:rPr>
          <w:rFonts w:hint="eastAsia" w:asciiTheme="minorEastAsia" w:hAnsiTheme="minorEastAsia" w:eastAsiaTheme="minorEastAsia"/>
          <w:color w:val="auto"/>
          <w:szCs w:val="32"/>
          <w:highlight w:val="none"/>
        </w:rPr>
        <w:t xml:space="preserve">第六章 </w:t>
      </w:r>
      <w:bookmarkEnd w:id="1297"/>
      <w:bookmarkEnd w:id="1298"/>
      <w:bookmarkStart w:id="1301" w:name="_Toc37603115"/>
      <w:bookmarkStart w:id="1302" w:name="_Toc42205043"/>
      <w:r>
        <w:rPr>
          <w:rFonts w:hint="eastAsia" w:asciiTheme="minorEastAsia" w:hAnsiTheme="minorEastAsia" w:eastAsiaTheme="minorEastAsia"/>
          <w:color w:val="auto"/>
          <w:szCs w:val="32"/>
          <w:highlight w:val="none"/>
        </w:rPr>
        <w:t>图纸</w:t>
      </w:r>
      <w:bookmarkEnd w:id="1300"/>
    </w:p>
    <w:p w14:paraId="12A68CD4">
      <w:pPr>
        <w:jc w:val="center"/>
        <w:rPr>
          <w:color w:val="auto"/>
          <w:highlight w:val="none"/>
        </w:rPr>
      </w:pPr>
      <w:r>
        <w:rPr>
          <w:rFonts w:hint="eastAsia"/>
          <w:color w:val="auto"/>
          <w:highlight w:val="none"/>
        </w:rPr>
        <w:t>（</w:t>
      </w:r>
      <w:r>
        <w:rPr>
          <w:rFonts w:hint="eastAsia"/>
          <w:color w:val="auto"/>
          <w:highlight w:val="none"/>
          <w:lang w:val="en-US" w:eastAsia="zh-CN"/>
        </w:rPr>
        <w:t>另册提供</w:t>
      </w:r>
      <w:r>
        <w:rPr>
          <w:rFonts w:hint="eastAsia"/>
          <w:color w:val="auto"/>
          <w:highlight w:val="none"/>
        </w:rPr>
        <w:t>）</w:t>
      </w:r>
    </w:p>
    <w:p w14:paraId="1A755565">
      <w:pPr>
        <w:widowControl/>
        <w:jc w:val="left"/>
        <w:rPr>
          <w:color w:val="auto"/>
          <w:highlight w:val="none"/>
        </w:rPr>
      </w:pPr>
      <w:r>
        <w:rPr>
          <w:color w:val="auto"/>
          <w:highlight w:val="none"/>
        </w:rPr>
        <w:br w:type="page"/>
      </w:r>
    </w:p>
    <w:p w14:paraId="2259B5E5">
      <w:pPr>
        <w:spacing w:line="360" w:lineRule="auto"/>
        <w:jc w:val="center"/>
        <w:outlineLvl w:val="0"/>
        <w:rPr>
          <w:rFonts w:asciiTheme="minorEastAsia" w:hAnsiTheme="minorEastAsia" w:eastAsiaTheme="minorEastAsia"/>
          <w:color w:val="auto"/>
          <w:szCs w:val="32"/>
          <w:highlight w:val="none"/>
        </w:rPr>
      </w:pPr>
      <w:bookmarkStart w:id="1303" w:name="_Toc9697"/>
      <w:r>
        <w:rPr>
          <w:rFonts w:hint="eastAsia" w:asciiTheme="minorEastAsia" w:hAnsiTheme="minorEastAsia" w:eastAsiaTheme="minorEastAsia"/>
          <w:b/>
          <w:bCs/>
          <w:color w:val="auto"/>
          <w:sz w:val="32"/>
          <w:szCs w:val="32"/>
          <w:highlight w:val="none"/>
        </w:rPr>
        <w:t>第七章 工程量清单</w:t>
      </w:r>
      <w:bookmarkEnd w:id="1303"/>
    </w:p>
    <w:p w14:paraId="66A3E07D">
      <w:pPr>
        <w:spacing w:line="360" w:lineRule="auto"/>
        <w:jc w:val="center"/>
        <w:rPr>
          <w:color w:val="auto"/>
          <w:highlight w:val="none"/>
        </w:rPr>
      </w:pPr>
      <w:r>
        <w:rPr>
          <w:rFonts w:hint="eastAsia"/>
          <w:color w:val="auto"/>
          <w:highlight w:val="none"/>
        </w:rPr>
        <w:t>（</w:t>
      </w:r>
      <w:r>
        <w:rPr>
          <w:rFonts w:hint="eastAsia"/>
          <w:color w:val="auto"/>
          <w:highlight w:val="none"/>
          <w:lang w:val="en-US" w:eastAsia="zh-CN"/>
        </w:rPr>
        <w:t>另册提供</w:t>
      </w:r>
      <w:r>
        <w:rPr>
          <w:rFonts w:hint="eastAsia"/>
          <w:color w:val="auto"/>
          <w:highlight w:val="none"/>
        </w:rPr>
        <w:t>）</w:t>
      </w:r>
    </w:p>
    <w:p w14:paraId="37E8147F">
      <w:pPr>
        <w:spacing w:line="360" w:lineRule="auto"/>
        <w:jc w:val="center"/>
        <w:outlineLvl w:val="0"/>
        <w:rPr>
          <w:rFonts w:asciiTheme="minorEastAsia" w:hAnsiTheme="minorEastAsia" w:eastAsiaTheme="minorEastAsia"/>
          <w:b/>
          <w:bCs/>
          <w:color w:val="auto"/>
          <w:sz w:val="32"/>
          <w:szCs w:val="32"/>
          <w:highlight w:val="none"/>
        </w:rPr>
      </w:pPr>
      <w:r>
        <w:rPr>
          <w:rFonts w:asciiTheme="minorEastAsia" w:hAnsiTheme="minorEastAsia" w:eastAsiaTheme="minorEastAsia"/>
          <w:bCs/>
          <w:color w:val="auto"/>
          <w:spacing w:val="20"/>
          <w:kern w:val="44"/>
          <w:szCs w:val="21"/>
          <w:highlight w:val="none"/>
        </w:rPr>
        <w:br w:type="page"/>
      </w:r>
      <w:bookmarkStart w:id="1304" w:name="_Toc9142"/>
      <w:bookmarkStart w:id="1305" w:name="_Toc17057"/>
      <w:bookmarkStart w:id="1306" w:name="_Toc45791393"/>
      <w:bookmarkStart w:id="1307" w:name="_Toc42205032"/>
      <w:r>
        <w:rPr>
          <w:rFonts w:hint="eastAsia" w:asciiTheme="minorEastAsia" w:hAnsiTheme="minorEastAsia" w:eastAsiaTheme="minorEastAsia"/>
          <w:b/>
          <w:bCs/>
          <w:color w:val="auto"/>
          <w:sz w:val="32"/>
          <w:szCs w:val="32"/>
          <w:highlight w:val="none"/>
        </w:rPr>
        <w:t>第八章 评审办法（综合评分法）</w:t>
      </w:r>
      <w:bookmarkEnd w:id="1304"/>
      <w:bookmarkEnd w:id="1305"/>
    </w:p>
    <w:p w14:paraId="5D6713FE">
      <w:pPr>
        <w:pStyle w:val="4"/>
        <w:spacing w:line="360" w:lineRule="auto"/>
        <w:rPr>
          <w:rFonts w:asciiTheme="minorEastAsia" w:hAnsiTheme="minorEastAsia" w:eastAsiaTheme="minorEastAsia"/>
          <w:b w:val="0"/>
          <w:bCs/>
          <w:color w:val="auto"/>
          <w:szCs w:val="28"/>
          <w:highlight w:val="none"/>
        </w:rPr>
      </w:pPr>
      <w:bookmarkStart w:id="1308" w:name="_Toc447640828"/>
      <w:bookmarkStart w:id="1309" w:name="_Toc388013682"/>
      <w:bookmarkStart w:id="1310" w:name="_Toc84356289"/>
      <w:bookmarkStart w:id="1311" w:name="_Toc110405174"/>
      <w:bookmarkStart w:id="1312" w:name="_Toc388014371"/>
      <w:bookmarkStart w:id="1313" w:name="_Toc42205031"/>
      <w:bookmarkStart w:id="1314" w:name="_Toc87538406"/>
      <w:bookmarkStart w:id="1315" w:name="_Toc2024"/>
      <w:bookmarkStart w:id="1316" w:name="_Toc9290724"/>
      <w:bookmarkStart w:id="1317" w:name="_Toc388013369"/>
      <w:bookmarkStart w:id="1318" w:name="_Toc37603109"/>
      <w:bookmarkStart w:id="1319" w:name="_Toc83753929"/>
      <w:bookmarkStart w:id="1320" w:name="_Toc302769231"/>
      <w:bookmarkStart w:id="1321" w:name="_Toc87543857"/>
      <w:bookmarkStart w:id="1322" w:name="_Toc18936"/>
      <w:r>
        <w:rPr>
          <w:rFonts w:hint="eastAsia" w:asciiTheme="minorEastAsia" w:hAnsiTheme="minorEastAsia" w:eastAsiaTheme="minorEastAsia"/>
          <w:b w:val="0"/>
          <w:bCs/>
          <w:color w:val="auto"/>
          <w:szCs w:val="28"/>
          <w:highlight w:val="none"/>
        </w:rPr>
        <w:t>一、评审办法</w:t>
      </w:r>
      <w:r>
        <w:rPr>
          <w:rFonts w:asciiTheme="minorEastAsia" w:hAnsiTheme="minorEastAsia" w:eastAsiaTheme="minorEastAsia"/>
          <w:b w:val="0"/>
          <w:bCs/>
          <w:color w:val="auto"/>
          <w:szCs w:val="28"/>
          <w:highlight w:val="none"/>
        </w:rPr>
        <w:t>前附表</w:t>
      </w:r>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tbl>
      <w:tblPr>
        <w:tblStyle w:val="67"/>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7"/>
        <w:gridCol w:w="1660"/>
        <w:gridCol w:w="2785"/>
        <w:gridCol w:w="4252"/>
        <w:gridCol w:w="709"/>
      </w:tblGrid>
      <w:tr w14:paraId="7FCA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37" w:type="dxa"/>
            <w:vAlign w:val="center"/>
          </w:tcPr>
          <w:p w14:paraId="5676D888">
            <w:pPr>
              <w:autoSpaceDE w:val="0"/>
              <w:autoSpaceDN w:val="0"/>
              <w:adjustRightInd w:val="0"/>
              <w:jc w:val="center"/>
              <w:rPr>
                <w:rFonts w:hint="eastAsia" w:ascii="宋体" w:hAnsi="宋体" w:eastAsia="宋体" w:cs="宋体"/>
                <w:b/>
                <w:color w:val="auto"/>
                <w:spacing w:val="1"/>
                <w:kern w:val="0"/>
                <w:sz w:val="21"/>
                <w:szCs w:val="21"/>
                <w:highlight w:val="none"/>
              </w:rPr>
            </w:pPr>
            <w:r>
              <w:rPr>
                <w:rFonts w:hint="eastAsia" w:ascii="宋体" w:hAnsi="宋体" w:eastAsia="宋体" w:cs="宋体"/>
                <w:b/>
                <w:color w:val="auto"/>
                <w:spacing w:val="1"/>
                <w:kern w:val="0"/>
                <w:sz w:val="21"/>
                <w:szCs w:val="21"/>
                <w:highlight w:val="none"/>
              </w:rPr>
              <w:t>条款号</w:t>
            </w:r>
          </w:p>
        </w:tc>
        <w:tc>
          <w:tcPr>
            <w:tcW w:w="1660" w:type="dxa"/>
            <w:vAlign w:val="center"/>
          </w:tcPr>
          <w:p w14:paraId="285DAA68">
            <w:pPr>
              <w:autoSpaceDE w:val="0"/>
              <w:autoSpaceDN w:val="0"/>
              <w:adjustRightIn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2785" w:type="dxa"/>
            <w:vAlign w:val="center"/>
          </w:tcPr>
          <w:p w14:paraId="2C5F18D2">
            <w:pPr>
              <w:autoSpaceDE w:val="0"/>
              <w:autoSpaceDN w:val="0"/>
              <w:adjustRightIn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评审内容</w:t>
            </w:r>
          </w:p>
        </w:tc>
        <w:tc>
          <w:tcPr>
            <w:tcW w:w="4961" w:type="dxa"/>
            <w:gridSpan w:val="2"/>
            <w:vAlign w:val="center"/>
          </w:tcPr>
          <w:p w14:paraId="5747FD3D">
            <w:pPr>
              <w:autoSpaceDE w:val="0"/>
              <w:autoSpaceDN w:val="0"/>
              <w:adjustRightInd w:val="0"/>
              <w:jc w:val="center"/>
              <w:rPr>
                <w:rFonts w:hint="eastAsia" w:ascii="宋体" w:hAnsi="宋体" w:eastAsia="宋体" w:cs="宋体"/>
                <w:b/>
                <w:color w:val="auto"/>
                <w:sz w:val="21"/>
                <w:szCs w:val="21"/>
                <w:highlight w:val="none"/>
              </w:rPr>
            </w:pPr>
            <w:r>
              <w:rPr>
                <w:rFonts w:hint="eastAsia" w:ascii="宋体" w:hAnsi="宋体" w:eastAsia="宋体" w:cs="宋体"/>
                <w:b/>
                <w:color w:val="auto"/>
                <w:spacing w:val="9"/>
                <w:sz w:val="21"/>
                <w:szCs w:val="21"/>
                <w:highlight w:val="none"/>
              </w:rPr>
              <w:t>评审标准</w:t>
            </w:r>
          </w:p>
        </w:tc>
      </w:tr>
      <w:tr w14:paraId="3149A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restart"/>
            <w:vAlign w:val="center"/>
          </w:tcPr>
          <w:p w14:paraId="292EB897">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w:t>
            </w:r>
          </w:p>
        </w:tc>
        <w:tc>
          <w:tcPr>
            <w:tcW w:w="1660" w:type="dxa"/>
            <w:vMerge w:val="restart"/>
            <w:vAlign w:val="center"/>
          </w:tcPr>
          <w:p w14:paraId="006C5373">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资格审查</w:t>
            </w:r>
          </w:p>
          <w:p w14:paraId="56CA070B">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785" w:type="dxa"/>
            <w:vAlign w:val="center"/>
          </w:tcPr>
          <w:p w14:paraId="1F7D078B">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4961" w:type="dxa"/>
            <w:gridSpan w:val="2"/>
            <w:vAlign w:val="center"/>
          </w:tcPr>
          <w:p w14:paraId="1A971692">
            <w:pPr>
              <w:spacing w:before="120" w:beforeLines="5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5F3F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jc w:val="center"/>
        </w:trPr>
        <w:tc>
          <w:tcPr>
            <w:tcW w:w="937" w:type="dxa"/>
            <w:vMerge w:val="continue"/>
            <w:vAlign w:val="center"/>
          </w:tcPr>
          <w:p w14:paraId="716F2220">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4F7D2C32">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10155CB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具有良好的商业信誉和健全的财务会计制度</w:t>
            </w:r>
          </w:p>
        </w:tc>
        <w:tc>
          <w:tcPr>
            <w:tcW w:w="4961" w:type="dxa"/>
            <w:gridSpan w:val="2"/>
            <w:vAlign w:val="center"/>
          </w:tcPr>
          <w:p w14:paraId="1E91ED09">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6D3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937" w:type="dxa"/>
            <w:vMerge w:val="continue"/>
            <w:vAlign w:val="center"/>
          </w:tcPr>
          <w:p w14:paraId="179FFF25">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700BE151">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12CFC715">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履行合同所必需的设备和专业技术能力</w:t>
            </w:r>
          </w:p>
        </w:tc>
        <w:tc>
          <w:tcPr>
            <w:tcW w:w="4961" w:type="dxa"/>
            <w:gridSpan w:val="2"/>
            <w:vAlign w:val="center"/>
          </w:tcPr>
          <w:p w14:paraId="48151E69">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2263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jc w:val="center"/>
        </w:trPr>
        <w:tc>
          <w:tcPr>
            <w:tcW w:w="937" w:type="dxa"/>
            <w:vMerge w:val="continue"/>
            <w:vAlign w:val="center"/>
          </w:tcPr>
          <w:p w14:paraId="44536562">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4E6538CB">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1C409592">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有依法缴纳税收和社会保障资金的良好记录</w:t>
            </w:r>
          </w:p>
        </w:tc>
        <w:tc>
          <w:tcPr>
            <w:tcW w:w="4961" w:type="dxa"/>
            <w:gridSpan w:val="2"/>
            <w:vAlign w:val="center"/>
          </w:tcPr>
          <w:p w14:paraId="74B6C300">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1A95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 w:hRule="atLeast"/>
          <w:jc w:val="center"/>
        </w:trPr>
        <w:tc>
          <w:tcPr>
            <w:tcW w:w="937" w:type="dxa"/>
            <w:vMerge w:val="continue"/>
            <w:vAlign w:val="center"/>
          </w:tcPr>
          <w:p w14:paraId="6849F9FB">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79080B6A">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44AADDAA">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参加政府采购活动前三年内，在经营活动中没有重大违法记录</w:t>
            </w:r>
          </w:p>
        </w:tc>
        <w:tc>
          <w:tcPr>
            <w:tcW w:w="4961" w:type="dxa"/>
            <w:gridSpan w:val="2"/>
            <w:vAlign w:val="center"/>
          </w:tcPr>
          <w:p w14:paraId="6A069BD8">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5E1F2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37" w:type="dxa"/>
            <w:vMerge w:val="continue"/>
            <w:vAlign w:val="center"/>
          </w:tcPr>
          <w:p w14:paraId="7B095318">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45C10365">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471A619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落实政府采购政策需满足的资格要求</w:t>
            </w:r>
          </w:p>
        </w:tc>
        <w:tc>
          <w:tcPr>
            <w:tcW w:w="4961" w:type="dxa"/>
            <w:gridSpan w:val="2"/>
            <w:vAlign w:val="center"/>
          </w:tcPr>
          <w:p w14:paraId="37044896">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578C1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37" w:type="dxa"/>
            <w:vMerge w:val="continue"/>
            <w:vAlign w:val="center"/>
          </w:tcPr>
          <w:p w14:paraId="2AE2A2AE">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0634088E">
            <w:pPr>
              <w:snapToGrid w:val="0"/>
              <w:spacing w:line="360" w:lineRule="auto"/>
              <w:jc w:val="center"/>
              <w:rPr>
                <w:rFonts w:hint="eastAsia" w:ascii="宋体" w:hAnsi="宋体" w:eastAsia="宋体" w:cs="宋体"/>
                <w:color w:val="auto"/>
                <w:sz w:val="21"/>
                <w:szCs w:val="21"/>
                <w:highlight w:val="none"/>
              </w:rPr>
            </w:pPr>
          </w:p>
        </w:tc>
        <w:tc>
          <w:tcPr>
            <w:tcW w:w="2785" w:type="dxa"/>
            <w:shd w:val="clear" w:color="auto" w:fill="auto"/>
            <w:vAlign w:val="center"/>
          </w:tcPr>
          <w:p w14:paraId="6A66CA1C">
            <w:pPr>
              <w:spacing w:line="276"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特定资质</w:t>
            </w:r>
          </w:p>
        </w:tc>
        <w:tc>
          <w:tcPr>
            <w:tcW w:w="4961" w:type="dxa"/>
            <w:gridSpan w:val="2"/>
            <w:shd w:val="clear" w:color="auto" w:fill="auto"/>
            <w:vAlign w:val="center"/>
          </w:tcPr>
          <w:p w14:paraId="403BC8B8">
            <w:pPr>
              <w:spacing w:before="120" w:beforeLines="50"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符合第二章“供应商须知前附表”第1.4.1项规定</w:t>
            </w:r>
            <w:r>
              <w:rPr>
                <w:rFonts w:hint="eastAsia" w:ascii="宋体" w:hAnsi="宋体" w:eastAsia="宋体" w:cs="宋体"/>
                <w:color w:val="auto"/>
                <w:sz w:val="21"/>
                <w:szCs w:val="21"/>
                <w:highlight w:val="none"/>
                <w:lang w:val="en-US" w:eastAsia="zh-CN"/>
              </w:rPr>
              <w:t>。</w:t>
            </w:r>
          </w:p>
        </w:tc>
      </w:tr>
      <w:tr w14:paraId="3AEE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37" w:type="dxa"/>
            <w:vMerge w:val="continue"/>
            <w:vAlign w:val="center"/>
          </w:tcPr>
          <w:p w14:paraId="68C31DD9">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2FC5B090">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4E134D11">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w:t>
            </w:r>
            <w:r>
              <w:rPr>
                <w:rFonts w:hint="eastAsia" w:ascii="宋体" w:hAnsi="宋体" w:eastAsia="宋体" w:cs="宋体"/>
                <w:color w:val="auto"/>
                <w:sz w:val="21"/>
                <w:szCs w:val="21"/>
                <w:highlight w:val="none"/>
                <w:lang w:val="en-US" w:eastAsia="zh-CN"/>
              </w:rPr>
              <w:t>响应</w:t>
            </w:r>
          </w:p>
        </w:tc>
        <w:tc>
          <w:tcPr>
            <w:tcW w:w="4961" w:type="dxa"/>
            <w:gridSpan w:val="2"/>
            <w:vAlign w:val="center"/>
          </w:tcPr>
          <w:p w14:paraId="55806D5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符合第二章“供应商须知前附表”第1.4.</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val="en-US" w:eastAsia="zh-CN"/>
              </w:rPr>
              <w:t>。</w:t>
            </w:r>
          </w:p>
        </w:tc>
      </w:tr>
      <w:tr w14:paraId="24C8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restart"/>
            <w:vAlign w:val="center"/>
          </w:tcPr>
          <w:p w14:paraId="7C4A1C21">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tc>
        <w:tc>
          <w:tcPr>
            <w:tcW w:w="1660" w:type="dxa"/>
            <w:vMerge w:val="restart"/>
            <w:vAlign w:val="center"/>
          </w:tcPr>
          <w:p w14:paraId="42260D68">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符合性审查</w:t>
            </w:r>
          </w:p>
          <w:p w14:paraId="48DD2C84">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785" w:type="dxa"/>
            <w:vAlign w:val="center"/>
          </w:tcPr>
          <w:p w14:paraId="6801A6B5">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响应文件封面</w:t>
            </w:r>
          </w:p>
        </w:tc>
        <w:tc>
          <w:tcPr>
            <w:tcW w:w="4961" w:type="dxa"/>
            <w:gridSpan w:val="2"/>
            <w:vAlign w:val="center"/>
          </w:tcPr>
          <w:p w14:paraId="22655708">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符合第四章“响应文件格式”的规定</w:t>
            </w:r>
            <w:r>
              <w:rPr>
                <w:rFonts w:hint="eastAsia" w:ascii="宋体" w:hAnsi="宋体" w:eastAsia="宋体" w:cs="宋体"/>
                <w:color w:val="auto"/>
                <w:sz w:val="21"/>
                <w:szCs w:val="21"/>
                <w:highlight w:val="none"/>
                <w:lang w:val="en-US" w:eastAsia="zh-CN"/>
              </w:rPr>
              <w:t>。</w:t>
            </w:r>
          </w:p>
        </w:tc>
      </w:tr>
      <w:tr w14:paraId="2E90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3C4630B2">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6BC6EB56">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493F37CE">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磋商函</w:t>
            </w:r>
          </w:p>
        </w:tc>
        <w:tc>
          <w:tcPr>
            <w:tcW w:w="4961" w:type="dxa"/>
            <w:gridSpan w:val="2"/>
            <w:vAlign w:val="center"/>
          </w:tcPr>
          <w:p w14:paraId="194CB387">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符合第四章“响应文件格式”中“商务报价文件”第（一）项规定</w:t>
            </w:r>
            <w:r>
              <w:rPr>
                <w:rFonts w:hint="eastAsia" w:ascii="宋体" w:hAnsi="宋体" w:eastAsia="宋体" w:cs="宋体"/>
                <w:color w:val="auto"/>
                <w:sz w:val="21"/>
                <w:szCs w:val="21"/>
                <w:highlight w:val="none"/>
                <w:lang w:val="en-US" w:eastAsia="zh-CN"/>
              </w:rPr>
              <w:t>。</w:t>
            </w:r>
          </w:p>
        </w:tc>
      </w:tr>
      <w:tr w14:paraId="3507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937" w:type="dxa"/>
            <w:vMerge w:val="continue"/>
            <w:vAlign w:val="center"/>
          </w:tcPr>
          <w:p w14:paraId="663A84EC">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6E0A4592">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1B1BEB33">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法定代表人身份证明及授权委托书</w:t>
            </w:r>
          </w:p>
        </w:tc>
        <w:tc>
          <w:tcPr>
            <w:tcW w:w="4961" w:type="dxa"/>
            <w:gridSpan w:val="2"/>
            <w:vAlign w:val="center"/>
          </w:tcPr>
          <w:p w14:paraId="191AD26E">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kern w:val="0"/>
                <w:sz w:val="21"/>
                <w:szCs w:val="21"/>
                <w:highlight w:val="none"/>
              </w:rPr>
              <w:t>四</w:t>
            </w:r>
            <w:r>
              <w:rPr>
                <w:rFonts w:hint="eastAsia" w:ascii="宋体" w:hAnsi="宋体" w:eastAsia="宋体" w:cs="宋体"/>
                <w:color w:val="auto"/>
                <w:sz w:val="21"/>
                <w:szCs w:val="21"/>
                <w:highlight w:val="none"/>
              </w:rPr>
              <w:t>章“响应文件格式”中“商务报价文件”第（二）项规定，并且有效</w:t>
            </w:r>
            <w:r>
              <w:rPr>
                <w:rFonts w:hint="eastAsia" w:ascii="宋体" w:hAnsi="宋体" w:eastAsia="宋体" w:cs="宋体"/>
                <w:color w:val="auto"/>
                <w:sz w:val="21"/>
                <w:szCs w:val="21"/>
                <w:highlight w:val="none"/>
                <w:lang w:val="en-US" w:eastAsia="zh-CN"/>
              </w:rPr>
              <w:t>。</w:t>
            </w:r>
          </w:p>
        </w:tc>
      </w:tr>
      <w:tr w14:paraId="4F693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5687C705">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479E0FC0">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16DD66D0">
            <w:pPr>
              <w:spacing w:before="120" w:beforeLines="5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联合体协议书</w:t>
            </w:r>
          </w:p>
        </w:tc>
        <w:tc>
          <w:tcPr>
            <w:tcW w:w="4961" w:type="dxa"/>
            <w:gridSpan w:val="2"/>
            <w:vAlign w:val="center"/>
          </w:tcPr>
          <w:p w14:paraId="0A5834E6">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kern w:val="0"/>
                <w:sz w:val="21"/>
                <w:szCs w:val="21"/>
                <w:highlight w:val="none"/>
              </w:rPr>
              <w:t>四</w:t>
            </w:r>
            <w:r>
              <w:rPr>
                <w:rFonts w:hint="eastAsia" w:ascii="宋体" w:hAnsi="宋体" w:eastAsia="宋体" w:cs="宋体"/>
                <w:color w:val="auto"/>
                <w:sz w:val="21"/>
                <w:szCs w:val="21"/>
                <w:highlight w:val="none"/>
              </w:rPr>
              <w:t>章“响应文件格式”中“商务报价文件”第（</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rPr>
              <w:t>）项规定，并且有效</w:t>
            </w:r>
            <w:r>
              <w:rPr>
                <w:rFonts w:hint="eastAsia" w:ascii="宋体" w:hAnsi="宋体" w:eastAsia="宋体" w:cs="宋体"/>
                <w:color w:val="auto"/>
                <w:sz w:val="21"/>
                <w:szCs w:val="21"/>
                <w:highlight w:val="none"/>
                <w:lang w:val="en-US" w:eastAsia="zh-CN"/>
              </w:rPr>
              <w:t>。</w:t>
            </w:r>
          </w:p>
        </w:tc>
      </w:tr>
      <w:tr w14:paraId="07DC4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55A77491">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4B9940D5">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515906B7">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供应商承诺书</w:t>
            </w:r>
          </w:p>
        </w:tc>
        <w:tc>
          <w:tcPr>
            <w:tcW w:w="4961" w:type="dxa"/>
            <w:gridSpan w:val="2"/>
            <w:vAlign w:val="center"/>
          </w:tcPr>
          <w:p w14:paraId="5F63846D">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kern w:val="0"/>
                <w:sz w:val="21"/>
                <w:szCs w:val="21"/>
                <w:highlight w:val="none"/>
              </w:rPr>
              <w:t>四</w:t>
            </w:r>
            <w:r>
              <w:rPr>
                <w:rFonts w:hint="eastAsia" w:ascii="宋体" w:hAnsi="宋体" w:eastAsia="宋体" w:cs="宋体"/>
                <w:color w:val="auto"/>
                <w:sz w:val="21"/>
                <w:szCs w:val="21"/>
                <w:highlight w:val="none"/>
              </w:rPr>
              <w:t>章“响应文件格式”中“商务报价文件”第（</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val="en-US" w:eastAsia="zh-CN"/>
              </w:rPr>
              <w:t>。</w:t>
            </w:r>
          </w:p>
        </w:tc>
      </w:tr>
      <w:tr w14:paraId="7013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281C59C0">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62ABECCB">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78A823F9">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无拖欠农民工工资承诺</w:t>
            </w:r>
          </w:p>
        </w:tc>
        <w:tc>
          <w:tcPr>
            <w:tcW w:w="4961" w:type="dxa"/>
            <w:gridSpan w:val="2"/>
            <w:vAlign w:val="center"/>
          </w:tcPr>
          <w:p w14:paraId="65790DCD">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kern w:val="0"/>
                <w:sz w:val="21"/>
                <w:szCs w:val="21"/>
                <w:highlight w:val="none"/>
              </w:rPr>
              <w:t>四</w:t>
            </w:r>
            <w:r>
              <w:rPr>
                <w:rFonts w:hint="eastAsia" w:ascii="宋体" w:hAnsi="宋体" w:eastAsia="宋体" w:cs="宋体"/>
                <w:color w:val="auto"/>
                <w:sz w:val="21"/>
                <w:szCs w:val="21"/>
                <w:highlight w:val="none"/>
              </w:rPr>
              <w:t>章“响应文件格式”中“商务报价文件”第（</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val="en-US" w:eastAsia="zh-CN"/>
              </w:rPr>
              <w:t>。</w:t>
            </w:r>
          </w:p>
        </w:tc>
      </w:tr>
      <w:tr w14:paraId="46B6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332B2079">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1889846C">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6EA9DB21">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4961" w:type="dxa"/>
            <w:gridSpan w:val="2"/>
            <w:vAlign w:val="center"/>
          </w:tcPr>
          <w:p w14:paraId="05486E2A">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符合第二章“供应商须知前附表”第3.4.1项及商务报价文件第（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val="en-US" w:eastAsia="zh-CN"/>
              </w:rPr>
              <w:t>。</w:t>
            </w:r>
          </w:p>
        </w:tc>
      </w:tr>
      <w:tr w14:paraId="5B6A7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71D7F8FC">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0577DFF3">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62D71F41">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w:t>
            </w:r>
          </w:p>
        </w:tc>
        <w:tc>
          <w:tcPr>
            <w:tcW w:w="4961" w:type="dxa"/>
            <w:gridSpan w:val="2"/>
            <w:vAlign w:val="center"/>
          </w:tcPr>
          <w:p w14:paraId="71D6E05E">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符合第二章“供应商须知前附表”第3.2.1项及商务报价文件第（</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val="en-US" w:eastAsia="zh-CN"/>
              </w:rPr>
              <w:t>。</w:t>
            </w:r>
          </w:p>
        </w:tc>
      </w:tr>
      <w:tr w14:paraId="30B0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72ADBE7E">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547A6A2C">
            <w:pPr>
              <w:snapToGrid w:val="0"/>
              <w:spacing w:line="360" w:lineRule="auto"/>
              <w:jc w:val="center"/>
              <w:rPr>
                <w:rFonts w:hint="eastAsia" w:ascii="宋体" w:hAnsi="宋体" w:eastAsia="宋体" w:cs="宋体"/>
                <w:color w:val="auto"/>
                <w:sz w:val="21"/>
                <w:szCs w:val="21"/>
                <w:highlight w:val="none"/>
              </w:rPr>
            </w:pPr>
          </w:p>
        </w:tc>
        <w:tc>
          <w:tcPr>
            <w:tcW w:w="2785" w:type="dxa"/>
            <w:shd w:val="clear" w:color="auto" w:fill="auto"/>
            <w:vAlign w:val="center"/>
          </w:tcPr>
          <w:p w14:paraId="6CDE1EBA">
            <w:pPr>
              <w:spacing w:before="120" w:beforeLines="50"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已标价工程量清单</w:t>
            </w:r>
          </w:p>
        </w:tc>
        <w:tc>
          <w:tcPr>
            <w:tcW w:w="4961" w:type="dxa"/>
            <w:gridSpan w:val="2"/>
            <w:shd w:val="clear" w:color="auto" w:fill="auto"/>
            <w:vAlign w:val="center"/>
          </w:tcPr>
          <w:p w14:paraId="79CF3582">
            <w:pPr>
              <w:spacing w:line="276"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符合第七章“工程量清单”给出的范围及数量</w:t>
            </w:r>
            <w:r>
              <w:rPr>
                <w:rFonts w:hint="eastAsia" w:ascii="宋体" w:hAnsi="宋体" w:cs="宋体"/>
                <w:color w:val="auto"/>
                <w:sz w:val="21"/>
                <w:szCs w:val="21"/>
                <w:highlight w:val="none"/>
                <w:lang w:val="en-US" w:eastAsia="zh-CN"/>
              </w:rPr>
              <w:t>。</w:t>
            </w:r>
          </w:p>
        </w:tc>
      </w:tr>
      <w:tr w14:paraId="2DA80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7" w:type="dxa"/>
            <w:vMerge w:val="continue"/>
            <w:vAlign w:val="center"/>
          </w:tcPr>
          <w:p w14:paraId="11E666BE">
            <w:pPr>
              <w:snapToGrid w:val="0"/>
              <w:spacing w:line="360" w:lineRule="auto"/>
              <w:jc w:val="center"/>
              <w:rPr>
                <w:rFonts w:hint="eastAsia" w:ascii="宋体" w:hAnsi="宋体" w:eastAsia="宋体" w:cs="宋体"/>
                <w:color w:val="auto"/>
                <w:sz w:val="21"/>
                <w:szCs w:val="21"/>
                <w:highlight w:val="none"/>
              </w:rPr>
            </w:pPr>
          </w:p>
        </w:tc>
        <w:tc>
          <w:tcPr>
            <w:tcW w:w="1660" w:type="dxa"/>
            <w:vMerge w:val="continue"/>
            <w:vAlign w:val="center"/>
          </w:tcPr>
          <w:p w14:paraId="0E71EC2D">
            <w:pPr>
              <w:snapToGrid w:val="0"/>
              <w:spacing w:line="360" w:lineRule="auto"/>
              <w:jc w:val="center"/>
              <w:rPr>
                <w:rFonts w:hint="eastAsia" w:ascii="宋体" w:hAnsi="宋体" w:eastAsia="宋体" w:cs="宋体"/>
                <w:color w:val="auto"/>
                <w:sz w:val="21"/>
                <w:szCs w:val="21"/>
                <w:highlight w:val="none"/>
              </w:rPr>
            </w:pPr>
          </w:p>
        </w:tc>
        <w:tc>
          <w:tcPr>
            <w:tcW w:w="2785" w:type="dxa"/>
            <w:vAlign w:val="center"/>
          </w:tcPr>
          <w:p w14:paraId="437E2C53">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w:t>
            </w:r>
          </w:p>
        </w:tc>
        <w:tc>
          <w:tcPr>
            <w:tcW w:w="4961" w:type="dxa"/>
            <w:gridSpan w:val="2"/>
            <w:vAlign w:val="center"/>
          </w:tcPr>
          <w:p w14:paraId="5A774BE9">
            <w:pPr>
              <w:spacing w:before="120" w:beforeLines="5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不存在第八章“评审办法”附件B的任何一种情形</w:t>
            </w:r>
            <w:r>
              <w:rPr>
                <w:rFonts w:hint="eastAsia" w:ascii="宋体" w:hAnsi="宋体" w:eastAsia="宋体" w:cs="宋体"/>
                <w:color w:val="auto"/>
                <w:sz w:val="21"/>
                <w:szCs w:val="21"/>
                <w:highlight w:val="none"/>
                <w:lang w:val="en-US" w:eastAsia="zh-CN"/>
              </w:rPr>
              <w:t>。</w:t>
            </w:r>
          </w:p>
        </w:tc>
      </w:tr>
      <w:tr w14:paraId="1D60E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37" w:type="dxa"/>
            <w:vAlign w:val="center"/>
          </w:tcPr>
          <w:p w14:paraId="2263B4AB">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4445" w:type="dxa"/>
            <w:gridSpan w:val="2"/>
            <w:vAlign w:val="center"/>
          </w:tcPr>
          <w:p w14:paraId="6616C994">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条款内容</w:t>
            </w:r>
          </w:p>
        </w:tc>
        <w:tc>
          <w:tcPr>
            <w:tcW w:w="4961" w:type="dxa"/>
            <w:gridSpan w:val="2"/>
            <w:vAlign w:val="center"/>
          </w:tcPr>
          <w:p w14:paraId="13401B38">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编列内容</w:t>
            </w:r>
          </w:p>
        </w:tc>
      </w:tr>
      <w:tr w14:paraId="7B77F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937" w:type="dxa"/>
            <w:vAlign w:val="center"/>
          </w:tcPr>
          <w:p w14:paraId="2AB48A41">
            <w:pPr>
              <w:snapToGrid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4445" w:type="dxa"/>
            <w:gridSpan w:val="2"/>
            <w:vAlign w:val="center"/>
          </w:tcPr>
          <w:p w14:paraId="6B28AA2A">
            <w:pPr>
              <w:snapToGrid w:val="0"/>
              <w:spacing w:before="120"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12150333">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（技术部分满分</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5分；商务部分满分</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5分。）</w:t>
            </w:r>
          </w:p>
        </w:tc>
        <w:tc>
          <w:tcPr>
            <w:tcW w:w="4961" w:type="dxa"/>
            <w:gridSpan w:val="2"/>
            <w:vAlign w:val="center"/>
          </w:tcPr>
          <w:p w14:paraId="4B286B68">
            <w:pPr>
              <w:autoSpaceDE w:val="0"/>
              <w:autoSpaceDN w:val="0"/>
              <w:adjustRightInd w:val="0"/>
              <w:spacing w:before="120" w:beforeLines="5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供应商的综合得分计算公式：Z=J+S。</w:t>
            </w:r>
          </w:p>
          <w:p w14:paraId="68AD513E">
            <w:pPr>
              <w:autoSpaceDE w:val="0"/>
              <w:autoSpaceDN w:val="0"/>
              <w:adjustRightInd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式中：Z为供应商的综合得分；</w:t>
            </w:r>
          </w:p>
          <w:p w14:paraId="5C1296E8">
            <w:pPr>
              <w:autoSpaceDE w:val="0"/>
              <w:autoSpaceDN w:val="0"/>
              <w:adjustRightInd w:val="0"/>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J为供应商的技术部分得分；</w:t>
            </w:r>
          </w:p>
          <w:p w14:paraId="503424E3">
            <w:pPr>
              <w:autoSpaceDE w:val="0"/>
              <w:autoSpaceDN w:val="0"/>
              <w:adjustRightInd w:val="0"/>
              <w:spacing w:line="360" w:lineRule="auto"/>
              <w:ind w:firstLine="630" w:firstLineChars="3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S为供应商的商务部分得分。</w:t>
            </w:r>
          </w:p>
        </w:tc>
      </w:tr>
      <w:tr w14:paraId="6EF2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37" w:type="dxa"/>
            <w:vAlign w:val="center"/>
          </w:tcPr>
          <w:p w14:paraId="43D0E96C">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660" w:type="dxa"/>
            <w:vAlign w:val="center"/>
          </w:tcPr>
          <w:p w14:paraId="4097A814">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7037" w:type="dxa"/>
            <w:gridSpan w:val="2"/>
            <w:vAlign w:val="center"/>
          </w:tcPr>
          <w:p w14:paraId="1517EAEC">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709" w:type="dxa"/>
            <w:vAlign w:val="center"/>
          </w:tcPr>
          <w:p w14:paraId="519C298A">
            <w:pPr>
              <w:snapToGrid w:val="0"/>
              <w:spacing w:before="120" w:beforeLines="50" w:line="360" w:lineRule="auto"/>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满分</w:t>
            </w:r>
          </w:p>
        </w:tc>
      </w:tr>
      <w:tr w14:paraId="4EB97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restart"/>
            <w:vAlign w:val="center"/>
          </w:tcPr>
          <w:p w14:paraId="54975DB7">
            <w:pPr>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2.2.2</w:t>
            </w:r>
          </w:p>
        </w:tc>
        <w:tc>
          <w:tcPr>
            <w:tcW w:w="1660" w:type="dxa"/>
            <w:vMerge w:val="restart"/>
            <w:vAlign w:val="center"/>
          </w:tcPr>
          <w:p w14:paraId="7AC62CD2">
            <w:pPr>
              <w:pStyle w:val="346"/>
              <w:spacing w:before="0" w:line="360" w:lineRule="auto"/>
              <w:ind w:left="131" w:right="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技术部分 </w:t>
            </w:r>
          </w:p>
          <w:p w14:paraId="06B9A9A0">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p w14:paraId="24ED44BC">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5分）</w:t>
            </w:r>
          </w:p>
        </w:tc>
        <w:tc>
          <w:tcPr>
            <w:tcW w:w="7037" w:type="dxa"/>
            <w:gridSpan w:val="2"/>
            <w:shd w:val="clear" w:color="auto" w:fill="auto"/>
            <w:vAlign w:val="center"/>
          </w:tcPr>
          <w:p w14:paraId="65418DC3">
            <w:pPr>
              <w:pStyle w:val="346"/>
              <w:spacing w:before="120" w:beforeLines="5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总体施工组织布置及计划措施评审评分</w:t>
            </w:r>
          </w:p>
          <w:p w14:paraId="152B24C2">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根据供应商提供的总体施工组织布置及计划措施内容整体情况进行评审评分（包括但不仅限于主要工程目标，总体组织安排，总体施工安排，工程进度计划与措施，资源配备计划等）。</w:t>
            </w:r>
          </w:p>
          <w:p w14:paraId="57F2C3A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分；</w:t>
            </w:r>
          </w:p>
          <w:p w14:paraId="7CE9B8C9">
            <w:pPr>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，阐述</w:t>
            </w:r>
            <w:r>
              <w:rPr>
                <w:rFonts w:hint="eastAsia"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明确、</w:t>
            </w:r>
            <w:r>
              <w:rPr>
                <w:rFonts w:hint="eastAsia"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的，扣</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w:t>
            </w:r>
          </w:p>
          <w:p w14:paraId="50E60B70">
            <w:pPr>
              <w:pStyle w:val="346"/>
              <w:spacing w:before="0" w:line="360" w:lineRule="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3.每有一项描述不完整，阐述不明确、不合理、操作性及针对性不</w:t>
            </w:r>
            <w:r>
              <w:rPr>
                <w:rFonts w:hint="eastAsia" w:ascii="宋体" w:hAnsi="宋体" w:eastAsia="宋体" w:cs="宋体"/>
                <w:color w:val="auto"/>
                <w:sz w:val="21"/>
                <w:szCs w:val="21"/>
                <w:highlight w:val="none"/>
                <w:lang w:val="en-US" w:eastAsia="zh-CN"/>
              </w:rPr>
              <w:t>符合</w:t>
            </w:r>
            <w:r>
              <w:rPr>
                <w:rFonts w:hint="eastAsia" w:ascii="宋体" w:hAnsi="宋体" w:eastAsia="宋体" w:cs="宋体"/>
                <w:color w:val="auto"/>
                <w:sz w:val="21"/>
                <w:szCs w:val="21"/>
                <w:highlight w:val="none"/>
                <w:lang w:eastAsia="zh-CN"/>
              </w:rPr>
              <w:t>的，扣</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p w14:paraId="29DF117D">
            <w:pPr>
              <w:pStyle w:val="346"/>
              <w:spacing w:before="0" w:line="360" w:lineRule="auto"/>
              <w:outlineLvl w:val="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3786EB73">
            <w:pPr>
              <w:pStyle w:val="346"/>
              <w:spacing w:before="0" w:line="360" w:lineRule="auto"/>
              <w:jc w:val="center"/>
              <w:outlineLvl w:val="3"/>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val="en-US" w:eastAsia="zh-CN"/>
              </w:rPr>
              <w:t>0</w:t>
            </w:r>
            <w:r>
              <w:rPr>
                <w:rFonts w:hint="eastAsia" w:ascii="宋体" w:hAnsi="宋体" w:eastAsia="宋体" w:cs="宋体"/>
                <w:color w:val="auto"/>
                <w:kern w:val="2"/>
                <w:sz w:val="21"/>
                <w:szCs w:val="21"/>
                <w:highlight w:val="none"/>
                <w:lang w:eastAsia="zh-CN"/>
              </w:rPr>
              <w:t>分</w:t>
            </w:r>
          </w:p>
        </w:tc>
      </w:tr>
      <w:tr w14:paraId="7F082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3D5EAB42">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69B65B66">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6B3C8465">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施工方案、方法与技术措施评审评分</w:t>
            </w:r>
          </w:p>
          <w:p w14:paraId="2905134D">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根据供应商提供的施工方案、方法与技术措施内容整体情况进行评审评分（包括但不仅限于施工方案，施工方法，技术措施等）。</w:t>
            </w:r>
          </w:p>
          <w:p w14:paraId="18A4EFCB">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67BD9615">
            <w:pPr>
              <w:snapToGrid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r>
              <w:rPr>
                <w:rFonts w:hint="eastAsia" w:ascii="宋体" w:hAnsi="宋体" w:cs="宋体"/>
                <w:color w:val="auto"/>
                <w:sz w:val="21"/>
                <w:szCs w:val="21"/>
                <w:highlight w:val="none"/>
                <w:lang w:eastAsia="zh-CN"/>
              </w:rPr>
              <w:t>。</w:t>
            </w:r>
          </w:p>
          <w:p w14:paraId="04D62410">
            <w:pPr>
              <w:pStyle w:val="346"/>
              <w:spacing w:before="0" w:line="360" w:lineRule="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3每有一项描述不完整，阐述不明确、不合理、操作性及针对性不</w:t>
            </w:r>
            <w:r>
              <w:rPr>
                <w:rFonts w:hint="eastAsia" w:ascii="宋体" w:hAnsi="宋体" w:eastAsia="宋体" w:cs="宋体"/>
                <w:color w:val="auto"/>
                <w:sz w:val="21"/>
                <w:szCs w:val="21"/>
                <w:highlight w:val="none"/>
                <w:lang w:val="en-US" w:eastAsia="zh-CN"/>
              </w:rPr>
              <w:t>符合</w:t>
            </w:r>
            <w:r>
              <w:rPr>
                <w:rFonts w:hint="eastAsia" w:ascii="宋体" w:hAnsi="宋体" w:eastAsia="宋体" w:cs="宋体"/>
                <w:color w:val="auto"/>
                <w:sz w:val="21"/>
                <w:szCs w:val="21"/>
                <w:highlight w:val="none"/>
                <w:lang w:eastAsia="zh-CN"/>
              </w:rPr>
              <w:t>的，扣</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p w14:paraId="55393D85">
            <w:pPr>
              <w:pStyle w:val="346"/>
              <w:spacing w:before="0" w:line="360" w:lineRule="auto"/>
              <w:outlineLvl w:val="3"/>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3BF317AE">
            <w:pPr>
              <w:pStyle w:val="346"/>
              <w:spacing w:before="0" w:line="360" w:lineRule="auto"/>
              <w:jc w:val="center"/>
              <w:outlineLvl w:val="3"/>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rPr>
              <w:t>9</w:t>
            </w:r>
            <w:r>
              <w:rPr>
                <w:rFonts w:hint="eastAsia" w:ascii="宋体" w:hAnsi="宋体" w:eastAsia="宋体" w:cs="宋体"/>
                <w:color w:val="auto"/>
                <w:kern w:val="2"/>
                <w:sz w:val="21"/>
                <w:szCs w:val="21"/>
                <w:highlight w:val="none"/>
                <w:lang w:eastAsia="zh-CN"/>
              </w:rPr>
              <w:t>分</w:t>
            </w:r>
          </w:p>
        </w:tc>
      </w:tr>
      <w:tr w14:paraId="6A489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3779B1F3">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70F8A35D">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2712A5E5">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工期保证体系及保证措施评审评分</w:t>
            </w:r>
          </w:p>
          <w:p w14:paraId="43F54459">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根据供应商提供的工期保证体系及保证措施内容整体情况进行评审评分（包括但不仅限于工期保证体系</w:t>
            </w:r>
            <w:r>
              <w:rPr>
                <w:rFonts w:hint="eastAsia" w:cs="宋体"/>
                <w:b/>
                <w:bCs/>
                <w:color w:val="auto"/>
                <w:kern w:val="2"/>
                <w:sz w:val="21"/>
                <w:szCs w:val="21"/>
                <w:highlight w:val="none"/>
                <w:lang w:val="en-US" w:eastAsia="zh-CN"/>
              </w:rPr>
              <w:t>，</w:t>
            </w:r>
            <w:r>
              <w:rPr>
                <w:rFonts w:hint="eastAsia" w:ascii="宋体" w:hAnsi="宋体" w:eastAsia="宋体" w:cs="宋体"/>
                <w:b/>
                <w:bCs/>
                <w:color w:val="auto"/>
                <w:kern w:val="2"/>
                <w:sz w:val="21"/>
                <w:szCs w:val="21"/>
                <w:highlight w:val="none"/>
                <w:lang w:eastAsia="zh-CN"/>
              </w:rPr>
              <w:t>保证措施，施工进度计划及施工进度网络图（说明施工的各个关键日期）等）。</w:t>
            </w:r>
          </w:p>
          <w:p w14:paraId="7E8D5BF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09DE2291">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184396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3.每有一项描述不完整，阐述不明确、不合理、操作性及针对性</w:t>
            </w:r>
            <w:r>
              <w:rPr>
                <w:rFonts w:hint="eastAsia" w:ascii="宋体" w:hAnsi="宋体" w:eastAsia="宋体" w:cs="宋体"/>
                <w:color w:val="auto"/>
                <w:sz w:val="21"/>
                <w:szCs w:val="21"/>
                <w:highlight w:val="none"/>
                <w:lang w:val="en-US" w:eastAsia="zh-CN"/>
              </w:rPr>
              <w:t>不符合</w:t>
            </w:r>
            <w:r>
              <w:rPr>
                <w:rFonts w:hint="eastAsia" w:ascii="宋体" w:hAnsi="宋体" w:eastAsia="宋体" w:cs="宋体"/>
                <w:color w:val="auto"/>
                <w:sz w:val="21"/>
                <w:szCs w:val="21"/>
                <w:highlight w:val="none"/>
              </w:rPr>
              <w:t>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7531668">
            <w:pPr>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4792CC3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5CA8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4D1156A6">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47D76B29">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704E614F">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工程质量管理体系及保证措施评审评分</w:t>
            </w:r>
          </w:p>
          <w:p w14:paraId="1B95461C">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根据供应商提供的工程质量管理体系及保证措施内容整体情况进行评审评分（包括但不仅限于工程质量管理体系</w:t>
            </w:r>
            <w:r>
              <w:rPr>
                <w:rFonts w:hint="eastAsia" w:cs="宋体"/>
                <w:b/>
                <w:bCs/>
                <w:color w:val="auto"/>
                <w:kern w:val="2"/>
                <w:sz w:val="21"/>
                <w:szCs w:val="21"/>
                <w:highlight w:val="none"/>
                <w:lang w:eastAsia="zh-CN"/>
              </w:rPr>
              <w:t>，</w:t>
            </w:r>
            <w:r>
              <w:rPr>
                <w:rFonts w:hint="eastAsia" w:ascii="宋体" w:hAnsi="宋体" w:eastAsia="宋体" w:cs="宋体"/>
                <w:b/>
                <w:bCs/>
                <w:color w:val="auto"/>
                <w:kern w:val="2"/>
                <w:sz w:val="21"/>
                <w:szCs w:val="21"/>
                <w:highlight w:val="none"/>
                <w:lang w:eastAsia="zh-CN"/>
              </w:rPr>
              <w:t>保证措施，</w:t>
            </w:r>
            <w:r>
              <w:rPr>
                <w:rFonts w:hint="eastAsia" w:ascii="宋体" w:hAnsi="宋体" w:eastAsia="宋体" w:cs="宋体"/>
                <w:b/>
                <w:bCs/>
                <w:color w:val="auto"/>
                <w:sz w:val="21"/>
                <w:szCs w:val="21"/>
                <w:highlight w:val="none"/>
              </w:rPr>
              <w:t>质量违约责任承诺</w:t>
            </w:r>
            <w:r>
              <w:rPr>
                <w:rFonts w:hint="eastAsia" w:ascii="宋体" w:hAnsi="宋体" w:eastAsia="宋体" w:cs="宋体"/>
                <w:b/>
                <w:bCs/>
                <w:color w:val="auto"/>
                <w:kern w:val="2"/>
                <w:sz w:val="21"/>
                <w:szCs w:val="21"/>
                <w:highlight w:val="none"/>
                <w:lang w:eastAsia="zh-CN"/>
              </w:rPr>
              <w:t>等）。</w:t>
            </w:r>
          </w:p>
          <w:p w14:paraId="472A00F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p w14:paraId="789F7A00">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2520D4A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3.每有一项描述不完整，阐述不明确、不合理、操作性及针对性不强的，扣2分。</w:t>
            </w:r>
          </w:p>
          <w:p w14:paraId="176E4081">
            <w:pPr>
              <w:spacing w:line="360" w:lineRule="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.每出现一项缺漏的，扣</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576B7ED4">
            <w:pPr>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748A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555F2552">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161A6CE3">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2608BFF1">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安全管理体系及保证措施评审评分</w:t>
            </w:r>
          </w:p>
          <w:p w14:paraId="60F5554B">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根据供应商提供的安全管理体系及保证措施内容整体情况进行评审评分（包括但不仅限于安全管理体系，保证措施等）。</w:t>
            </w:r>
          </w:p>
          <w:p w14:paraId="6693EA9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p w14:paraId="14F7F05F">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的，扣</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67BA6FE8">
            <w:pPr>
              <w:pStyle w:val="346"/>
              <w:spacing w:line="360" w:lineRule="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3.每有一项描述不完整，阐述不明确、不合理、操作性及针对性不强的，扣</w:t>
            </w: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分。</w:t>
            </w:r>
          </w:p>
          <w:p w14:paraId="1CB08ACE">
            <w:pPr>
              <w:pStyle w:val="346"/>
              <w:spacing w:line="360" w:lineRule="auto"/>
              <w:outlineLvl w:val="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26CC31C9">
            <w:pPr>
              <w:pStyle w:val="346"/>
              <w:spacing w:before="0" w:line="360" w:lineRule="auto"/>
              <w:jc w:val="center"/>
              <w:outlineLvl w:val="3"/>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r>
      <w:tr w14:paraId="7F950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38B994F3">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0B78F58F">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12A4D226">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文明施工管理体系及保证措施评审评分</w:t>
            </w:r>
          </w:p>
          <w:p w14:paraId="20ED8E70">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根据供应商提供的文明施工管理体系及保证措施内容整体情况进行评审评分（包括但不仅限于文明施工管理体系，保证措施等）。</w:t>
            </w:r>
          </w:p>
          <w:p w14:paraId="072FC627">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297E0F0E">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lang w:eastAsia="zh-CN"/>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lang w:eastAsia="zh-CN"/>
              </w:rPr>
              <w:t>的，扣</w:t>
            </w:r>
            <w:r>
              <w:rPr>
                <w:rFonts w:hint="eastAsia"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分。</w:t>
            </w:r>
          </w:p>
          <w:p w14:paraId="5DFD09ED">
            <w:pPr>
              <w:pStyle w:val="346"/>
              <w:spacing w:before="0" w:line="360" w:lineRule="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3.每有一项描述不完整，阐述不明确、不合理、操作性及针对性不强的，扣</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07F16ADF">
            <w:pPr>
              <w:pStyle w:val="346"/>
              <w:spacing w:before="0" w:line="360" w:lineRule="auto"/>
              <w:outlineLvl w:val="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4B635475">
            <w:pPr>
              <w:pStyle w:val="346"/>
              <w:spacing w:before="0" w:line="360" w:lineRule="auto"/>
              <w:jc w:val="center"/>
              <w:outlineLvl w:val="3"/>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r>
      <w:tr w14:paraId="5E60D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667B4AE5">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4F07AEEB">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7DF5FFBC">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环境保护管理体系及保证措施评审评分</w:t>
            </w:r>
          </w:p>
          <w:p w14:paraId="47F96D6D">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根据供应商提供的环境保护管理体系及保证措施内</w:t>
            </w:r>
            <w:r>
              <w:rPr>
                <w:rFonts w:hint="eastAsia" w:cs="宋体"/>
                <w:b/>
                <w:bCs/>
                <w:color w:val="auto"/>
                <w:kern w:val="2"/>
                <w:sz w:val="21"/>
                <w:szCs w:val="21"/>
                <w:highlight w:val="none"/>
                <w:lang w:eastAsia="zh-CN"/>
              </w:rPr>
              <w:t>容和</w:t>
            </w:r>
            <w:r>
              <w:rPr>
                <w:rFonts w:hint="eastAsia" w:ascii="宋体" w:hAnsi="宋体" w:eastAsia="宋体" w:cs="宋体"/>
                <w:b/>
                <w:bCs/>
                <w:color w:val="auto"/>
                <w:kern w:val="2"/>
                <w:sz w:val="21"/>
                <w:szCs w:val="21"/>
                <w:highlight w:val="none"/>
                <w:lang w:eastAsia="zh-CN"/>
              </w:rPr>
              <w:t>整体情况进行评审评分（包括但不仅限于环境保护管理体系，保证措施等）。</w:t>
            </w:r>
          </w:p>
          <w:p w14:paraId="1D0F9EA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771DD438">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的，扣</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53C6F80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3.每有一项描述不完整，阐述不明确、不合理、操作性及针对性不强的，扣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4D7EAB89">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.每出现一项缺漏的，扣</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c>
          <w:tcPr>
            <w:tcW w:w="709" w:type="dxa"/>
            <w:shd w:val="clear" w:color="auto" w:fill="auto"/>
            <w:vAlign w:val="center"/>
          </w:tcPr>
          <w:p w14:paraId="5CD31294">
            <w:pPr>
              <w:spacing w:before="120" w:beforeLines="50"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r>
      <w:tr w14:paraId="5874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37" w:type="dxa"/>
            <w:vMerge w:val="continue"/>
            <w:vAlign w:val="center"/>
          </w:tcPr>
          <w:p w14:paraId="44406D25">
            <w:pPr>
              <w:spacing w:line="360" w:lineRule="auto"/>
              <w:jc w:val="center"/>
              <w:rPr>
                <w:rFonts w:hint="eastAsia" w:ascii="宋体" w:hAnsi="宋体" w:eastAsia="宋体" w:cs="宋体"/>
                <w:bCs/>
                <w:color w:val="auto"/>
                <w:sz w:val="21"/>
                <w:szCs w:val="21"/>
                <w:highlight w:val="none"/>
              </w:rPr>
            </w:pPr>
          </w:p>
        </w:tc>
        <w:tc>
          <w:tcPr>
            <w:tcW w:w="1660" w:type="dxa"/>
            <w:vMerge w:val="continue"/>
            <w:vAlign w:val="center"/>
          </w:tcPr>
          <w:p w14:paraId="02F9B203">
            <w:pPr>
              <w:tabs>
                <w:tab w:val="left" w:pos="2160"/>
                <w:tab w:val="left" w:pos="3255"/>
                <w:tab w:val="left" w:pos="4830"/>
              </w:tabs>
              <w:spacing w:line="360" w:lineRule="auto"/>
              <w:jc w:val="center"/>
              <w:rPr>
                <w:rFonts w:hint="eastAsia" w:ascii="宋体" w:hAnsi="宋体" w:eastAsia="宋体" w:cs="宋体"/>
                <w:color w:val="auto"/>
                <w:sz w:val="21"/>
                <w:szCs w:val="21"/>
                <w:highlight w:val="none"/>
              </w:rPr>
            </w:pPr>
          </w:p>
        </w:tc>
        <w:tc>
          <w:tcPr>
            <w:tcW w:w="7037" w:type="dxa"/>
            <w:gridSpan w:val="2"/>
            <w:shd w:val="clear" w:color="auto" w:fill="auto"/>
            <w:vAlign w:val="center"/>
          </w:tcPr>
          <w:p w14:paraId="57E0CA58">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项目风险预测与防范，事故应急预案评审评分</w:t>
            </w:r>
          </w:p>
          <w:p w14:paraId="0E3FD95C">
            <w:pPr>
              <w:pStyle w:val="346"/>
              <w:spacing w:before="0" w:line="360" w:lineRule="auto"/>
              <w:outlineLvl w:val="3"/>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根据供应商提供的项目风险预测与防范，事故应急预案内容整体情况进行评审评分（包括但不仅限于项目风险预测与防范，事故应急预案等）。</w:t>
            </w:r>
          </w:p>
          <w:p w14:paraId="6681E70A">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1.内容齐全、科学、操作性及针对性强的，得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p w14:paraId="1C0538B3">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2.每有一项描述</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，阐述</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明确、</w:t>
            </w:r>
            <w:r>
              <w:rPr>
                <w:rFonts w:hint="eastAsia" w:ascii="宋体" w:hAnsi="宋体" w:eastAsia="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合理、操作性及针对性</w:t>
            </w:r>
            <w:r>
              <w:rPr>
                <w:rFonts w:hint="eastAsia" w:ascii="宋体" w:hAnsi="宋体" w:eastAsia="宋体" w:cs="宋体"/>
                <w:color w:val="auto"/>
                <w:sz w:val="21"/>
                <w:szCs w:val="21"/>
                <w:highlight w:val="none"/>
                <w:lang w:val="en-US" w:eastAsia="zh-CN"/>
              </w:rPr>
              <w:t>一般</w:t>
            </w:r>
            <w:r>
              <w:rPr>
                <w:rFonts w:hint="eastAsia" w:ascii="宋体" w:hAnsi="宋体" w:eastAsia="宋体" w:cs="宋体"/>
                <w:color w:val="auto"/>
                <w:sz w:val="21"/>
                <w:szCs w:val="21"/>
                <w:highlight w:val="none"/>
              </w:rPr>
              <w:t>的，扣</w:t>
            </w:r>
            <w:r>
              <w:rPr>
                <w:rFonts w:hint="eastAsia" w:ascii="宋体"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04A286D4">
            <w:pPr>
              <w:pStyle w:val="346"/>
              <w:spacing w:before="0" w:line="360" w:lineRule="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3.每有一项描述不完整，阐述不明确、不合理、操作性及针对性不强的，扣</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分。</w:t>
            </w:r>
          </w:p>
          <w:p w14:paraId="263FD09D">
            <w:pPr>
              <w:pStyle w:val="346"/>
              <w:spacing w:before="0" w:line="360" w:lineRule="auto"/>
              <w:outlineLvl w:val="3"/>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.每出现一项缺漏的，扣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709" w:type="dxa"/>
            <w:shd w:val="clear" w:color="auto" w:fill="auto"/>
            <w:vAlign w:val="center"/>
          </w:tcPr>
          <w:p w14:paraId="259B78C0">
            <w:pPr>
              <w:pStyle w:val="346"/>
              <w:spacing w:before="0" w:line="360" w:lineRule="auto"/>
              <w:jc w:val="center"/>
              <w:outlineLvl w:val="3"/>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r>
      <w:tr w14:paraId="2EF1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937" w:type="dxa"/>
            <w:vAlign w:val="center"/>
          </w:tcPr>
          <w:p w14:paraId="4AF928B9">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条款号</w:t>
            </w:r>
          </w:p>
        </w:tc>
        <w:tc>
          <w:tcPr>
            <w:tcW w:w="1660" w:type="dxa"/>
            <w:vAlign w:val="center"/>
          </w:tcPr>
          <w:p w14:paraId="539C2ED4">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7037" w:type="dxa"/>
            <w:gridSpan w:val="2"/>
            <w:vAlign w:val="center"/>
          </w:tcPr>
          <w:p w14:paraId="29BD4AE4">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评审标准</w:t>
            </w:r>
          </w:p>
        </w:tc>
        <w:tc>
          <w:tcPr>
            <w:tcW w:w="709" w:type="dxa"/>
            <w:vAlign w:val="center"/>
          </w:tcPr>
          <w:p w14:paraId="5DEED86E">
            <w:pPr>
              <w:snapToGrid w:val="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满分</w:t>
            </w:r>
          </w:p>
        </w:tc>
      </w:tr>
      <w:tr w14:paraId="3AF6B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37" w:type="dxa"/>
            <w:vMerge w:val="restart"/>
            <w:vAlign w:val="center"/>
          </w:tcPr>
          <w:p w14:paraId="0F0650EA">
            <w:pPr>
              <w:pStyle w:val="346"/>
              <w:spacing w:before="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2.2.3</w:t>
            </w:r>
          </w:p>
        </w:tc>
        <w:tc>
          <w:tcPr>
            <w:tcW w:w="1660" w:type="dxa"/>
            <w:vMerge w:val="restart"/>
            <w:vAlign w:val="center"/>
          </w:tcPr>
          <w:p w14:paraId="005ACE6B">
            <w:pPr>
              <w:pStyle w:val="346"/>
              <w:spacing w:before="0" w:line="360" w:lineRule="auto"/>
              <w:ind w:left="131" w:right="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商务部分</w:t>
            </w:r>
          </w:p>
          <w:p w14:paraId="36AD9532">
            <w:pPr>
              <w:pStyle w:val="346"/>
              <w:spacing w:before="0" w:line="360" w:lineRule="auto"/>
              <w:ind w:left="131" w:right="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评审标准</w:t>
            </w:r>
          </w:p>
          <w:p w14:paraId="3C416D17">
            <w:pPr>
              <w:pStyle w:val="346"/>
              <w:spacing w:before="0" w:line="360" w:lineRule="auto"/>
              <w:ind w:left="131" w:right="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（满分</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5分）</w:t>
            </w:r>
          </w:p>
        </w:tc>
        <w:tc>
          <w:tcPr>
            <w:tcW w:w="7037" w:type="dxa"/>
            <w:gridSpan w:val="2"/>
            <w:vAlign w:val="center"/>
          </w:tcPr>
          <w:p w14:paraId="187FB1DA">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报价部分：</w:t>
            </w:r>
          </w:p>
          <w:p w14:paraId="58A233BB">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一、最后磋商报价的确定：</w:t>
            </w:r>
          </w:p>
          <w:p w14:paraId="499CD527">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1.</w:t>
            </w:r>
            <w:r>
              <w:rPr>
                <w:rFonts w:hint="eastAsia" w:ascii="宋体" w:hAnsi="宋体" w:eastAsia="宋体" w:cs="宋体"/>
                <w:color w:val="auto"/>
                <w:kern w:val="0"/>
                <w:sz w:val="21"/>
                <w:szCs w:val="21"/>
                <w:highlight w:val="none"/>
              </w:rPr>
              <w:t>算术性修正后的最终报价：</w:t>
            </w:r>
          </w:p>
          <w:p w14:paraId="52CBC3C6">
            <w:pPr>
              <w:keepNext w:val="0"/>
              <w:keepLines w:val="0"/>
              <w:pageBreakBefore w:val="0"/>
              <w:kinsoku/>
              <w:wordWrap/>
              <w:overflowPunct/>
              <w:topLinePunct w:val="0"/>
              <w:autoSpaceDE/>
              <w:autoSpaceDN/>
              <w:bidi w:val="0"/>
              <w:adjustRightInd/>
              <w:spacing w:line="288"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若存在算术性修正</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应按修正后的有效报价作为最后磋商报价参与报价评分。</w:t>
            </w:r>
          </w:p>
          <w:p w14:paraId="67EC78FC">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2.</w:t>
            </w:r>
            <w:r>
              <w:rPr>
                <w:rFonts w:hint="eastAsia" w:ascii="宋体" w:hAnsi="宋体" w:eastAsia="宋体" w:cs="宋体"/>
                <w:color w:val="auto"/>
                <w:kern w:val="0"/>
                <w:sz w:val="21"/>
                <w:szCs w:val="21"/>
                <w:highlight w:val="none"/>
              </w:rPr>
              <w:t>不存在算术性修正和价格扣除情形的最终报价即为最后磋商报价。</w:t>
            </w:r>
          </w:p>
          <w:p w14:paraId="7FC22511">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二、磋商基准价：</w:t>
            </w:r>
          </w:p>
          <w:p w14:paraId="6A9979F7">
            <w:pPr>
              <w:keepNext w:val="0"/>
              <w:keepLines w:val="0"/>
              <w:pageBreakBefore w:val="0"/>
              <w:kinsoku/>
              <w:wordWrap/>
              <w:overflowPunct/>
              <w:topLinePunct w:val="0"/>
              <w:autoSpaceDE/>
              <w:autoSpaceDN/>
              <w:bidi w:val="0"/>
              <w:adjustRightInd/>
              <w:spacing w:line="288"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满足磋商文件要求且最低的供应商的</w:t>
            </w:r>
            <w:r>
              <w:rPr>
                <w:rFonts w:hint="eastAsia" w:ascii="宋体" w:hAnsi="宋体" w:eastAsia="宋体" w:cs="宋体"/>
                <w:color w:val="auto"/>
                <w:kern w:val="0"/>
                <w:sz w:val="21"/>
                <w:szCs w:val="21"/>
                <w:highlight w:val="none"/>
                <w:lang w:val="en-US" w:eastAsia="zh-CN"/>
              </w:rPr>
              <w:t>总</w:t>
            </w:r>
            <w:r>
              <w:rPr>
                <w:rFonts w:hint="eastAsia" w:ascii="宋体" w:hAnsi="宋体" w:eastAsia="宋体" w:cs="宋体"/>
                <w:color w:val="auto"/>
                <w:kern w:val="0"/>
                <w:sz w:val="21"/>
                <w:szCs w:val="21"/>
                <w:highlight w:val="none"/>
              </w:rPr>
              <w:t>价格为磋商基准价，其价格分为满分。</w:t>
            </w:r>
          </w:p>
          <w:p w14:paraId="43F8615A">
            <w:pPr>
              <w:keepNext w:val="0"/>
              <w:keepLines w:val="0"/>
              <w:pageBreakBefore w:val="0"/>
              <w:kinsoku/>
              <w:wordWrap/>
              <w:overflowPunct/>
              <w:topLinePunct w:val="0"/>
              <w:autoSpaceDE/>
              <w:autoSpaceDN/>
              <w:bidi w:val="0"/>
              <w:adjustRightInd/>
              <w:spacing w:line="288" w:lineRule="auto"/>
              <w:ind w:left="0" w:left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三、报价得分计算（保留小数点后两位）：</w:t>
            </w:r>
          </w:p>
          <w:p w14:paraId="0EBB96EF">
            <w:pPr>
              <w:keepNext w:val="0"/>
              <w:keepLines w:val="0"/>
              <w:pageBreakBefore w:val="0"/>
              <w:kinsoku/>
              <w:wordWrap/>
              <w:overflowPunct/>
              <w:topLinePunct w:val="0"/>
              <w:autoSpaceDE/>
              <w:autoSpaceDN/>
              <w:bidi w:val="0"/>
              <w:adjustRightInd/>
              <w:spacing w:line="288"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磋商报价得分（A）＝</w:t>
            </w:r>
            <w:r>
              <w:rPr>
                <w:rFonts w:hint="eastAsia" w:ascii="宋体" w:hAnsi="宋体" w:eastAsia="宋体" w:cs="宋体"/>
                <w:color w:val="auto"/>
                <w:kern w:val="0"/>
                <w:sz w:val="21"/>
                <w:szCs w:val="21"/>
                <w:highlight w:val="none"/>
              </w:rPr>
              <w:t>磋商基准价/</w:t>
            </w:r>
            <w:r>
              <w:rPr>
                <w:rFonts w:hint="eastAsia" w:ascii="宋体" w:hAnsi="宋体" w:eastAsia="宋体" w:cs="宋体"/>
                <w:color w:val="auto"/>
                <w:kern w:val="0"/>
                <w:sz w:val="21"/>
                <w:szCs w:val="21"/>
                <w:highlight w:val="none"/>
                <w:lang w:val="en-US" w:eastAsia="zh-CN"/>
              </w:rPr>
              <w:t>最终总报价</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×100</w:t>
            </w:r>
          </w:p>
          <w:p w14:paraId="200F6117">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四、异常低价审查</w:t>
            </w:r>
          </w:p>
          <w:p w14:paraId="1A240FD1">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采购评审中出现下列情形之一的，评审委员会应当启动异常低价投标（响应）审查程序：</w:t>
            </w:r>
          </w:p>
          <w:p w14:paraId="0C671B24">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①投标（响应）报价低于全部通过符合性审查供应商投标（响应）报价平均值65%的，即投标（响应）报价</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全部通过符合性审查供应商投标（响应）报价平均值×65%；</w:t>
            </w:r>
          </w:p>
          <w:p w14:paraId="72AAD09C">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②投标（响应）报价低于通过符合性审查的次低报价供应商投标（响应）报价65%的，即投标（响应）报价</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通过符合性审查的次低报价供应商投标（响应）报价×65%；</w:t>
            </w:r>
          </w:p>
          <w:p w14:paraId="39808FA4">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③投标（响应）报价低于采购项目最高限价65%的，即投标（响应）报价</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采购项目最高限价×65%；</w:t>
            </w:r>
          </w:p>
          <w:p w14:paraId="060FB55A">
            <w:pPr>
              <w:spacing w:line="392" w:lineRule="exac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④评审委员会基于专业判断，认为供应商报价过低，有可能影响产品质量或者不能诚信履约的其他情形。</w:t>
            </w:r>
          </w:p>
        </w:tc>
        <w:tc>
          <w:tcPr>
            <w:tcW w:w="709" w:type="dxa"/>
            <w:vAlign w:val="center"/>
          </w:tcPr>
          <w:p w14:paraId="54E6F29F">
            <w:pPr>
              <w:snapToGrid w:val="0"/>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cs="宋体"/>
                <w:bCs/>
                <w:color w:val="auto"/>
                <w:sz w:val="21"/>
                <w:szCs w:val="21"/>
                <w:highlight w:val="none"/>
                <w:lang w:val="en-US" w:eastAsia="zh-CN"/>
              </w:rPr>
              <w:t>0</w:t>
            </w:r>
            <w:r>
              <w:rPr>
                <w:rFonts w:hint="eastAsia" w:ascii="宋体" w:hAnsi="宋体" w:eastAsia="宋体" w:cs="宋体"/>
                <w:bCs/>
                <w:color w:val="auto"/>
                <w:sz w:val="21"/>
                <w:szCs w:val="21"/>
                <w:highlight w:val="none"/>
              </w:rPr>
              <w:t>分</w:t>
            </w:r>
          </w:p>
        </w:tc>
      </w:tr>
      <w:tr w14:paraId="4BC1E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37" w:type="dxa"/>
            <w:vMerge w:val="continue"/>
            <w:vAlign w:val="center"/>
          </w:tcPr>
          <w:p w14:paraId="2541B128">
            <w:pPr>
              <w:pStyle w:val="346"/>
              <w:spacing w:before="0" w:line="360" w:lineRule="auto"/>
              <w:jc w:val="center"/>
              <w:rPr>
                <w:rFonts w:hint="eastAsia" w:ascii="宋体" w:hAnsi="宋体" w:eastAsia="宋体" w:cs="宋体"/>
                <w:color w:val="auto"/>
                <w:sz w:val="21"/>
                <w:szCs w:val="21"/>
                <w:highlight w:val="none"/>
                <w:lang w:eastAsia="zh-CN"/>
              </w:rPr>
            </w:pPr>
          </w:p>
        </w:tc>
        <w:tc>
          <w:tcPr>
            <w:tcW w:w="1660" w:type="dxa"/>
            <w:vMerge w:val="continue"/>
            <w:vAlign w:val="center"/>
          </w:tcPr>
          <w:p w14:paraId="643614A9">
            <w:pPr>
              <w:pStyle w:val="346"/>
              <w:spacing w:before="0" w:line="360" w:lineRule="auto"/>
              <w:ind w:left="131" w:right="9"/>
              <w:jc w:val="center"/>
              <w:rPr>
                <w:rFonts w:hint="eastAsia" w:ascii="宋体" w:hAnsi="宋体" w:eastAsia="宋体" w:cs="宋体"/>
                <w:color w:val="auto"/>
                <w:sz w:val="21"/>
                <w:szCs w:val="21"/>
                <w:highlight w:val="none"/>
                <w:lang w:eastAsia="zh-CN"/>
              </w:rPr>
            </w:pPr>
          </w:p>
        </w:tc>
        <w:tc>
          <w:tcPr>
            <w:tcW w:w="7037" w:type="dxa"/>
            <w:gridSpan w:val="2"/>
            <w:vAlign w:val="center"/>
          </w:tcPr>
          <w:p w14:paraId="3D10F552">
            <w:pPr>
              <w:pStyle w:val="25"/>
              <w:wordWrap w:val="0"/>
              <w:adjustRightInd w:val="0"/>
              <w:snapToGrid w:val="0"/>
              <w:jc w:val="left"/>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业绩部分：</w:t>
            </w:r>
          </w:p>
          <w:p w14:paraId="57772DBF">
            <w:pPr>
              <w:pStyle w:val="25"/>
              <w:numPr>
                <w:ilvl w:val="0"/>
                <w:numId w:val="14"/>
              </w:numPr>
              <w:wordWrap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月至今</w:t>
            </w:r>
            <w:r>
              <w:rPr>
                <w:rFonts w:hint="eastAsia" w:ascii="宋体" w:hAnsi="宋体" w:eastAsia="宋体" w:cs="宋体"/>
                <w:color w:val="auto"/>
                <w:sz w:val="21"/>
                <w:szCs w:val="21"/>
                <w:highlight w:val="none"/>
                <w:lang w:val="en-US" w:eastAsia="zh-CN"/>
              </w:rPr>
              <w:t>承担</w:t>
            </w:r>
            <w:r>
              <w:rPr>
                <w:rFonts w:hint="eastAsia" w:ascii="宋体" w:hAnsi="宋体" w:eastAsia="宋体" w:cs="宋体"/>
                <w:color w:val="auto"/>
                <w:sz w:val="21"/>
                <w:szCs w:val="21"/>
                <w:highlight w:val="none"/>
              </w:rPr>
              <w:t>过1个类似项目业绩得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4576D6BD">
            <w:pPr>
              <w:pStyle w:val="25"/>
              <w:numPr>
                <w:ilvl w:val="0"/>
                <w:numId w:val="14"/>
              </w:numPr>
              <w:wordWrap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en-US" w:eastAsia="zh-CN"/>
              </w:rPr>
              <w:t>每增加</w:t>
            </w:r>
            <w:r>
              <w:rPr>
                <w:rFonts w:hint="eastAsia" w:ascii="宋体" w:hAnsi="宋体" w:eastAsia="宋体" w:cs="宋体"/>
                <w:color w:val="auto"/>
                <w:sz w:val="21"/>
                <w:szCs w:val="21"/>
                <w:highlight w:val="none"/>
              </w:rPr>
              <w:t>1个类似项目业绩得</w:t>
            </w:r>
            <w:r>
              <w:rPr>
                <w:rFonts w:hint="eastAsia" w:ascii="宋体" w:hAnsi="宋体" w:eastAsia="宋体" w:cs="宋体"/>
                <w:color w:val="auto"/>
                <w:sz w:val="21"/>
                <w:szCs w:val="21"/>
                <w:highlight w:val="none"/>
                <w:lang w:val="en-US" w:eastAsia="zh-CN"/>
              </w:rPr>
              <w:t>1分；</w:t>
            </w:r>
          </w:p>
          <w:p w14:paraId="63ADD79C">
            <w:pPr>
              <w:pStyle w:val="25"/>
              <w:numPr>
                <w:ilvl w:val="0"/>
                <w:numId w:val="14"/>
              </w:numPr>
              <w:wordWrap w:val="0"/>
              <w:adjustRightInd w:val="0"/>
              <w:snapToGrid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本项最高得5</w:t>
            </w:r>
            <w:r>
              <w:rPr>
                <w:rFonts w:hint="eastAsia" w:ascii="宋体" w:hAnsi="宋体" w:eastAsia="宋体" w:cs="宋体"/>
                <w:color w:val="auto"/>
                <w:sz w:val="21"/>
                <w:szCs w:val="21"/>
                <w:highlight w:val="none"/>
              </w:rPr>
              <w:t>分。</w:t>
            </w:r>
          </w:p>
          <w:p w14:paraId="70424384">
            <w:pPr>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注：类似项目</w:t>
            </w:r>
            <w:r>
              <w:rPr>
                <w:rFonts w:hint="eastAsia" w:ascii="宋体" w:hAnsi="宋体" w:eastAsia="宋体" w:cs="宋体"/>
                <w:b/>
                <w:color w:val="auto"/>
                <w:sz w:val="21"/>
                <w:szCs w:val="21"/>
                <w:highlight w:val="none"/>
                <w:lang w:val="en-US" w:eastAsia="zh-CN"/>
              </w:rPr>
              <w:t>指：水利工程或市政工程；</w:t>
            </w:r>
            <w:r>
              <w:rPr>
                <w:rFonts w:hint="eastAsia" w:ascii="宋体" w:hAnsi="宋体" w:eastAsia="宋体" w:cs="宋体"/>
                <w:b/>
                <w:color w:val="auto"/>
                <w:sz w:val="21"/>
                <w:szCs w:val="21"/>
                <w:highlight w:val="none"/>
              </w:rPr>
              <w:t>供应商须提供中标（成交）通知书或合同协议书的复印件或扫描件方可计分，复印件或扫描件须清晰可辨，否则视为未提供。</w:t>
            </w:r>
          </w:p>
        </w:tc>
        <w:tc>
          <w:tcPr>
            <w:tcW w:w="709" w:type="dxa"/>
            <w:vAlign w:val="center"/>
          </w:tcPr>
          <w:p w14:paraId="5AC17C14">
            <w:pPr>
              <w:snapToGrid w:val="0"/>
              <w:spacing w:line="36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5分</w:t>
            </w:r>
          </w:p>
        </w:tc>
      </w:tr>
    </w:tbl>
    <w:p w14:paraId="69BB4041">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14:paraId="4F9CDE0C">
      <w:pPr>
        <w:pStyle w:val="4"/>
        <w:spacing w:line="360" w:lineRule="auto"/>
        <w:rPr>
          <w:rFonts w:asciiTheme="minorEastAsia" w:hAnsiTheme="minorEastAsia" w:eastAsiaTheme="minorEastAsia"/>
          <w:color w:val="auto"/>
          <w:szCs w:val="28"/>
          <w:highlight w:val="none"/>
        </w:rPr>
      </w:pPr>
      <w:bookmarkStart w:id="1323" w:name="_Toc110405175"/>
      <w:bookmarkStart w:id="1324" w:name="_Toc84356290"/>
      <w:bookmarkStart w:id="1325" w:name="_Toc83753930"/>
      <w:bookmarkStart w:id="1326" w:name="_Toc87543858"/>
      <w:bookmarkStart w:id="1327" w:name="_Toc87538407"/>
      <w:bookmarkStart w:id="1328" w:name="_Toc18143"/>
      <w:bookmarkStart w:id="1329" w:name="_Hlk83753665"/>
      <w:bookmarkStart w:id="1330" w:name="_Toc81330978"/>
      <w:r>
        <w:rPr>
          <w:rFonts w:hint="eastAsia" w:asciiTheme="minorEastAsia" w:hAnsiTheme="minorEastAsia" w:eastAsiaTheme="minorEastAsia"/>
          <w:color w:val="auto"/>
          <w:szCs w:val="28"/>
          <w:highlight w:val="none"/>
        </w:rPr>
        <w:t>二、评审办法正文部分</w:t>
      </w:r>
      <w:bookmarkEnd w:id="1323"/>
      <w:bookmarkEnd w:id="1324"/>
      <w:bookmarkEnd w:id="1325"/>
      <w:bookmarkEnd w:id="1326"/>
      <w:bookmarkEnd w:id="1327"/>
      <w:bookmarkEnd w:id="1328"/>
    </w:p>
    <w:bookmarkEnd w:id="1329"/>
    <w:p w14:paraId="4FFF436E">
      <w:pPr>
        <w:spacing w:line="360" w:lineRule="auto"/>
        <w:outlineLvl w:val="2"/>
        <w:rPr>
          <w:rFonts w:asciiTheme="minorEastAsia" w:hAnsiTheme="minorEastAsia" w:eastAsiaTheme="minorEastAsia"/>
          <w:b/>
          <w:color w:val="auto"/>
          <w:sz w:val="24"/>
          <w:szCs w:val="24"/>
          <w:highlight w:val="none"/>
        </w:rPr>
      </w:pPr>
      <w:bookmarkStart w:id="1331" w:name="_Toc98033975"/>
      <w:bookmarkStart w:id="1332" w:name="_Toc4075"/>
      <w:bookmarkStart w:id="1333" w:name="_Toc110405176"/>
      <w:bookmarkStart w:id="1334" w:name="_Toc83753931"/>
      <w:bookmarkStart w:id="1335" w:name="_Toc87543859"/>
      <w:bookmarkStart w:id="1336" w:name="_Toc109809353"/>
      <w:bookmarkStart w:id="1337" w:name="_Toc116584043"/>
      <w:bookmarkStart w:id="1338" w:name="_Toc87538408"/>
      <w:bookmarkStart w:id="1339" w:name="_Toc98865052"/>
      <w:bookmarkStart w:id="1340" w:name="_Toc84356291"/>
      <w:r>
        <w:rPr>
          <w:rFonts w:hint="eastAsia" w:asciiTheme="minorEastAsia" w:hAnsiTheme="minorEastAsia" w:eastAsiaTheme="minorEastAsia"/>
          <w:b/>
          <w:color w:val="auto"/>
          <w:sz w:val="24"/>
          <w:szCs w:val="24"/>
          <w:highlight w:val="none"/>
        </w:rPr>
        <w:t>1.评审方法</w:t>
      </w:r>
      <w:bookmarkEnd w:id="1306"/>
      <w:bookmarkEnd w:id="1307"/>
      <w:bookmarkEnd w:id="1330"/>
      <w:bookmarkEnd w:id="1331"/>
      <w:bookmarkEnd w:id="1332"/>
      <w:bookmarkEnd w:id="1333"/>
      <w:bookmarkEnd w:id="1334"/>
      <w:bookmarkEnd w:id="1335"/>
      <w:bookmarkEnd w:id="1336"/>
      <w:bookmarkEnd w:id="1337"/>
      <w:bookmarkEnd w:id="1338"/>
      <w:bookmarkEnd w:id="1339"/>
      <w:bookmarkEnd w:id="1340"/>
      <w:r>
        <w:rPr>
          <w:rFonts w:hint="eastAsia" w:asciiTheme="minorEastAsia" w:hAnsiTheme="minorEastAsia" w:eastAsiaTheme="minorEastAsia"/>
          <w:b/>
          <w:color w:val="auto"/>
          <w:sz w:val="24"/>
          <w:szCs w:val="24"/>
          <w:highlight w:val="none"/>
        </w:rPr>
        <w:t xml:space="preserve"> </w:t>
      </w:r>
    </w:p>
    <w:p w14:paraId="0ECAC155">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1.1本评审方法根据《中华人民共和国政府采购法》《中华人民共和国政府采购法实施条例》（国务院令第658号）以及《关于印发</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政府采购竞争性磋商采购方式管理暂行办法</w:t>
      </w:r>
      <w:r>
        <w:rPr>
          <w:rFonts w:hint="eastAsia" w:asciiTheme="minorEastAsia" w:hAnsiTheme="minorEastAsia" w:eastAsiaTheme="minorEastAsia"/>
          <w:color w:val="auto"/>
          <w:szCs w:val="21"/>
          <w:highlight w:val="none"/>
          <w:lang w:eastAsia="zh-CN"/>
        </w:rPr>
        <w:t>〉的通知》</w:t>
      </w:r>
      <w:r>
        <w:rPr>
          <w:rFonts w:hint="eastAsia" w:asciiTheme="minorEastAsia" w:hAnsiTheme="minorEastAsia" w:eastAsiaTheme="minorEastAsia"/>
          <w:color w:val="auto"/>
          <w:szCs w:val="21"/>
          <w:highlight w:val="none"/>
        </w:rPr>
        <w:t>（财库〔2014〕214号）等相关法律法规的规定制定，采用综合评分法进行评审。</w:t>
      </w:r>
    </w:p>
    <w:p w14:paraId="1367A2B6">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1.2磋商小组对通过资格审查、符合性审查的响应文件，进行技术部分、商务部分评审评分，</w:t>
      </w:r>
      <w:bookmarkStart w:id="1341" w:name="_Hlk110353296"/>
      <w:r>
        <w:rPr>
          <w:rFonts w:hint="eastAsia" w:asciiTheme="minorEastAsia" w:hAnsiTheme="minorEastAsia" w:eastAsiaTheme="minorEastAsia"/>
          <w:color w:val="auto"/>
          <w:szCs w:val="21"/>
          <w:highlight w:val="none"/>
        </w:rPr>
        <w:t>并按照供应商的综合得分由高到低的顺序推荐1～3名成交候选人。</w:t>
      </w:r>
      <w:bookmarkEnd w:id="1341"/>
      <w:r>
        <w:rPr>
          <w:rFonts w:hint="eastAsia" w:ascii="宋体" w:hAnsi="宋体"/>
          <w:color w:val="auto"/>
          <w:szCs w:val="21"/>
          <w:highlight w:val="none"/>
        </w:rPr>
        <w:t>若综合得分相同时，</w:t>
      </w:r>
      <w:r>
        <w:rPr>
          <w:rFonts w:hint="eastAsia" w:asciiTheme="minorEastAsia" w:hAnsiTheme="minorEastAsia" w:eastAsiaTheme="minorEastAsia"/>
          <w:color w:val="auto"/>
          <w:szCs w:val="21"/>
          <w:highlight w:val="none"/>
        </w:rPr>
        <w:t>按照供应商的评审价由低到高的顺序推荐</w:t>
      </w:r>
      <w:r>
        <w:rPr>
          <w:rFonts w:hint="eastAsia" w:ascii="宋体" w:hAnsi="宋体"/>
          <w:color w:val="auto"/>
          <w:szCs w:val="21"/>
          <w:highlight w:val="none"/>
        </w:rPr>
        <w:t>成交</w:t>
      </w:r>
      <w:r>
        <w:rPr>
          <w:rFonts w:hint="eastAsia" w:asciiTheme="minorEastAsia" w:hAnsiTheme="minorEastAsia" w:eastAsiaTheme="minorEastAsia"/>
          <w:color w:val="auto"/>
          <w:szCs w:val="21"/>
          <w:highlight w:val="none"/>
        </w:rPr>
        <w:t>候选人；若供应商的评审价还相同时</w:t>
      </w:r>
      <w:r>
        <w:rPr>
          <w:rFonts w:hint="eastAsia" w:asciiTheme="minorEastAsia" w:hAnsiTheme="minorEastAsia" w:eastAsiaTheme="minorEastAsia"/>
          <w:color w:val="auto"/>
          <w:szCs w:val="21"/>
          <w:highlight w:val="none"/>
          <w:lang w:eastAsia="zh-CN"/>
        </w:rPr>
        <w:t>，</w:t>
      </w:r>
      <w:r>
        <w:rPr>
          <w:rFonts w:hint="eastAsia" w:ascii="宋体" w:hAnsi="宋体"/>
          <w:color w:val="auto"/>
          <w:szCs w:val="21"/>
          <w:highlight w:val="none"/>
        </w:rPr>
        <w:t>按照供应商的</w:t>
      </w:r>
      <w:r>
        <w:rPr>
          <w:rFonts w:hint="eastAsia" w:ascii="宋体" w:hAnsi="宋体" w:cs="仿宋"/>
          <w:color w:val="auto"/>
          <w:szCs w:val="21"/>
          <w:highlight w:val="none"/>
        </w:rPr>
        <w:t>二次报价</w:t>
      </w:r>
      <w:r>
        <w:rPr>
          <w:rFonts w:hint="eastAsia" w:ascii="宋体" w:hAnsi="宋体"/>
          <w:color w:val="auto"/>
          <w:szCs w:val="21"/>
          <w:highlight w:val="none"/>
        </w:rPr>
        <w:t>由低到高的顺序推荐成交候选人；若</w:t>
      </w:r>
      <w:r>
        <w:rPr>
          <w:rFonts w:hint="eastAsia" w:ascii="宋体" w:hAnsi="宋体" w:cs="仿宋"/>
          <w:color w:val="auto"/>
          <w:szCs w:val="21"/>
          <w:highlight w:val="none"/>
        </w:rPr>
        <w:t>二次报价也</w:t>
      </w:r>
      <w:r>
        <w:rPr>
          <w:rFonts w:hint="eastAsia" w:ascii="宋体" w:hAnsi="宋体"/>
          <w:color w:val="auto"/>
          <w:szCs w:val="21"/>
          <w:highlight w:val="none"/>
        </w:rPr>
        <w:t>相同时，</w:t>
      </w:r>
      <w:r>
        <w:rPr>
          <w:rFonts w:hint="eastAsia" w:asciiTheme="minorEastAsia" w:hAnsiTheme="minorEastAsia" w:eastAsiaTheme="minorEastAsia"/>
          <w:color w:val="auto"/>
          <w:szCs w:val="21"/>
          <w:highlight w:val="none"/>
        </w:rPr>
        <w:t>由磋商小组以不记名投票的方式推荐成交候选人</w:t>
      </w:r>
      <w:r>
        <w:rPr>
          <w:rFonts w:hint="eastAsia" w:ascii="宋体" w:hAnsi="宋体"/>
          <w:color w:val="auto"/>
          <w:szCs w:val="21"/>
          <w:highlight w:val="none"/>
        </w:rPr>
        <w:t>。</w:t>
      </w:r>
    </w:p>
    <w:p w14:paraId="09D9E8E0">
      <w:pPr>
        <w:spacing w:line="360" w:lineRule="auto"/>
        <w:outlineLvl w:val="2"/>
        <w:rPr>
          <w:rFonts w:asciiTheme="minorEastAsia" w:hAnsiTheme="minorEastAsia" w:eastAsiaTheme="minorEastAsia"/>
          <w:b/>
          <w:color w:val="auto"/>
          <w:sz w:val="24"/>
          <w:szCs w:val="24"/>
          <w:highlight w:val="none"/>
        </w:rPr>
      </w:pPr>
      <w:bookmarkStart w:id="1342" w:name="_Toc45791394"/>
      <w:bookmarkStart w:id="1343" w:name="_Toc83753932"/>
      <w:bookmarkStart w:id="1344" w:name="_Toc87543860"/>
      <w:bookmarkStart w:id="1345" w:name="_Toc110405177"/>
      <w:bookmarkStart w:id="1346" w:name="_Toc98865053"/>
      <w:bookmarkStart w:id="1347" w:name="_Toc87538409"/>
      <w:bookmarkStart w:id="1348" w:name="_Toc81330979"/>
      <w:bookmarkStart w:id="1349" w:name="_Toc116584044"/>
      <w:bookmarkStart w:id="1350" w:name="_Toc42205033"/>
      <w:bookmarkStart w:id="1351" w:name="_Toc109809354"/>
      <w:bookmarkStart w:id="1352" w:name="_Toc98033976"/>
      <w:bookmarkStart w:id="1353" w:name="_Toc84356292"/>
      <w:bookmarkStart w:id="1354" w:name="_Toc12572"/>
      <w:r>
        <w:rPr>
          <w:rFonts w:hint="eastAsia" w:asciiTheme="minorEastAsia" w:hAnsiTheme="minorEastAsia" w:eastAsiaTheme="minorEastAsia"/>
          <w:b/>
          <w:color w:val="auto"/>
          <w:sz w:val="24"/>
          <w:szCs w:val="24"/>
          <w:highlight w:val="none"/>
        </w:rPr>
        <w:t>2.评审标准</w:t>
      </w:r>
      <w:bookmarkEnd w:id="1342"/>
      <w:bookmarkEnd w:id="1343"/>
      <w:bookmarkEnd w:id="1344"/>
      <w:bookmarkEnd w:id="1345"/>
      <w:bookmarkEnd w:id="1346"/>
      <w:bookmarkEnd w:id="1347"/>
      <w:bookmarkEnd w:id="1348"/>
      <w:bookmarkEnd w:id="1349"/>
      <w:bookmarkEnd w:id="1350"/>
      <w:bookmarkEnd w:id="1351"/>
      <w:bookmarkEnd w:id="1352"/>
      <w:bookmarkEnd w:id="1353"/>
      <w:bookmarkEnd w:id="1354"/>
      <w:r>
        <w:rPr>
          <w:rFonts w:hint="eastAsia" w:asciiTheme="minorEastAsia" w:hAnsiTheme="minorEastAsia" w:eastAsiaTheme="minorEastAsia"/>
          <w:b/>
          <w:color w:val="auto"/>
          <w:sz w:val="24"/>
          <w:szCs w:val="24"/>
          <w:highlight w:val="none"/>
        </w:rPr>
        <w:t xml:space="preserve"> </w:t>
      </w:r>
    </w:p>
    <w:p w14:paraId="07C79B2A">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2.1 初步评审标准 </w:t>
      </w:r>
    </w:p>
    <w:p w14:paraId="0F98602B">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2.1.1 资格审查标准：见评审办法前附表。</w:t>
      </w:r>
    </w:p>
    <w:p w14:paraId="63AE172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2.1.2 符合性审查标准：见评审办法前附表。</w:t>
      </w:r>
    </w:p>
    <w:p w14:paraId="28BB2297">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2.2 详细评审标准</w:t>
      </w:r>
    </w:p>
    <w:p w14:paraId="2E2AB227">
      <w:pPr>
        <w:spacing w:line="360" w:lineRule="auto"/>
        <w:ind w:firstLine="420" w:firstLineChars="200"/>
        <w:rPr>
          <w:rFonts w:asciiTheme="minorEastAsia" w:hAnsiTheme="minorEastAsia" w:eastAsiaTheme="minorEastAsia"/>
          <w:color w:val="auto"/>
          <w:highlight w:val="none"/>
        </w:rPr>
      </w:pPr>
      <w:bookmarkStart w:id="1355" w:name="_Toc42205034"/>
      <w:bookmarkStart w:id="1356" w:name="_Toc45791395"/>
      <w:bookmarkStart w:id="1357" w:name="_Toc84356293"/>
      <w:bookmarkStart w:id="1358" w:name="_Toc83753933"/>
      <w:bookmarkStart w:id="1359" w:name="_Toc87543861"/>
      <w:bookmarkStart w:id="1360" w:name="_Toc87538410"/>
      <w:bookmarkStart w:id="1361" w:name="_Toc98865054"/>
      <w:bookmarkStart w:id="1362" w:name="_Toc81330980"/>
      <w:bookmarkStart w:id="1363" w:name="_Toc98033977"/>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.2.1</w:t>
      </w:r>
      <w:r>
        <w:rPr>
          <w:rFonts w:hint="eastAsia" w:asciiTheme="minorEastAsia" w:hAnsiTheme="minorEastAsia" w:eastAsiaTheme="minorEastAsia"/>
          <w:color w:val="auto"/>
          <w:highlight w:val="none"/>
        </w:rPr>
        <w:t>分值构成：见评标办法前附表。</w:t>
      </w:r>
    </w:p>
    <w:p w14:paraId="37015DF5">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技术部分评审标准：见评审办法前附表。</w:t>
      </w:r>
    </w:p>
    <w:p w14:paraId="4A7E4709">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商务部分评审标准：见评审办法前附表。</w:t>
      </w:r>
    </w:p>
    <w:p w14:paraId="69780599">
      <w:pPr>
        <w:spacing w:line="360" w:lineRule="auto"/>
        <w:outlineLvl w:val="2"/>
        <w:rPr>
          <w:rFonts w:asciiTheme="minorEastAsia" w:hAnsiTheme="minorEastAsia" w:eastAsiaTheme="minorEastAsia"/>
          <w:b/>
          <w:color w:val="auto"/>
          <w:sz w:val="24"/>
          <w:szCs w:val="24"/>
          <w:highlight w:val="none"/>
        </w:rPr>
      </w:pPr>
      <w:bookmarkStart w:id="1364" w:name="_Toc6028"/>
      <w:bookmarkStart w:id="1365" w:name="_Toc109809355"/>
      <w:bookmarkStart w:id="1366" w:name="_Toc110405178"/>
      <w:bookmarkStart w:id="1367" w:name="_Toc116584045"/>
      <w:r>
        <w:rPr>
          <w:rFonts w:hint="eastAsia" w:asciiTheme="minorEastAsia" w:hAnsiTheme="minorEastAsia" w:eastAsiaTheme="minorEastAsia"/>
          <w:b/>
          <w:color w:val="auto"/>
          <w:sz w:val="24"/>
          <w:szCs w:val="24"/>
          <w:highlight w:val="none"/>
        </w:rPr>
        <w:t>3.评审程序</w:t>
      </w:r>
      <w:bookmarkEnd w:id="1355"/>
      <w:bookmarkEnd w:id="1356"/>
      <w:bookmarkEnd w:id="1357"/>
      <w:bookmarkEnd w:id="1358"/>
      <w:bookmarkEnd w:id="1359"/>
      <w:bookmarkEnd w:id="1360"/>
      <w:bookmarkEnd w:id="1361"/>
      <w:bookmarkEnd w:id="1362"/>
      <w:bookmarkEnd w:id="1363"/>
      <w:bookmarkEnd w:id="1364"/>
      <w:bookmarkEnd w:id="1365"/>
      <w:bookmarkEnd w:id="1366"/>
      <w:bookmarkEnd w:id="1367"/>
      <w:r>
        <w:rPr>
          <w:rFonts w:hint="eastAsia" w:asciiTheme="minorEastAsia" w:hAnsiTheme="minorEastAsia" w:eastAsiaTheme="minorEastAsia"/>
          <w:b/>
          <w:color w:val="auto"/>
          <w:sz w:val="24"/>
          <w:szCs w:val="24"/>
          <w:highlight w:val="none"/>
        </w:rPr>
        <w:t xml:space="preserve"> </w:t>
      </w:r>
    </w:p>
    <w:p w14:paraId="3C7BBCE9">
      <w:pPr>
        <w:spacing w:line="360" w:lineRule="auto"/>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3.1 初步评审 </w:t>
      </w:r>
    </w:p>
    <w:p w14:paraId="720B19EC">
      <w:pPr>
        <w:spacing w:line="360" w:lineRule="auto"/>
        <w:ind w:firstLine="437"/>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t>3.1.1</w:t>
      </w:r>
      <w:r>
        <w:rPr>
          <w:rFonts w:hint="eastAsia" w:asciiTheme="minorEastAsia" w:hAnsiTheme="minorEastAsia" w:eastAsiaTheme="minorEastAsia"/>
          <w:bCs/>
          <w:color w:val="auto"/>
          <w:szCs w:val="21"/>
          <w:highlight w:val="none"/>
        </w:rPr>
        <w:t xml:space="preserve">资格审查 </w:t>
      </w:r>
    </w:p>
    <w:p w14:paraId="2EEE666D">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磋商小组依据本章第2.1.1款规定的审查标准对所有供应商的响应文件进行资格审查，有一项不符合审查标准的，响应文件按否决处理。</w:t>
      </w:r>
    </w:p>
    <w:p w14:paraId="0ADC2876">
      <w:pPr>
        <w:spacing w:line="360" w:lineRule="auto"/>
        <w:ind w:firstLine="437"/>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3.</w:t>
      </w:r>
      <w:r>
        <w:rPr>
          <w:rFonts w:asciiTheme="minorEastAsia" w:hAnsiTheme="minorEastAsia" w:eastAsiaTheme="minorEastAsia"/>
          <w:bCs/>
          <w:color w:val="auto"/>
          <w:szCs w:val="21"/>
          <w:highlight w:val="none"/>
        </w:rPr>
        <w:t>1.</w:t>
      </w:r>
      <w:r>
        <w:rPr>
          <w:rFonts w:hint="eastAsia" w:asciiTheme="minorEastAsia" w:hAnsiTheme="minorEastAsia" w:eastAsiaTheme="minorEastAsia"/>
          <w:bCs/>
          <w:color w:val="auto"/>
          <w:szCs w:val="21"/>
          <w:highlight w:val="none"/>
        </w:rPr>
        <w:t xml:space="preserve">2符合性审查 </w:t>
      </w:r>
    </w:p>
    <w:p w14:paraId="3B08E79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磋商小组依据本章第2.1.2款规定的审查标准对所有供应商的响应文件进行符合性审查，有一项不符合审查标准的，响应文件按否决处理。</w:t>
      </w:r>
    </w:p>
    <w:p w14:paraId="5FA8A86D">
      <w:pPr>
        <w:spacing w:line="360" w:lineRule="auto"/>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3.2 详细评审</w:t>
      </w:r>
    </w:p>
    <w:p w14:paraId="64523603">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3.2.1 磋商小组按照本章第2.2款规定的量化因素和分值进行评审评分，并计算出供应商的综合得分。</w:t>
      </w:r>
    </w:p>
    <w:p w14:paraId="40EEF7D1">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3.2.2 供应商的综合得分分值计算后保留小数点后两位，小数点后第三位“四舍五入”。</w:t>
      </w:r>
    </w:p>
    <w:p w14:paraId="2AA5E7E4">
      <w:pPr>
        <w:spacing w:line="360" w:lineRule="auto"/>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3.3 响应文件的澄清、说明或者补正</w:t>
      </w:r>
    </w:p>
    <w:p w14:paraId="39BDDCF0">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3.3.1在评审过程中，磋商小组对于供应商的响应文件中含义不明确、同类问题表述不一致或者有明显文字和计算错误的内容，应当以书面形式要求供应商做出必要的澄清、说明或者补正。</w:t>
      </w:r>
    </w:p>
    <w:p w14:paraId="43D1A520">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3.3.2供应商的澄清、说明或者补正应当采用书面形式并加盖公章（或电子签章），或者由法定代表人或其授权的代表签字（或电子签章）。供应商的澄清、说明或者补正不得超出响应文件的范围或改变响应文件的实质性内容（算术性错误修正的除外）。供应商的书面澄清、说明或者补正属于响应文件的组成部分。</w:t>
      </w:r>
    </w:p>
    <w:p w14:paraId="5CB89078">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3.3.3磋商小组对供应商提交的澄清、说明或者补正有疑问的，可以要求供应商进一步澄清、说明或者补正，直至满足磋商小组的要求。</w:t>
      </w:r>
    </w:p>
    <w:p w14:paraId="2F8B2F40">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4</w:t>
      </w:r>
      <w:r>
        <w:rPr>
          <w:rFonts w:hint="eastAsia" w:asciiTheme="minorEastAsia" w:hAnsiTheme="minorEastAsia" w:eastAsiaTheme="minorEastAsia"/>
          <w:color w:val="auto"/>
          <w:highlight w:val="none"/>
        </w:rPr>
        <w:t>凡超出采购文件规定的或给采购人带来未曾要求的利益的变化、偏离或其他因素在评审时不予考虑。</w:t>
      </w:r>
    </w:p>
    <w:p w14:paraId="09A0740F">
      <w:pPr>
        <w:spacing w:line="360" w:lineRule="auto"/>
        <w:outlineLvl w:val="3"/>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3.4 </w:t>
      </w:r>
      <w:r>
        <w:rPr>
          <w:rFonts w:hint="eastAsia" w:asciiTheme="minorEastAsia" w:hAnsiTheme="minorEastAsia" w:eastAsiaTheme="minorEastAsia"/>
          <w:b/>
          <w:color w:val="auto"/>
          <w:szCs w:val="21"/>
          <w:highlight w:val="none"/>
        </w:rPr>
        <w:t>算术性错误修正</w:t>
      </w:r>
    </w:p>
    <w:p w14:paraId="6B9113B3">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供应商的响应文件中的磋商报价出现前后不一致的，除采购文件另有规定外，磋商小组依法对其进行修正。修正后的磋商报价按照本章第3.</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 xml:space="preserve">款的规定，经供应商确认后产生约束力，供应商不确认的，其磋商无效。 </w:t>
      </w:r>
    </w:p>
    <w:p w14:paraId="37ADB955">
      <w:pPr>
        <w:spacing w:line="360" w:lineRule="auto"/>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3.5 响应文件相关信息的核查 </w:t>
      </w:r>
    </w:p>
    <w:p w14:paraId="1EABBCBC">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磋商小组对在评审过程中发现的供应商与供应商之间、供应商与采购人之间存在的串通磋商的情形进行评审和认定。若供应商存在串通磋商、弄虚作假、行贿等违法行为的，磋商小组应否决其磋商。</w:t>
      </w:r>
    </w:p>
    <w:p w14:paraId="3D743D6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3.5.1有下列情形之一的，属于供应商相互串通磋商：</w:t>
      </w:r>
    </w:p>
    <w:p w14:paraId="2F639E36">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（1）供应商之间协商磋商报价等响应文件的实质性内容；</w:t>
      </w:r>
    </w:p>
    <w:p w14:paraId="1BB94DA5">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（2）供应商之间约定成交供应商；</w:t>
      </w:r>
    </w:p>
    <w:p w14:paraId="2EE4661E">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（3）供应商之间约定部分供应商放弃磋商或成交；</w:t>
      </w:r>
    </w:p>
    <w:p w14:paraId="0B2E6910">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（4）属于同一集团、协会、商会等组织成员的供应商按照该组织要求协同磋商；</w:t>
      </w:r>
    </w:p>
    <w:p w14:paraId="0E814E5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（5）供应商之间为谋取成交或排斥特定供应商而采取的其他联合行动。</w:t>
      </w:r>
    </w:p>
    <w:p w14:paraId="11A692E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3.5.2有下列情形之一的，视为供应商相互串通磋商：</w:t>
      </w:r>
    </w:p>
    <w:p w14:paraId="3E5D9B9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（1）不同供应商的响应文件由同一单位或个人编制；</w:t>
      </w:r>
    </w:p>
    <w:p w14:paraId="28264E70">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（2）不同供应商委托同一单位或个人办理磋商事宜；</w:t>
      </w:r>
    </w:p>
    <w:p w14:paraId="609BF813">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（3）不同供应商的响应文件载明的项目组成员为同一人；</w:t>
      </w:r>
    </w:p>
    <w:p w14:paraId="5A88E57D">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（4）不同供应商的响应文件异常一致或磋商报价呈规律性差异。</w:t>
      </w:r>
    </w:p>
    <w:p w14:paraId="50D8DE86">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3.5.3有下列情形之一的，属于采购人与供应商串通磋商：</w:t>
      </w:r>
    </w:p>
    <w:p w14:paraId="2ADDAD06">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（1）采购人在开标前开启响应文件并将有关信息泄露给其他供应商；</w:t>
      </w:r>
    </w:p>
    <w:p w14:paraId="154379B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（2）采购人直接或间接向供应商泄露标底、磋商小组成员等信息；</w:t>
      </w:r>
    </w:p>
    <w:p w14:paraId="58A09C8C">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（3）采购人明示或暗示供应商压低或抬高磋商报价；</w:t>
      </w:r>
    </w:p>
    <w:p w14:paraId="24A27C81">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（4）采购人授意供应商撤换、修改响应文件；</w:t>
      </w:r>
    </w:p>
    <w:p w14:paraId="088F2BF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（5）采购人明示或暗示供应商为特定供应商成交提供方便；</w:t>
      </w:r>
    </w:p>
    <w:p w14:paraId="77959689">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（6）采购人与供应商为谋求特定供应商成交而采取的其他串通行为。</w:t>
      </w:r>
    </w:p>
    <w:p w14:paraId="40BD0BBE">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3.5.4供应商有下列情形之一的，属于弄虚作假的行为：</w:t>
      </w:r>
    </w:p>
    <w:p w14:paraId="2F78492C">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（1）使用通过受让或租借等方式获取的资格、资质证书磋商；</w:t>
      </w:r>
    </w:p>
    <w:p w14:paraId="349BEBF6">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（2）使用伪造、变造的许可证件；</w:t>
      </w:r>
    </w:p>
    <w:p w14:paraId="5CB80113">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（3）提供虚假的财务状况或业绩或其他证明材料或证件等；</w:t>
      </w:r>
    </w:p>
    <w:p w14:paraId="1A0E2566">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（4）提供虚假的信用状况；</w:t>
      </w:r>
    </w:p>
    <w:p w14:paraId="2BBD785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（5）其他弄虚作假的行为。</w:t>
      </w:r>
    </w:p>
    <w:p w14:paraId="1EBDB975">
      <w:pPr>
        <w:spacing w:line="360" w:lineRule="auto"/>
        <w:ind w:firstLine="437"/>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w:t>
      </w:r>
      <w:r>
        <w:rPr>
          <w:rFonts w:asciiTheme="minorEastAsia" w:hAnsiTheme="minorEastAsia" w:eastAsiaTheme="minorEastAsia"/>
          <w:b/>
          <w:color w:val="auto"/>
          <w:szCs w:val="21"/>
          <w:highlight w:val="none"/>
        </w:rPr>
        <w:t xml:space="preserve">6 </w:t>
      </w:r>
      <w:r>
        <w:rPr>
          <w:rFonts w:hint="eastAsia" w:asciiTheme="minorEastAsia" w:hAnsiTheme="minorEastAsia" w:eastAsiaTheme="minorEastAsia"/>
          <w:b/>
          <w:color w:val="auto"/>
          <w:szCs w:val="21"/>
          <w:highlight w:val="none"/>
        </w:rPr>
        <w:t>评分要求和统计分数原则</w:t>
      </w:r>
    </w:p>
    <w:p w14:paraId="6F8084E8">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.1磋商小组应首先对各供应商的响应文件进行评审，并按</w:t>
      </w:r>
      <w:r>
        <w:rPr>
          <w:rFonts w:hint="eastAsia" w:asciiTheme="minorEastAsia" w:hAnsiTheme="minorEastAsia" w:eastAsiaTheme="minorEastAsia"/>
          <w:color w:val="auto"/>
          <w:szCs w:val="21"/>
          <w:highlight w:val="none"/>
        </w:rPr>
        <w:t>采购文件</w:t>
      </w:r>
      <w:r>
        <w:rPr>
          <w:rFonts w:hint="eastAsia" w:cs="宋体" w:asciiTheme="minorEastAsia" w:hAnsiTheme="minorEastAsia" w:eastAsiaTheme="minorEastAsia"/>
          <w:color w:val="auto"/>
          <w:szCs w:val="21"/>
          <w:highlight w:val="none"/>
        </w:rPr>
        <w:t>规定的分值评分，若有打分档，各分档评分中间不得用插入法评分。</w:t>
      </w:r>
    </w:p>
    <w:p w14:paraId="3077BC75">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.2统计分数原则：磋商小组成员的评分通过计算平均分值为供应商的技术部分（保留小数点后两位）。商务部分得分由供应商的</w:t>
      </w:r>
      <w:r>
        <w:rPr>
          <w:rFonts w:hint="eastAsia" w:cs="仿宋" w:asciiTheme="minorEastAsia" w:hAnsiTheme="minorEastAsia" w:eastAsiaTheme="minorEastAsia"/>
          <w:color w:val="auto"/>
          <w:szCs w:val="21"/>
          <w:highlight w:val="none"/>
        </w:rPr>
        <w:t>二次报价</w:t>
      </w:r>
      <w:r>
        <w:rPr>
          <w:rFonts w:hint="eastAsia" w:cs="宋体" w:asciiTheme="minorEastAsia" w:hAnsiTheme="minorEastAsia" w:eastAsiaTheme="minorEastAsia"/>
          <w:color w:val="auto"/>
          <w:szCs w:val="21"/>
          <w:highlight w:val="none"/>
        </w:rPr>
        <w:t>计算后得出（保留小数点后两位）。</w:t>
      </w:r>
    </w:p>
    <w:p w14:paraId="7C8597DC">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.6</w:t>
      </w:r>
      <w:r>
        <w:rPr>
          <w:rFonts w:hint="eastAsia" w:cs="宋体" w:asciiTheme="minorEastAsia" w:hAnsiTheme="minorEastAsia" w:eastAsiaTheme="minorEastAsia"/>
          <w:color w:val="auto"/>
          <w:szCs w:val="21"/>
          <w:highlight w:val="none"/>
        </w:rPr>
        <w:t>.3</w:t>
      </w:r>
      <w:r>
        <w:rPr>
          <w:rFonts w:hint="eastAsia" w:asciiTheme="minorEastAsia" w:hAnsiTheme="minorEastAsia" w:eastAsiaTheme="minorEastAsia"/>
          <w:color w:val="auto"/>
          <w:highlight w:val="none"/>
        </w:rPr>
        <w:t xml:space="preserve"> </w:t>
      </w:r>
      <w:r>
        <w:rPr>
          <w:rFonts w:hint="eastAsia" w:cs="宋体" w:asciiTheme="minorEastAsia" w:hAnsiTheme="minorEastAsia" w:eastAsiaTheme="minorEastAsia"/>
          <w:color w:val="auto"/>
          <w:szCs w:val="21"/>
          <w:highlight w:val="none"/>
        </w:rPr>
        <w:t>汇总评分结果</w:t>
      </w:r>
    </w:p>
    <w:p w14:paraId="2C1FDE71">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磋商小组对所有有效供应商的响应文件的技术部分、商务部分分别进行评审评分后，再按评审办法前附表载明的公式计算出供应商的综合得分。</w:t>
      </w:r>
    </w:p>
    <w:p w14:paraId="5DA550EB">
      <w:pPr>
        <w:spacing w:line="360" w:lineRule="auto"/>
        <w:ind w:firstLine="437"/>
        <w:outlineLvl w:val="3"/>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w:t>
      </w:r>
      <w:r>
        <w:rPr>
          <w:rFonts w:asciiTheme="minorEastAsia" w:hAnsiTheme="minorEastAsia" w:eastAsiaTheme="minorEastAsia"/>
          <w:b/>
          <w:color w:val="auto"/>
          <w:szCs w:val="21"/>
          <w:highlight w:val="none"/>
        </w:rPr>
        <w:t>7</w:t>
      </w:r>
      <w:r>
        <w:rPr>
          <w:rFonts w:hint="eastAsia" w:asciiTheme="minorEastAsia" w:hAnsiTheme="minorEastAsia" w:eastAsiaTheme="minorEastAsia"/>
          <w:b/>
          <w:color w:val="auto"/>
          <w:szCs w:val="21"/>
          <w:highlight w:val="none"/>
        </w:rPr>
        <w:t xml:space="preserve"> 评审结果 </w:t>
      </w:r>
    </w:p>
    <w:p w14:paraId="2A1E263B">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.1 除第二章“供应商须知前附表”授权磋商小组确定成交供应商外，磋商小组将对通过初步评审的响应文件，进行技术部分、商务部分评审评分，并按照供应商的综合得分由高到低的顺序推荐1～3名成交候选人。</w:t>
      </w:r>
      <w:r>
        <w:rPr>
          <w:rFonts w:hint="eastAsia" w:ascii="宋体" w:hAnsi="宋体"/>
          <w:color w:val="auto"/>
          <w:szCs w:val="21"/>
          <w:highlight w:val="none"/>
        </w:rPr>
        <w:t>若综合得分相同时，</w:t>
      </w:r>
      <w:r>
        <w:rPr>
          <w:rFonts w:hint="eastAsia" w:asciiTheme="minorEastAsia" w:hAnsiTheme="minorEastAsia" w:eastAsiaTheme="minorEastAsia"/>
          <w:color w:val="auto"/>
          <w:szCs w:val="21"/>
          <w:highlight w:val="none"/>
        </w:rPr>
        <w:t>按照供应商的评审价由低到高的顺序推荐</w:t>
      </w:r>
      <w:r>
        <w:rPr>
          <w:rFonts w:hint="eastAsia" w:ascii="宋体" w:hAnsi="宋体"/>
          <w:color w:val="auto"/>
          <w:szCs w:val="21"/>
          <w:highlight w:val="none"/>
        </w:rPr>
        <w:t>成交</w:t>
      </w:r>
      <w:r>
        <w:rPr>
          <w:rFonts w:hint="eastAsia" w:asciiTheme="minorEastAsia" w:hAnsiTheme="minorEastAsia" w:eastAsiaTheme="minorEastAsia"/>
          <w:color w:val="auto"/>
          <w:szCs w:val="21"/>
          <w:highlight w:val="none"/>
        </w:rPr>
        <w:t>候选人；若供应商的评审价还相同时</w:t>
      </w:r>
      <w:r>
        <w:rPr>
          <w:rFonts w:hint="eastAsia" w:asciiTheme="minorEastAsia" w:hAnsiTheme="minorEastAsia" w:eastAsiaTheme="minorEastAsia"/>
          <w:color w:val="auto"/>
          <w:szCs w:val="21"/>
          <w:highlight w:val="none"/>
          <w:lang w:eastAsia="zh-CN"/>
        </w:rPr>
        <w:t>，</w:t>
      </w:r>
      <w:r>
        <w:rPr>
          <w:rFonts w:hint="eastAsia" w:ascii="宋体" w:hAnsi="宋体"/>
          <w:color w:val="auto"/>
          <w:szCs w:val="21"/>
          <w:highlight w:val="none"/>
        </w:rPr>
        <w:t>按照供应商的</w:t>
      </w:r>
      <w:r>
        <w:rPr>
          <w:rFonts w:hint="eastAsia" w:ascii="宋体" w:hAnsi="宋体" w:cs="仿宋"/>
          <w:color w:val="auto"/>
          <w:szCs w:val="21"/>
          <w:highlight w:val="none"/>
        </w:rPr>
        <w:t>二次报价</w:t>
      </w:r>
      <w:r>
        <w:rPr>
          <w:rFonts w:hint="eastAsia" w:ascii="宋体" w:hAnsi="宋体"/>
          <w:color w:val="auto"/>
          <w:szCs w:val="21"/>
          <w:highlight w:val="none"/>
        </w:rPr>
        <w:t>由低到高的顺序推荐成交候选人；若</w:t>
      </w:r>
      <w:r>
        <w:rPr>
          <w:rFonts w:hint="eastAsia" w:ascii="宋体" w:hAnsi="宋体" w:cs="仿宋"/>
          <w:color w:val="auto"/>
          <w:szCs w:val="21"/>
          <w:highlight w:val="none"/>
        </w:rPr>
        <w:t>二次报价也</w:t>
      </w:r>
      <w:r>
        <w:rPr>
          <w:rFonts w:hint="eastAsia" w:ascii="宋体" w:hAnsi="宋体"/>
          <w:color w:val="auto"/>
          <w:szCs w:val="21"/>
          <w:highlight w:val="none"/>
        </w:rPr>
        <w:t>相同时，</w:t>
      </w:r>
      <w:r>
        <w:rPr>
          <w:rFonts w:hint="eastAsia" w:asciiTheme="minorEastAsia" w:hAnsiTheme="minorEastAsia" w:eastAsiaTheme="minorEastAsia"/>
          <w:color w:val="auto"/>
          <w:szCs w:val="21"/>
          <w:highlight w:val="none"/>
        </w:rPr>
        <w:t>由磋商小组以不记名投票的方式推荐成交候选人</w:t>
      </w:r>
      <w:r>
        <w:rPr>
          <w:rFonts w:hint="eastAsia" w:ascii="宋体" w:hAnsi="宋体"/>
          <w:color w:val="auto"/>
          <w:szCs w:val="21"/>
          <w:highlight w:val="none"/>
        </w:rPr>
        <w:t>。</w:t>
      </w:r>
    </w:p>
    <w:p w14:paraId="61AD7D9F">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.2磋商小组完成评审后，应当向采购人提交书面评审报告。</w:t>
      </w:r>
    </w:p>
    <w:p w14:paraId="57B934F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评审报告应当由磋商小组全体成员签章确认。磋商小组成员对评审报告有异议的，磋商小组按照少数服从多数的原则推荐成交候选人，采购程序继续进行。对评审报告有异议的磋商小组成员应当在评审报告上签署不同意见并说明理由，由磋商小组记录相关情况。磋商小组成员拒绝在评审报告上签章又不说明其不同意见和理由的，视为同意评审报告。</w:t>
      </w:r>
      <w:r>
        <w:rPr>
          <w:rFonts w:asciiTheme="minorEastAsia" w:hAnsiTheme="minorEastAsia" w:eastAsiaTheme="minorEastAsia"/>
          <w:color w:val="auto"/>
          <w:szCs w:val="21"/>
          <w:highlight w:val="none"/>
        </w:rPr>
        <w:br w:type="page"/>
      </w:r>
    </w:p>
    <w:p w14:paraId="77310F3D">
      <w:pPr>
        <w:spacing w:line="360" w:lineRule="auto"/>
        <w:outlineLvl w:val="2"/>
        <w:rPr>
          <w:rFonts w:asciiTheme="minorEastAsia" w:hAnsiTheme="minorEastAsia" w:eastAsiaTheme="minorEastAsia"/>
          <w:b/>
          <w:color w:val="auto"/>
          <w:sz w:val="24"/>
          <w:szCs w:val="24"/>
          <w:highlight w:val="none"/>
        </w:rPr>
      </w:pPr>
      <w:bookmarkStart w:id="1368" w:name="_Toc98865055"/>
      <w:bookmarkStart w:id="1369" w:name="_Toc45791396"/>
      <w:bookmarkStart w:id="1370" w:name="_Toc87543862"/>
      <w:bookmarkStart w:id="1371" w:name="_Toc109809356"/>
      <w:bookmarkStart w:id="1372" w:name="_Toc42205035"/>
      <w:bookmarkStart w:id="1373" w:name="_Toc98033978"/>
      <w:bookmarkStart w:id="1374" w:name="_Toc116584046"/>
      <w:bookmarkStart w:id="1375" w:name="_Toc110405179"/>
      <w:bookmarkStart w:id="1376" w:name="_Toc30376"/>
      <w:bookmarkStart w:id="1377" w:name="_Toc81330981"/>
      <w:bookmarkStart w:id="1378" w:name="_Toc84356294"/>
      <w:bookmarkStart w:id="1379" w:name="_Toc87538411"/>
      <w:bookmarkStart w:id="1380" w:name="_Toc53412258"/>
      <w:bookmarkStart w:id="1381" w:name="_Toc45976942"/>
      <w:bookmarkStart w:id="1382" w:name="_Toc83753934"/>
      <w:r>
        <w:rPr>
          <w:rFonts w:hint="eastAsia" w:asciiTheme="minorEastAsia" w:hAnsiTheme="minorEastAsia" w:eastAsiaTheme="minorEastAsia"/>
          <w:b/>
          <w:color w:val="auto"/>
          <w:sz w:val="24"/>
          <w:szCs w:val="24"/>
          <w:highlight w:val="none"/>
        </w:rPr>
        <w:t>附件A：评审详细程序</w:t>
      </w:r>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p>
    <w:p w14:paraId="30228382">
      <w:pPr>
        <w:spacing w:line="360" w:lineRule="auto"/>
        <w:jc w:val="center"/>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评审详细程序</w:t>
      </w:r>
    </w:p>
    <w:p w14:paraId="371BDEE1">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A0.总  则</w:t>
      </w:r>
    </w:p>
    <w:p w14:paraId="4342309C">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本附件是本章“评审办法”的组成部分，是对本章第3条所规定的评审程序的进一步细化，磋商小组应当按照本附件所规定的详细程序开展并完成评审工作。</w:t>
      </w:r>
    </w:p>
    <w:p w14:paraId="5D4FA677">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A1.基本程序</w:t>
      </w:r>
    </w:p>
    <w:p w14:paraId="53B1FC3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评审活动将按以下七个步骤进行：</w:t>
      </w:r>
    </w:p>
    <w:p w14:paraId="6E26CEA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（1）评审准备；</w:t>
      </w:r>
    </w:p>
    <w:p w14:paraId="61D1FD35">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（2）资格审查；</w:t>
      </w:r>
    </w:p>
    <w:p w14:paraId="4FEBCAD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（3）符合性审查；</w:t>
      </w:r>
    </w:p>
    <w:p w14:paraId="23D2A71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（4）技术部分评审；</w:t>
      </w:r>
    </w:p>
    <w:p w14:paraId="63606A7A">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（5）商务部分评审；</w:t>
      </w:r>
    </w:p>
    <w:p w14:paraId="04E1BDB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（6）澄清、说明或补正；</w:t>
      </w:r>
    </w:p>
    <w:p w14:paraId="6337BE7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（7）推荐成交候选人或者直接确定成交供应商及提交评审报告。</w:t>
      </w:r>
    </w:p>
    <w:p w14:paraId="6C92C2C7">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A2.评审准备</w:t>
      </w:r>
    </w:p>
    <w:p w14:paraId="55474D8B">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A2.1磋商小组成员签到</w:t>
      </w:r>
    </w:p>
    <w:p w14:paraId="2B76B41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磋商小组成员到达评审现场签到并组建磋商小组。</w:t>
      </w:r>
    </w:p>
    <w:p w14:paraId="03E709E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A2.2磋商小组的分工</w:t>
      </w:r>
    </w:p>
    <w:p w14:paraId="5174BEC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磋商小组首先推选一名磋商小组组长。磋商小组组长负责评审活动的组织领导工作。磋商小组组长在与其他磋商小组成员协商的基础上，可以将磋商小组划分为技术组和商务组。</w:t>
      </w:r>
    </w:p>
    <w:p w14:paraId="06C8F2C1">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A2.3熟悉文件资料</w:t>
      </w:r>
    </w:p>
    <w:p w14:paraId="66158AA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2.3.1磋商小组组长应组织磋商小组成员认真研究采购文件，了解和熟悉采购目的、采购范围、主要合同条件、质量要求和工期等要求，掌握评审标准和方法，熟悉评审办法。采购文件中未规定的标准和方法，磋商小组不得作为评审的依据。</w:t>
      </w:r>
    </w:p>
    <w:p w14:paraId="637475B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A2.3.2采购人或采购代理机构应向磋商小组提供评审所需的信息和数据，包括采购文件、未在开标会上当场拒绝的各响应文件、开标会记录及各供应商在响应文件，有关的</w:t>
      </w:r>
      <w:r>
        <w:rPr>
          <w:rFonts w:hint="eastAsia" w:asciiTheme="minorEastAsia" w:hAnsiTheme="minorEastAsia" w:eastAsiaTheme="minorEastAsia"/>
          <w:color w:val="auto"/>
          <w:szCs w:val="21"/>
          <w:highlight w:val="none"/>
          <w:lang w:eastAsia="zh-CN"/>
        </w:rPr>
        <w:t>法律法规</w:t>
      </w:r>
      <w:r>
        <w:rPr>
          <w:rFonts w:hint="eastAsia" w:asciiTheme="minorEastAsia" w:hAnsiTheme="minorEastAsia" w:eastAsiaTheme="minorEastAsia"/>
          <w:color w:val="auto"/>
          <w:szCs w:val="21"/>
          <w:highlight w:val="none"/>
        </w:rPr>
        <w:t>、规章、国家标准以及采购人或磋商小组认为必要的其他信息和数据。</w:t>
      </w:r>
    </w:p>
    <w:p w14:paraId="05D4D9E8">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A2.4对响应文件进行基础性数据分析和整理工作（清标）</w:t>
      </w:r>
    </w:p>
    <w:p w14:paraId="51B8466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不改变供应商响应文件实质性内容的前提下，磋商小组应当对响应文件进行基础性数据分析和整理（简称为“清标”），从而发现并提取其中可能存在的对采购范围理解的偏差、磋商报价的算术性错误、错漏项、磋商报价构成不合理、不平衡报价、是否低于成本报价等存在明显异常的问题，并就这些问题整理形成清标成果。磋商小组对清标成果审议后，决定需要供应商进行书面澄清、</w:t>
      </w:r>
    </w:p>
    <w:p w14:paraId="25712B25">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说明或补正的问题，形成质疑问卷，向供应商发出问题澄清通知（质疑问卷）。</w:t>
      </w:r>
    </w:p>
    <w:p w14:paraId="0190E27E">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A3.初步评审</w:t>
      </w:r>
    </w:p>
    <w:p w14:paraId="2E4DAA28">
      <w:pPr>
        <w:spacing w:line="360" w:lineRule="auto"/>
        <w:ind w:firstLine="435"/>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A3.1资格审查</w:t>
      </w:r>
    </w:p>
    <w:p w14:paraId="748584B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磋商小组依据本章第2.1.1款规定的审查标准对响应文件进行资格审查，有一项不符合审查标准的，响应文件按否决处理。</w:t>
      </w:r>
    </w:p>
    <w:p w14:paraId="4141510F">
      <w:pPr>
        <w:spacing w:line="360" w:lineRule="auto"/>
        <w:ind w:firstLine="435"/>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A3.2符合性审查</w:t>
      </w:r>
    </w:p>
    <w:p w14:paraId="01CF965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磋商小组依据本章第2.1.2款规定的审查标准对所有供应商的响应文件进行符合性审查，有一项不符合审查标准的，响应文件按否决处理。</w:t>
      </w:r>
    </w:p>
    <w:p w14:paraId="13C6BAE2">
      <w:pPr>
        <w:spacing w:line="360" w:lineRule="auto"/>
        <w:ind w:firstLine="435"/>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A3.3判断响应文件是否作否决处理</w:t>
      </w:r>
    </w:p>
    <w:p w14:paraId="49FC239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磋商小组在评审过程中，依据本章附件B中规定的否决条件判断供应商的响应文件是否作否决处理。</w:t>
      </w:r>
    </w:p>
    <w:p w14:paraId="68EDCD70">
      <w:pPr>
        <w:spacing w:line="360" w:lineRule="auto"/>
        <w:ind w:firstLine="437"/>
        <w:rPr>
          <w:rFonts w:cs="宋体"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w:t>
      </w:r>
      <w:r>
        <w:rPr>
          <w:rFonts w:asciiTheme="minorEastAsia" w:hAnsiTheme="minorEastAsia" w:eastAsiaTheme="minorEastAsia"/>
          <w:b/>
          <w:color w:val="auto"/>
          <w:szCs w:val="21"/>
          <w:highlight w:val="none"/>
        </w:rPr>
        <w:t>4</w:t>
      </w:r>
      <w:r>
        <w:rPr>
          <w:rFonts w:hint="eastAsia" w:cs="宋体" w:asciiTheme="minorEastAsia" w:hAnsiTheme="minorEastAsia" w:eastAsiaTheme="minorEastAsia"/>
          <w:b/>
          <w:color w:val="auto"/>
          <w:szCs w:val="21"/>
          <w:highlight w:val="none"/>
        </w:rPr>
        <w:t xml:space="preserve">重新采购 </w:t>
      </w:r>
    </w:p>
    <w:p w14:paraId="05EF3861">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经磋商小组评审后，有效供应商的数量少于3家的，采购人应当依法重新采购。</w:t>
      </w:r>
    </w:p>
    <w:p w14:paraId="455289ED">
      <w:pPr>
        <w:spacing w:line="360" w:lineRule="auto"/>
        <w:ind w:firstLine="435"/>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A3.</w:t>
      </w:r>
      <w:r>
        <w:rPr>
          <w:rFonts w:asciiTheme="minorEastAsia" w:hAnsiTheme="minorEastAsia" w:eastAsiaTheme="minorEastAsia"/>
          <w:b/>
          <w:color w:val="auto"/>
          <w:szCs w:val="21"/>
          <w:highlight w:val="none"/>
        </w:rPr>
        <w:t>5</w:t>
      </w:r>
      <w:r>
        <w:rPr>
          <w:rFonts w:hint="eastAsia" w:asciiTheme="minorEastAsia" w:hAnsiTheme="minorEastAsia" w:eastAsiaTheme="minorEastAsia"/>
          <w:b/>
          <w:color w:val="auto"/>
          <w:szCs w:val="21"/>
          <w:highlight w:val="none"/>
        </w:rPr>
        <w:t>算术性错误修正</w:t>
      </w:r>
    </w:p>
    <w:p w14:paraId="0A8214C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供应商的响应文件中的磋商报价出现前后不一致的，除采购文件另有规定外，磋商小组依法对其按照下列规定进行修正：</w:t>
      </w:r>
    </w:p>
    <w:p w14:paraId="3B63DB4D">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（1）大写金额和小写金额不一致的，以大写金额为准；</w:t>
      </w:r>
    </w:p>
    <w:p w14:paraId="00E0FDFB">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（2）单价金额小数点或者百分比有明显错位的，以“磋商报价一览表”中的磋商总报价为准；</w:t>
      </w:r>
    </w:p>
    <w:p w14:paraId="527C33F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（3）总价金额与按单价汇总金额不一致的，以单价金额计算结果为准。</w:t>
      </w:r>
    </w:p>
    <w:p w14:paraId="01E263E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同时出现两种以上不一致的，按照前款规定的顺序修正。修正后的报价按照本章第3.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条的规定经供应商确认后产生约束力，供应商不确认的，其磋商无效。</w:t>
      </w:r>
    </w:p>
    <w:p w14:paraId="651F3356">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A4.技术部分评审</w:t>
      </w:r>
    </w:p>
    <w:p w14:paraId="790160B4">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 4.1磋商小组依据本章第2.2.</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款规定的分值对通过资格审查和符合性审查的供应商的响应文件中的技术部分进行评审评分，</w:t>
      </w:r>
      <w:r>
        <w:rPr>
          <w:rFonts w:asciiTheme="minorEastAsia" w:hAnsiTheme="minorEastAsia" w:eastAsiaTheme="minorEastAsia"/>
          <w:color w:val="auto"/>
          <w:highlight w:val="none"/>
        </w:rPr>
        <w:t>磋商小组成员</w:t>
      </w:r>
      <w:r>
        <w:rPr>
          <w:rFonts w:hint="eastAsia" w:asciiTheme="minorEastAsia" w:hAnsiTheme="minorEastAsia" w:eastAsiaTheme="minorEastAsia"/>
          <w:color w:val="auto"/>
          <w:szCs w:val="21"/>
          <w:highlight w:val="none"/>
        </w:rPr>
        <w:t>的评分通过计算平均分值为供应商的技术部分得分。</w:t>
      </w:r>
    </w:p>
    <w:p w14:paraId="44E7D0E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 4.2评分分值计算保留小数点后两位，小数点后第三位“四舍五入”。</w:t>
      </w:r>
    </w:p>
    <w:p w14:paraId="0C45FCF9">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A5.商务部分评审</w:t>
      </w:r>
    </w:p>
    <w:p w14:paraId="740681C5">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 5.1磋商小组依据本章第2.2.</w:t>
      </w:r>
      <w:r>
        <w:rPr>
          <w:rFonts w:asciiTheme="minorEastAsia" w:hAnsiTheme="minorEastAsia" w:eastAsiaTheme="minorEastAsia"/>
          <w:color w:val="auto"/>
          <w:szCs w:val="21"/>
          <w:highlight w:val="none"/>
        </w:rPr>
        <w:t>4</w:t>
      </w:r>
      <w:r>
        <w:rPr>
          <w:rFonts w:hint="eastAsia" w:asciiTheme="minorEastAsia" w:hAnsiTheme="minorEastAsia" w:eastAsiaTheme="minorEastAsia"/>
          <w:color w:val="auto"/>
          <w:szCs w:val="21"/>
          <w:highlight w:val="none"/>
        </w:rPr>
        <w:t>款规定的分值对通过资格审查和符合性审查的供应商的二次报价进行评审评分，供应商的二次报价得分即为供应商的商务部分得分。</w:t>
      </w:r>
    </w:p>
    <w:p w14:paraId="38AD4DF0">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5.2评分分值计算保留小数点后两位，小数点后第三位“四舍五入”。</w:t>
      </w:r>
    </w:p>
    <w:p w14:paraId="6B93D543">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A6澄清、说明或补正</w:t>
      </w:r>
    </w:p>
    <w:p w14:paraId="21696CD1">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在初步评审过程中，磋商小组应当就供应商的响应文件中不明确的内容要求供应商进行澄清、说明或者补正。供应商对此以书面形式予以澄清、说明或者补正。澄清、说明或补正根据本章第3.</w:t>
      </w: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款的规定执行。</w:t>
      </w:r>
    </w:p>
    <w:p w14:paraId="648062F8">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A7.特殊情况的处置程序</w:t>
      </w:r>
    </w:p>
    <w:p w14:paraId="2C61A42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A7.1关于评审活动暂停</w:t>
      </w:r>
    </w:p>
    <w:p w14:paraId="38E340C3">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A7.1.1磋商小组应当执行连续评审的原则，按评审办法中规定的程序、内容、方法、标准完成全部评审工作。只有发生不可抗力导致评审工作无法继续时，评审活动方可暂停。</w:t>
      </w:r>
    </w:p>
    <w:p w14:paraId="01385575">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A7.1.2发生评审暂停情况时，磋商小组应当封存全部磋商申请文件和评审记录，待不可抗力的影响结束且具备继续评审的条件时，由原磋商小组继续评审。</w:t>
      </w:r>
    </w:p>
    <w:p w14:paraId="69330A18">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A7.2关于评审中途更换评委</w:t>
      </w:r>
    </w:p>
    <w:p w14:paraId="66173B72">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A7.2.1除非发生下列情况之一，磋商小组成员不得在评审中途更换：</w:t>
      </w:r>
    </w:p>
    <w:p w14:paraId="24506BF8">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lang w:eastAsia="zh-CN"/>
        </w:rPr>
        <w:t>因不可抗力</w:t>
      </w:r>
      <w:r>
        <w:rPr>
          <w:rFonts w:hint="eastAsia" w:asciiTheme="minorEastAsia" w:hAnsiTheme="minorEastAsia" w:eastAsiaTheme="minorEastAsia"/>
          <w:color w:val="auto"/>
          <w:szCs w:val="21"/>
          <w:highlight w:val="none"/>
        </w:rPr>
        <w:t>的客观原因，不能到场或需在评审中途退出评审活动；</w:t>
      </w:r>
    </w:p>
    <w:p w14:paraId="3C4ABD9E">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）根据法律法规规定，某个或某几个磋商小组成员需要回避。</w:t>
      </w:r>
    </w:p>
    <w:p w14:paraId="1A593CE7">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A7.2.2退出评审的磋商小组成员，其已完成的评审行为无效。由采购人根据本采购文件规定的磋商小组成员生产方式另行确定替代者进行评审。</w:t>
      </w:r>
    </w:p>
    <w:p w14:paraId="6C822FF9">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A7.3不记名投票</w:t>
      </w:r>
    </w:p>
    <w:p w14:paraId="59775D4A">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在任何评审环节中，需磋商小组就某项定性的评审结论做出表决的，由磋商小组全体成员按照少数服从多数的原则，以不记名投票方式表决。</w:t>
      </w:r>
    </w:p>
    <w:p w14:paraId="5342C735">
      <w:pPr>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A8.补充条款</w:t>
      </w:r>
    </w:p>
    <w:p w14:paraId="43E1289A">
      <w:pPr>
        <w:spacing w:line="360" w:lineRule="auto"/>
        <w:ind w:firstLine="435"/>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评审中若遇特殊问题，由磋商小组根据有关</w:t>
      </w:r>
      <w:r>
        <w:rPr>
          <w:rFonts w:hint="eastAsia" w:asciiTheme="minorEastAsia" w:hAnsiTheme="minorEastAsia" w:eastAsiaTheme="minorEastAsia"/>
          <w:color w:val="auto"/>
          <w:szCs w:val="21"/>
          <w:highlight w:val="none"/>
          <w:lang w:eastAsia="zh-CN"/>
        </w:rPr>
        <w:t>法律法规</w:t>
      </w:r>
      <w:r>
        <w:rPr>
          <w:rFonts w:hint="eastAsia" w:asciiTheme="minorEastAsia" w:hAnsiTheme="minorEastAsia" w:eastAsiaTheme="minorEastAsia"/>
          <w:color w:val="auto"/>
          <w:szCs w:val="21"/>
          <w:highlight w:val="none"/>
        </w:rPr>
        <w:t>、规定研究决定。</w:t>
      </w:r>
    </w:p>
    <w:p w14:paraId="2FDF6873">
      <w:pPr>
        <w:spacing w:line="360" w:lineRule="auto"/>
        <w:ind w:firstLine="435"/>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r>
    </w:p>
    <w:p w14:paraId="28B6C8B7">
      <w:pPr>
        <w:spacing w:line="360" w:lineRule="auto"/>
        <w:outlineLvl w:val="2"/>
        <w:rPr>
          <w:rFonts w:asciiTheme="minorEastAsia" w:hAnsiTheme="minorEastAsia" w:eastAsiaTheme="minorEastAsia"/>
          <w:b/>
          <w:color w:val="auto"/>
          <w:sz w:val="24"/>
          <w:szCs w:val="24"/>
          <w:highlight w:val="none"/>
        </w:rPr>
      </w:pPr>
      <w:bookmarkStart w:id="1383" w:name="_Toc87543863"/>
      <w:bookmarkStart w:id="1384" w:name="_Toc110405180"/>
      <w:bookmarkStart w:id="1385" w:name="_Toc4288"/>
      <w:bookmarkStart w:id="1386" w:name="_Toc45791397"/>
      <w:bookmarkStart w:id="1387" w:name="_Toc109809357"/>
      <w:bookmarkStart w:id="1388" w:name="_Toc116584047"/>
      <w:bookmarkStart w:id="1389" w:name="_Toc87538412"/>
      <w:bookmarkStart w:id="1390" w:name="_Toc45976943"/>
      <w:bookmarkStart w:id="1391" w:name="_Toc84356295"/>
      <w:bookmarkStart w:id="1392" w:name="_Toc53412259"/>
      <w:bookmarkStart w:id="1393" w:name="_Toc83753935"/>
      <w:bookmarkStart w:id="1394" w:name="_Toc98865056"/>
      <w:bookmarkStart w:id="1395" w:name="_Toc81330982"/>
      <w:bookmarkStart w:id="1396" w:name="_Toc42205036"/>
      <w:bookmarkStart w:id="1397" w:name="_Toc98033979"/>
      <w:r>
        <w:rPr>
          <w:rFonts w:hint="eastAsia" w:asciiTheme="minorEastAsia" w:hAnsiTheme="minorEastAsia" w:eastAsiaTheme="minorEastAsia"/>
          <w:b/>
          <w:color w:val="auto"/>
          <w:sz w:val="24"/>
          <w:szCs w:val="24"/>
          <w:highlight w:val="none"/>
        </w:rPr>
        <w:t>附件B：否决条件</w:t>
      </w:r>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p>
    <w:bookmarkEnd w:id="1299"/>
    <w:bookmarkEnd w:id="1301"/>
    <w:bookmarkEnd w:id="1302"/>
    <w:p w14:paraId="5F61EEBC">
      <w:pPr>
        <w:spacing w:line="360" w:lineRule="auto"/>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否决条件</w:t>
      </w:r>
    </w:p>
    <w:p w14:paraId="4963E196">
      <w:pPr>
        <w:spacing w:line="360" w:lineRule="auto"/>
        <w:ind w:firstLine="420" w:firstLineChars="200"/>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B0.总  则</w:t>
      </w:r>
    </w:p>
    <w:p w14:paraId="1FD42A3E">
      <w:pPr>
        <w:spacing w:line="360" w:lineRule="auto"/>
        <w:ind w:firstLine="435"/>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本附件所集中列示的否决条件，是本章“评审办法”的组成部分，是对第二章“供应商须知”和本章正文部分所规定的否决条件的总结和补充，如果出现相互矛盾的情况，以本节的规定为准。</w:t>
      </w:r>
      <w:bookmarkStart w:id="1398" w:name="_Toc42205037"/>
      <w:bookmarkStart w:id="1399" w:name="_Toc458454495"/>
      <w:bookmarkStart w:id="1400" w:name="_Toc37603110"/>
    </w:p>
    <w:p w14:paraId="3606EB7E">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B1.未按</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要求澄清、说明或补正的；</w:t>
      </w:r>
    </w:p>
    <w:p w14:paraId="42479AF0">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2.供应商的名称与所提供的资料上的名称不一致的；</w:t>
      </w:r>
    </w:p>
    <w:p w14:paraId="0083BD82">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3.磋商内容不符合第二章“供应商须知前附表”第1.3.1项规定的；</w:t>
      </w:r>
    </w:p>
    <w:p w14:paraId="43FF2086">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4.计划工期不符合第二章“供应商须知前附表”第1.3.2项规定的；</w:t>
      </w:r>
    </w:p>
    <w:p w14:paraId="61FACED2">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5.质量标准不符合第二章“供应商须知前附表”第1.3.3项规定的；</w:t>
      </w:r>
    </w:p>
    <w:p w14:paraId="6828F71F">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6.供应商的信誉不符合第二章“供应商须知前附表”第1.4.</w:t>
      </w:r>
      <w:r>
        <w:rPr>
          <w:rFonts w:hint="eastAsia" w:asciiTheme="minorEastAsia" w:hAnsiTheme="minorEastAsia" w:eastAsiaTheme="minorEastAsia"/>
          <w:color w:val="auto"/>
          <w:highlight w:val="none"/>
          <w:lang w:val="en-US" w:eastAsia="zh-CN"/>
        </w:rPr>
        <w:t>11</w:t>
      </w:r>
      <w:r>
        <w:rPr>
          <w:rFonts w:hint="eastAsia" w:asciiTheme="minorEastAsia" w:hAnsiTheme="minorEastAsia" w:eastAsiaTheme="minorEastAsia"/>
          <w:color w:val="auto"/>
          <w:highlight w:val="none"/>
        </w:rPr>
        <w:t>项规定的；</w:t>
      </w:r>
    </w:p>
    <w:p w14:paraId="6015E2DA">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7.参与磋商的供应商的单位负责人为同一人或存在直接控股、管理关系的；</w:t>
      </w:r>
    </w:p>
    <w:p w14:paraId="768873D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8.联合体不符合第二章“供应商须知前附表”第1.4.3项规定的；</w:t>
      </w:r>
    </w:p>
    <w:p w14:paraId="74178410">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9.</w:t>
      </w:r>
      <w:r>
        <w:rPr>
          <w:rFonts w:asciiTheme="minorEastAsia" w:hAnsiTheme="minorEastAsia" w:eastAsiaTheme="minorEastAsia"/>
          <w:color w:val="auto"/>
          <w:highlight w:val="none"/>
        </w:rPr>
        <w:t>分包不符合第二章“供应商须知”第1.11项规定的；</w:t>
      </w:r>
    </w:p>
    <w:p w14:paraId="6FC78F3E">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10.</w:t>
      </w:r>
      <w:r>
        <w:rPr>
          <w:rFonts w:asciiTheme="minorEastAsia" w:hAnsiTheme="minorEastAsia" w:eastAsiaTheme="minorEastAsia"/>
          <w:color w:val="auto"/>
          <w:highlight w:val="none"/>
        </w:rPr>
        <w:t>偏离不符合第二章“供应商须知”第1.12项规定的；</w:t>
      </w:r>
    </w:p>
    <w:p w14:paraId="481B3F9D">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B1</w:t>
      </w:r>
      <w:r>
        <w:rPr>
          <w:rFonts w:hint="eastAsia" w:asciiTheme="minorEastAsia" w:hAnsiTheme="minorEastAsia" w:eastAsiaTheme="minorEastAsia"/>
          <w:color w:val="auto"/>
          <w:highlight w:val="none"/>
        </w:rPr>
        <w:t>1.磋商有效期不符合第二章“供应商须知前附表”第3.3.1项规定的；</w:t>
      </w:r>
    </w:p>
    <w:p w14:paraId="0728BBCC">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12.响应</w:t>
      </w:r>
      <w:r>
        <w:rPr>
          <w:rFonts w:asciiTheme="minorEastAsia" w:hAnsiTheme="minorEastAsia" w:eastAsiaTheme="minorEastAsia"/>
          <w:color w:val="auto"/>
          <w:highlight w:val="none"/>
        </w:rPr>
        <w:t>文件未按</w:t>
      </w:r>
      <w:r>
        <w:rPr>
          <w:rFonts w:hint="eastAsia" w:asciiTheme="minorEastAsia" w:hAnsiTheme="minorEastAsia" w:eastAsiaTheme="minorEastAsia"/>
          <w:color w:val="auto"/>
          <w:highlight w:val="none"/>
        </w:rPr>
        <w:t>采购文件</w:t>
      </w:r>
      <w:r>
        <w:rPr>
          <w:rFonts w:asciiTheme="minorEastAsia" w:hAnsiTheme="minorEastAsia" w:eastAsiaTheme="minorEastAsia"/>
          <w:color w:val="auto"/>
          <w:highlight w:val="none"/>
        </w:rPr>
        <w:t>的要求采用单位和个人数字证书电子签章的；</w:t>
      </w:r>
    </w:p>
    <w:p w14:paraId="5C96A337">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13.响应文件中的“</w:t>
      </w:r>
      <w:r>
        <w:rPr>
          <w:rFonts w:hint="eastAsia"/>
          <w:color w:val="auto"/>
          <w:highlight w:val="none"/>
        </w:rPr>
        <w:t>已标价工程量清单</w:t>
      </w:r>
      <w:r>
        <w:rPr>
          <w:rFonts w:hint="eastAsia" w:asciiTheme="minorEastAsia" w:hAnsiTheme="minorEastAsia" w:eastAsiaTheme="minorEastAsia"/>
          <w:color w:val="auto"/>
          <w:highlight w:val="none"/>
        </w:rPr>
        <w:t>”与采购人提供的工程量清单中的有关内容不一致的；</w:t>
      </w:r>
    </w:p>
    <w:p w14:paraId="5D8F7A15">
      <w:pPr>
        <w:spacing w:line="360" w:lineRule="auto"/>
        <w:ind w:firstLine="420" w:firstLineChars="200"/>
        <w:jc w:val="left"/>
        <w:rPr>
          <w:rFonts w:hint="eastAsia" w:asciiTheme="minorEastAsia" w:hAnsiTheme="minorEastAsia" w:eastAsiaTheme="minorEastAsia"/>
          <w:color w:val="auto"/>
          <w:szCs w:val="21"/>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14.</w:t>
      </w:r>
      <w:r>
        <w:rPr>
          <w:rFonts w:hint="eastAsia" w:ascii="宋体" w:hAnsi="宋体"/>
          <w:color w:val="auto"/>
          <w:szCs w:val="21"/>
          <w:highlight w:val="none"/>
        </w:rPr>
        <w:t>已标价工程量清单未进行注册造价工程师盖章；或非供应商本单位的注册造价工程师盖章但未附委托造价咨询协议的扫描件；或注册造价工程师的章不在有效期内的</w:t>
      </w:r>
      <w:r>
        <w:rPr>
          <w:rFonts w:hint="eastAsia" w:asciiTheme="minorEastAsia" w:hAnsiTheme="minorEastAsia" w:eastAsiaTheme="minorEastAsia"/>
          <w:color w:val="auto"/>
          <w:szCs w:val="21"/>
          <w:highlight w:val="none"/>
        </w:rPr>
        <w:t>；</w:t>
      </w:r>
    </w:p>
    <w:p w14:paraId="2BD0A023">
      <w:pPr>
        <w:spacing w:line="360" w:lineRule="auto"/>
        <w:ind w:firstLine="420" w:firstLineChars="200"/>
        <w:jc w:val="left"/>
        <w:rPr>
          <w:rFonts w:hint="eastAsia" w:ascii="宋体" w:hAnsi="宋体"/>
          <w:color w:val="auto"/>
          <w:szCs w:val="21"/>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15.</w:t>
      </w:r>
      <w:r>
        <w:rPr>
          <w:rFonts w:hint="eastAsia" w:ascii="宋体" w:hAnsi="宋体"/>
          <w:color w:val="auto"/>
          <w:szCs w:val="21"/>
          <w:highlight w:val="none"/>
        </w:rPr>
        <w:t>供应商的项目经理的建造师注册证书必须在注册有效期内，否则该电子证书无效；并且证书的“使用有效期”也必须同时在有效期内，否则该电子证书无效；</w:t>
      </w:r>
    </w:p>
    <w:p w14:paraId="4044F5A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B</w:t>
      </w:r>
      <w:r>
        <w:rPr>
          <w:rFonts w:hint="eastAsia" w:asciiTheme="minorEastAsia" w:hAnsiTheme="minorEastAsia" w:eastAsiaTheme="minorEastAsia"/>
          <w:color w:val="auto"/>
          <w:highlight w:val="none"/>
        </w:rPr>
        <w:t>1</w:t>
      </w:r>
      <w:r>
        <w:rPr>
          <w:rFonts w:hint="eastAsia" w:asciiTheme="minorEastAsia" w:hAnsiTheme="minorEastAsia" w:eastAsiaTheme="minorEastAsia"/>
          <w:color w:val="auto"/>
          <w:highlight w:val="none"/>
          <w:lang w:val="en-US" w:eastAsia="zh-CN"/>
        </w:rPr>
        <w:t>6</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初步评审时若发现供应商报价</w:t>
      </w:r>
      <w:r>
        <w:rPr>
          <w:rFonts w:hint="eastAsia" w:asciiTheme="minorEastAsia" w:hAnsiTheme="minorEastAsia" w:eastAsiaTheme="minorEastAsia"/>
          <w:color w:val="auto"/>
          <w:highlight w:val="none"/>
          <w:lang w:eastAsia="zh-CN"/>
        </w:rPr>
        <w:t>存在</w:t>
      </w:r>
      <w:r>
        <w:rPr>
          <w:rFonts w:asciiTheme="minorEastAsia" w:hAnsiTheme="minorEastAsia" w:eastAsiaTheme="minorEastAsia"/>
          <w:color w:val="auto"/>
          <w:highlight w:val="none"/>
        </w:rPr>
        <w:t>重大漏项、缺项，且在</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文件中没有明确的阐述</w:t>
      </w:r>
      <w:r>
        <w:rPr>
          <w:rFonts w:hint="eastAsia" w:asciiTheme="minorEastAsia" w:hAnsiTheme="minorEastAsia" w:eastAsiaTheme="minorEastAsia"/>
          <w:color w:val="auto"/>
          <w:highlight w:val="none"/>
        </w:rPr>
        <w:t>或</w:t>
      </w:r>
      <w:r>
        <w:rPr>
          <w:rFonts w:asciiTheme="minorEastAsia" w:hAnsiTheme="minorEastAsia" w:eastAsiaTheme="minorEastAsia"/>
          <w:color w:val="auto"/>
          <w:highlight w:val="none"/>
        </w:rPr>
        <w:t>承诺的；</w:t>
      </w:r>
    </w:p>
    <w:p w14:paraId="5E411E68">
      <w:pPr>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B17.</w:t>
      </w:r>
      <w:r>
        <w:rPr>
          <w:rFonts w:asciiTheme="minorEastAsia" w:hAnsiTheme="minorEastAsia" w:eastAsiaTheme="minorEastAsia"/>
          <w:color w:val="auto"/>
          <w:highlight w:val="none"/>
        </w:rPr>
        <w:t>有下列情形之一的，经</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集体表决后认定，视作串通</w:t>
      </w:r>
      <w:r>
        <w:rPr>
          <w:rFonts w:hint="eastAsia" w:asciiTheme="minorEastAsia" w:hAnsiTheme="minorEastAsia" w:eastAsiaTheme="minorEastAsia"/>
          <w:color w:val="auto"/>
          <w:highlight w:val="none"/>
        </w:rPr>
        <w:t>磋商</w:t>
      </w:r>
      <w:r>
        <w:rPr>
          <w:rFonts w:asciiTheme="minorEastAsia" w:hAnsiTheme="minorEastAsia" w:eastAsiaTheme="minorEastAsia"/>
          <w:color w:val="auto"/>
          <w:highlight w:val="none"/>
        </w:rPr>
        <w:t>处理，并提请</w:t>
      </w:r>
      <w:r>
        <w:rPr>
          <w:rFonts w:hint="eastAsia" w:asciiTheme="minorEastAsia" w:hAnsiTheme="minorEastAsia" w:eastAsiaTheme="minorEastAsia"/>
          <w:color w:val="auto"/>
          <w:highlight w:val="none"/>
        </w:rPr>
        <w:t>采购</w:t>
      </w:r>
      <w:r>
        <w:rPr>
          <w:rFonts w:asciiTheme="minorEastAsia" w:hAnsiTheme="minorEastAsia" w:eastAsiaTheme="minorEastAsia"/>
          <w:color w:val="auto"/>
          <w:highlight w:val="none"/>
        </w:rPr>
        <w:t>监督管理部门依法予以处罚：</w:t>
      </w:r>
    </w:p>
    <w:p w14:paraId="2556BB6F">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（1）不同供应商的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w:t>
      </w:r>
      <w:r>
        <w:rPr>
          <w:rFonts w:hint="eastAsia" w:asciiTheme="minorEastAsia" w:hAnsiTheme="minorEastAsia" w:eastAsiaTheme="minorEastAsia"/>
          <w:color w:val="auto"/>
          <w:highlight w:val="none"/>
        </w:rPr>
        <w:t>中的</w:t>
      </w:r>
      <w:r>
        <w:rPr>
          <w:rFonts w:asciiTheme="minorEastAsia" w:hAnsiTheme="minorEastAsia" w:eastAsiaTheme="minorEastAsia"/>
          <w:color w:val="auto"/>
          <w:highlight w:val="none"/>
        </w:rPr>
        <w:t>内容存在非正常一致的；</w:t>
      </w:r>
    </w:p>
    <w:p w14:paraId="6865BDE5">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（2）不同供应商的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w:t>
      </w:r>
      <w:r>
        <w:rPr>
          <w:rFonts w:hint="eastAsia" w:asciiTheme="minorEastAsia" w:hAnsiTheme="minorEastAsia" w:eastAsiaTheme="minorEastAsia"/>
          <w:color w:val="auto"/>
          <w:highlight w:val="none"/>
        </w:rPr>
        <w:t>中的内容出现</w:t>
      </w:r>
      <w:r>
        <w:rPr>
          <w:rFonts w:asciiTheme="minorEastAsia" w:hAnsiTheme="minorEastAsia" w:eastAsiaTheme="minorEastAsia"/>
          <w:color w:val="auto"/>
          <w:highlight w:val="none"/>
        </w:rPr>
        <w:t>两处以上错漏一致的；</w:t>
      </w:r>
    </w:p>
    <w:p w14:paraId="3FC51C32">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（3）不同供应商的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文件由同一企业或者同一个人编制的；</w:t>
      </w:r>
    </w:p>
    <w:p w14:paraId="3A459D02">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（4）不同供应商的</w:t>
      </w:r>
      <w:r>
        <w:rPr>
          <w:rFonts w:hint="eastAsia" w:asciiTheme="minorEastAsia" w:hAnsiTheme="minorEastAsia" w:eastAsiaTheme="minorEastAsia"/>
          <w:color w:val="auto"/>
          <w:highlight w:val="none"/>
        </w:rPr>
        <w:t>响应</w:t>
      </w:r>
      <w:r>
        <w:rPr>
          <w:rFonts w:asciiTheme="minorEastAsia" w:hAnsiTheme="minorEastAsia" w:eastAsiaTheme="minorEastAsia"/>
          <w:color w:val="auto"/>
          <w:highlight w:val="none"/>
        </w:rPr>
        <w:t>文件相互混装的；</w:t>
      </w:r>
    </w:p>
    <w:p w14:paraId="1C86DB2A">
      <w:pPr>
        <w:spacing w:line="360" w:lineRule="auto"/>
        <w:ind w:firstLine="420" w:firstLineChars="200"/>
        <w:jc w:val="left"/>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（5）不同供应商委托同一人</w:t>
      </w:r>
      <w:r>
        <w:rPr>
          <w:rFonts w:hint="eastAsia" w:asciiTheme="minorEastAsia" w:hAnsiTheme="minorEastAsia" w:eastAsiaTheme="minorEastAsia"/>
          <w:color w:val="auto"/>
          <w:highlight w:val="none"/>
        </w:rPr>
        <w:t>磋商</w:t>
      </w:r>
      <w:r>
        <w:rPr>
          <w:rFonts w:asciiTheme="minorEastAsia" w:hAnsiTheme="minorEastAsia" w:eastAsiaTheme="minorEastAsia"/>
          <w:color w:val="auto"/>
          <w:highlight w:val="none"/>
        </w:rPr>
        <w:t>的；</w:t>
      </w:r>
    </w:p>
    <w:p w14:paraId="2E7667A6">
      <w:pPr>
        <w:spacing w:line="360" w:lineRule="auto"/>
        <w:ind w:firstLine="420" w:firstLineChars="200"/>
        <w:jc w:val="left"/>
        <w:rPr>
          <w:rFonts w:hint="eastAsia" w:asciiTheme="minorEastAsia" w:hAnsiTheme="minorEastAsia" w:eastAsiaTheme="minorEastAsia"/>
          <w:color w:val="auto"/>
          <w:szCs w:val="21"/>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6</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磋商小组</w:t>
      </w:r>
      <w:r>
        <w:rPr>
          <w:rFonts w:asciiTheme="minorEastAsia" w:hAnsiTheme="minorEastAsia" w:eastAsiaTheme="minorEastAsia"/>
          <w:color w:val="auto"/>
          <w:highlight w:val="none"/>
        </w:rPr>
        <w:t>认定的其他串通</w:t>
      </w:r>
      <w:r>
        <w:rPr>
          <w:rFonts w:hint="eastAsia" w:asciiTheme="minorEastAsia" w:hAnsiTheme="minorEastAsia" w:eastAsiaTheme="minorEastAsia"/>
          <w:color w:val="auto"/>
          <w:highlight w:val="none"/>
        </w:rPr>
        <w:t>磋商的</w:t>
      </w:r>
      <w:r>
        <w:rPr>
          <w:rFonts w:asciiTheme="minorEastAsia" w:hAnsiTheme="minorEastAsia" w:eastAsiaTheme="minorEastAsia"/>
          <w:color w:val="auto"/>
          <w:highlight w:val="none"/>
        </w:rPr>
        <w:t>情形。</w:t>
      </w:r>
      <w:bookmarkEnd w:id="1398"/>
      <w:bookmarkEnd w:id="1399"/>
      <w:bookmarkEnd w:id="1400"/>
    </w:p>
    <w:p w14:paraId="4EFCA7A5">
      <w:pPr>
        <w:spacing w:line="360" w:lineRule="auto"/>
        <w:ind w:firstLine="420" w:firstLineChars="200"/>
        <w:jc w:val="left"/>
        <w:rPr>
          <w:rFonts w:asciiTheme="minorEastAsia" w:hAnsiTheme="minorEastAsia" w:eastAsiaTheme="minorEastAsia"/>
          <w:color w:val="auto"/>
          <w:szCs w:val="21"/>
          <w:highlight w:val="none"/>
        </w:rPr>
      </w:pPr>
    </w:p>
    <w:sectPr>
      <w:footerReference r:id="rId11" w:type="default"/>
      <w:pgSz w:w="11906" w:h="16838"/>
      <w:pgMar w:top="1134" w:right="1134" w:bottom="1134" w:left="1134"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ingLiU">
    <w:altName w:val="Microsoft JhengHei"/>
    <w:panose1 w:val="02010609000101010101"/>
    <w:charset w:val="88"/>
    <w:family w:val="modern"/>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S Sans Serif">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Arial Narrow">
    <w:altName w:val="Arial"/>
    <w:panose1 w:val="020B0606020202030204"/>
    <w:charset w:val="00"/>
    <w:family w:val="swiss"/>
    <w:pitch w:val="default"/>
    <w:sig w:usb0="00000000" w:usb1="00000000" w:usb2="00000000" w:usb3="00000000" w:csb0="2000009F" w:csb1="DFD70000"/>
  </w:font>
  <w:font w:name="Arial Unicode MS">
    <w:altName w:val="宋体"/>
    <w:panose1 w:val="020B0604020202020204"/>
    <w:charset w:val="86"/>
    <w:family w:val="swiss"/>
    <w:pitch w:val="default"/>
    <w:sig w:usb0="00000000" w:usb1="00000000" w:usb2="0000007F" w:usb3="00000000" w:csb0="203F01FF" w:csb1="DFFF0000"/>
  </w:font>
  <w:font w:name="MSung Light SC">
    <w:altName w:val="Segoe Print"/>
    <w:panose1 w:val="00000000000000000000"/>
    <w:charset w:val="00"/>
    <w:family w:val="auto"/>
    <w:pitch w:val="default"/>
    <w:sig w:usb0="00000000" w:usb1="00000000" w:usb2="00000000" w:usb3="00000000" w:csb0="00000001" w:csb1="00000000"/>
  </w:font>
  <w:font w:name="方正综艺简体">
    <w:altName w:val="微软雅黑"/>
    <w:panose1 w:val="00000000000000000000"/>
    <w:charset w:val="86"/>
    <w:family w:val="auto"/>
    <w:pitch w:val="default"/>
    <w:sig w:usb0="00000000" w:usb1="00000000" w:usb2="0000000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隶书">
    <w:altName w:val="微软雅黑"/>
    <w:panose1 w:val="02010509060101010101"/>
    <w:charset w:val="86"/>
    <w:family w:val="modern"/>
    <w:pitch w:val="default"/>
    <w:sig w:usb0="00000000" w:usb1="00000000" w:usb2="00000000" w:usb3="00000000" w:csb0="00040000" w:csb1="00000000"/>
  </w:font>
  <w:font w:name="B Frutiger Bold">
    <w:altName w:val="Segoe Print"/>
    <w:panose1 w:val="00000000000000000000"/>
    <w:charset w:val="00"/>
    <w:family w:val="swiss"/>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CG Times">
    <w:altName w:val="Times New Roman"/>
    <w:panose1 w:val="00000000000000000000"/>
    <w:charset w:val="00"/>
    <w:family w:val="roman"/>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howingPlcHdr/>
    </w:sdtPr>
    <w:sdtContent>
      <w:p w14:paraId="036DC695">
        <w:pPr>
          <w:pStyle w:val="42"/>
          <w:jc w:val="center"/>
        </w:pPr>
        <w:r>
          <w:rPr>
            <w:rFonts w:hint="eastAsia"/>
            <w:lang w:eastAsia="zh-CN"/>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9137788"/>
    </w:sdtPr>
    <w:sdtContent>
      <w:p w14:paraId="41BB3247">
        <w:pPr>
          <w:pStyle w:val="42"/>
          <w:jc w:val="center"/>
        </w:pPr>
        <w:r>
          <w:drawing>
            <wp:anchor distT="0" distB="0" distL="114300" distR="114300" simplePos="0" relativeHeight="251659264" behindDoc="0" locked="0" layoutInCell="1" allowOverlap="1">
              <wp:simplePos x="0" y="0"/>
              <wp:positionH relativeFrom="column">
                <wp:posOffset>3601720</wp:posOffset>
              </wp:positionH>
              <wp:positionV relativeFrom="paragraph">
                <wp:posOffset>74295</wp:posOffset>
              </wp:positionV>
              <wp:extent cx="1899285" cy="181610"/>
              <wp:effectExtent l="0" t="0" r="5715" b="8890"/>
              <wp:wrapSquare wrapText="bothSides"/>
              <wp:docPr id="710278384" name="图片 710278384" descr="logo（运用于招标文件左下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278384" name="图片 710278384" descr="logo（运用于招标文件左下角）"/>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99285" cy="181610"/>
                      </a:xfrm>
                      <a:prstGeom prst="rect">
                        <a:avLst/>
                      </a:prstGeom>
                      <a:noFill/>
                      <a:ln>
                        <a:noFill/>
                      </a:ln>
                    </pic:spPr>
                  </pic:pic>
                </a:graphicData>
              </a:graphic>
            </wp:anchor>
          </w:drawing>
        </w:r>
        <w:r>
          <w:fldChar w:fldCharType="begin"/>
        </w:r>
        <w:r>
          <w:instrText xml:space="preserve">PAGE   \* MERGEFORMAT</w:instrText>
        </w:r>
        <w:r>
          <w:fldChar w:fldCharType="separate"/>
        </w:r>
        <w:r>
          <w:rPr>
            <w:lang w:val="zh-CN"/>
          </w:rPr>
          <w:t>42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5800"/>
    </w:sdtPr>
    <w:sdtContent>
      <w:p w14:paraId="305C860A">
        <w:pPr>
          <w:pStyle w:val="42"/>
          <w:jc w:val="center"/>
        </w:pPr>
        <w:r>
          <w:fldChar w:fldCharType="begin"/>
        </w:r>
        <w:r>
          <w:instrText xml:space="preserve">PAGE   \* MERGEFORMAT</w:instrText>
        </w:r>
        <w:r>
          <w:fldChar w:fldCharType="separate"/>
        </w:r>
        <w:r>
          <w:rPr>
            <w:lang w:val="zh-CN"/>
          </w:rPr>
          <w:t>11</w:t>
        </w:r>
        <w:r>
          <w:fldChar w:fldCharType="end"/>
        </w:r>
      </w:p>
      <w:p w14:paraId="6071AE31">
        <w:pPr>
          <w:pStyle w:val="42"/>
          <w:jc w:val="right"/>
        </w:pP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740476"/>
    </w:sdtPr>
    <w:sdtContent>
      <w:p w14:paraId="0E985296">
        <w:pPr>
          <w:pStyle w:val="42"/>
          <w:jc w:val="center"/>
        </w:pPr>
        <w:r>
          <w:fldChar w:fldCharType="begin"/>
        </w:r>
        <w:r>
          <w:instrText xml:space="preserve">PAGE   \* MERGEFORMAT</w:instrText>
        </w:r>
        <w:r>
          <w:fldChar w:fldCharType="separate"/>
        </w:r>
        <w:r>
          <w:rPr>
            <w:lang w:val="zh-CN"/>
          </w:rPr>
          <w:t>110</w:t>
        </w:r>
        <w:r>
          <w:fldChar w:fldCharType="end"/>
        </w:r>
      </w:p>
      <w:p w14:paraId="04A4F4C0">
        <w:pPr>
          <w:pStyle w:val="42"/>
          <w:jc w:val="right"/>
        </w:pPr>
      </w:p>
    </w:sdtContent>
  </w:sdt>
  <w:p w14:paraId="474E1C54">
    <w:pPr>
      <w:pStyle w:val="4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6150551"/>
    </w:sdtPr>
    <w:sdtContent>
      <w:p w14:paraId="299268A0">
        <w:pPr>
          <w:pStyle w:val="42"/>
          <w:jc w:val="center"/>
        </w:pPr>
        <w:r>
          <w:fldChar w:fldCharType="begin"/>
        </w:r>
        <w:r>
          <w:instrText xml:space="preserve">PAGE   \* MERGEFORMAT</w:instrText>
        </w:r>
        <w:r>
          <w:fldChar w:fldCharType="separate"/>
        </w:r>
        <w:r>
          <w:rPr>
            <w:lang w:val="zh-CN"/>
          </w:rPr>
          <w:t>58</w:t>
        </w:r>
        <w:r>
          <w:fldChar w:fldCharType="end"/>
        </w:r>
      </w:p>
      <w:p w14:paraId="70C478D2">
        <w:pPr>
          <w:pStyle w:val="42"/>
          <w:jc w:val="right"/>
        </w:pPr>
        <w:r>
          <w:drawing>
            <wp:inline distT="0" distB="0" distL="0" distR="0">
              <wp:extent cx="1899285" cy="181610"/>
              <wp:effectExtent l="0" t="0" r="5715" b="8890"/>
              <wp:docPr id="1911300028" name="图片 1911300028" descr="logo（运用于招标文件左下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300028" name="图片 1911300028" descr="logo（运用于招标文件左下角）"/>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99285" cy="181610"/>
                      </a:xfrm>
                      <a:prstGeom prst="rect">
                        <a:avLst/>
                      </a:prstGeom>
                      <a:noFill/>
                      <a:ln>
                        <a:noFill/>
                      </a:ln>
                    </pic:spPr>
                  </pic:pic>
                </a:graphicData>
              </a:graphic>
            </wp:inline>
          </w:drawing>
        </w:r>
      </w:p>
    </w:sdtContent>
  </w:sdt>
  <w:p w14:paraId="3C5C010F">
    <w:pPr>
      <w:pStyle w:val="4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63033">
    <w:pPr>
      <w:pStyle w:val="163"/>
      <w:jc w:val="center"/>
      <w:rPr>
        <w:kern w:val="2"/>
      </w:rPr>
    </w:pPr>
    <w:r>
      <w:rPr>
        <w:kern w:val="2"/>
      </w:rPr>
      <w:fldChar w:fldCharType="begin"/>
    </w:r>
    <w:r>
      <w:rPr>
        <w:kern w:val="2"/>
      </w:rPr>
      <w:instrText xml:space="preserve"> PAGE   \* MERGEFORMAT </w:instrText>
    </w:r>
    <w:r>
      <w:rPr>
        <w:kern w:val="2"/>
      </w:rPr>
      <w:fldChar w:fldCharType="separate"/>
    </w:r>
    <w:r>
      <w:rPr>
        <w:kern w:val="2"/>
      </w:rPr>
      <w:t>136</w:t>
    </w:r>
    <w:r>
      <w:rPr>
        <w:kern w:val="2"/>
      </w:rPr>
      <w:fldChar w:fldCharType="end"/>
    </w:r>
  </w:p>
  <w:p w14:paraId="3793DE2F">
    <w:pPr>
      <w:pStyle w:val="163"/>
      <w:jc w:val="right"/>
      <w:rPr>
        <w:kern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F6F71">
    <w:pPr>
      <w:pStyle w:val="43"/>
      <w:jc w:val="left"/>
      <w:rPr>
        <w:rFonts w:hint="default" w:ascii="宋体" w:hAnsi="宋体" w:eastAsia="宋体"/>
        <w:sz w:val="15"/>
        <w:szCs w:val="15"/>
        <w:lang w:val="en-US" w:eastAsia="zh-CN"/>
      </w:rPr>
    </w:pPr>
    <w:r>
      <w:rPr>
        <w:rFonts w:hint="eastAsia" w:ascii="宋体" w:hAnsi="宋体"/>
        <w:sz w:val="15"/>
        <w:szCs w:val="15"/>
        <w:lang w:eastAsia="zh-CN"/>
      </w:rPr>
      <w:t>福贡县农田水利设施建设及防灾减灾治理项目</w:t>
    </w:r>
    <w:r>
      <w:rPr>
        <w:rFonts w:hint="eastAsia" w:ascii="宋体" w:hAnsi="宋体"/>
        <w:sz w:val="15"/>
        <w:szCs w:val="15"/>
      </w:rPr>
      <w:t xml:space="preserve"> </w:t>
    </w:r>
    <w:r>
      <w:rPr>
        <w:rFonts w:ascii="宋体" w:hAnsi="宋体"/>
        <w:sz w:val="15"/>
        <w:szCs w:val="15"/>
      </w:rPr>
      <w:t xml:space="preserve"> </w:t>
    </w:r>
    <w:r>
      <w:rPr>
        <w:rFonts w:hint="eastAsia" w:ascii="宋体" w:hAnsi="宋体"/>
        <w:color w:val="000000" w:themeColor="text1"/>
        <w:sz w:val="15"/>
        <w:szCs w:val="15"/>
        <w14:textFill>
          <w14:solidFill>
            <w14:schemeClr w14:val="tx1"/>
          </w14:solidFill>
        </w14:textFill>
      </w:rPr>
      <w:t xml:space="preserve">  </w:t>
    </w:r>
    <w:r>
      <w:rPr>
        <w:rFonts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lang w:val="en-US" w:eastAsia="zh-CN"/>
        <w14:textFill>
          <w14:solidFill>
            <w14:schemeClr w14:val="tx1"/>
          </w14:solidFill>
        </w14:textFill>
      </w:rPr>
      <w:t xml:space="preserve">                                                        </w:t>
    </w:r>
    <w:r>
      <w:rPr>
        <w:rFonts w:hint="eastAsia"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lang w:eastAsia="zh-CN"/>
        <w14:textFill>
          <w14:solidFill>
            <w14:schemeClr w14:val="tx1"/>
          </w14:solidFill>
        </w14:textFill>
      </w:rPr>
      <w:t>竞争性磋商</w:t>
    </w:r>
    <w:r>
      <w:rPr>
        <w:rFonts w:hint="eastAsia" w:ascii="宋体" w:hAnsi="宋体"/>
        <w:color w:val="000000" w:themeColor="text1"/>
        <w:sz w:val="15"/>
        <w:szCs w:val="15"/>
        <w:lang w:val="en-US" w:eastAsia="zh-CN"/>
        <w14:textFill>
          <w14:solidFill>
            <w14:schemeClr w14:val="tx1"/>
          </w14:solidFill>
        </w14:textFill>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D2BC7">
    <w:pPr>
      <w:pStyle w:val="43"/>
      <w:jc w:val="left"/>
      <w:rPr>
        <w:rFonts w:hint="eastAsia" w:ascii="宋体" w:hAnsi="宋体" w:eastAsia="宋体"/>
        <w:sz w:val="15"/>
        <w:szCs w:val="15"/>
        <w:lang w:eastAsia="zh-CN"/>
      </w:rPr>
    </w:pPr>
    <w:r>
      <w:rPr>
        <w:rFonts w:hint="eastAsia" w:ascii="宋体" w:hAnsi="宋体"/>
        <w:sz w:val="15"/>
        <w:szCs w:val="15"/>
      </w:rPr>
      <w:t xml:space="preserve">迤六社区鲁世达至肖家村小组道路提升改造项目 </w:t>
    </w:r>
    <w:r>
      <w:rPr>
        <w:rFonts w:ascii="宋体" w:hAnsi="宋体"/>
        <w:sz w:val="15"/>
        <w:szCs w:val="15"/>
      </w:rPr>
      <w:t xml:space="preserve"> </w:t>
    </w:r>
    <w:r>
      <w:rPr>
        <w:rFonts w:hint="eastAsia" w:ascii="宋体" w:hAnsi="宋体"/>
        <w:color w:val="000000" w:themeColor="text1"/>
        <w:sz w:val="15"/>
        <w:szCs w:val="15"/>
        <w14:textFill>
          <w14:solidFill>
            <w14:schemeClr w14:val="tx1"/>
          </w14:solidFill>
        </w14:textFill>
      </w:rPr>
      <w:t xml:space="preserve">        </w:t>
    </w:r>
    <w:r>
      <w:rPr>
        <w:rFonts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14:textFill>
          <w14:solidFill>
            <w14:schemeClr w14:val="tx1"/>
          </w14:solidFill>
        </w14:textFill>
      </w:rPr>
      <w:t xml:space="preserve">          </w:t>
    </w:r>
    <w:r>
      <w:rPr>
        <w:rFonts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14:textFill>
          <w14:solidFill>
            <w14:schemeClr w14:val="tx1"/>
          </w14:solidFill>
        </w14:textFill>
      </w:rPr>
      <w:t xml:space="preserve">                                          </w:t>
    </w:r>
    <w:r>
      <w:rPr>
        <w:rFonts w:hint="eastAsia" w:ascii="宋体" w:hAnsi="宋体"/>
        <w:color w:val="000000" w:themeColor="text1"/>
        <w:sz w:val="15"/>
        <w:szCs w:val="15"/>
        <w:lang w:eastAsia="zh-CN"/>
        <w14:textFill>
          <w14:solidFill>
            <w14:schemeClr w14:val="tx1"/>
          </w14:solidFill>
        </w14:textFill>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65ABA">
    <w:pPr>
      <w:pStyle w:val="43"/>
      <w:jc w:val="left"/>
      <w:rPr>
        <w:sz w:val="15"/>
        <w:szCs w:val="15"/>
      </w:rPr>
    </w:pPr>
    <w:r>
      <w:rPr>
        <w:rFonts w:hint="eastAsia"/>
        <w:sz w:val="15"/>
        <w:szCs w:val="15"/>
        <w:lang w:eastAsia="zh-CN"/>
      </w:rPr>
      <w:t>福贡县农田水利设施建设及防灾减灾治理项目</w:t>
    </w:r>
    <w:r>
      <w:rPr>
        <w:rFonts w:hint="eastAsia"/>
        <w:sz w:val="15"/>
        <w:szCs w:val="15"/>
      </w:rPr>
      <w:t xml:space="preserve">                                                         </w:t>
    </w:r>
    <w:r>
      <w:rPr>
        <w:rFonts w:hint="eastAsia"/>
        <w:sz w:val="15"/>
        <w:szCs w:val="15"/>
        <w:lang w:eastAsia="zh-CN"/>
      </w:rPr>
      <w:t>竞争性磋商文件</w:t>
    </w:r>
    <w:r>
      <w:rPr>
        <w:sz w:val="15"/>
        <w:szCs w:val="15"/>
      </w:rPr>
      <w:t xml:space="preserve">     </w:t>
    </w:r>
    <w:r>
      <w:rPr>
        <w:rFonts w:hint="eastAsia"/>
        <w:sz w:val="15"/>
        <w:szCs w:val="15"/>
      </w:rPr>
      <w:t xml:space="preserve">                                                                                                         </w:t>
    </w:r>
    <w:r>
      <w:rPr>
        <w:sz w:val="15"/>
        <w:szCs w:val="1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E92E16"/>
    <w:multiLevelType w:val="singleLevel"/>
    <w:tmpl w:val="98E92E16"/>
    <w:lvl w:ilvl="0" w:tentative="0">
      <w:start w:val="1"/>
      <w:numFmt w:val="decimal"/>
      <w:suff w:val="nothing"/>
      <w:lvlText w:val="%1、"/>
      <w:lvlJc w:val="left"/>
    </w:lvl>
  </w:abstractNum>
  <w:abstractNum w:abstractNumId="1">
    <w:nsid w:val="00000006"/>
    <w:multiLevelType w:val="singleLevel"/>
    <w:tmpl w:val="00000006"/>
    <w:lvl w:ilvl="0" w:tentative="0">
      <w:start w:val="1"/>
      <w:numFmt w:val="decimal"/>
      <w:suff w:val="nothing"/>
      <w:lvlText w:val="（%1）"/>
      <w:lvlJc w:val="left"/>
      <w:pPr>
        <w:ind w:left="418" w:firstLine="0"/>
      </w:pPr>
      <w:rPr>
        <w:rFonts w:cs="Times New Roman"/>
      </w:rPr>
    </w:lvl>
  </w:abstractNum>
  <w:abstractNum w:abstractNumId="2">
    <w:nsid w:val="01E967D5"/>
    <w:multiLevelType w:val="multilevel"/>
    <w:tmpl w:val="01E967D5"/>
    <w:lvl w:ilvl="0" w:tentative="0">
      <w:start w:val="1"/>
      <w:numFmt w:val="chineseCountingThousand"/>
      <w:pStyle w:val="876"/>
      <w:lvlText w:val="%1、"/>
      <w:lvlJc w:val="left"/>
      <w:pPr>
        <w:ind w:left="0" w:firstLine="40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1EF3BBC"/>
    <w:multiLevelType w:val="multilevel"/>
    <w:tmpl w:val="11EF3BBC"/>
    <w:lvl w:ilvl="0" w:tentative="0">
      <w:start w:val="1"/>
      <w:numFmt w:val="bullet"/>
      <w:pStyle w:val="493"/>
      <w:lvlText w:val="♦"/>
      <w:lvlJc w:val="left"/>
      <w:pPr>
        <w:tabs>
          <w:tab w:val="left" w:pos="814"/>
        </w:tabs>
        <w:ind w:left="794" w:hanging="340"/>
      </w:pPr>
      <w:rPr>
        <w:rFonts w:hint="default" w:ascii="Arial Narrow" w:hAnsi="Arial Narrow" w:eastAsia="宋体"/>
        <w:b w:val="0"/>
        <w:i w:val="0"/>
        <w:color w:val="000000"/>
        <w:spacing w:val="-20"/>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5">
    <w:nsid w:val="28D9536E"/>
    <w:multiLevelType w:val="multilevel"/>
    <w:tmpl w:val="28D9536E"/>
    <w:lvl w:ilvl="0" w:tentative="0">
      <w:start w:val="1"/>
      <w:numFmt w:val="upperLetter"/>
      <w:pStyle w:val="863"/>
      <w:lvlText w:val="(%1)"/>
      <w:lvlJc w:val="left"/>
      <w:pPr>
        <w:tabs>
          <w:tab w:val="left" w:pos="624"/>
        </w:tabs>
        <w:ind w:left="624" w:hanging="624"/>
      </w:pPr>
    </w:lvl>
    <w:lvl w:ilvl="1" w:tentative="0">
      <w:start w:val="1"/>
      <w:numFmt w:val="upperLetter"/>
      <w:pStyle w:val="865"/>
      <w:lvlText w:val="(%2)"/>
      <w:lvlJc w:val="left"/>
      <w:pPr>
        <w:tabs>
          <w:tab w:val="left" w:pos="1417"/>
        </w:tabs>
        <w:ind w:left="1417" w:hanging="793"/>
      </w:pPr>
    </w:lvl>
    <w:lvl w:ilvl="2" w:tentative="0">
      <w:start w:val="1"/>
      <w:numFmt w:val="upperLetter"/>
      <w:pStyle w:val="873"/>
      <w:lvlText w:val="(%3)"/>
      <w:lvlJc w:val="left"/>
      <w:pPr>
        <w:tabs>
          <w:tab w:val="left" w:pos="1928"/>
        </w:tabs>
        <w:ind w:left="1928" w:hanging="511"/>
      </w:pPr>
    </w:lvl>
    <w:lvl w:ilvl="3" w:tentative="0">
      <w:start w:val="1"/>
      <w:numFmt w:val="lowerLetter"/>
      <w:lvlText w:val="(%4)"/>
      <w:lvlJc w:val="left"/>
      <w:pPr>
        <w:tabs>
          <w:tab w:val="left" w:pos="1928"/>
        </w:tabs>
        <w:ind w:left="1928" w:hanging="511"/>
      </w:pPr>
    </w:lvl>
    <w:lvl w:ilvl="4" w:tentative="0">
      <w:start w:val="1"/>
      <w:numFmt w:val="lowerRoman"/>
      <w:lvlText w:val="(%5)"/>
      <w:lvlJc w:val="left"/>
      <w:pPr>
        <w:tabs>
          <w:tab w:val="left" w:pos="2438"/>
        </w:tabs>
        <w:ind w:left="2438" w:hanging="510"/>
      </w:pPr>
    </w:lvl>
    <w:lvl w:ilvl="5" w:tentative="0">
      <w:start w:val="1"/>
      <w:numFmt w:val="decimal"/>
      <w:lvlText w:val="(%6)"/>
      <w:lvlJc w:val="left"/>
      <w:pPr>
        <w:tabs>
          <w:tab w:val="left" w:pos="2948"/>
        </w:tabs>
        <w:ind w:left="2948" w:hanging="51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decimal"/>
      <w:lvlRestart w:val="0"/>
      <w:lvlText w:val="SCHEDULE %9"/>
      <w:lvlJc w:val="left"/>
      <w:pPr>
        <w:tabs>
          <w:tab w:val="left" w:pos="0"/>
        </w:tabs>
        <w:ind w:left="0" w:firstLine="0"/>
      </w:pPr>
    </w:lvl>
  </w:abstractNum>
  <w:abstractNum w:abstractNumId="6">
    <w:nsid w:val="301F5202"/>
    <w:multiLevelType w:val="multilevel"/>
    <w:tmpl w:val="301F5202"/>
    <w:lvl w:ilvl="0" w:tentative="0">
      <w:start w:val="1"/>
      <w:numFmt w:val="decimal"/>
      <w:lvlText w:val="第%1条"/>
      <w:lvlJc w:val="left"/>
      <w:pPr>
        <w:ind w:left="851" w:firstLine="0"/>
      </w:pPr>
    </w:lvl>
    <w:lvl w:ilvl="1" w:tentative="0">
      <w:start w:val="1"/>
      <w:numFmt w:val="decimal"/>
      <w:pStyle w:val="871"/>
      <w:lvlText w:val="%1.%2"/>
      <w:lvlJc w:val="left"/>
      <w:pPr>
        <w:ind w:left="991" w:hanging="567"/>
      </w:pPr>
    </w:lvl>
    <w:lvl w:ilvl="2" w:tentative="0">
      <w:start w:val="1"/>
      <w:numFmt w:val="decimal"/>
      <w:pStyle w:val="864"/>
      <w:lvlText w:val="%1.%2.%3"/>
      <w:lvlJc w:val="left"/>
      <w:pPr>
        <w:ind w:left="2835" w:hanging="567"/>
      </w:pPr>
    </w:lvl>
    <w:lvl w:ilvl="3" w:tentative="0">
      <w:start w:val="1"/>
      <w:numFmt w:val="decimal"/>
      <w:lvlText w:val="%1.%2.%3.%4"/>
      <w:lvlJc w:val="left"/>
      <w:pPr>
        <w:ind w:left="1983" w:hanging="708"/>
      </w:pPr>
    </w:lvl>
    <w:lvl w:ilvl="4" w:tentative="0">
      <w:start w:val="1"/>
      <w:numFmt w:val="decimal"/>
      <w:lvlText w:val="%1.%2.%3.%4.%5"/>
      <w:lvlJc w:val="left"/>
      <w:pPr>
        <w:ind w:left="2550" w:hanging="850"/>
      </w:pPr>
    </w:lvl>
    <w:lvl w:ilvl="5" w:tentative="0">
      <w:start w:val="1"/>
      <w:numFmt w:val="decimal"/>
      <w:lvlText w:val="%1.%2.%3.%4.%5.%6"/>
      <w:lvlJc w:val="left"/>
      <w:pPr>
        <w:ind w:left="3259" w:hanging="1134"/>
      </w:pPr>
    </w:lvl>
    <w:lvl w:ilvl="6" w:tentative="0">
      <w:start w:val="1"/>
      <w:numFmt w:val="decimal"/>
      <w:lvlText w:val="%1.%2.%3.%4.%5.%6.%7"/>
      <w:lvlJc w:val="left"/>
      <w:pPr>
        <w:ind w:left="3826" w:hanging="1276"/>
      </w:pPr>
    </w:lvl>
    <w:lvl w:ilvl="7" w:tentative="0">
      <w:start w:val="1"/>
      <w:numFmt w:val="decimal"/>
      <w:lvlText w:val="%1.%2.%3.%4.%5.%6.%7.%8"/>
      <w:lvlJc w:val="left"/>
      <w:pPr>
        <w:ind w:left="4393" w:hanging="1418"/>
      </w:pPr>
    </w:lvl>
    <w:lvl w:ilvl="8" w:tentative="0">
      <w:start w:val="1"/>
      <w:numFmt w:val="decimal"/>
      <w:lvlText w:val="%1.%2.%3.%4.%5.%6.%7.%8.%9"/>
      <w:lvlJc w:val="left"/>
      <w:pPr>
        <w:ind w:left="5101" w:hanging="1700"/>
      </w:pPr>
    </w:lvl>
  </w:abstractNum>
  <w:abstractNum w:abstractNumId="7">
    <w:nsid w:val="3AA800C6"/>
    <w:multiLevelType w:val="multilevel"/>
    <w:tmpl w:val="3AA800C6"/>
    <w:lvl w:ilvl="0" w:tentative="0">
      <w:start w:val="1"/>
      <w:numFmt w:val="decimal"/>
      <w:pStyle w:val="874"/>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rPr>
        <w:rFonts w:hint="eastAsia" w:ascii="仿宋_GB2312" w:eastAsia="仿宋_GB2312"/>
      </w:r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pStyle w:val="859"/>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8">
    <w:nsid w:val="5F7F52D8"/>
    <w:multiLevelType w:val="multilevel"/>
    <w:tmpl w:val="5F7F52D8"/>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9"/>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abstractNum w:abstractNumId="9">
    <w:nsid w:val="61BD6C99"/>
    <w:multiLevelType w:val="multilevel"/>
    <w:tmpl w:val="61BD6C99"/>
    <w:lvl w:ilvl="0" w:tentative="0">
      <w:start w:val="1"/>
      <w:numFmt w:val="lowerRoman"/>
      <w:pStyle w:val="857"/>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0">
    <w:nsid w:val="62687BB6"/>
    <w:multiLevelType w:val="multilevel"/>
    <w:tmpl w:val="62687BB6"/>
    <w:lvl w:ilvl="0" w:tentative="0">
      <w:start w:val="1"/>
      <w:numFmt w:val="decimal"/>
      <w:pStyle w:val="861"/>
      <w:lvlText w:val="附件%1"/>
      <w:lvlJc w:val="left"/>
      <w:pPr>
        <w:ind w:left="3681" w:hanging="420"/>
      </w:pPr>
      <w:rPr>
        <w:sz w:val="30"/>
        <w:szCs w:val="30"/>
      </w:rPr>
    </w:lvl>
    <w:lvl w:ilvl="1" w:tentative="0">
      <w:start w:val="1"/>
      <w:numFmt w:val="lowerLetter"/>
      <w:lvlText w:val="%2)"/>
      <w:lvlJc w:val="left"/>
      <w:pPr>
        <w:ind w:left="983" w:hanging="420"/>
      </w:pPr>
    </w:lvl>
    <w:lvl w:ilvl="2" w:tentative="0">
      <w:start w:val="1"/>
      <w:numFmt w:val="lowerRoman"/>
      <w:lvlText w:val="%3."/>
      <w:lvlJc w:val="right"/>
      <w:pPr>
        <w:ind w:left="1403" w:hanging="420"/>
      </w:pPr>
    </w:lvl>
    <w:lvl w:ilvl="3" w:tentative="0">
      <w:start w:val="1"/>
      <w:numFmt w:val="decimal"/>
      <w:lvlText w:val="%4."/>
      <w:lvlJc w:val="left"/>
      <w:pPr>
        <w:ind w:left="1823" w:hanging="420"/>
      </w:pPr>
    </w:lvl>
    <w:lvl w:ilvl="4" w:tentative="0">
      <w:start w:val="1"/>
      <w:numFmt w:val="lowerLetter"/>
      <w:lvlText w:val="%5)"/>
      <w:lvlJc w:val="left"/>
      <w:pPr>
        <w:ind w:left="2243" w:hanging="420"/>
      </w:pPr>
    </w:lvl>
    <w:lvl w:ilvl="5" w:tentative="0">
      <w:start w:val="1"/>
      <w:numFmt w:val="lowerRoman"/>
      <w:lvlText w:val="%6."/>
      <w:lvlJc w:val="right"/>
      <w:pPr>
        <w:ind w:left="2663" w:hanging="420"/>
      </w:pPr>
    </w:lvl>
    <w:lvl w:ilvl="6" w:tentative="0">
      <w:start w:val="1"/>
      <w:numFmt w:val="decimal"/>
      <w:lvlText w:val="%7."/>
      <w:lvlJc w:val="left"/>
      <w:pPr>
        <w:ind w:left="3083" w:hanging="420"/>
      </w:pPr>
    </w:lvl>
    <w:lvl w:ilvl="7" w:tentative="0">
      <w:start w:val="1"/>
      <w:numFmt w:val="lowerLetter"/>
      <w:lvlText w:val="%8)"/>
      <w:lvlJc w:val="left"/>
      <w:pPr>
        <w:ind w:left="3503" w:hanging="420"/>
      </w:pPr>
    </w:lvl>
    <w:lvl w:ilvl="8" w:tentative="0">
      <w:start w:val="1"/>
      <w:numFmt w:val="lowerRoman"/>
      <w:lvlText w:val="%9."/>
      <w:lvlJc w:val="right"/>
      <w:pPr>
        <w:ind w:left="3923" w:hanging="420"/>
      </w:pPr>
    </w:lvl>
  </w:abstractNum>
  <w:abstractNum w:abstractNumId="11">
    <w:nsid w:val="6E53D16C"/>
    <w:multiLevelType w:val="singleLevel"/>
    <w:tmpl w:val="6E53D16C"/>
    <w:lvl w:ilvl="0" w:tentative="0">
      <w:start w:val="1"/>
      <w:numFmt w:val="decimal"/>
      <w:suff w:val="nothing"/>
      <w:lvlText w:val="%1、"/>
      <w:lvlJc w:val="left"/>
    </w:lvl>
  </w:abstractNum>
  <w:abstractNum w:abstractNumId="12">
    <w:nsid w:val="6E87019F"/>
    <w:multiLevelType w:val="multilevel"/>
    <w:tmpl w:val="6E87019F"/>
    <w:lvl w:ilvl="0" w:tentative="0">
      <w:start w:val="1"/>
      <w:numFmt w:val="chineseCountingThousand"/>
      <w:pStyle w:val="869"/>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3">
    <w:nsid w:val="7543651A"/>
    <w:multiLevelType w:val="multilevel"/>
    <w:tmpl w:val="7543651A"/>
    <w:lvl w:ilvl="0" w:tentative="0">
      <w:start w:val="1"/>
      <w:numFmt w:val="lowerLetter"/>
      <w:pStyle w:val="86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8"/>
  </w:num>
  <w:num w:numId="2">
    <w:abstractNumId w:val="3"/>
  </w:num>
  <w:num w:numId="3">
    <w:abstractNumId w:val="4"/>
    <w:lvlOverride w:ilvl="0">
      <w:lvl w:ilvl="0" w:tentative="1">
        <w:start w:val="1"/>
        <w:numFmt w:val="decimal"/>
        <w:lvlText w:val="第%1条"/>
        <w:lvlJc w:val="left"/>
        <w:pPr>
          <w:ind w:left="0" w:firstLine="0"/>
        </w:pPr>
      </w:lvl>
    </w:lvlOverride>
    <w:lvlOverride w:ilvl="1">
      <w:lvl w:ilvl="1" w:tentative="1">
        <w:start w:val="1"/>
        <w:numFmt w:val="decimal"/>
        <w:pStyle w:val="877"/>
        <w:lvlText w:val="%1.%2"/>
        <w:lvlJc w:val="left"/>
        <w:pPr>
          <w:ind w:left="1843" w:firstLine="0"/>
        </w:pPr>
      </w:lvl>
    </w:lvlOverride>
    <w:lvlOverride w:ilvl="2">
      <w:lvl w:ilvl="2" w:tentative="1">
        <w:start w:val="1"/>
        <w:numFmt w:val="decimal"/>
        <w:pStyle w:val="855"/>
        <w:lvlText w:val="%1.%2.%3"/>
        <w:lvlJc w:val="left"/>
        <w:pPr>
          <w:ind w:left="2126" w:firstLine="0"/>
        </w:pPr>
      </w:lvl>
    </w:lvlOverride>
    <w:lvlOverride w:ilvl="3">
      <w:lvl w:ilvl="3" w:tentative="1">
        <w:start w:val="1"/>
        <w:numFmt w:val="decimal"/>
        <w:pStyle w:val="872"/>
        <w:lvlText w:val="%1.%2.%3.%4"/>
        <w:lvlJc w:val="left"/>
        <w:pPr>
          <w:ind w:left="710" w:firstLine="0"/>
        </w:pPr>
      </w:lvl>
    </w:lvlOverride>
    <w:lvlOverride w:ilvl="4">
      <w:lvl w:ilvl="4" w:tentative="1">
        <w:start w:val="1"/>
        <w:numFmt w:val="decimal"/>
        <w:pStyle w:val="868"/>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4">
    <w:abstractNumId w:val="9"/>
  </w:num>
  <w:num w:numId="5">
    <w:abstractNumId w:val="7"/>
  </w:num>
  <w:num w:numId="6">
    <w:abstractNumId w:val="10"/>
  </w:num>
  <w:num w:numId="7">
    <w:abstractNumId w:val="5"/>
  </w:num>
  <w:num w:numId="8">
    <w:abstractNumId w:val="6"/>
  </w:num>
  <w:num w:numId="9">
    <w:abstractNumId w:val="13"/>
  </w:num>
  <w:num w:numId="10">
    <w:abstractNumId w:val="12"/>
  </w:num>
  <w:num w:numId="11">
    <w:abstractNumId w:val="2"/>
  </w:num>
  <w:num w:numId="12">
    <w:abstractNumId w:val="0"/>
  </w:num>
  <w:num w:numId="13">
    <w:abstractNumId w:val="1"/>
    <w:lvlOverride w:ilvl="0">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I5NmFlMWM0NGIyN2E0YzkzNDE0MmNiODM4NDE1MjgifQ=="/>
  </w:docVars>
  <w:rsids>
    <w:rsidRoot w:val="00172A27"/>
    <w:rsid w:val="000009E3"/>
    <w:rsid w:val="00000F1F"/>
    <w:rsid w:val="00001097"/>
    <w:rsid w:val="00001776"/>
    <w:rsid w:val="00001C52"/>
    <w:rsid w:val="00001E10"/>
    <w:rsid w:val="000024C2"/>
    <w:rsid w:val="00002712"/>
    <w:rsid w:val="00002D62"/>
    <w:rsid w:val="00002DA2"/>
    <w:rsid w:val="0000372C"/>
    <w:rsid w:val="00004137"/>
    <w:rsid w:val="00005A47"/>
    <w:rsid w:val="00005CE3"/>
    <w:rsid w:val="00006216"/>
    <w:rsid w:val="00006861"/>
    <w:rsid w:val="000068DF"/>
    <w:rsid w:val="00006C2C"/>
    <w:rsid w:val="0000722C"/>
    <w:rsid w:val="00007348"/>
    <w:rsid w:val="000073DE"/>
    <w:rsid w:val="00010B6D"/>
    <w:rsid w:val="0001125C"/>
    <w:rsid w:val="0001182D"/>
    <w:rsid w:val="00011A49"/>
    <w:rsid w:val="00012432"/>
    <w:rsid w:val="00012C57"/>
    <w:rsid w:val="00012F7D"/>
    <w:rsid w:val="00013B08"/>
    <w:rsid w:val="00014134"/>
    <w:rsid w:val="0001480F"/>
    <w:rsid w:val="000148B8"/>
    <w:rsid w:val="00015754"/>
    <w:rsid w:val="00015952"/>
    <w:rsid w:val="000162C1"/>
    <w:rsid w:val="000163C5"/>
    <w:rsid w:val="0001668B"/>
    <w:rsid w:val="00017D8E"/>
    <w:rsid w:val="00020F93"/>
    <w:rsid w:val="00021A04"/>
    <w:rsid w:val="00021C8F"/>
    <w:rsid w:val="00022267"/>
    <w:rsid w:val="00023396"/>
    <w:rsid w:val="000233EB"/>
    <w:rsid w:val="00024596"/>
    <w:rsid w:val="00024929"/>
    <w:rsid w:val="00024AF0"/>
    <w:rsid w:val="000255E2"/>
    <w:rsid w:val="000266C0"/>
    <w:rsid w:val="0002743D"/>
    <w:rsid w:val="00027888"/>
    <w:rsid w:val="000312D6"/>
    <w:rsid w:val="000315CC"/>
    <w:rsid w:val="0003181B"/>
    <w:rsid w:val="0003188B"/>
    <w:rsid w:val="0003195A"/>
    <w:rsid w:val="0003195F"/>
    <w:rsid w:val="00031B31"/>
    <w:rsid w:val="00031E69"/>
    <w:rsid w:val="00032067"/>
    <w:rsid w:val="00032200"/>
    <w:rsid w:val="000324BE"/>
    <w:rsid w:val="00032551"/>
    <w:rsid w:val="000326C5"/>
    <w:rsid w:val="000327A4"/>
    <w:rsid w:val="00032F1F"/>
    <w:rsid w:val="00032FD7"/>
    <w:rsid w:val="000333EC"/>
    <w:rsid w:val="000335F8"/>
    <w:rsid w:val="00033778"/>
    <w:rsid w:val="00033796"/>
    <w:rsid w:val="00033856"/>
    <w:rsid w:val="00033DB0"/>
    <w:rsid w:val="00034193"/>
    <w:rsid w:val="000342EC"/>
    <w:rsid w:val="0003459E"/>
    <w:rsid w:val="00034993"/>
    <w:rsid w:val="00035B03"/>
    <w:rsid w:val="000366AD"/>
    <w:rsid w:val="00037B5F"/>
    <w:rsid w:val="00037E86"/>
    <w:rsid w:val="00040029"/>
    <w:rsid w:val="0004101B"/>
    <w:rsid w:val="000410EC"/>
    <w:rsid w:val="00041BD7"/>
    <w:rsid w:val="00042033"/>
    <w:rsid w:val="000422EA"/>
    <w:rsid w:val="000424CA"/>
    <w:rsid w:val="00042BFA"/>
    <w:rsid w:val="00043192"/>
    <w:rsid w:val="000439E0"/>
    <w:rsid w:val="00043A98"/>
    <w:rsid w:val="00043DE8"/>
    <w:rsid w:val="00043DF0"/>
    <w:rsid w:val="000443FF"/>
    <w:rsid w:val="0004451E"/>
    <w:rsid w:val="00044D5E"/>
    <w:rsid w:val="00044D95"/>
    <w:rsid w:val="00044E14"/>
    <w:rsid w:val="000456E2"/>
    <w:rsid w:val="000458BE"/>
    <w:rsid w:val="000459E1"/>
    <w:rsid w:val="00046183"/>
    <w:rsid w:val="000465D0"/>
    <w:rsid w:val="00046ACA"/>
    <w:rsid w:val="00046B9F"/>
    <w:rsid w:val="00046CF8"/>
    <w:rsid w:val="00047050"/>
    <w:rsid w:val="00047662"/>
    <w:rsid w:val="00047A01"/>
    <w:rsid w:val="00047CE9"/>
    <w:rsid w:val="00047CF2"/>
    <w:rsid w:val="00047EC1"/>
    <w:rsid w:val="00047F10"/>
    <w:rsid w:val="00050075"/>
    <w:rsid w:val="000500A5"/>
    <w:rsid w:val="0005028D"/>
    <w:rsid w:val="0005105C"/>
    <w:rsid w:val="00051632"/>
    <w:rsid w:val="0005165C"/>
    <w:rsid w:val="00052043"/>
    <w:rsid w:val="00052174"/>
    <w:rsid w:val="00052811"/>
    <w:rsid w:val="00052D5C"/>
    <w:rsid w:val="00053E3A"/>
    <w:rsid w:val="0005465A"/>
    <w:rsid w:val="00054ED6"/>
    <w:rsid w:val="00054FB6"/>
    <w:rsid w:val="00056142"/>
    <w:rsid w:val="000561C5"/>
    <w:rsid w:val="0005620E"/>
    <w:rsid w:val="000569A3"/>
    <w:rsid w:val="00057159"/>
    <w:rsid w:val="00057713"/>
    <w:rsid w:val="0005771E"/>
    <w:rsid w:val="00057E67"/>
    <w:rsid w:val="000608EC"/>
    <w:rsid w:val="00060998"/>
    <w:rsid w:val="00060ACE"/>
    <w:rsid w:val="0006205D"/>
    <w:rsid w:val="000626F2"/>
    <w:rsid w:val="00062D92"/>
    <w:rsid w:val="00063227"/>
    <w:rsid w:val="0006369D"/>
    <w:rsid w:val="00063B01"/>
    <w:rsid w:val="00064F06"/>
    <w:rsid w:val="00065658"/>
    <w:rsid w:val="0006569F"/>
    <w:rsid w:val="00065D68"/>
    <w:rsid w:val="00066878"/>
    <w:rsid w:val="00066C5B"/>
    <w:rsid w:val="000674A0"/>
    <w:rsid w:val="0006785B"/>
    <w:rsid w:val="00067E06"/>
    <w:rsid w:val="00067F32"/>
    <w:rsid w:val="000702D3"/>
    <w:rsid w:val="00070804"/>
    <w:rsid w:val="00071389"/>
    <w:rsid w:val="000724D8"/>
    <w:rsid w:val="0007259C"/>
    <w:rsid w:val="000726A0"/>
    <w:rsid w:val="0007270B"/>
    <w:rsid w:val="000727D3"/>
    <w:rsid w:val="00072B79"/>
    <w:rsid w:val="0007307F"/>
    <w:rsid w:val="00073AA7"/>
    <w:rsid w:val="00073B5A"/>
    <w:rsid w:val="00073C2B"/>
    <w:rsid w:val="0007531B"/>
    <w:rsid w:val="00075589"/>
    <w:rsid w:val="00075EE6"/>
    <w:rsid w:val="000760BA"/>
    <w:rsid w:val="000760D3"/>
    <w:rsid w:val="00076BD2"/>
    <w:rsid w:val="00076BF5"/>
    <w:rsid w:val="00077313"/>
    <w:rsid w:val="00077394"/>
    <w:rsid w:val="00077C48"/>
    <w:rsid w:val="000807E9"/>
    <w:rsid w:val="00080E0A"/>
    <w:rsid w:val="00081219"/>
    <w:rsid w:val="000815F3"/>
    <w:rsid w:val="00081C95"/>
    <w:rsid w:val="00081EEA"/>
    <w:rsid w:val="00082D88"/>
    <w:rsid w:val="00082E2A"/>
    <w:rsid w:val="00083204"/>
    <w:rsid w:val="0008333D"/>
    <w:rsid w:val="00083562"/>
    <w:rsid w:val="00083FCB"/>
    <w:rsid w:val="00084C9E"/>
    <w:rsid w:val="00085403"/>
    <w:rsid w:val="00085585"/>
    <w:rsid w:val="00085E29"/>
    <w:rsid w:val="00085E52"/>
    <w:rsid w:val="00086121"/>
    <w:rsid w:val="00086177"/>
    <w:rsid w:val="000864A7"/>
    <w:rsid w:val="000869DE"/>
    <w:rsid w:val="00086F31"/>
    <w:rsid w:val="0008705D"/>
    <w:rsid w:val="00087866"/>
    <w:rsid w:val="00090B04"/>
    <w:rsid w:val="00090E22"/>
    <w:rsid w:val="0009101D"/>
    <w:rsid w:val="00091882"/>
    <w:rsid w:val="00091FD9"/>
    <w:rsid w:val="0009215D"/>
    <w:rsid w:val="0009219A"/>
    <w:rsid w:val="00092DF3"/>
    <w:rsid w:val="00093343"/>
    <w:rsid w:val="000937E8"/>
    <w:rsid w:val="00093836"/>
    <w:rsid w:val="0009438B"/>
    <w:rsid w:val="0009494B"/>
    <w:rsid w:val="00095459"/>
    <w:rsid w:val="00095626"/>
    <w:rsid w:val="00095E46"/>
    <w:rsid w:val="00095F86"/>
    <w:rsid w:val="0009611A"/>
    <w:rsid w:val="00097166"/>
    <w:rsid w:val="000975E8"/>
    <w:rsid w:val="00097DAE"/>
    <w:rsid w:val="000A01EE"/>
    <w:rsid w:val="000A084D"/>
    <w:rsid w:val="000A0EA6"/>
    <w:rsid w:val="000A1448"/>
    <w:rsid w:val="000A2DC3"/>
    <w:rsid w:val="000A32FE"/>
    <w:rsid w:val="000A3518"/>
    <w:rsid w:val="000A392D"/>
    <w:rsid w:val="000A3A89"/>
    <w:rsid w:val="000A50B6"/>
    <w:rsid w:val="000A5BE6"/>
    <w:rsid w:val="000A624A"/>
    <w:rsid w:val="000A646A"/>
    <w:rsid w:val="000A64B6"/>
    <w:rsid w:val="000A6836"/>
    <w:rsid w:val="000A68AF"/>
    <w:rsid w:val="000A6D4F"/>
    <w:rsid w:val="000A728F"/>
    <w:rsid w:val="000A72CB"/>
    <w:rsid w:val="000A761D"/>
    <w:rsid w:val="000A76A0"/>
    <w:rsid w:val="000A7729"/>
    <w:rsid w:val="000B0842"/>
    <w:rsid w:val="000B17F0"/>
    <w:rsid w:val="000B1A84"/>
    <w:rsid w:val="000B1BD6"/>
    <w:rsid w:val="000B1FBB"/>
    <w:rsid w:val="000B2176"/>
    <w:rsid w:val="000B2DBB"/>
    <w:rsid w:val="000B3019"/>
    <w:rsid w:val="000B3547"/>
    <w:rsid w:val="000B3917"/>
    <w:rsid w:val="000B3A1C"/>
    <w:rsid w:val="000B3C52"/>
    <w:rsid w:val="000B49F7"/>
    <w:rsid w:val="000B4A54"/>
    <w:rsid w:val="000B57B3"/>
    <w:rsid w:val="000B591A"/>
    <w:rsid w:val="000B5D85"/>
    <w:rsid w:val="000B6466"/>
    <w:rsid w:val="000B65C8"/>
    <w:rsid w:val="000B6BFA"/>
    <w:rsid w:val="000B6FAA"/>
    <w:rsid w:val="000B709E"/>
    <w:rsid w:val="000B7313"/>
    <w:rsid w:val="000B7385"/>
    <w:rsid w:val="000B7995"/>
    <w:rsid w:val="000C0638"/>
    <w:rsid w:val="000C081C"/>
    <w:rsid w:val="000C08A8"/>
    <w:rsid w:val="000C1251"/>
    <w:rsid w:val="000C1446"/>
    <w:rsid w:val="000C1478"/>
    <w:rsid w:val="000C1544"/>
    <w:rsid w:val="000C2495"/>
    <w:rsid w:val="000C24B5"/>
    <w:rsid w:val="000C2913"/>
    <w:rsid w:val="000C2E26"/>
    <w:rsid w:val="000C36BE"/>
    <w:rsid w:val="000C3CD6"/>
    <w:rsid w:val="000C435B"/>
    <w:rsid w:val="000C489A"/>
    <w:rsid w:val="000C4B8A"/>
    <w:rsid w:val="000C588C"/>
    <w:rsid w:val="000C5BE8"/>
    <w:rsid w:val="000C78EB"/>
    <w:rsid w:val="000C799E"/>
    <w:rsid w:val="000D0732"/>
    <w:rsid w:val="000D0CCC"/>
    <w:rsid w:val="000D12D1"/>
    <w:rsid w:val="000D135A"/>
    <w:rsid w:val="000D157A"/>
    <w:rsid w:val="000D22A0"/>
    <w:rsid w:val="000D2EA7"/>
    <w:rsid w:val="000D2FDE"/>
    <w:rsid w:val="000D33FE"/>
    <w:rsid w:val="000D3B2B"/>
    <w:rsid w:val="000D3F97"/>
    <w:rsid w:val="000D4ACA"/>
    <w:rsid w:val="000D4EA7"/>
    <w:rsid w:val="000D5068"/>
    <w:rsid w:val="000D5463"/>
    <w:rsid w:val="000D5B01"/>
    <w:rsid w:val="000D5DD3"/>
    <w:rsid w:val="000D5F14"/>
    <w:rsid w:val="000D6448"/>
    <w:rsid w:val="000D6AC5"/>
    <w:rsid w:val="000D74C9"/>
    <w:rsid w:val="000D75CE"/>
    <w:rsid w:val="000D792B"/>
    <w:rsid w:val="000E11E6"/>
    <w:rsid w:val="000E126F"/>
    <w:rsid w:val="000E1F83"/>
    <w:rsid w:val="000E2408"/>
    <w:rsid w:val="000E2FEB"/>
    <w:rsid w:val="000E37FC"/>
    <w:rsid w:val="000E3DD8"/>
    <w:rsid w:val="000E42D6"/>
    <w:rsid w:val="000E5159"/>
    <w:rsid w:val="000E54FC"/>
    <w:rsid w:val="000E5532"/>
    <w:rsid w:val="000E697D"/>
    <w:rsid w:val="000E6C86"/>
    <w:rsid w:val="000E6E6A"/>
    <w:rsid w:val="000E70E4"/>
    <w:rsid w:val="000E7FCD"/>
    <w:rsid w:val="000F0A04"/>
    <w:rsid w:val="000F0E21"/>
    <w:rsid w:val="000F1049"/>
    <w:rsid w:val="000F1475"/>
    <w:rsid w:val="000F15AA"/>
    <w:rsid w:val="000F1B66"/>
    <w:rsid w:val="000F217B"/>
    <w:rsid w:val="000F2510"/>
    <w:rsid w:val="000F2590"/>
    <w:rsid w:val="000F2922"/>
    <w:rsid w:val="000F3082"/>
    <w:rsid w:val="000F343B"/>
    <w:rsid w:val="000F3CBC"/>
    <w:rsid w:val="000F3F3A"/>
    <w:rsid w:val="000F436D"/>
    <w:rsid w:val="000F4F9F"/>
    <w:rsid w:val="000F566E"/>
    <w:rsid w:val="000F6F86"/>
    <w:rsid w:val="000F702A"/>
    <w:rsid w:val="000F70B2"/>
    <w:rsid w:val="001005B6"/>
    <w:rsid w:val="0010087D"/>
    <w:rsid w:val="00100EC5"/>
    <w:rsid w:val="001018AA"/>
    <w:rsid w:val="00102F86"/>
    <w:rsid w:val="00103272"/>
    <w:rsid w:val="00103929"/>
    <w:rsid w:val="00103EB7"/>
    <w:rsid w:val="00103FCF"/>
    <w:rsid w:val="001049F7"/>
    <w:rsid w:val="00105359"/>
    <w:rsid w:val="001054B3"/>
    <w:rsid w:val="0010595A"/>
    <w:rsid w:val="00105C73"/>
    <w:rsid w:val="00106039"/>
    <w:rsid w:val="001060BA"/>
    <w:rsid w:val="0010658F"/>
    <w:rsid w:val="0010678B"/>
    <w:rsid w:val="00106C7B"/>
    <w:rsid w:val="00106E22"/>
    <w:rsid w:val="00107356"/>
    <w:rsid w:val="001105C9"/>
    <w:rsid w:val="001109FD"/>
    <w:rsid w:val="0011131F"/>
    <w:rsid w:val="00111686"/>
    <w:rsid w:val="001116CF"/>
    <w:rsid w:val="00111AF1"/>
    <w:rsid w:val="00111D22"/>
    <w:rsid w:val="001121FB"/>
    <w:rsid w:val="001125C5"/>
    <w:rsid w:val="00112AEC"/>
    <w:rsid w:val="00112C2F"/>
    <w:rsid w:val="00113982"/>
    <w:rsid w:val="00113BB4"/>
    <w:rsid w:val="00113C76"/>
    <w:rsid w:val="00113FDE"/>
    <w:rsid w:val="00114A33"/>
    <w:rsid w:val="00114DBF"/>
    <w:rsid w:val="001159CA"/>
    <w:rsid w:val="00115EDF"/>
    <w:rsid w:val="00115FD2"/>
    <w:rsid w:val="00116383"/>
    <w:rsid w:val="00116D2C"/>
    <w:rsid w:val="00120340"/>
    <w:rsid w:val="00120D18"/>
    <w:rsid w:val="00120EA0"/>
    <w:rsid w:val="001219A8"/>
    <w:rsid w:val="00121BEE"/>
    <w:rsid w:val="00122A66"/>
    <w:rsid w:val="00122FBE"/>
    <w:rsid w:val="0012341F"/>
    <w:rsid w:val="0012377F"/>
    <w:rsid w:val="00124043"/>
    <w:rsid w:val="00124B81"/>
    <w:rsid w:val="001251C6"/>
    <w:rsid w:val="00125B5F"/>
    <w:rsid w:val="001264FA"/>
    <w:rsid w:val="00130179"/>
    <w:rsid w:val="00130B02"/>
    <w:rsid w:val="00131594"/>
    <w:rsid w:val="001316C3"/>
    <w:rsid w:val="00131966"/>
    <w:rsid w:val="00131D73"/>
    <w:rsid w:val="00131DF0"/>
    <w:rsid w:val="001321C9"/>
    <w:rsid w:val="001326ED"/>
    <w:rsid w:val="00132B2E"/>
    <w:rsid w:val="00132DA4"/>
    <w:rsid w:val="001331F5"/>
    <w:rsid w:val="00133361"/>
    <w:rsid w:val="0013362C"/>
    <w:rsid w:val="00133B3F"/>
    <w:rsid w:val="00133C3D"/>
    <w:rsid w:val="00133D93"/>
    <w:rsid w:val="00134E96"/>
    <w:rsid w:val="00135793"/>
    <w:rsid w:val="0013598A"/>
    <w:rsid w:val="00135AB5"/>
    <w:rsid w:val="00135E28"/>
    <w:rsid w:val="00136775"/>
    <w:rsid w:val="00136E3E"/>
    <w:rsid w:val="00136EB4"/>
    <w:rsid w:val="0013741B"/>
    <w:rsid w:val="00137B0A"/>
    <w:rsid w:val="00137CC8"/>
    <w:rsid w:val="00137CFF"/>
    <w:rsid w:val="00137ED7"/>
    <w:rsid w:val="00140477"/>
    <w:rsid w:val="0014190E"/>
    <w:rsid w:val="00142421"/>
    <w:rsid w:val="001426DC"/>
    <w:rsid w:val="001426F0"/>
    <w:rsid w:val="001428A7"/>
    <w:rsid w:val="00142B4E"/>
    <w:rsid w:val="00142E0D"/>
    <w:rsid w:val="0014359C"/>
    <w:rsid w:val="00144529"/>
    <w:rsid w:val="00144719"/>
    <w:rsid w:val="0014500B"/>
    <w:rsid w:val="00145157"/>
    <w:rsid w:val="001453C7"/>
    <w:rsid w:val="00146463"/>
    <w:rsid w:val="001464A1"/>
    <w:rsid w:val="00146A03"/>
    <w:rsid w:val="001471E8"/>
    <w:rsid w:val="001474CB"/>
    <w:rsid w:val="00147571"/>
    <w:rsid w:val="00147772"/>
    <w:rsid w:val="00147976"/>
    <w:rsid w:val="00147CE8"/>
    <w:rsid w:val="00147E53"/>
    <w:rsid w:val="00147F7C"/>
    <w:rsid w:val="00150A48"/>
    <w:rsid w:val="00150F94"/>
    <w:rsid w:val="0015224C"/>
    <w:rsid w:val="00153B67"/>
    <w:rsid w:val="00153BA9"/>
    <w:rsid w:val="001542B6"/>
    <w:rsid w:val="00154565"/>
    <w:rsid w:val="001547F2"/>
    <w:rsid w:val="001555F2"/>
    <w:rsid w:val="001557F0"/>
    <w:rsid w:val="00155896"/>
    <w:rsid w:val="001559F6"/>
    <w:rsid w:val="00155C09"/>
    <w:rsid w:val="00156418"/>
    <w:rsid w:val="00156594"/>
    <w:rsid w:val="001567AE"/>
    <w:rsid w:val="00156C36"/>
    <w:rsid w:val="00157D8C"/>
    <w:rsid w:val="00160100"/>
    <w:rsid w:val="001603E9"/>
    <w:rsid w:val="0016121F"/>
    <w:rsid w:val="0016122D"/>
    <w:rsid w:val="0016136B"/>
    <w:rsid w:val="00161E5E"/>
    <w:rsid w:val="001620E2"/>
    <w:rsid w:val="00162EEF"/>
    <w:rsid w:val="00163C86"/>
    <w:rsid w:val="00164605"/>
    <w:rsid w:val="00164A78"/>
    <w:rsid w:val="00164A80"/>
    <w:rsid w:val="001650EE"/>
    <w:rsid w:val="00165AA1"/>
    <w:rsid w:val="00166496"/>
    <w:rsid w:val="001665D3"/>
    <w:rsid w:val="00166E96"/>
    <w:rsid w:val="00166F64"/>
    <w:rsid w:val="001676A8"/>
    <w:rsid w:val="00167796"/>
    <w:rsid w:val="0017051E"/>
    <w:rsid w:val="00170E5A"/>
    <w:rsid w:val="00171275"/>
    <w:rsid w:val="0017206B"/>
    <w:rsid w:val="00172104"/>
    <w:rsid w:val="00172176"/>
    <w:rsid w:val="001721B7"/>
    <w:rsid w:val="001723C8"/>
    <w:rsid w:val="00172A27"/>
    <w:rsid w:val="00172E1D"/>
    <w:rsid w:val="001730EA"/>
    <w:rsid w:val="001736A9"/>
    <w:rsid w:val="00173F7C"/>
    <w:rsid w:val="00173FFB"/>
    <w:rsid w:val="0017467E"/>
    <w:rsid w:val="0017491B"/>
    <w:rsid w:val="00174AAA"/>
    <w:rsid w:val="001754D0"/>
    <w:rsid w:val="00175785"/>
    <w:rsid w:val="001758C9"/>
    <w:rsid w:val="00175AF3"/>
    <w:rsid w:val="00176154"/>
    <w:rsid w:val="001761FA"/>
    <w:rsid w:val="0018014E"/>
    <w:rsid w:val="00180F3D"/>
    <w:rsid w:val="00181029"/>
    <w:rsid w:val="001812B2"/>
    <w:rsid w:val="00181943"/>
    <w:rsid w:val="00181E60"/>
    <w:rsid w:val="001820FF"/>
    <w:rsid w:val="00182B41"/>
    <w:rsid w:val="00182C11"/>
    <w:rsid w:val="00182C2B"/>
    <w:rsid w:val="00183093"/>
    <w:rsid w:val="001830E3"/>
    <w:rsid w:val="0018358C"/>
    <w:rsid w:val="001842F1"/>
    <w:rsid w:val="00184581"/>
    <w:rsid w:val="00184698"/>
    <w:rsid w:val="001846D0"/>
    <w:rsid w:val="00184731"/>
    <w:rsid w:val="00184C4A"/>
    <w:rsid w:val="00184E04"/>
    <w:rsid w:val="00184F30"/>
    <w:rsid w:val="00185648"/>
    <w:rsid w:val="001861C3"/>
    <w:rsid w:val="0018627C"/>
    <w:rsid w:val="00186A9C"/>
    <w:rsid w:val="00186C2C"/>
    <w:rsid w:val="00186C65"/>
    <w:rsid w:val="00186FF9"/>
    <w:rsid w:val="00187884"/>
    <w:rsid w:val="00187E86"/>
    <w:rsid w:val="00187E95"/>
    <w:rsid w:val="00190144"/>
    <w:rsid w:val="00190427"/>
    <w:rsid w:val="00190789"/>
    <w:rsid w:val="00190C30"/>
    <w:rsid w:val="00190D93"/>
    <w:rsid w:val="00190FA4"/>
    <w:rsid w:val="00192A9B"/>
    <w:rsid w:val="00192C4D"/>
    <w:rsid w:val="00192E12"/>
    <w:rsid w:val="00192EE4"/>
    <w:rsid w:val="00193179"/>
    <w:rsid w:val="001932D2"/>
    <w:rsid w:val="00193675"/>
    <w:rsid w:val="0019410C"/>
    <w:rsid w:val="001941D5"/>
    <w:rsid w:val="00194EC3"/>
    <w:rsid w:val="001952BB"/>
    <w:rsid w:val="00195405"/>
    <w:rsid w:val="00195827"/>
    <w:rsid w:val="00195A38"/>
    <w:rsid w:val="00195FB0"/>
    <w:rsid w:val="0019610C"/>
    <w:rsid w:val="00196673"/>
    <w:rsid w:val="001971B3"/>
    <w:rsid w:val="001A0149"/>
    <w:rsid w:val="001A0B22"/>
    <w:rsid w:val="001A0F28"/>
    <w:rsid w:val="001A1197"/>
    <w:rsid w:val="001A11A6"/>
    <w:rsid w:val="001A1547"/>
    <w:rsid w:val="001A1840"/>
    <w:rsid w:val="001A27EA"/>
    <w:rsid w:val="001A3AB0"/>
    <w:rsid w:val="001A4620"/>
    <w:rsid w:val="001A4712"/>
    <w:rsid w:val="001A5DCA"/>
    <w:rsid w:val="001A5E4F"/>
    <w:rsid w:val="001A6BB6"/>
    <w:rsid w:val="001A6C8A"/>
    <w:rsid w:val="001A744F"/>
    <w:rsid w:val="001A7656"/>
    <w:rsid w:val="001A7761"/>
    <w:rsid w:val="001A7FE7"/>
    <w:rsid w:val="001B00A2"/>
    <w:rsid w:val="001B0D6E"/>
    <w:rsid w:val="001B11A0"/>
    <w:rsid w:val="001B1BFD"/>
    <w:rsid w:val="001B1C2E"/>
    <w:rsid w:val="001B1CF2"/>
    <w:rsid w:val="001B1E23"/>
    <w:rsid w:val="001B1ECA"/>
    <w:rsid w:val="001B2333"/>
    <w:rsid w:val="001B27D2"/>
    <w:rsid w:val="001B28AD"/>
    <w:rsid w:val="001B297F"/>
    <w:rsid w:val="001B2D60"/>
    <w:rsid w:val="001B2FD9"/>
    <w:rsid w:val="001B313F"/>
    <w:rsid w:val="001B31B9"/>
    <w:rsid w:val="001B47C1"/>
    <w:rsid w:val="001B4982"/>
    <w:rsid w:val="001B4DE7"/>
    <w:rsid w:val="001B4E5D"/>
    <w:rsid w:val="001B4F8B"/>
    <w:rsid w:val="001B571C"/>
    <w:rsid w:val="001B602B"/>
    <w:rsid w:val="001B66DF"/>
    <w:rsid w:val="001B6B95"/>
    <w:rsid w:val="001B6C3A"/>
    <w:rsid w:val="001B6E6A"/>
    <w:rsid w:val="001B777E"/>
    <w:rsid w:val="001B7832"/>
    <w:rsid w:val="001C03C7"/>
    <w:rsid w:val="001C0E77"/>
    <w:rsid w:val="001C156A"/>
    <w:rsid w:val="001C1868"/>
    <w:rsid w:val="001C202E"/>
    <w:rsid w:val="001C2205"/>
    <w:rsid w:val="001C2F68"/>
    <w:rsid w:val="001C3126"/>
    <w:rsid w:val="001C3AAE"/>
    <w:rsid w:val="001C4747"/>
    <w:rsid w:val="001C4921"/>
    <w:rsid w:val="001C535C"/>
    <w:rsid w:val="001C5763"/>
    <w:rsid w:val="001C5954"/>
    <w:rsid w:val="001C5A3E"/>
    <w:rsid w:val="001C5D4E"/>
    <w:rsid w:val="001C6376"/>
    <w:rsid w:val="001C678A"/>
    <w:rsid w:val="001C769F"/>
    <w:rsid w:val="001D0410"/>
    <w:rsid w:val="001D04A9"/>
    <w:rsid w:val="001D0AAE"/>
    <w:rsid w:val="001D0B56"/>
    <w:rsid w:val="001D0D09"/>
    <w:rsid w:val="001D0F67"/>
    <w:rsid w:val="001D137C"/>
    <w:rsid w:val="001D20E1"/>
    <w:rsid w:val="001D213C"/>
    <w:rsid w:val="001D27B2"/>
    <w:rsid w:val="001D3591"/>
    <w:rsid w:val="001D388A"/>
    <w:rsid w:val="001D4844"/>
    <w:rsid w:val="001D4E0C"/>
    <w:rsid w:val="001D4FDD"/>
    <w:rsid w:val="001D519E"/>
    <w:rsid w:val="001D5FBE"/>
    <w:rsid w:val="001D60F7"/>
    <w:rsid w:val="001D6184"/>
    <w:rsid w:val="001D627D"/>
    <w:rsid w:val="001D6581"/>
    <w:rsid w:val="001D7093"/>
    <w:rsid w:val="001D7A79"/>
    <w:rsid w:val="001D7D57"/>
    <w:rsid w:val="001E0353"/>
    <w:rsid w:val="001E0377"/>
    <w:rsid w:val="001E07AF"/>
    <w:rsid w:val="001E0D98"/>
    <w:rsid w:val="001E0F8A"/>
    <w:rsid w:val="001E1ADF"/>
    <w:rsid w:val="001E1C93"/>
    <w:rsid w:val="001E2157"/>
    <w:rsid w:val="001E292F"/>
    <w:rsid w:val="001E30E8"/>
    <w:rsid w:val="001E36F1"/>
    <w:rsid w:val="001E36F7"/>
    <w:rsid w:val="001E39C5"/>
    <w:rsid w:val="001E4602"/>
    <w:rsid w:val="001E49E0"/>
    <w:rsid w:val="001E5836"/>
    <w:rsid w:val="001E5D25"/>
    <w:rsid w:val="001E5EAA"/>
    <w:rsid w:val="001E6120"/>
    <w:rsid w:val="001E683A"/>
    <w:rsid w:val="001E6FF9"/>
    <w:rsid w:val="001E7524"/>
    <w:rsid w:val="001E7BF9"/>
    <w:rsid w:val="001E7CE9"/>
    <w:rsid w:val="001F0893"/>
    <w:rsid w:val="001F0DF4"/>
    <w:rsid w:val="001F14E6"/>
    <w:rsid w:val="001F174B"/>
    <w:rsid w:val="001F2A6E"/>
    <w:rsid w:val="001F2B03"/>
    <w:rsid w:val="001F2CE7"/>
    <w:rsid w:val="001F2D1E"/>
    <w:rsid w:val="001F4398"/>
    <w:rsid w:val="001F4DB2"/>
    <w:rsid w:val="001F55C1"/>
    <w:rsid w:val="001F57AA"/>
    <w:rsid w:val="001F5891"/>
    <w:rsid w:val="001F6850"/>
    <w:rsid w:val="001F6C35"/>
    <w:rsid w:val="001F6EC8"/>
    <w:rsid w:val="001F6ECD"/>
    <w:rsid w:val="001F743B"/>
    <w:rsid w:val="00200EC7"/>
    <w:rsid w:val="002012BB"/>
    <w:rsid w:val="00201645"/>
    <w:rsid w:val="00201DD5"/>
    <w:rsid w:val="00203621"/>
    <w:rsid w:val="0020386B"/>
    <w:rsid w:val="00204366"/>
    <w:rsid w:val="00204458"/>
    <w:rsid w:val="002048B9"/>
    <w:rsid w:val="00204912"/>
    <w:rsid w:val="00204FE1"/>
    <w:rsid w:val="00205070"/>
    <w:rsid w:val="0020531D"/>
    <w:rsid w:val="00205BAD"/>
    <w:rsid w:val="00205C13"/>
    <w:rsid w:val="00205CD2"/>
    <w:rsid w:val="002064AC"/>
    <w:rsid w:val="00206D0A"/>
    <w:rsid w:val="0020700A"/>
    <w:rsid w:val="002078DF"/>
    <w:rsid w:val="00210A1A"/>
    <w:rsid w:val="00210C0D"/>
    <w:rsid w:val="00210FF3"/>
    <w:rsid w:val="002111F0"/>
    <w:rsid w:val="0021173A"/>
    <w:rsid w:val="0021207B"/>
    <w:rsid w:val="002121A4"/>
    <w:rsid w:val="002130AF"/>
    <w:rsid w:val="00213151"/>
    <w:rsid w:val="002134C9"/>
    <w:rsid w:val="00213570"/>
    <w:rsid w:val="00213784"/>
    <w:rsid w:val="00213FF4"/>
    <w:rsid w:val="0021452B"/>
    <w:rsid w:val="0021457F"/>
    <w:rsid w:val="002156F3"/>
    <w:rsid w:val="002157D0"/>
    <w:rsid w:val="002158C8"/>
    <w:rsid w:val="00215AD2"/>
    <w:rsid w:val="0021627A"/>
    <w:rsid w:val="00217DDD"/>
    <w:rsid w:val="002200B1"/>
    <w:rsid w:val="00220805"/>
    <w:rsid w:val="00221536"/>
    <w:rsid w:val="00221EDB"/>
    <w:rsid w:val="00222B70"/>
    <w:rsid w:val="00222CB3"/>
    <w:rsid w:val="00222F9F"/>
    <w:rsid w:val="00223B13"/>
    <w:rsid w:val="002242D6"/>
    <w:rsid w:val="00224699"/>
    <w:rsid w:val="00224E3A"/>
    <w:rsid w:val="00225604"/>
    <w:rsid w:val="0022570A"/>
    <w:rsid w:val="00225804"/>
    <w:rsid w:val="00225BF8"/>
    <w:rsid w:val="0022638A"/>
    <w:rsid w:val="00226831"/>
    <w:rsid w:val="00226E27"/>
    <w:rsid w:val="00226F5C"/>
    <w:rsid w:val="002273DA"/>
    <w:rsid w:val="0022763B"/>
    <w:rsid w:val="00227C39"/>
    <w:rsid w:val="002305D4"/>
    <w:rsid w:val="002308D4"/>
    <w:rsid w:val="0023132E"/>
    <w:rsid w:val="0023165D"/>
    <w:rsid w:val="00231C49"/>
    <w:rsid w:val="00231DD8"/>
    <w:rsid w:val="00232886"/>
    <w:rsid w:val="00232901"/>
    <w:rsid w:val="002330BE"/>
    <w:rsid w:val="002338D5"/>
    <w:rsid w:val="00233B93"/>
    <w:rsid w:val="00233E12"/>
    <w:rsid w:val="002345DE"/>
    <w:rsid w:val="002347F5"/>
    <w:rsid w:val="00234859"/>
    <w:rsid w:val="00234C81"/>
    <w:rsid w:val="00234CC1"/>
    <w:rsid w:val="0023507D"/>
    <w:rsid w:val="002359C6"/>
    <w:rsid w:val="00235B04"/>
    <w:rsid w:val="002364D4"/>
    <w:rsid w:val="00236737"/>
    <w:rsid w:val="002367D2"/>
    <w:rsid w:val="00236C56"/>
    <w:rsid w:val="0023715A"/>
    <w:rsid w:val="00237CAE"/>
    <w:rsid w:val="00237E0E"/>
    <w:rsid w:val="00237E50"/>
    <w:rsid w:val="00240A2C"/>
    <w:rsid w:val="002410BD"/>
    <w:rsid w:val="002411F6"/>
    <w:rsid w:val="00241854"/>
    <w:rsid w:val="0024282D"/>
    <w:rsid w:val="00242D3D"/>
    <w:rsid w:val="00242EBE"/>
    <w:rsid w:val="00244446"/>
    <w:rsid w:val="00244C9D"/>
    <w:rsid w:val="00245779"/>
    <w:rsid w:val="002458A9"/>
    <w:rsid w:val="00246471"/>
    <w:rsid w:val="002465E9"/>
    <w:rsid w:val="002465F8"/>
    <w:rsid w:val="002466BD"/>
    <w:rsid w:val="00246704"/>
    <w:rsid w:val="002469B5"/>
    <w:rsid w:val="002469F5"/>
    <w:rsid w:val="00246FC9"/>
    <w:rsid w:val="0024728B"/>
    <w:rsid w:val="002476FD"/>
    <w:rsid w:val="00247C34"/>
    <w:rsid w:val="002505EF"/>
    <w:rsid w:val="002512F3"/>
    <w:rsid w:val="00251EBF"/>
    <w:rsid w:val="00251F0C"/>
    <w:rsid w:val="002528C9"/>
    <w:rsid w:val="00252E2A"/>
    <w:rsid w:val="0025363F"/>
    <w:rsid w:val="00253C71"/>
    <w:rsid w:val="002541A9"/>
    <w:rsid w:val="00254A2A"/>
    <w:rsid w:val="00254B3F"/>
    <w:rsid w:val="002553F2"/>
    <w:rsid w:val="002558AB"/>
    <w:rsid w:val="00255ACA"/>
    <w:rsid w:val="002560D1"/>
    <w:rsid w:val="002567BC"/>
    <w:rsid w:val="0025759F"/>
    <w:rsid w:val="00257672"/>
    <w:rsid w:val="00257816"/>
    <w:rsid w:val="002601E7"/>
    <w:rsid w:val="00260CD8"/>
    <w:rsid w:val="0026105B"/>
    <w:rsid w:val="002618F4"/>
    <w:rsid w:val="00261A97"/>
    <w:rsid w:val="002632D9"/>
    <w:rsid w:val="00263777"/>
    <w:rsid w:val="002638E7"/>
    <w:rsid w:val="0026397C"/>
    <w:rsid w:val="00263AEF"/>
    <w:rsid w:val="00263FCB"/>
    <w:rsid w:val="0026421A"/>
    <w:rsid w:val="00264932"/>
    <w:rsid w:val="00264E0C"/>
    <w:rsid w:val="00264EF5"/>
    <w:rsid w:val="0026642F"/>
    <w:rsid w:val="00266E6E"/>
    <w:rsid w:val="00267072"/>
    <w:rsid w:val="00270585"/>
    <w:rsid w:val="00270778"/>
    <w:rsid w:val="00270A40"/>
    <w:rsid w:val="00271151"/>
    <w:rsid w:val="0027248C"/>
    <w:rsid w:val="002727FF"/>
    <w:rsid w:val="00273005"/>
    <w:rsid w:val="002733B5"/>
    <w:rsid w:val="00273633"/>
    <w:rsid w:val="00273EFE"/>
    <w:rsid w:val="002743B4"/>
    <w:rsid w:val="0027472C"/>
    <w:rsid w:val="00275416"/>
    <w:rsid w:val="00275686"/>
    <w:rsid w:val="00276160"/>
    <w:rsid w:val="00276A23"/>
    <w:rsid w:val="002770B3"/>
    <w:rsid w:val="00277165"/>
    <w:rsid w:val="002771C1"/>
    <w:rsid w:val="00277431"/>
    <w:rsid w:val="0027773F"/>
    <w:rsid w:val="002777F4"/>
    <w:rsid w:val="00277D66"/>
    <w:rsid w:val="00280017"/>
    <w:rsid w:val="00280422"/>
    <w:rsid w:val="002806F3"/>
    <w:rsid w:val="002807D1"/>
    <w:rsid w:val="002808E9"/>
    <w:rsid w:val="00280A7B"/>
    <w:rsid w:val="00280B99"/>
    <w:rsid w:val="00280EC0"/>
    <w:rsid w:val="002810A0"/>
    <w:rsid w:val="00281515"/>
    <w:rsid w:val="00281868"/>
    <w:rsid w:val="0028194F"/>
    <w:rsid w:val="00281F7E"/>
    <w:rsid w:val="00282366"/>
    <w:rsid w:val="00282392"/>
    <w:rsid w:val="0028246D"/>
    <w:rsid w:val="002827D0"/>
    <w:rsid w:val="0028294B"/>
    <w:rsid w:val="00282D86"/>
    <w:rsid w:val="002833CD"/>
    <w:rsid w:val="00283499"/>
    <w:rsid w:val="00283ACC"/>
    <w:rsid w:val="0028482A"/>
    <w:rsid w:val="002857CE"/>
    <w:rsid w:val="002860E4"/>
    <w:rsid w:val="00286F4D"/>
    <w:rsid w:val="002872CD"/>
    <w:rsid w:val="0028742E"/>
    <w:rsid w:val="00287563"/>
    <w:rsid w:val="002878C0"/>
    <w:rsid w:val="00290B0D"/>
    <w:rsid w:val="00291640"/>
    <w:rsid w:val="0029244E"/>
    <w:rsid w:val="00294473"/>
    <w:rsid w:val="00295F88"/>
    <w:rsid w:val="002963BE"/>
    <w:rsid w:val="0029691B"/>
    <w:rsid w:val="00297414"/>
    <w:rsid w:val="002974B2"/>
    <w:rsid w:val="002A00E0"/>
    <w:rsid w:val="002A00E4"/>
    <w:rsid w:val="002A132B"/>
    <w:rsid w:val="002A1714"/>
    <w:rsid w:val="002A18CE"/>
    <w:rsid w:val="002A2021"/>
    <w:rsid w:val="002A20A2"/>
    <w:rsid w:val="002A2113"/>
    <w:rsid w:val="002A21B9"/>
    <w:rsid w:val="002A2228"/>
    <w:rsid w:val="002A2D46"/>
    <w:rsid w:val="002A2FB8"/>
    <w:rsid w:val="002A3227"/>
    <w:rsid w:val="002A322C"/>
    <w:rsid w:val="002A3A34"/>
    <w:rsid w:val="002A3AB1"/>
    <w:rsid w:val="002A3D1A"/>
    <w:rsid w:val="002A3D3F"/>
    <w:rsid w:val="002A4195"/>
    <w:rsid w:val="002A448F"/>
    <w:rsid w:val="002A4FB2"/>
    <w:rsid w:val="002A5932"/>
    <w:rsid w:val="002A5B83"/>
    <w:rsid w:val="002A5E22"/>
    <w:rsid w:val="002A7057"/>
    <w:rsid w:val="002A72D6"/>
    <w:rsid w:val="002A7361"/>
    <w:rsid w:val="002A76AC"/>
    <w:rsid w:val="002B00AA"/>
    <w:rsid w:val="002B0737"/>
    <w:rsid w:val="002B119F"/>
    <w:rsid w:val="002B154B"/>
    <w:rsid w:val="002B1653"/>
    <w:rsid w:val="002B1B82"/>
    <w:rsid w:val="002B1BE9"/>
    <w:rsid w:val="002B2034"/>
    <w:rsid w:val="002B2094"/>
    <w:rsid w:val="002B22EB"/>
    <w:rsid w:val="002B24F2"/>
    <w:rsid w:val="002B291E"/>
    <w:rsid w:val="002B2A09"/>
    <w:rsid w:val="002B2F40"/>
    <w:rsid w:val="002B396B"/>
    <w:rsid w:val="002B39F9"/>
    <w:rsid w:val="002B4861"/>
    <w:rsid w:val="002B4B07"/>
    <w:rsid w:val="002B530F"/>
    <w:rsid w:val="002B5463"/>
    <w:rsid w:val="002B5BB6"/>
    <w:rsid w:val="002B640A"/>
    <w:rsid w:val="002B66BC"/>
    <w:rsid w:val="002B670C"/>
    <w:rsid w:val="002B691F"/>
    <w:rsid w:val="002B757E"/>
    <w:rsid w:val="002B7AC0"/>
    <w:rsid w:val="002B7D11"/>
    <w:rsid w:val="002C0033"/>
    <w:rsid w:val="002C055D"/>
    <w:rsid w:val="002C0590"/>
    <w:rsid w:val="002C080E"/>
    <w:rsid w:val="002C0AED"/>
    <w:rsid w:val="002C1683"/>
    <w:rsid w:val="002C16C8"/>
    <w:rsid w:val="002C17DB"/>
    <w:rsid w:val="002C1EEE"/>
    <w:rsid w:val="002C2116"/>
    <w:rsid w:val="002C27EC"/>
    <w:rsid w:val="002C2A6E"/>
    <w:rsid w:val="002C2FF5"/>
    <w:rsid w:val="002C3359"/>
    <w:rsid w:val="002C3639"/>
    <w:rsid w:val="002C3911"/>
    <w:rsid w:val="002C395E"/>
    <w:rsid w:val="002C44DD"/>
    <w:rsid w:val="002C4536"/>
    <w:rsid w:val="002C507C"/>
    <w:rsid w:val="002C5154"/>
    <w:rsid w:val="002C5441"/>
    <w:rsid w:val="002C5DA0"/>
    <w:rsid w:val="002C5E58"/>
    <w:rsid w:val="002C6ACA"/>
    <w:rsid w:val="002C6EE9"/>
    <w:rsid w:val="002D0129"/>
    <w:rsid w:val="002D01A2"/>
    <w:rsid w:val="002D041A"/>
    <w:rsid w:val="002D0534"/>
    <w:rsid w:val="002D0947"/>
    <w:rsid w:val="002D1EDF"/>
    <w:rsid w:val="002D2AD4"/>
    <w:rsid w:val="002D2B36"/>
    <w:rsid w:val="002D2D57"/>
    <w:rsid w:val="002D30ED"/>
    <w:rsid w:val="002D3164"/>
    <w:rsid w:val="002D3799"/>
    <w:rsid w:val="002D4020"/>
    <w:rsid w:val="002D4115"/>
    <w:rsid w:val="002D4B17"/>
    <w:rsid w:val="002D4C82"/>
    <w:rsid w:val="002D4EDE"/>
    <w:rsid w:val="002D4FD1"/>
    <w:rsid w:val="002D60C3"/>
    <w:rsid w:val="002D613F"/>
    <w:rsid w:val="002D6B89"/>
    <w:rsid w:val="002D6E2E"/>
    <w:rsid w:val="002D71DD"/>
    <w:rsid w:val="002D74F2"/>
    <w:rsid w:val="002D773E"/>
    <w:rsid w:val="002E025F"/>
    <w:rsid w:val="002E0C34"/>
    <w:rsid w:val="002E12D3"/>
    <w:rsid w:val="002E13E8"/>
    <w:rsid w:val="002E1960"/>
    <w:rsid w:val="002E2D90"/>
    <w:rsid w:val="002E2DEC"/>
    <w:rsid w:val="002E3B20"/>
    <w:rsid w:val="002E3B6D"/>
    <w:rsid w:val="002E63A1"/>
    <w:rsid w:val="002E6B87"/>
    <w:rsid w:val="002E7061"/>
    <w:rsid w:val="002E7245"/>
    <w:rsid w:val="002E79EB"/>
    <w:rsid w:val="002E7B08"/>
    <w:rsid w:val="002F0930"/>
    <w:rsid w:val="002F0C66"/>
    <w:rsid w:val="002F0D90"/>
    <w:rsid w:val="002F1492"/>
    <w:rsid w:val="002F1775"/>
    <w:rsid w:val="002F1D7B"/>
    <w:rsid w:val="002F375B"/>
    <w:rsid w:val="002F420E"/>
    <w:rsid w:val="002F429A"/>
    <w:rsid w:val="002F5BC6"/>
    <w:rsid w:val="002F5D2A"/>
    <w:rsid w:val="002F75A0"/>
    <w:rsid w:val="002F767F"/>
    <w:rsid w:val="003000AE"/>
    <w:rsid w:val="00300646"/>
    <w:rsid w:val="00300649"/>
    <w:rsid w:val="00300977"/>
    <w:rsid w:val="00301472"/>
    <w:rsid w:val="0030182A"/>
    <w:rsid w:val="00301D3E"/>
    <w:rsid w:val="00301E2F"/>
    <w:rsid w:val="00302112"/>
    <w:rsid w:val="00302297"/>
    <w:rsid w:val="00302AF2"/>
    <w:rsid w:val="00302CF5"/>
    <w:rsid w:val="00302D68"/>
    <w:rsid w:val="003032CB"/>
    <w:rsid w:val="003033AB"/>
    <w:rsid w:val="00304204"/>
    <w:rsid w:val="00304883"/>
    <w:rsid w:val="00304C9C"/>
    <w:rsid w:val="0030594A"/>
    <w:rsid w:val="00305A0A"/>
    <w:rsid w:val="00305A5B"/>
    <w:rsid w:val="00306660"/>
    <w:rsid w:val="0030691B"/>
    <w:rsid w:val="00306AB1"/>
    <w:rsid w:val="0030715D"/>
    <w:rsid w:val="0030750C"/>
    <w:rsid w:val="00307D6C"/>
    <w:rsid w:val="0031031C"/>
    <w:rsid w:val="00310556"/>
    <w:rsid w:val="00310DAC"/>
    <w:rsid w:val="00310FD6"/>
    <w:rsid w:val="003110EF"/>
    <w:rsid w:val="0031127F"/>
    <w:rsid w:val="00311625"/>
    <w:rsid w:val="00311CBC"/>
    <w:rsid w:val="00312001"/>
    <w:rsid w:val="00312781"/>
    <w:rsid w:val="00313CDA"/>
    <w:rsid w:val="003145DD"/>
    <w:rsid w:val="003147DD"/>
    <w:rsid w:val="00315998"/>
    <w:rsid w:val="00315A3A"/>
    <w:rsid w:val="00316728"/>
    <w:rsid w:val="00316A6A"/>
    <w:rsid w:val="00316CDE"/>
    <w:rsid w:val="00317595"/>
    <w:rsid w:val="003177A4"/>
    <w:rsid w:val="00317B9D"/>
    <w:rsid w:val="00320C94"/>
    <w:rsid w:val="00320EC6"/>
    <w:rsid w:val="003215A5"/>
    <w:rsid w:val="00321D76"/>
    <w:rsid w:val="00321E75"/>
    <w:rsid w:val="0032216D"/>
    <w:rsid w:val="00322432"/>
    <w:rsid w:val="00322639"/>
    <w:rsid w:val="00322976"/>
    <w:rsid w:val="00322A3E"/>
    <w:rsid w:val="00323543"/>
    <w:rsid w:val="00323C3F"/>
    <w:rsid w:val="00323F27"/>
    <w:rsid w:val="003240C7"/>
    <w:rsid w:val="00324371"/>
    <w:rsid w:val="00324549"/>
    <w:rsid w:val="003249E6"/>
    <w:rsid w:val="00325CEA"/>
    <w:rsid w:val="00325F53"/>
    <w:rsid w:val="0032600E"/>
    <w:rsid w:val="003261B2"/>
    <w:rsid w:val="00326586"/>
    <w:rsid w:val="0032693A"/>
    <w:rsid w:val="0032727A"/>
    <w:rsid w:val="003275E5"/>
    <w:rsid w:val="0032795A"/>
    <w:rsid w:val="00327A6D"/>
    <w:rsid w:val="00331794"/>
    <w:rsid w:val="00331899"/>
    <w:rsid w:val="00331BD0"/>
    <w:rsid w:val="00331DBD"/>
    <w:rsid w:val="00332462"/>
    <w:rsid w:val="003325BB"/>
    <w:rsid w:val="00332B9C"/>
    <w:rsid w:val="00334849"/>
    <w:rsid w:val="00335040"/>
    <w:rsid w:val="003352BF"/>
    <w:rsid w:val="003356A7"/>
    <w:rsid w:val="0033571B"/>
    <w:rsid w:val="00335E3E"/>
    <w:rsid w:val="00336116"/>
    <w:rsid w:val="003363FF"/>
    <w:rsid w:val="00336946"/>
    <w:rsid w:val="00336C7F"/>
    <w:rsid w:val="00336F9C"/>
    <w:rsid w:val="0033712F"/>
    <w:rsid w:val="00337749"/>
    <w:rsid w:val="003378C1"/>
    <w:rsid w:val="00337CF3"/>
    <w:rsid w:val="00337F6E"/>
    <w:rsid w:val="003400F9"/>
    <w:rsid w:val="003406A6"/>
    <w:rsid w:val="00340813"/>
    <w:rsid w:val="003412A1"/>
    <w:rsid w:val="00341828"/>
    <w:rsid w:val="00342114"/>
    <w:rsid w:val="00342B15"/>
    <w:rsid w:val="00342DBF"/>
    <w:rsid w:val="0034300F"/>
    <w:rsid w:val="00343832"/>
    <w:rsid w:val="00343B92"/>
    <w:rsid w:val="00343F08"/>
    <w:rsid w:val="00343F1E"/>
    <w:rsid w:val="003445B2"/>
    <w:rsid w:val="00344C71"/>
    <w:rsid w:val="00345942"/>
    <w:rsid w:val="00345EC8"/>
    <w:rsid w:val="00346125"/>
    <w:rsid w:val="00346257"/>
    <w:rsid w:val="00346AC6"/>
    <w:rsid w:val="003471A5"/>
    <w:rsid w:val="0034727B"/>
    <w:rsid w:val="00347702"/>
    <w:rsid w:val="003478B7"/>
    <w:rsid w:val="00350478"/>
    <w:rsid w:val="003507E9"/>
    <w:rsid w:val="00350F0F"/>
    <w:rsid w:val="00351545"/>
    <w:rsid w:val="003515AF"/>
    <w:rsid w:val="00351649"/>
    <w:rsid w:val="00351DB8"/>
    <w:rsid w:val="00351DBE"/>
    <w:rsid w:val="00351F88"/>
    <w:rsid w:val="00352104"/>
    <w:rsid w:val="003522EF"/>
    <w:rsid w:val="00352C6D"/>
    <w:rsid w:val="00352CF3"/>
    <w:rsid w:val="00353132"/>
    <w:rsid w:val="003539D8"/>
    <w:rsid w:val="00353B2C"/>
    <w:rsid w:val="00353CDA"/>
    <w:rsid w:val="003543C5"/>
    <w:rsid w:val="00354926"/>
    <w:rsid w:val="00354B04"/>
    <w:rsid w:val="0035506D"/>
    <w:rsid w:val="003556DA"/>
    <w:rsid w:val="0035620D"/>
    <w:rsid w:val="00356A3D"/>
    <w:rsid w:val="003577CB"/>
    <w:rsid w:val="00357F06"/>
    <w:rsid w:val="00360453"/>
    <w:rsid w:val="003612A0"/>
    <w:rsid w:val="003613E4"/>
    <w:rsid w:val="00361831"/>
    <w:rsid w:val="00362D6F"/>
    <w:rsid w:val="0036316F"/>
    <w:rsid w:val="00364910"/>
    <w:rsid w:val="003653BC"/>
    <w:rsid w:val="00365A10"/>
    <w:rsid w:val="00365E2A"/>
    <w:rsid w:val="00365EB1"/>
    <w:rsid w:val="003663AF"/>
    <w:rsid w:val="00366679"/>
    <w:rsid w:val="003669EB"/>
    <w:rsid w:val="00367117"/>
    <w:rsid w:val="0036715D"/>
    <w:rsid w:val="003675B7"/>
    <w:rsid w:val="00367760"/>
    <w:rsid w:val="00367A58"/>
    <w:rsid w:val="00370385"/>
    <w:rsid w:val="0037061D"/>
    <w:rsid w:val="003707B1"/>
    <w:rsid w:val="00370C73"/>
    <w:rsid w:val="003713E1"/>
    <w:rsid w:val="0037189A"/>
    <w:rsid w:val="00371DC0"/>
    <w:rsid w:val="00371F17"/>
    <w:rsid w:val="00371F36"/>
    <w:rsid w:val="00372E17"/>
    <w:rsid w:val="00373506"/>
    <w:rsid w:val="00373E44"/>
    <w:rsid w:val="00374192"/>
    <w:rsid w:val="00375193"/>
    <w:rsid w:val="003751A1"/>
    <w:rsid w:val="003752BD"/>
    <w:rsid w:val="003757D0"/>
    <w:rsid w:val="00375FF2"/>
    <w:rsid w:val="00375FFD"/>
    <w:rsid w:val="003765EE"/>
    <w:rsid w:val="00376C97"/>
    <w:rsid w:val="00376F5C"/>
    <w:rsid w:val="00380361"/>
    <w:rsid w:val="0038064D"/>
    <w:rsid w:val="0038099E"/>
    <w:rsid w:val="00380C74"/>
    <w:rsid w:val="00380E1B"/>
    <w:rsid w:val="00380F32"/>
    <w:rsid w:val="00381118"/>
    <w:rsid w:val="00381315"/>
    <w:rsid w:val="00381470"/>
    <w:rsid w:val="00381B0A"/>
    <w:rsid w:val="00381DF8"/>
    <w:rsid w:val="0038215B"/>
    <w:rsid w:val="00382975"/>
    <w:rsid w:val="00382A73"/>
    <w:rsid w:val="00382C75"/>
    <w:rsid w:val="00382EE5"/>
    <w:rsid w:val="0038395A"/>
    <w:rsid w:val="0038399E"/>
    <w:rsid w:val="00384887"/>
    <w:rsid w:val="003848FA"/>
    <w:rsid w:val="003854B1"/>
    <w:rsid w:val="003868FB"/>
    <w:rsid w:val="00386BDB"/>
    <w:rsid w:val="00387417"/>
    <w:rsid w:val="0039003E"/>
    <w:rsid w:val="00390138"/>
    <w:rsid w:val="00390214"/>
    <w:rsid w:val="0039045B"/>
    <w:rsid w:val="003905AE"/>
    <w:rsid w:val="00390AEC"/>
    <w:rsid w:val="003911FC"/>
    <w:rsid w:val="003913B4"/>
    <w:rsid w:val="003913CD"/>
    <w:rsid w:val="0039153E"/>
    <w:rsid w:val="003917FC"/>
    <w:rsid w:val="00391E2C"/>
    <w:rsid w:val="0039212C"/>
    <w:rsid w:val="00392144"/>
    <w:rsid w:val="0039264F"/>
    <w:rsid w:val="00392C3F"/>
    <w:rsid w:val="00392FB1"/>
    <w:rsid w:val="003930D4"/>
    <w:rsid w:val="0039326E"/>
    <w:rsid w:val="00393860"/>
    <w:rsid w:val="00393BE5"/>
    <w:rsid w:val="003943D4"/>
    <w:rsid w:val="00395558"/>
    <w:rsid w:val="00395621"/>
    <w:rsid w:val="00395BB6"/>
    <w:rsid w:val="00395BD6"/>
    <w:rsid w:val="00395C88"/>
    <w:rsid w:val="00395FBF"/>
    <w:rsid w:val="00396182"/>
    <w:rsid w:val="00396468"/>
    <w:rsid w:val="00396AD9"/>
    <w:rsid w:val="00397724"/>
    <w:rsid w:val="00397D8E"/>
    <w:rsid w:val="003A086C"/>
    <w:rsid w:val="003A12E4"/>
    <w:rsid w:val="003A13D0"/>
    <w:rsid w:val="003A16AD"/>
    <w:rsid w:val="003A1EFD"/>
    <w:rsid w:val="003A35ED"/>
    <w:rsid w:val="003A387B"/>
    <w:rsid w:val="003A3C19"/>
    <w:rsid w:val="003A3FE3"/>
    <w:rsid w:val="003A438A"/>
    <w:rsid w:val="003A46EE"/>
    <w:rsid w:val="003A48A6"/>
    <w:rsid w:val="003A4A44"/>
    <w:rsid w:val="003A4B48"/>
    <w:rsid w:val="003A4BC9"/>
    <w:rsid w:val="003A5062"/>
    <w:rsid w:val="003A5E6C"/>
    <w:rsid w:val="003A6356"/>
    <w:rsid w:val="003A665B"/>
    <w:rsid w:val="003A79A4"/>
    <w:rsid w:val="003A7C60"/>
    <w:rsid w:val="003B0778"/>
    <w:rsid w:val="003B0A4A"/>
    <w:rsid w:val="003B0DA0"/>
    <w:rsid w:val="003B0EFA"/>
    <w:rsid w:val="003B146F"/>
    <w:rsid w:val="003B1BDD"/>
    <w:rsid w:val="003B225B"/>
    <w:rsid w:val="003B2814"/>
    <w:rsid w:val="003B2A14"/>
    <w:rsid w:val="003B2E42"/>
    <w:rsid w:val="003B302F"/>
    <w:rsid w:val="003B31D7"/>
    <w:rsid w:val="003B36FC"/>
    <w:rsid w:val="003B3BE1"/>
    <w:rsid w:val="003B46B3"/>
    <w:rsid w:val="003B4AB7"/>
    <w:rsid w:val="003B54DB"/>
    <w:rsid w:val="003B5BF1"/>
    <w:rsid w:val="003B60E9"/>
    <w:rsid w:val="003B632E"/>
    <w:rsid w:val="003B6AE2"/>
    <w:rsid w:val="003B76E7"/>
    <w:rsid w:val="003B7A41"/>
    <w:rsid w:val="003B7D0D"/>
    <w:rsid w:val="003B7E62"/>
    <w:rsid w:val="003C0317"/>
    <w:rsid w:val="003C0354"/>
    <w:rsid w:val="003C0643"/>
    <w:rsid w:val="003C07E5"/>
    <w:rsid w:val="003C3102"/>
    <w:rsid w:val="003C4347"/>
    <w:rsid w:val="003C4407"/>
    <w:rsid w:val="003C4AB0"/>
    <w:rsid w:val="003C61A6"/>
    <w:rsid w:val="003C61C8"/>
    <w:rsid w:val="003C63E1"/>
    <w:rsid w:val="003C7319"/>
    <w:rsid w:val="003C756E"/>
    <w:rsid w:val="003C77BC"/>
    <w:rsid w:val="003C7E9B"/>
    <w:rsid w:val="003D0E65"/>
    <w:rsid w:val="003D10A3"/>
    <w:rsid w:val="003D1385"/>
    <w:rsid w:val="003D1CBF"/>
    <w:rsid w:val="003D2304"/>
    <w:rsid w:val="003D2A85"/>
    <w:rsid w:val="003D2CAB"/>
    <w:rsid w:val="003D33BD"/>
    <w:rsid w:val="003D3BB5"/>
    <w:rsid w:val="003D3EF7"/>
    <w:rsid w:val="003D4147"/>
    <w:rsid w:val="003D4477"/>
    <w:rsid w:val="003D4A63"/>
    <w:rsid w:val="003D5591"/>
    <w:rsid w:val="003D5F1E"/>
    <w:rsid w:val="003D6956"/>
    <w:rsid w:val="003D6E5C"/>
    <w:rsid w:val="003D72A6"/>
    <w:rsid w:val="003D73B8"/>
    <w:rsid w:val="003D7858"/>
    <w:rsid w:val="003D7E30"/>
    <w:rsid w:val="003E05E1"/>
    <w:rsid w:val="003E0986"/>
    <w:rsid w:val="003E0A23"/>
    <w:rsid w:val="003E0DA7"/>
    <w:rsid w:val="003E0DD0"/>
    <w:rsid w:val="003E263F"/>
    <w:rsid w:val="003E266D"/>
    <w:rsid w:val="003E331C"/>
    <w:rsid w:val="003E3A55"/>
    <w:rsid w:val="003E514B"/>
    <w:rsid w:val="003E66D2"/>
    <w:rsid w:val="003E7264"/>
    <w:rsid w:val="003E72B1"/>
    <w:rsid w:val="003E75E0"/>
    <w:rsid w:val="003E7D26"/>
    <w:rsid w:val="003E7DF1"/>
    <w:rsid w:val="003F0703"/>
    <w:rsid w:val="003F0955"/>
    <w:rsid w:val="003F0A37"/>
    <w:rsid w:val="003F0DDB"/>
    <w:rsid w:val="003F20B8"/>
    <w:rsid w:val="003F2467"/>
    <w:rsid w:val="003F2861"/>
    <w:rsid w:val="003F29AF"/>
    <w:rsid w:val="003F2D97"/>
    <w:rsid w:val="003F3BCD"/>
    <w:rsid w:val="003F3D60"/>
    <w:rsid w:val="003F3F4B"/>
    <w:rsid w:val="003F3F5F"/>
    <w:rsid w:val="003F47B9"/>
    <w:rsid w:val="003F4874"/>
    <w:rsid w:val="003F4DE7"/>
    <w:rsid w:val="003F5028"/>
    <w:rsid w:val="003F5A8C"/>
    <w:rsid w:val="003F6062"/>
    <w:rsid w:val="003F62E7"/>
    <w:rsid w:val="003F6EAA"/>
    <w:rsid w:val="003F7024"/>
    <w:rsid w:val="003F7155"/>
    <w:rsid w:val="00400112"/>
    <w:rsid w:val="00400352"/>
    <w:rsid w:val="00400C59"/>
    <w:rsid w:val="00400D03"/>
    <w:rsid w:val="004018E5"/>
    <w:rsid w:val="00403015"/>
    <w:rsid w:val="00403D53"/>
    <w:rsid w:val="00404416"/>
    <w:rsid w:val="00404B13"/>
    <w:rsid w:val="00404C02"/>
    <w:rsid w:val="00405AB2"/>
    <w:rsid w:val="00406206"/>
    <w:rsid w:val="00406215"/>
    <w:rsid w:val="00407776"/>
    <w:rsid w:val="00407BBE"/>
    <w:rsid w:val="0041039E"/>
    <w:rsid w:val="0041093D"/>
    <w:rsid w:val="00410C38"/>
    <w:rsid w:val="00410C46"/>
    <w:rsid w:val="00410DFE"/>
    <w:rsid w:val="00410E0D"/>
    <w:rsid w:val="00411891"/>
    <w:rsid w:val="0041191C"/>
    <w:rsid w:val="004125B9"/>
    <w:rsid w:val="004128A1"/>
    <w:rsid w:val="00412CC7"/>
    <w:rsid w:val="00412D9D"/>
    <w:rsid w:val="00412EB2"/>
    <w:rsid w:val="00413A80"/>
    <w:rsid w:val="004142E0"/>
    <w:rsid w:val="00414672"/>
    <w:rsid w:val="00414BBA"/>
    <w:rsid w:val="00414D78"/>
    <w:rsid w:val="0041513E"/>
    <w:rsid w:val="00416427"/>
    <w:rsid w:val="004171D4"/>
    <w:rsid w:val="0041746A"/>
    <w:rsid w:val="00417534"/>
    <w:rsid w:val="00420BD1"/>
    <w:rsid w:val="00420E19"/>
    <w:rsid w:val="004211AF"/>
    <w:rsid w:val="0042184D"/>
    <w:rsid w:val="004218E9"/>
    <w:rsid w:val="00421A64"/>
    <w:rsid w:val="00421B43"/>
    <w:rsid w:val="00422C98"/>
    <w:rsid w:val="00422D99"/>
    <w:rsid w:val="0042343F"/>
    <w:rsid w:val="00423754"/>
    <w:rsid w:val="00424552"/>
    <w:rsid w:val="0042496C"/>
    <w:rsid w:val="004249EB"/>
    <w:rsid w:val="00425622"/>
    <w:rsid w:val="004256A4"/>
    <w:rsid w:val="00425C30"/>
    <w:rsid w:val="00426A08"/>
    <w:rsid w:val="004272DB"/>
    <w:rsid w:val="00427613"/>
    <w:rsid w:val="00427DF9"/>
    <w:rsid w:val="004304D2"/>
    <w:rsid w:val="00430A88"/>
    <w:rsid w:val="004310D9"/>
    <w:rsid w:val="00431320"/>
    <w:rsid w:val="004313B0"/>
    <w:rsid w:val="0043163F"/>
    <w:rsid w:val="00431A86"/>
    <w:rsid w:val="00431B29"/>
    <w:rsid w:val="00431BB3"/>
    <w:rsid w:val="00431D08"/>
    <w:rsid w:val="00431D4B"/>
    <w:rsid w:val="00432251"/>
    <w:rsid w:val="0043255A"/>
    <w:rsid w:val="0043264A"/>
    <w:rsid w:val="0043286B"/>
    <w:rsid w:val="00432A73"/>
    <w:rsid w:val="0043395D"/>
    <w:rsid w:val="00433AC1"/>
    <w:rsid w:val="00433E6C"/>
    <w:rsid w:val="00434A37"/>
    <w:rsid w:val="00434B92"/>
    <w:rsid w:val="004355F8"/>
    <w:rsid w:val="00435F57"/>
    <w:rsid w:val="00436548"/>
    <w:rsid w:val="00436731"/>
    <w:rsid w:val="004369BA"/>
    <w:rsid w:val="0043720C"/>
    <w:rsid w:val="004374BC"/>
    <w:rsid w:val="004379D2"/>
    <w:rsid w:val="004379EB"/>
    <w:rsid w:val="00437C8F"/>
    <w:rsid w:val="0044035A"/>
    <w:rsid w:val="004405D1"/>
    <w:rsid w:val="0044078F"/>
    <w:rsid w:val="00440BB5"/>
    <w:rsid w:val="00441168"/>
    <w:rsid w:val="004428FC"/>
    <w:rsid w:val="00442B8C"/>
    <w:rsid w:val="004432F8"/>
    <w:rsid w:val="00443A7F"/>
    <w:rsid w:val="0044437B"/>
    <w:rsid w:val="00444ABB"/>
    <w:rsid w:val="00444D42"/>
    <w:rsid w:val="00444E6E"/>
    <w:rsid w:val="004457AB"/>
    <w:rsid w:val="004459DD"/>
    <w:rsid w:val="00445C6E"/>
    <w:rsid w:val="004465F4"/>
    <w:rsid w:val="004467C7"/>
    <w:rsid w:val="0044687C"/>
    <w:rsid w:val="0045009A"/>
    <w:rsid w:val="00450441"/>
    <w:rsid w:val="00450A0C"/>
    <w:rsid w:val="00450A21"/>
    <w:rsid w:val="00450C9E"/>
    <w:rsid w:val="00450E02"/>
    <w:rsid w:val="00451553"/>
    <w:rsid w:val="004518F6"/>
    <w:rsid w:val="00452203"/>
    <w:rsid w:val="00452F41"/>
    <w:rsid w:val="004531B8"/>
    <w:rsid w:val="00453989"/>
    <w:rsid w:val="00453D0A"/>
    <w:rsid w:val="00453DF4"/>
    <w:rsid w:val="0045416A"/>
    <w:rsid w:val="00454A9B"/>
    <w:rsid w:val="00454E19"/>
    <w:rsid w:val="00454ECB"/>
    <w:rsid w:val="0045566D"/>
    <w:rsid w:val="00455953"/>
    <w:rsid w:val="00455AA1"/>
    <w:rsid w:val="00455B50"/>
    <w:rsid w:val="00455BE4"/>
    <w:rsid w:val="00456178"/>
    <w:rsid w:val="004574B0"/>
    <w:rsid w:val="004577D3"/>
    <w:rsid w:val="00457A43"/>
    <w:rsid w:val="004605E0"/>
    <w:rsid w:val="0046088E"/>
    <w:rsid w:val="00460D33"/>
    <w:rsid w:val="00460DB1"/>
    <w:rsid w:val="00460DE0"/>
    <w:rsid w:val="004611EE"/>
    <w:rsid w:val="00461A40"/>
    <w:rsid w:val="00461E35"/>
    <w:rsid w:val="00462FE5"/>
    <w:rsid w:val="0046322B"/>
    <w:rsid w:val="00463ECA"/>
    <w:rsid w:val="00464660"/>
    <w:rsid w:val="00465A42"/>
    <w:rsid w:val="004660F5"/>
    <w:rsid w:val="004662D8"/>
    <w:rsid w:val="0046647D"/>
    <w:rsid w:val="004665AC"/>
    <w:rsid w:val="00466BAE"/>
    <w:rsid w:val="00466FBF"/>
    <w:rsid w:val="00467AA6"/>
    <w:rsid w:val="00467F73"/>
    <w:rsid w:val="004700AB"/>
    <w:rsid w:val="0047052C"/>
    <w:rsid w:val="00471142"/>
    <w:rsid w:val="0047186F"/>
    <w:rsid w:val="00471CDA"/>
    <w:rsid w:val="0047265E"/>
    <w:rsid w:val="004728F2"/>
    <w:rsid w:val="00473900"/>
    <w:rsid w:val="00473A67"/>
    <w:rsid w:val="00473AD6"/>
    <w:rsid w:val="004742B4"/>
    <w:rsid w:val="004742B8"/>
    <w:rsid w:val="00474384"/>
    <w:rsid w:val="004744BF"/>
    <w:rsid w:val="004754DA"/>
    <w:rsid w:val="0047590D"/>
    <w:rsid w:val="00475980"/>
    <w:rsid w:val="00475DFA"/>
    <w:rsid w:val="00475E2B"/>
    <w:rsid w:val="00476063"/>
    <w:rsid w:val="00476A79"/>
    <w:rsid w:val="00477766"/>
    <w:rsid w:val="00477AAC"/>
    <w:rsid w:val="004807E4"/>
    <w:rsid w:val="00480D13"/>
    <w:rsid w:val="0048178A"/>
    <w:rsid w:val="00481B64"/>
    <w:rsid w:val="00481FB2"/>
    <w:rsid w:val="0048206D"/>
    <w:rsid w:val="004828BF"/>
    <w:rsid w:val="00482AEA"/>
    <w:rsid w:val="00482F0B"/>
    <w:rsid w:val="0048322F"/>
    <w:rsid w:val="00483AD4"/>
    <w:rsid w:val="00483C84"/>
    <w:rsid w:val="00483E1D"/>
    <w:rsid w:val="0048489C"/>
    <w:rsid w:val="004848FD"/>
    <w:rsid w:val="00484F37"/>
    <w:rsid w:val="00486137"/>
    <w:rsid w:val="004862E4"/>
    <w:rsid w:val="0048696A"/>
    <w:rsid w:val="00486EEA"/>
    <w:rsid w:val="004875C1"/>
    <w:rsid w:val="00487ADA"/>
    <w:rsid w:val="00487C77"/>
    <w:rsid w:val="00487F08"/>
    <w:rsid w:val="00491AC6"/>
    <w:rsid w:val="00493304"/>
    <w:rsid w:val="004938EC"/>
    <w:rsid w:val="0049426E"/>
    <w:rsid w:val="0049436D"/>
    <w:rsid w:val="00494B65"/>
    <w:rsid w:val="0049586C"/>
    <w:rsid w:val="004958EE"/>
    <w:rsid w:val="00495A46"/>
    <w:rsid w:val="00495DDD"/>
    <w:rsid w:val="0049608D"/>
    <w:rsid w:val="00496422"/>
    <w:rsid w:val="00496544"/>
    <w:rsid w:val="00496FDE"/>
    <w:rsid w:val="004970CC"/>
    <w:rsid w:val="00497A77"/>
    <w:rsid w:val="00497C93"/>
    <w:rsid w:val="00497CF3"/>
    <w:rsid w:val="004A014E"/>
    <w:rsid w:val="004A1377"/>
    <w:rsid w:val="004A1F26"/>
    <w:rsid w:val="004A22DF"/>
    <w:rsid w:val="004A240B"/>
    <w:rsid w:val="004A29E3"/>
    <w:rsid w:val="004A2B0A"/>
    <w:rsid w:val="004A2D42"/>
    <w:rsid w:val="004A35BE"/>
    <w:rsid w:val="004A3781"/>
    <w:rsid w:val="004A387C"/>
    <w:rsid w:val="004A3BC1"/>
    <w:rsid w:val="004A3C8D"/>
    <w:rsid w:val="004A3E27"/>
    <w:rsid w:val="004A3E93"/>
    <w:rsid w:val="004A4B0D"/>
    <w:rsid w:val="004A5136"/>
    <w:rsid w:val="004A5180"/>
    <w:rsid w:val="004A5334"/>
    <w:rsid w:val="004A5C22"/>
    <w:rsid w:val="004A62AC"/>
    <w:rsid w:val="004A6D40"/>
    <w:rsid w:val="004A6DD4"/>
    <w:rsid w:val="004A6DF6"/>
    <w:rsid w:val="004A6E54"/>
    <w:rsid w:val="004A6FC9"/>
    <w:rsid w:val="004A747B"/>
    <w:rsid w:val="004A7803"/>
    <w:rsid w:val="004A78AC"/>
    <w:rsid w:val="004A7D8B"/>
    <w:rsid w:val="004B0169"/>
    <w:rsid w:val="004B0AF0"/>
    <w:rsid w:val="004B0DD0"/>
    <w:rsid w:val="004B1521"/>
    <w:rsid w:val="004B15C7"/>
    <w:rsid w:val="004B17B1"/>
    <w:rsid w:val="004B1CEF"/>
    <w:rsid w:val="004B1EBA"/>
    <w:rsid w:val="004B1F32"/>
    <w:rsid w:val="004B29E0"/>
    <w:rsid w:val="004B2C83"/>
    <w:rsid w:val="004B32DE"/>
    <w:rsid w:val="004B451D"/>
    <w:rsid w:val="004B4792"/>
    <w:rsid w:val="004B4907"/>
    <w:rsid w:val="004B4B17"/>
    <w:rsid w:val="004B5280"/>
    <w:rsid w:val="004B52C1"/>
    <w:rsid w:val="004B5441"/>
    <w:rsid w:val="004B5ACA"/>
    <w:rsid w:val="004B5B23"/>
    <w:rsid w:val="004B5B98"/>
    <w:rsid w:val="004B7524"/>
    <w:rsid w:val="004B7EE1"/>
    <w:rsid w:val="004C024D"/>
    <w:rsid w:val="004C10B9"/>
    <w:rsid w:val="004C12AB"/>
    <w:rsid w:val="004C15C8"/>
    <w:rsid w:val="004C16B8"/>
    <w:rsid w:val="004C238E"/>
    <w:rsid w:val="004C317F"/>
    <w:rsid w:val="004C36A1"/>
    <w:rsid w:val="004C3FA2"/>
    <w:rsid w:val="004C4559"/>
    <w:rsid w:val="004C4AB9"/>
    <w:rsid w:val="004C4E79"/>
    <w:rsid w:val="004C5F45"/>
    <w:rsid w:val="004C5F78"/>
    <w:rsid w:val="004C602A"/>
    <w:rsid w:val="004C6A64"/>
    <w:rsid w:val="004C6D28"/>
    <w:rsid w:val="004C7073"/>
    <w:rsid w:val="004C721A"/>
    <w:rsid w:val="004C728D"/>
    <w:rsid w:val="004C7F6A"/>
    <w:rsid w:val="004D000F"/>
    <w:rsid w:val="004D08BA"/>
    <w:rsid w:val="004D0964"/>
    <w:rsid w:val="004D1114"/>
    <w:rsid w:val="004D1251"/>
    <w:rsid w:val="004D135F"/>
    <w:rsid w:val="004D15B5"/>
    <w:rsid w:val="004D1B21"/>
    <w:rsid w:val="004D1DB1"/>
    <w:rsid w:val="004D2EB8"/>
    <w:rsid w:val="004D311C"/>
    <w:rsid w:val="004D3C78"/>
    <w:rsid w:val="004D577A"/>
    <w:rsid w:val="004D5994"/>
    <w:rsid w:val="004D5D08"/>
    <w:rsid w:val="004D602D"/>
    <w:rsid w:val="004D647D"/>
    <w:rsid w:val="004D722A"/>
    <w:rsid w:val="004E0988"/>
    <w:rsid w:val="004E0CBE"/>
    <w:rsid w:val="004E1C62"/>
    <w:rsid w:val="004E217A"/>
    <w:rsid w:val="004E220A"/>
    <w:rsid w:val="004E250B"/>
    <w:rsid w:val="004E2574"/>
    <w:rsid w:val="004E2589"/>
    <w:rsid w:val="004E2606"/>
    <w:rsid w:val="004E308F"/>
    <w:rsid w:val="004E309E"/>
    <w:rsid w:val="004E3437"/>
    <w:rsid w:val="004E3F9E"/>
    <w:rsid w:val="004E419F"/>
    <w:rsid w:val="004E45A1"/>
    <w:rsid w:val="004E468E"/>
    <w:rsid w:val="004E5BCA"/>
    <w:rsid w:val="004E5EFE"/>
    <w:rsid w:val="004E6967"/>
    <w:rsid w:val="004E76DE"/>
    <w:rsid w:val="004E7BB0"/>
    <w:rsid w:val="004E7EBB"/>
    <w:rsid w:val="004E7ED1"/>
    <w:rsid w:val="004F0708"/>
    <w:rsid w:val="004F091C"/>
    <w:rsid w:val="004F1103"/>
    <w:rsid w:val="004F1200"/>
    <w:rsid w:val="004F13DE"/>
    <w:rsid w:val="004F1586"/>
    <w:rsid w:val="004F1DA6"/>
    <w:rsid w:val="004F1EEB"/>
    <w:rsid w:val="004F2958"/>
    <w:rsid w:val="004F2AF0"/>
    <w:rsid w:val="004F31F6"/>
    <w:rsid w:val="004F32A4"/>
    <w:rsid w:val="004F38A5"/>
    <w:rsid w:val="004F55ED"/>
    <w:rsid w:val="004F66BF"/>
    <w:rsid w:val="004F7666"/>
    <w:rsid w:val="004F7DFC"/>
    <w:rsid w:val="00500EBE"/>
    <w:rsid w:val="00501888"/>
    <w:rsid w:val="00501B1F"/>
    <w:rsid w:val="00502114"/>
    <w:rsid w:val="00502467"/>
    <w:rsid w:val="005034AD"/>
    <w:rsid w:val="00503A3F"/>
    <w:rsid w:val="00504A8A"/>
    <w:rsid w:val="00505315"/>
    <w:rsid w:val="0050552D"/>
    <w:rsid w:val="0050623C"/>
    <w:rsid w:val="00506403"/>
    <w:rsid w:val="00506D93"/>
    <w:rsid w:val="00506EF0"/>
    <w:rsid w:val="00506FA4"/>
    <w:rsid w:val="00507B5F"/>
    <w:rsid w:val="00507DE0"/>
    <w:rsid w:val="00510B5F"/>
    <w:rsid w:val="00512E55"/>
    <w:rsid w:val="00513101"/>
    <w:rsid w:val="00513A97"/>
    <w:rsid w:val="00513EA9"/>
    <w:rsid w:val="0051483F"/>
    <w:rsid w:val="00514D88"/>
    <w:rsid w:val="00514EDA"/>
    <w:rsid w:val="00514F19"/>
    <w:rsid w:val="005150ED"/>
    <w:rsid w:val="00515163"/>
    <w:rsid w:val="00515C94"/>
    <w:rsid w:val="00516271"/>
    <w:rsid w:val="005171EC"/>
    <w:rsid w:val="0052067B"/>
    <w:rsid w:val="00521D45"/>
    <w:rsid w:val="00522C94"/>
    <w:rsid w:val="0052329C"/>
    <w:rsid w:val="00523613"/>
    <w:rsid w:val="005236A1"/>
    <w:rsid w:val="00523805"/>
    <w:rsid w:val="00523F6E"/>
    <w:rsid w:val="00523FFB"/>
    <w:rsid w:val="00524285"/>
    <w:rsid w:val="005251E8"/>
    <w:rsid w:val="005257BD"/>
    <w:rsid w:val="00526D02"/>
    <w:rsid w:val="00527F66"/>
    <w:rsid w:val="00530375"/>
    <w:rsid w:val="00530981"/>
    <w:rsid w:val="00530A93"/>
    <w:rsid w:val="005312A7"/>
    <w:rsid w:val="0053165D"/>
    <w:rsid w:val="00531DA7"/>
    <w:rsid w:val="00532241"/>
    <w:rsid w:val="005326FF"/>
    <w:rsid w:val="00533EF4"/>
    <w:rsid w:val="00534147"/>
    <w:rsid w:val="00534624"/>
    <w:rsid w:val="00534B60"/>
    <w:rsid w:val="00536B1F"/>
    <w:rsid w:val="00536C13"/>
    <w:rsid w:val="005372A4"/>
    <w:rsid w:val="005379B8"/>
    <w:rsid w:val="00537B6C"/>
    <w:rsid w:val="0054000C"/>
    <w:rsid w:val="00540241"/>
    <w:rsid w:val="0054029F"/>
    <w:rsid w:val="005402B5"/>
    <w:rsid w:val="0054056E"/>
    <w:rsid w:val="00540FCE"/>
    <w:rsid w:val="005410AF"/>
    <w:rsid w:val="00541462"/>
    <w:rsid w:val="00541A6D"/>
    <w:rsid w:val="00541B72"/>
    <w:rsid w:val="00541FF0"/>
    <w:rsid w:val="00542A77"/>
    <w:rsid w:val="005438F9"/>
    <w:rsid w:val="0054418A"/>
    <w:rsid w:val="00544C32"/>
    <w:rsid w:val="00545C8C"/>
    <w:rsid w:val="005460CA"/>
    <w:rsid w:val="00546761"/>
    <w:rsid w:val="00546E2B"/>
    <w:rsid w:val="00547362"/>
    <w:rsid w:val="00547829"/>
    <w:rsid w:val="00547A67"/>
    <w:rsid w:val="00550C55"/>
    <w:rsid w:val="00551193"/>
    <w:rsid w:val="0055205A"/>
    <w:rsid w:val="005523FA"/>
    <w:rsid w:val="00552768"/>
    <w:rsid w:val="00552DF8"/>
    <w:rsid w:val="00552FA2"/>
    <w:rsid w:val="00553569"/>
    <w:rsid w:val="00553928"/>
    <w:rsid w:val="00554374"/>
    <w:rsid w:val="0055463E"/>
    <w:rsid w:val="00554EA7"/>
    <w:rsid w:val="005555B5"/>
    <w:rsid w:val="005555BA"/>
    <w:rsid w:val="00555E7B"/>
    <w:rsid w:val="00555ED1"/>
    <w:rsid w:val="00556488"/>
    <w:rsid w:val="005568AC"/>
    <w:rsid w:val="005569DF"/>
    <w:rsid w:val="005577D0"/>
    <w:rsid w:val="00557BE4"/>
    <w:rsid w:val="00557C73"/>
    <w:rsid w:val="00560404"/>
    <w:rsid w:val="005608E5"/>
    <w:rsid w:val="005610D3"/>
    <w:rsid w:val="0056124F"/>
    <w:rsid w:val="0056226B"/>
    <w:rsid w:val="00562354"/>
    <w:rsid w:val="00562983"/>
    <w:rsid w:val="00562B55"/>
    <w:rsid w:val="0056335C"/>
    <w:rsid w:val="00563367"/>
    <w:rsid w:val="00563398"/>
    <w:rsid w:val="00563581"/>
    <w:rsid w:val="00563BF2"/>
    <w:rsid w:val="00564217"/>
    <w:rsid w:val="005647B0"/>
    <w:rsid w:val="00564C47"/>
    <w:rsid w:val="00564D7C"/>
    <w:rsid w:val="005654A4"/>
    <w:rsid w:val="00565A7C"/>
    <w:rsid w:val="00566A62"/>
    <w:rsid w:val="00567889"/>
    <w:rsid w:val="00567C9D"/>
    <w:rsid w:val="005700F4"/>
    <w:rsid w:val="0057045E"/>
    <w:rsid w:val="00570A68"/>
    <w:rsid w:val="00571B02"/>
    <w:rsid w:val="00573331"/>
    <w:rsid w:val="005738D8"/>
    <w:rsid w:val="00573CC7"/>
    <w:rsid w:val="005744B3"/>
    <w:rsid w:val="00574E0C"/>
    <w:rsid w:val="00576100"/>
    <w:rsid w:val="00576210"/>
    <w:rsid w:val="0057645A"/>
    <w:rsid w:val="005770C7"/>
    <w:rsid w:val="0058000E"/>
    <w:rsid w:val="005803C5"/>
    <w:rsid w:val="00580F70"/>
    <w:rsid w:val="00581380"/>
    <w:rsid w:val="00581403"/>
    <w:rsid w:val="0058191B"/>
    <w:rsid w:val="00582BA6"/>
    <w:rsid w:val="00582E9E"/>
    <w:rsid w:val="005834DA"/>
    <w:rsid w:val="005834E5"/>
    <w:rsid w:val="00583B7E"/>
    <w:rsid w:val="00584164"/>
    <w:rsid w:val="005842AA"/>
    <w:rsid w:val="00584A41"/>
    <w:rsid w:val="00584E78"/>
    <w:rsid w:val="005853EE"/>
    <w:rsid w:val="0058635B"/>
    <w:rsid w:val="005865A3"/>
    <w:rsid w:val="00586C42"/>
    <w:rsid w:val="00587244"/>
    <w:rsid w:val="00587543"/>
    <w:rsid w:val="00587660"/>
    <w:rsid w:val="00590083"/>
    <w:rsid w:val="00590625"/>
    <w:rsid w:val="00590684"/>
    <w:rsid w:val="00590ADC"/>
    <w:rsid w:val="0059141B"/>
    <w:rsid w:val="005918E8"/>
    <w:rsid w:val="00591B81"/>
    <w:rsid w:val="00592038"/>
    <w:rsid w:val="0059263E"/>
    <w:rsid w:val="005935D0"/>
    <w:rsid w:val="005939EB"/>
    <w:rsid w:val="00593BD5"/>
    <w:rsid w:val="00594BC7"/>
    <w:rsid w:val="00595B2C"/>
    <w:rsid w:val="00597167"/>
    <w:rsid w:val="00597AB0"/>
    <w:rsid w:val="00597EFA"/>
    <w:rsid w:val="005A00BB"/>
    <w:rsid w:val="005A0102"/>
    <w:rsid w:val="005A02B9"/>
    <w:rsid w:val="005A05B4"/>
    <w:rsid w:val="005A0955"/>
    <w:rsid w:val="005A0C28"/>
    <w:rsid w:val="005A1361"/>
    <w:rsid w:val="005A1376"/>
    <w:rsid w:val="005A144B"/>
    <w:rsid w:val="005A1564"/>
    <w:rsid w:val="005A17CB"/>
    <w:rsid w:val="005A192F"/>
    <w:rsid w:val="005A1A63"/>
    <w:rsid w:val="005A1A74"/>
    <w:rsid w:val="005A1B14"/>
    <w:rsid w:val="005A2598"/>
    <w:rsid w:val="005A29EB"/>
    <w:rsid w:val="005A2F77"/>
    <w:rsid w:val="005A3770"/>
    <w:rsid w:val="005A386A"/>
    <w:rsid w:val="005A541D"/>
    <w:rsid w:val="005A6272"/>
    <w:rsid w:val="005A685A"/>
    <w:rsid w:val="005A69FD"/>
    <w:rsid w:val="005A7670"/>
    <w:rsid w:val="005A7BDC"/>
    <w:rsid w:val="005A7CB1"/>
    <w:rsid w:val="005B01D7"/>
    <w:rsid w:val="005B0B6B"/>
    <w:rsid w:val="005B101E"/>
    <w:rsid w:val="005B1D04"/>
    <w:rsid w:val="005B1D18"/>
    <w:rsid w:val="005B2695"/>
    <w:rsid w:val="005B2AB8"/>
    <w:rsid w:val="005B3433"/>
    <w:rsid w:val="005B37BF"/>
    <w:rsid w:val="005B38F8"/>
    <w:rsid w:val="005B3D23"/>
    <w:rsid w:val="005B4487"/>
    <w:rsid w:val="005B44F9"/>
    <w:rsid w:val="005B47FD"/>
    <w:rsid w:val="005B4947"/>
    <w:rsid w:val="005B4DFE"/>
    <w:rsid w:val="005B57B3"/>
    <w:rsid w:val="005B5CEB"/>
    <w:rsid w:val="005B5F77"/>
    <w:rsid w:val="005B6B15"/>
    <w:rsid w:val="005C00C7"/>
    <w:rsid w:val="005C02C1"/>
    <w:rsid w:val="005C19A9"/>
    <w:rsid w:val="005C1CAA"/>
    <w:rsid w:val="005C1DE0"/>
    <w:rsid w:val="005C228D"/>
    <w:rsid w:val="005C3A85"/>
    <w:rsid w:val="005C596A"/>
    <w:rsid w:val="005C6D6B"/>
    <w:rsid w:val="005C7C31"/>
    <w:rsid w:val="005C7CE6"/>
    <w:rsid w:val="005D0269"/>
    <w:rsid w:val="005D043B"/>
    <w:rsid w:val="005D0B5B"/>
    <w:rsid w:val="005D0C6F"/>
    <w:rsid w:val="005D2075"/>
    <w:rsid w:val="005D2C22"/>
    <w:rsid w:val="005D2C60"/>
    <w:rsid w:val="005D2DCB"/>
    <w:rsid w:val="005D34A8"/>
    <w:rsid w:val="005D35F4"/>
    <w:rsid w:val="005D36CC"/>
    <w:rsid w:val="005D3C4D"/>
    <w:rsid w:val="005D43D7"/>
    <w:rsid w:val="005D48BF"/>
    <w:rsid w:val="005D4BCF"/>
    <w:rsid w:val="005D4EE5"/>
    <w:rsid w:val="005D51E6"/>
    <w:rsid w:val="005D521D"/>
    <w:rsid w:val="005D5635"/>
    <w:rsid w:val="005D5EDD"/>
    <w:rsid w:val="005D70FE"/>
    <w:rsid w:val="005D7691"/>
    <w:rsid w:val="005D7711"/>
    <w:rsid w:val="005D772D"/>
    <w:rsid w:val="005D7C95"/>
    <w:rsid w:val="005E0960"/>
    <w:rsid w:val="005E0A6F"/>
    <w:rsid w:val="005E0C4D"/>
    <w:rsid w:val="005E0C59"/>
    <w:rsid w:val="005E0C75"/>
    <w:rsid w:val="005E15D4"/>
    <w:rsid w:val="005E171E"/>
    <w:rsid w:val="005E2678"/>
    <w:rsid w:val="005E272B"/>
    <w:rsid w:val="005E2959"/>
    <w:rsid w:val="005E371F"/>
    <w:rsid w:val="005E4AFD"/>
    <w:rsid w:val="005E4FC5"/>
    <w:rsid w:val="005E52AD"/>
    <w:rsid w:val="005E5959"/>
    <w:rsid w:val="005E5B14"/>
    <w:rsid w:val="005E645E"/>
    <w:rsid w:val="005E6A69"/>
    <w:rsid w:val="005E6EE3"/>
    <w:rsid w:val="005E6F68"/>
    <w:rsid w:val="005E7230"/>
    <w:rsid w:val="005E72B4"/>
    <w:rsid w:val="005F0D8A"/>
    <w:rsid w:val="005F1331"/>
    <w:rsid w:val="005F1EE5"/>
    <w:rsid w:val="005F3130"/>
    <w:rsid w:val="005F3E60"/>
    <w:rsid w:val="005F416F"/>
    <w:rsid w:val="005F458D"/>
    <w:rsid w:val="005F4963"/>
    <w:rsid w:val="005F5062"/>
    <w:rsid w:val="005F51C8"/>
    <w:rsid w:val="005F56CA"/>
    <w:rsid w:val="005F56EE"/>
    <w:rsid w:val="005F570C"/>
    <w:rsid w:val="005F5B4E"/>
    <w:rsid w:val="005F5E3A"/>
    <w:rsid w:val="005F643A"/>
    <w:rsid w:val="005F678F"/>
    <w:rsid w:val="005F6EA9"/>
    <w:rsid w:val="005F7491"/>
    <w:rsid w:val="005F7546"/>
    <w:rsid w:val="005F776A"/>
    <w:rsid w:val="005F7C9A"/>
    <w:rsid w:val="005F7D79"/>
    <w:rsid w:val="005F7D7F"/>
    <w:rsid w:val="005F7DC1"/>
    <w:rsid w:val="005F7F47"/>
    <w:rsid w:val="00600016"/>
    <w:rsid w:val="006000C5"/>
    <w:rsid w:val="00600954"/>
    <w:rsid w:val="006009E6"/>
    <w:rsid w:val="00600DB9"/>
    <w:rsid w:val="00600EA7"/>
    <w:rsid w:val="0060108A"/>
    <w:rsid w:val="0060153E"/>
    <w:rsid w:val="0060186E"/>
    <w:rsid w:val="00601D30"/>
    <w:rsid w:val="006023E6"/>
    <w:rsid w:val="00602729"/>
    <w:rsid w:val="00602B23"/>
    <w:rsid w:val="00602BFF"/>
    <w:rsid w:val="0060336D"/>
    <w:rsid w:val="00603624"/>
    <w:rsid w:val="0060373D"/>
    <w:rsid w:val="00604018"/>
    <w:rsid w:val="0060444D"/>
    <w:rsid w:val="0060470C"/>
    <w:rsid w:val="00604B5D"/>
    <w:rsid w:val="00604EE7"/>
    <w:rsid w:val="006052C3"/>
    <w:rsid w:val="0060563A"/>
    <w:rsid w:val="00606293"/>
    <w:rsid w:val="00606B46"/>
    <w:rsid w:val="006070A2"/>
    <w:rsid w:val="00607A72"/>
    <w:rsid w:val="006101FF"/>
    <w:rsid w:val="00610A60"/>
    <w:rsid w:val="0061104B"/>
    <w:rsid w:val="006112CF"/>
    <w:rsid w:val="00611A6E"/>
    <w:rsid w:val="00613028"/>
    <w:rsid w:val="006135B1"/>
    <w:rsid w:val="006137F6"/>
    <w:rsid w:val="00613CA9"/>
    <w:rsid w:val="0061468E"/>
    <w:rsid w:val="00615DC2"/>
    <w:rsid w:val="00616355"/>
    <w:rsid w:val="00616550"/>
    <w:rsid w:val="006168CD"/>
    <w:rsid w:val="006175DE"/>
    <w:rsid w:val="00617E09"/>
    <w:rsid w:val="00620974"/>
    <w:rsid w:val="00622127"/>
    <w:rsid w:val="0062238A"/>
    <w:rsid w:val="00622C3D"/>
    <w:rsid w:val="00622EB6"/>
    <w:rsid w:val="006230D7"/>
    <w:rsid w:val="00623196"/>
    <w:rsid w:val="00623366"/>
    <w:rsid w:val="006234F3"/>
    <w:rsid w:val="0062383A"/>
    <w:rsid w:val="00623A12"/>
    <w:rsid w:val="00623B2C"/>
    <w:rsid w:val="00623B6D"/>
    <w:rsid w:val="0062429C"/>
    <w:rsid w:val="006242B6"/>
    <w:rsid w:val="00624B5C"/>
    <w:rsid w:val="00624CEC"/>
    <w:rsid w:val="006251BA"/>
    <w:rsid w:val="006251BB"/>
    <w:rsid w:val="006258DE"/>
    <w:rsid w:val="00625EA5"/>
    <w:rsid w:val="006261AB"/>
    <w:rsid w:val="00626683"/>
    <w:rsid w:val="0062686C"/>
    <w:rsid w:val="006268CD"/>
    <w:rsid w:val="00626CB3"/>
    <w:rsid w:val="00626EB6"/>
    <w:rsid w:val="00626FC6"/>
    <w:rsid w:val="0062718E"/>
    <w:rsid w:val="006301BF"/>
    <w:rsid w:val="006301DB"/>
    <w:rsid w:val="00630BBE"/>
    <w:rsid w:val="00631952"/>
    <w:rsid w:val="006326E0"/>
    <w:rsid w:val="0063281B"/>
    <w:rsid w:val="006328AC"/>
    <w:rsid w:val="0063312A"/>
    <w:rsid w:val="00633294"/>
    <w:rsid w:val="006332A2"/>
    <w:rsid w:val="00633DFA"/>
    <w:rsid w:val="0063455D"/>
    <w:rsid w:val="00635028"/>
    <w:rsid w:val="006356C4"/>
    <w:rsid w:val="006359E5"/>
    <w:rsid w:val="00635E7B"/>
    <w:rsid w:val="00636C99"/>
    <w:rsid w:val="0063703F"/>
    <w:rsid w:val="00637C4D"/>
    <w:rsid w:val="00637DEA"/>
    <w:rsid w:val="0064061A"/>
    <w:rsid w:val="00641696"/>
    <w:rsid w:val="006420CC"/>
    <w:rsid w:val="0064264A"/>
    <w:rsid w:val="006428E7"/>
    <w:rsid w:val="0064397A"/>
    <w:rsid w:val="006441B3"/>
    <w:rsid w:val="00644387"/>
    <w:rsid w:val="00644591"/>
    <w:rsid w:val="006447AE"/>
    <w:rsid w:val="00644C9E"/>
    <w:rsid w:val="00645925"/>
    <w:rsid w:val="00645944"/>
    <w:rsid w:val="0064682D"/>
    <w:rsid w:val="00647C3B"/>
    <w:rsid w:val="006500C4"/>
    <w:rsid w:val="00650999"/>
    <w:rsid w:val="00650C55"/>
    <w:rsid w:val="00650DA1"/>
    <w:rsid w:val="0065193C"/>
    <w:rsid w:val="00651B59"/>
    <w:rsid w:val="0065228B"/>
    <w:rsid w:val="00652471"/>
    <w:rsid w:val="0065248B"/>
    <w:rsid w:val="00653BBD"/>
    <w:rsid w:val="00653C89"/>
    <w:rsid w:val="006549B8"/>
    <w:rsid w:val="00654A52"/>
    <w:rsid w:val="00655377"/>
    <w:rsid w:val="00656779"/>
    <w:rsid w:val="00656A98"/>
    <w:rsid w:val="00656B73"/>
    <w:rsid w:val="006571E9"/>
    <w:rsid w:val="0065732A"/>
    <w:rsid w:val="00657470"/>
    <w:rsid w:val="006576A7"/>
    <w:rsid w:val="0066069E"/>
    <w:rsid w:val="00660E67"/>
    <w:rsid w:val="00661443"/>
    <w:rsid w:val="00661467"/>
    <w:rsid w:val="006614E5"/>
    <w:rsid w:val="00661AB1"/>
    <w:rsid w:val="00661D7F"/>
    <w:rsid w:val="006624D2"/>
    <w:rsid w:val="006628C1"/>
    <w:rsid w:val="00662CC5"/>
    <w:rsid w:val="00662FFE"/>
    <w:rsid w:val="006633DC"/>
    <w:rsid w:val="006634BD"/>
    <w:rsid w:val="00664903"/>
    <w:rsid w:val="0066491F"/>
    <w:rsid w:val="00664E98"/>
    <w:rsid w:val="00664F0B"/>
    <w:rsid w:val="006654F2"/>
    <w:rsid w:val="00665853"/>
    <w:rsid w:val="006660E4"/>
    <w:rsid w:val="0066616B"/>
    <w:rsid w:val="006666A3"/>
    <w:rsid w:val="00666D8F"/>
    <w:rsid w:val="00667A10"/>
    <w:rsid w:val="00667B9C"/>
    <w:rsid w:val="00667DC2"/>
    <w:rsid w:val="00667DC7"/>
    <w:rsid w:val="00670C1B"/>
    <w:rsid w:val="00670FAB"/>
    <w:rsid w:val="0067108B"/>
    <w:rsid w:val="00671227"/>
    <w:rsid w:val="006713F0"/>
    <w:rsid w:val="006714C5"/>
    <w:rsid w:val="00671C66"/>
    <w:rsid w:val="00672654"/>
    <w:rsid w:val="00672E11"/>
    <w:rsid w:val="00672FA6"/>
    <w:rsid w:val="00673B16"/>
    <w:rsid w:val="00673DDE"/>
    <w:rsid w:val="00674548"/>
    <w:rsid w:val="0067504A"/>
    <w:rsid w:val="006768F2"/>
    <w:rsid w:val="00676C19"/>
    <w:rsid w:val="00677001"/>
    <w:rsid w:val="00680C59"/>
    <w:rsid w:val="00681018"/>
    <w:rsid w:val="00681C0C"/>
    <w:rsid w:val="0068210A"/>
    <w:rsid w:val="00682E49"/>
    <w:rsid w:val="006832DA"/>
    <w:rsid w:val="0068338A"/>
    <w:rsid w:val="00683586"/>
    <w:rsid w:val="00683664"/>
    <w:rsid w:val="00683B7E"/>
    <w:rsid w:val="00683C03"/>
    <w:rsid w:val="00683E84"/>
    <w:rsid w:val="00684B1A"/>
    <w:rsid w:val="00684C64"/>
    <w:rsid w:val="0068525B"/>
    <w:rsid w:val="00685317"/>
    <w:rsid w:val="00685E2C"/>
    <w:rsid w:val="0068754C"/>
    <w:rsid w:val="00690C1E"/>
    <w:rsid w:val="00691038"/>
    <w:rsid w:val="00691292"/>
    <w:rsid w:val="006919DA"/>
    <w:rsid w:val="00691A8D"/>
    <w:rsid w:val="006926E6"/>
    <w:rsid w:val="00693431"/>
    <w:rsid w:val="00693585"/>
    <w:rsid w:val="00694890"/>
    <w:rsid w:val="006960C6"/>
    <w:rsid w:val="00696536"/>
    <w:rsid w:val="0069660D"/>
    <w:rsid w:val="006968BF"/>
    <w:rsid w:val="00696CF5"/>
    <w:rsid w:val="006A0BAB"/>
    <w:rsid w:val="006A0BE3"/>
    <w:rsid w:val="006A1A68"/>
    <w:rsid w:val="006A1E8D"/>
    <w:rsid w:val="006A20CC"/>
    <w:rsid w:val="006A289B"/>
    <w:rsid w:val="006A2933"/>
    <w:rsid w:val="006A2E8D"/>
    <w:rsid w:val="006A374D"/>
    <w:rsid w:val="006A3DC1"/>
    <w:rsid w:val="006A421E"/>
    <w:rsid w:val="006A4AE1"/>
    <w:rsid w:val="006A4BDB"/>
    <w:rsid w:val="006A4C93"/>
    <w:rsid w:val="006A5000"/>
    <w:rsid w:val="006A5A45"/>
    <w:rsid w:val="006A608F"/>
    <w:rsid w:val="006A66D4"/>
    <w:rsid w:val="006A724F"/>
    <w:rsid w:val="006A75FA"/>
    <w:rsid w:val="006A7EC2"/>
    <w:rsid w:val="006B06D8"/>
    <w:rsid w:val="006B1535"/>
    <w:rsid w:val="006B1AA6"/>
    <w:rsid w:val="006B1D59"/>
    <w:rsid w:val="006B1E73"/>
    <w:rsid w:val="006B2491"/>
    <w:rsid w:val="006B24F9"/>
    <w:rsid w:val="006B317B"/>
    <w:rsid w:val="006B35C0"/>
    <w:rsid w:val="006B3750"/>
    <w:rsid w:val="006B3D05"/>
    <w:rsid w:val="006B43A9"/>
    <w:rsid w:val="006B46C2"/>
    <w:rsid w:val="006B4B54"/>
    <w:rsid w:val="006B50C7"/>
    <w:rsid w:val="006B54C2"/>
    <w:rsid w:val="006B5AE5"/>
    <w:rsid w:val="006B5CBA"/>
    <w:rsid w:val="006B5E36"/>
    <w:rsid w:val="006B60A2"/>
    <w:rsid w:val="006B63C7"/>
    <w:rsid w:val="006B6BB3"/>
    <w:rsid w:val="006B7589"/>
    <w:rsid w:val="006C03B0"/>
    <w:rsid w:val="006C081F"/>
    <w:rsid w:val="006C1051"/>
    <w:rsid w:val="006C1604"/>
    <w:rsid w:val="006C1678"/>
    <w:rsid w:val="006C2A2E"/>
    <w:rsid w:val="006C2E24"/>
    <w:rsid w:val="006C33B4"/>
    <w:rsid w:val="006C3E03"/>
    <w:rsid w:val="006C4094"/>
    <w:rsid w:val="006C45E2"/>
    <w:rsid w:val="006C46B1"/>
    <w:rsid w:val="006C48D1"/>
    <w:rsid w:val="006C4A61"/>
    <w:rsid w:val="006C4FD8"/>
    <w:rsid w:val="006C5115"/>
    <w:rsid w:val="006C564F"/>
    <w:rsid w:val="006C5745"/>
    <w:rsid w:val="006C5CA4"/>
    <w:rsid w:val="006C5F29"/>
    <w:rsid w:val="006C6182"/>
    <w:rsid w:val="006C6199"/>
    <w:rsid w:val="006C65E6"/>
    <w:rsid w:val="006C664C"/>
    <w:rsid w:val="006C69B0"/>
    <w:rsid w:val="006D0D38"/>
    <w:rsid w:val="006D0F05"/>
    <w:rsid w:val="006D17CF"/>
    <w:rsid w:val="006D1C0B"/>
    <w:rsid w:val="006D21CA"/>
    <w:rsid w:val="006D2818"/>
    <w:rsid w:val="006D2A97"/>
    <w:rsid w:val="006D2BFC"/>
    <w:rsid w:val="006D2DB8"/>
    <w:rsid w:val="006D39FC"/>
    <w:rsid w:val="006D4978"/>
    <w:rsid w:val="006D4BB0"/>
    <w:rsid w:val="006D4CC2"/>
    <w:rsid w:val="006D7597"/>
    <w:rsid w:val="006D7860"/>
    <w:rsid w:val="006D7F2A"/>
    <w:rsid w:val="006D7F6A"/>
    <w:rsid w:val="006E0B92"/>
    <w:rsid w:val="006E0FEE"/>
    <w:rsid w:val="006E1FDB"/>
    <w:rsid w:val="006E2A2B"/>
    <w:rsid w:val="006E31FA"/>
    <w:rsid w:val="006E32C5"/>
    <w:rsid w:val="006E36FB"/>
    <w:rsid w:val="006E3899"/>
    <w:rsid w:val="006E3921"/>
    <w:rsid w:val="006E392B"/>
    <w:rsid w:val="006E3BDF"/>
    <w:rsid w:val="006E3BE2"/>
    <w:rsid w:val="006E3C8A"/>
    <w:rsid w:val="006E40D4"/>
    <w:rsid w:val="006E427A"/>
    <w:rsid w:val="006E5350"/>
    <w:rsid w:val="006E57F9"/>
    <w:rsid w:val="006E592B"/>
    <w:rsid w:val="006E6405"/>
    <w:rsid w:val="006E679F"/>
    <w:rsid w:val="006E6B5D"/>
    <w:rsid w:val="006E6B8C"/>
    <w:rsid w:val="006F0E84"/>
    <w:rsid w:val="006F1039"/>
    <w:rsid w:val="006F17FC"/>
    <w:rsid w:val="006F20EC"/>
    <w:rsid w:val="006F2174"/>
    <w:rsid w:val="006F28AC"/>
    <w:rsid w:val="006F2F5B"/>
    <w:rsid w:val="006F30E5"/>
    <w:rsid w:val="006F336B"/>
    <w:rsid w:val="006F35DF"/>
    <w:rsid w:val="006F3E7F"/>
    <w:rsid w:val="006F3FEE"/>
    <w:rsid w:val="006F44A2"/>
    <w:rsid w:val="006F46A6"/>
    <w:rsid w:val="006F5244"/>
    <w:rsid w:val="006F55C8"/>
    <w:rsid w:val="006F5652"/>
    <w:rsid w:val="006F574B"/>
    <w:rsid w:val="006F674C"/>
    <w:rsid w:val="006F690C"/>
    <w:rsid w:val="006F6A40"/>
    <w:rsid w:val="00700310"/>
    <w:rsid w:val="0070085C"/>
    <w:rsid w:val="00700958"/>
    <w:rsid w:val="00700E45"/>
    <w:rsid w:val="0070112B"/>
    <w:rsid w:val="00701DA2"/>
    <w:rsid w:val="00702513"/>
    <w:rsid w:val="0070263D"/>
    <w:rsid w:val="00702AE3"/>
    <w:rsid w:val="00702BF7"/>
    <w:rsid w:val="0070393C"/>
    <w:rsid w:val="00703C4D"/>
    <w:rsid w:val="00703C79"/>
    <w:rsid w:val="00703D69"/>
    <w:rsid w:val="007048C2"/>
    <w:rsid w:val="00704AC9"/>
    <w:rsid w:val="007056CC"/>
    <w:rsid w:val="00705B13"/>
    <w:rsid w:val="00706EED"/>
    <w:rsid w:val="00707005"/>
    <w:rsid w:val="007073CB"/>
    <w:rsid w:val="00707517"/>
    <w:rsid w:val="007076E2"/>
    <w:rsid w:val="00707DB3"/>
    <w:rsid w:val="00711408"/>
    <w:rsid w:val="007115E1"/>
    <w:rsid w:val="00711F0B"/>
    <w:rsid w:val="007123A3"/>
    <w:rsid w:val="00713280"/>
    <w:rsid w:val="00713490"/>
    <w:rsid w:val="00713642"/>
    <w:rsid w:val="00713987"/>
    <w:rsid w:val="00713BC4"/>
    <w:rsid w:val="007141F9"/>
    <w:rsid w:val="007145E6"/>
    <w:rsid w:val="00714730"/>
    <w:rsid w:val="00714A9E"/>
    <w:rsid w:val="00714AF5"/>
    <w:rsid w:val="00715069"/>
    <w:rsid w:val="0071650A"/>
    <w:rsid w:val="0071653D"/>
    <w:rsid w:val="007165B6"/>
    <w:rsid w:val="00716BE6"/>
    <w:rsid w:val="007172F4"/>
    <w:rsid w:val="0071744B"/>
    <w:rsid w:val="00717928"/>
    <w:rsid w:val="00717974"/>
    <w:rsid w:val="00717C8D"/>
    <w:rsid w:val="00717E22"/>
    <w:rsid w:val="00717FF1"/>
    <w:rsid w:val="00720190"/>
    <w:rsid w:val="00720923"/>
    <w:rsid w:val="00720BA0"/>
    <w:rsid w:val="00720F9F"/>
    <w:rsid w:val="00721878"/>
    <w:rsid w:val="00721EB7"/>
    <w:rsid w:val="007224FF"/>
    <w:rsid w:val="00723EE1"/>
    <w:rsid w:val="00724A98"/>
    <w:rsid w:val="0072519B"/>
    <w:rsid w:val="007256E8"/>
    <w:rsid w:val="007257DB"/>
    <w:rsid w:val="0072585B"/>
    <w:rsid w:val="0072594F"/>
    <w:rsid w:val="00725B96"/>
    <w:rsid w:val="00726095"/>
    <w:rsid w:val="00726A37"/>
    <w:rsid w:val="007273FA"/>
    <w:rsid w:val="007276FD"/>
    <w:rsid w:val="0072782F"/>
    <w:rsid w:val="007306BF"/>
    <w:rsid w:val="0073076B"/>
    <w:rsid w:val="00730C95"/>
    <w:rsid w:val="00732A5E"/>
    <w:rsid w:val="007339E7"/>
    <w:rsid w:val="00733AE1"/>
    <w:rsid w:val="00733B88"/>
    <w:rsid w:val="00733D52"/>
    <w:rsid w:val="007342A8"/>
    <w:rsid w:val="00734312"/>
    <w:rsid w:val="00734430"/>
    <w:rsid w:val="00734871"/>
    <w:rsid w:val="00734A83"/>
    <w:rsid w:val="00735257"/>
    <w:rsid w:val="00735331"/>
    <w:rsid w:val="0073573C"/>
    <w:rsid w:val="00735F5E"/>
    <w:rsid w:val="00736339"/>
    <w:rsid w:val="00736494"/>
    <w:rsid w:val="007368E5"/>
    <w:rsid w:val="0073691B"/>
    <w:rsid w:val="007369F3"/>
    <w:rsid w:val="00736D92"/>
    <w:rsid w:val="007370A8"/>
    <w:rsid w:val="007373BE"/>
    <w:rsid w:val="007374DC"/>
    <w:rsid w:val="007379D9"/>
    <w:rsid w:val="00740359"/>
    <w:rsid w:val="0074049D"/>
    <w:rsid w:val="007414AB"/>
    <w:rsid w:val="007415F2"/>
    <w:rsid w:val="00741ADC"/>
    <w:rsid w:val="007422C4"/>
    <w:rsid w:val="00743510"/>
    <w:rsid w:val="007438B7"/>
    <w:rsid w:val="00743EE0"/>
    <w:rsid w:val="007440A4"/>
    <w:rsid w:val="00744776"/>
    <w:rsid w:val="0074478C"/>
    <w:rsid w:val="00744AC5"/>
    <w:rsid w:val="00744B9C"/>
    <w:rsid w:val="00744C21"/>
    <w:rsid w:val="00745B82"/>
    <w:rsid w:val="00745BA6"/>
    <w:rsid w:val="00745C42"/>
    <w:rsid w:val="00745FFC"/>
    <w:rsid w:val="0074602A"/>
    <w:rsid w:val="007467A7"/>
    <w:rsid w:val="00746EA9"/>
    <w:rsid w:val="00746F78"/>
    <w:rsid w:val="0074722D"/>
    <w:rsid w:val="0074731D"/>
    <w:rsid w:val="00747CBB"/>
    <w:rsid w:val="00750675"/>
    <w:rsid w:val="00750D4D"/>
    <w:rsid w:val="00750E3E"/>
    <w:rsid w:val="007517CC"/>
    <w:rsid w:val="00751939"/>
    <w:rsid w:val="00751AD4"/>
    <w:rsid w:val="00751E78"/>
    <w:rsid w:val="0075247A"/>
    <w:rsid w:val="00753488"/>
    <w:rsid w:val="0075355F"/>
    <w:rsid w:val="007545BB"/>
    <w:rsid w:val="00754B49"/>
    <w:rsid w:val="007558F5"/>
    <w:rsid w:val="00756343"/>
    <w:rsid w:val="0075689B"/>
    <w:rsid w:val="00756F4E"/>
    <w:rsid w:val="00757274"/>
    <w:rsid w:val="0075727A"/>
    <w:rsid w:val="0075747F"/>
    <w:rsid w:val="007602DC"/>
    <w:rsid w:val="00760469"/>
    <w:rsid w:val="007604A7"/>
    <w:rsid w:val="0076239C"/>
    <w:rsid w:val="007624C8"/>
    <w:rsid w:val="00763057"/>
    <w:rsid w:val="00763182"/>
    <w:rsid w:val="00763BB6"/>
    <w:rsid w:val="007642CA"/>
    <w:rsid w:val="00764875"/>
    <w:rsid w:val="00764BDC"/>
    <w:rsid w:val="00765382"/>
    <w:rsid w:val="007669E9"/>
    <w:rsid w:val="007670B0"/>
    <w:rsid w:val="00770010"/>
    <w:rsid w:val="007714EB"/>
    <w:rsid w:val="0077171F"/>
    <w:rsid w:val="00771E38"/>
    <w:rsid w:val="007731AA"/>
    <w:rsid w:val="00773EE1"/>
    <w:rsid w:val="0077415C"/>
    <w:rsid w:val="00774234"/>
    <w:rsid w:val="00774728"/>
    <w:rsid w:val="00774B81"/>
    <w:rsid w:val="00774BC0"/>
    <w:rsid w:val="007753A2"/>
    <w:rsid w:val="007756E5"/>
    <w:rsid w:val="00775B37"/>
    <w:rsid w:val="00776260"/>
    <w:rsid w:val="007763B2"/>
    <w:rsid w:val="00776737"/>
    <w:rsid w:val="00776983"/>
    <w:rsid w:val="00776CD3"/>
    <w:rsid w:val="007771BC"/>
    <w:rsid w:val="0077741E"/>
    <w:rsid w:val="007778DA"/>
    <w:rsid w:val="00780BF5"/>
    <w:rsid w:val="007824F5"/>
    <w:rsid w:val="0078263D"/>
    <w:rsid w:val="00783A0D"/>
    <w:rsid w:val="00783E8B"/>
    <w:rsid w:val="007843E9"/>
    <w:rsid w:val="00785334"/>
    <w:rsid w:val="007853B1"/>
    <w:rsid w:val="007859F4"/>
    <w:rsid w:val="007859F5"/>
    <w:rsid w:val="00786038"/>
    <w:rsid w:val="007860E8"/>
    <w:rsid w:val="007861F2"/>
    <w:rsid w:val="00786CF6"/>
    <w:rsid w:val="00787961"/>
    <w:rsid w:val="00787CE2"/>
    <w:rsid w:val="00787F49"/>
    <w:rsid w:val="00790600"/>
    <w:rsid w:val="0079089D"/>
    <w:rsid w:val="00790D2F"/>
    <w:rsid w:val="00791079"/>
    <w:rsid w:val="007918F1"/>
    <w:rsid w:val="00791958"/>
    <w:rsid w:val="007924FB"/>
    <w:rsid w:val="0079256A"/>
    <w:rsid w:val="007927EC"/>
    <w:rsid w:val="00792D20"/>
    <w:rsid w:val="0079384D"/>
    <w:rsid w:val="00793950"/>
    <w:rsid w:val="00793AFC"/>
    <w:rsid w:val="00793E71"/>
    <w:rsid w:val="0079453A"/>
    <w:rsid w:val="007946E9"/>
    <w:rsid w:val="00794D2C"/>
    <w:rsid w:val="00795326"/>
    <w:rsid w:val="00795723"/>
    <w:rsid w:val="0079582D"/>
    <w:rsid w:val="00795F69"/>
    <w:rsid w:val="00796041"/>
    <w:rsid w:val="00796124"/>
    <w:rsid w:val="0079635B"/>
    <w:rsid w:val="00796AA7"/>
    <w:rsid w:val="0079799D"/>
    <w:rsid w:val="00797D08"/>
    <w:rsid w:val="007A058F"/>
    <w:rsid w:val="007A148A"/>
    <w:rsid w:val="007A23CC"/>
    <w:rsid w:val="007A25C0"/>
    <w:rsid w:val="007A347C"/>
    <w:rsid w:val="007A36FD"/>
    <w:rsid w:val="007A3909"/>
    <w:rsid w:val="007A3EEF"/>
    <w:rsid w:val="007A3F89"/>
    <w:rsid w:val="007A40CD"/>
    <w:rsid w:val="007A456C"/>
    <w:rsid w:val="007A4B24"/>
    <w:rsid w:val="007A4DF8"/>
    <w:rsid w:val="007A5461"/>
    <w:rsid w:val="007A56E6"/>
    <w:rsid w:val="007A5FAD"/>
    <w:rsid w:val="007A65DA"/>
    <w:rsid w:val="007A6BA3"/>
    <w:rsid w:val="007A73A1"/>
    <w:rsid w:val="007A73F0"/>
    <w:rsid w:val="007A760D"/>
    <w:rsid w:val="007A794C"/>
    <w:rsid w:val="007A7B8D"/>
    <w:rsid w:val="007B0357"/>
    <w:rsid w:val="007B0613"/>
    <w:rsid w:val="007B06F2"/>
    <w:rsid w:val="007B0CE5"/>
    <w:rsid w:val="007B141B"/>
    <w:rsid w:val="007B22E1"/>
    <w:rsid w:val="007B2333"/>
    <w:rsid w:val="007B3402"/>
    <w:rsid w:val="007B3FA6"/>
    <w:rsid w:val="007B459A"/>
    <w:rsid w:val="007B4718"/>
    <w:rsid w:val="007B4AD5"/>
    <w:rsid w:val="007B4C00"/>
    <w:rsid w:val="007B4F13"/>
    <w:rsid w:val="007B56E0"/>
    <w:rsid w:val="007B5B8F"/>
    <w:rsid w:val="007B5E33"/>
    <w:rsid w:val="007B5F91"/>
    <w:rsid w:val="007B60BD"/>
    <w:rsid w:val="007B6E97"/>
    <w:rsid w:val="007B6F42"/>
    <w:rsid w:val="007B758D"/>
    <w:rsid w:val="007B7683"/>
    <w:rsid w:val="007C069E"/>
    <w:rsid w:val="007C244A"/>
    <w:rsid w:val="007C2692"/>
    <w:rsid w:val="007C26F0"/>
    <w:rsid w:val="007C27F8"/>
    <w:rsid w:val="007C2A04"/>
    <w:rsid w:val="007C2E40"/>
    <w:rsid w:val="007C2FE8"/>
    <w:rsid w:val="007C30D2"/>
    <w:rsid w:val="007C31E4"/>
    <w:rsid w:val="007C3337"/>
    <w:rsid w:val="007C3B0F"/>
    <w:rsid w:val="007C424C"/>
    <w:rsid w:val="007C485E"/>
    <w:rsid w:val="007C4BC6"/>
    <w:rsid w:val="007C50AA"/>
    <w:rsid w:val="007C5110"/>
    <w:rsid w:val="007C5AC7"/>
    <w:rsid w:val="007C5B96"/>
    <w:rsid w:val="007C5F78"/>
    <w:rsid w:val="007C6031"/>
    <w:rsid w:val="007C61D3"/>
    <w:rsid w:val="007C650F"/>
    <w:rsid w:val="007C72B7"/>
    <w:rsid w:val="007C757E"/>
    <w:rsid w:val="007C7B45"/>
    <w:rsid w:val="007C7B46"/>
    <w:rsid w:val="007C7C25"/>
    <w:rsid w:val="007C7D63"/>
    <w:rsid w:val="007D04AB"/>
    <w:rsid w:val="007D07E5"/>
    <w:rsid w:val="007D0E50"/>
    <w:rsid w:val="007D27A5"/>
    <w:rsid w:val="007D28A0"/>
    <w:rsid w:val="007D2A69"/>
    <w:rsid w:val="007D32D2"/>
    <w:rsid w:val="007D38D1"/>
    <w:rsid w:val="007D4BF8"/>
    <w:rsid w:val="007D4D64"/>
    <w:rsid w:val="007D4DA8"/>
    <w:rsid w:val="007D5078"/>
    <w:rsid w:val="007D578C"/>
    <w:rsid w:val="007D5D26"/>
    <w:rsid w:val="007D66A4"/>
    <w:rsid w:val="007D67C4"/>
    <w:rsid w:val="007D6B03"/>
    <w:rsid w:val="007E06DF"/>
    <w:rsid w:val="007E12F6"/>
    <w:rsid w:val="007E17E4"/>
    <w:rsid w:val="007E1DE3"/>
    <w:rsid w:val="007E1F9D"/>
    <w:rsid w:val="007E2338"/>
    <w:rsid w:val="007E23E8"/>
    <w:rsid w:val="007E2407"/>
    <w:rsid w:val="007E28CA"/>
    <w:rsid w:val="007E3EB9"/>
    <w:rsid w:val="007E4719"/>
    <w:rsid w:val="007E48AA"/>
    <w:rsid w:val="007E5383"/>
    <w:rsid w:val="007E579F"/>
    <w:rsid w:val="007E5FEC"/>
    <w:rsid w:val="007E6464"/>
    <w:rsid w:val="007E69E2"/>
    <w:rsid w:val="007E6B18"/>
    <w:rsid w:val="007E73C9"/>
    <w:rsid w:val="007F0706"/>
    <w:rsid w:val="007F0D0D"/>
    <w:rsid w:val="007F1B49"/>
    <w:rsid w:val="007F1E1F"/>
    <w:rsid w:val="007F2738"/>
    <w:rsid w:val="007F298B"/>
    <w:rsid w:val="007F29CD"/>
    <w:rsid w:val="007F2C36"/>
    <w:rsid w:val="007F2CE2"/>
    <w:rsid w:val="007F3007"/>
    <w:rsid w:val="007F3A05"/>
    <w:rsid w:val="007F3E87"/>
    <w:rsid w:val="007F3EB6"/>
    <w:rsid w:val="007F3FF7"/>
    <w:rsid w:val="007F4039"/>
    <w:rsid w:val="007F43C4"/>
    <w:rsid w:val="007F4788"/>
    <w:rsid w:val="007F4946"/>
    <w:rsid w:val="007F4E24"/>
    <w:rsid w:val="007F588E"/>
    <w:rsid w:val="007F5E38"/>
    <w:rsid w:val="007F5E3F"/>
    <w:rsid w:val="007F5EC6"/>
    <w:rsid w:val="007F614F"/>
    <w:rsid w:val="007F64F2"/>
    <w:rsid w:val="007F6733"/>
    <w:rsid w:val="007F6C8D"/>
    <w:rsid w:val="007F72D7"/>
    <w:rsid w:val="007F73DE"/>
    <w:rsid w:val="007F7EB4"/>
    <w:rsid w:val="007F7EF8"/>
    <w:rsid w:val="008008CD"/>
    <w:rsid w:val="008008E2"/>
    <w:rsid w:val="0080121D"/>
    <w:rsid w:val="00801AAA"/>
    <w:rsid w:val="00801DC6"/>
    <w:rsid w:val="00801DEC"/>
    <w:rsid w:val="008035F6"/>
    <w:rsid w:val="008038E8"/>
    <w:rsid w:val="00803FEC"/>
    <w:rsid w:val="008045A5"/>
    <w:rsid w:val="00804C15"/>
    <w:rsid w:val="008059CA"/>
    <w:rsid w:val="00805CEC"/>
    <w:rsid w:val="00806998"/>
    <w:rsid w:val="00806A9E"/>
    <w:rsid w:val="00807400"/>
    <w:rsid w:val="00807AD4"/>
    <w:rsid w:val="00810D41"/>
    <w:rsid w:val="008115C0"/>
    <w:rsid w:val="00812DC0"/>
    <w:rsid w:val="00812DDA"/>
    <w:rsid w:val="00813810"/>
    <w:rsid w:val="00813D71"/>
    <w:rsid w:val="00814103"/>
    <w:rsid w:val="00814462"/>
    <w:rsid w:val="008151CD"/>
    <w:rsid w:val="0081549B"/>
    <w:rsid w:val="008156DB"/>
    <w:rsid w:val="00815FA9"/>
    <w:rsid w:val="008165CB"/>
    <w:rsid w:val="00816793"/>
    <w:rsid w:val="00816D39"/>
    <w:rsid w:val="00817105"/>
    <w:rsid w:val="00817613"/>
    <w:rsid w:val="0081766A"/>
    <w:rsid w:val="0081775F"/>
    <w:rsid w:val="00817A51"/>
    <w:rsid w:val="00817BAE"/>
    <w:rsid w:val="00817C4F"/>
    <w:rsid w:val="00817D4F"/>
    <w:rsid w:val="00817EE7"/>
    <w:rsid w:val="0082003E"/>
    <w:rsid w:val="0082132E"/>
    <w:rsid w:val="0082133F"/>
    <w:rsid w:val="00821793"/>
    <w:rsid w:val="008217BB"/>
    <w:rsid w:val="008218E8"/>
    <w:rsid w:val="00821C38"/>
    <w:rsid w:val="00821FA4"/>
    <w:rsid w:val="00822192"/>
    <w:rsid w:val="008223C6"/>
    <w:rsid w:val="00822894"/>
    <w:rsid w:val="00822B7C"/>
    <w:rsid w:val="00822EF6"/>
    <w:rsid w:val="008251DC"/>
    <w:rsid w:val="0082547F"/>
    <w:rsid w:val="0082567C"/>
    <w:rsid w:val="00826565"/>
    <w:rsid w:val="008267C7"/>
    <w:rsid w:val="00826B75"/>
    <w:rsid w:val="00827290"/>
    <w:rsid w:val="00827795"/>
    <w:rsid w:val="008277F4"/>
    <w:rsid w:val="00827B45"/>
    <w:rsid w:val="00827C40"/>
    <w:rsid w:val="00827E8E"/>
    <w:rsid w:val="00830162"/>
    <w:rsid w:val="008301FF"/>
    <w:rsid w:val="00830465"/>
    <w:rsid w:val="00830B56"/>
    <w:rsid w:val="00830C6A"/>
    <w:rsid w:val="00830C97"/>
    <w:rsid w:val="00831178"/>
    <w:rsid w:val="008316A7"/>
    <w:rsid w:val="0083192A"/>
    <w:rsid w:val="00831D18"/>
    <w:rsid w:val="00832AA8"/>
    <w:rsid w:val="00833309"/>
    <w:rsid w:val="008333A4"/>
    <w:rsid w:val="00833A41"/>
    <w:rsid w:val="008342BC"/>
    <w:rsid w:val="00834CB1"/>
    <w:rsid w:val="0083570E"/>
    <w:rsid w:val="00835B87"/>
    <w:rsid w:val="00836A7D"/>
    <w:rsid w:val="00837721"/>
    <w:rsid w:val="0084005C"/>
    <w:rsid w:val="00840182"/>
    <w:rsid w:val="00840223"/>
    <w:rsid w:val="00840422"/>
    <w:rsid w:val="00840616"/>
    <w:rsid w:val="00840768"/>
    <w:rsid w:val="008408E0"/>
    <w:rsid w:val="0084097D"/>
    <w:rsid w:val="00840BAA"/>
    <w:rsid w:val="00840CFB"/>
    <w:rsid w:val="00840FB8"/>
    <w:rsid w:val="00841345"/>
    <w:rsid w:val="008428EF"/>
    <w:rsid w:val="0084315D"/>
    <w:rsid w:val="00843546"/>
    <w:rsid w:val="008435DC"/>
    <w:rsid w:val="00843780"/>
    <w:rsid w:val="0084433C"/>
    <w:rsid w:val="008448D3"/>
    <w:rsid w:val="00845491"/>
    <w:rsid w:val="008454B1"/>
    <w:rsid w:val="00845A9A"/>
    <w:rsid w:val="00845B70"/>
    <w:rsid w:val="00845C3A"/>
    <w:rsid w:val="00845E30"/>
    <w:rsid w:val="00845FC8"/>
    <w:rsid w:val="00845FE7"/>
    <w:rsid w:val="00846BAA"/>
    <w:rsid w:val="008470BD"/>
    <w:rsid w:val="008478F9"/>
    <w:rsid w:val="008507C3"/>
    <w:rsid w:val="0085095B"/>
    <w:rsid w:val="00850E37"/>
    <w:rsid w:val="0085130C"/>
    <w:rsid w:val="0085174E"/>
    <w:rsid w:val="00851768"/>
    <w:rsid w:val="00851AFD"/>
    <w:rsid w:val="00852434"/>
    <w:rsid w:val="00853147"/>
    <w:rsid w:val="00854D7B"/>
    <w:rsid w:val="00854FA4"/>
    <w:rsid w:val="0085585C"/>
    <w:rsid w:val="008559FD"/>
    <w:rsid w:val="00855E43"/>
    <w:rsid w:val="00855FDD"/>
    <w:rsid w:val="008566BE"/>
    <w:rsid w:val="00856F19"/>
    <w:rsid w:val="0085756E"/>
    <w:rsid w:val="00857961"/>
    <w:rsid w:val="008600ED"/>
    <w:rsid w:val="008615FD"/>
    <w:rsid w:val="008624D3"/>
    <w:rsid w:val="008628E3"/>
    <w:rsid w:val="00862CF5"/>
    <w:rsid w:val="008631D0"/>
    <w:rsid w:val="00863476"/>
    <w:rsid w:val="00863CEF"/>
    <w:rsid w:val="008645AC"/>
    <w:rsid w:val="0086486B"/>
    <w:rsid w:val="0086549F"/>
    <w:rsid w:val="008655F5"/>
    <w:rsid w:val="00865651"/>
    <w:rsid w:val="00865C34"/>
    <w:rsid w:val="00865C6D"/>
    <w:rsid w:val="00865D6E"/>
    <w:rsid w:val="00866294"/>
    <w:rsid w:val="008664A4"/>
    <w:rsid w:val="0086734B"/>
    <w:rsid w:val="00867383"/>
    <w:rsid w:val="008674E1"/>
    <w:rsid w:val="00870E90"/>
    <w:rsid w:val="00870ECC"/>
    <w:rsid w:val="00871E19"/>
    <w:rsid w:val="00872A4A"/>
    <w:rsid w:val="00872FA3"/>
    <w:rsid w:val="0087407A"/>
    <w:rsid w:val="008747FB"/>
    <w:rsid w:val="008749B1"/>
    <w:rsid w:val="00874A25"/>
    <w:rsid w:val="008757EC"/>
    <w:rsid w:val="00875831"/>
    <w:rsid w:val="008759CF"/>
    <w:rsid w:val="00875ABD"/>
    <w:rsid w:val="008767BE"/>
    <w:rsid w:val="008776ED"/>
    <w:rsid w:val="00877A90"/>
    <w:rsid w:val="00877AE8"/>
    <w:rsid w:val="00880848"/>
    <w:rsid w:val="00880B31"/>
    <w:rsid w:val="008810B2"/>
    <w:rsid w:val="008813BE"/>
    <w:rsid w:val="00881C63"/>
    <w:rsid w:val="00882564"/>
    <w:rsid w:val="00882928"/>
    <w:rsid w:val="008829D7"/>
    <w:rsid w:val="00882B77"/>
    <w:rsid w:val="00883331"/>
    <w:rsid w:val="008835B3"/>
    <w:rsid w:val="00883E86"/>
    <w:rsid w:val="00884775"/>
    <w:rsid w:val="008853BF"/>
    <w:rsid w:val="008853C4"/>
    <w:rsid w:val="0088544C"/>
    <w:rsid w:val="00885DEA"/>
    <w:rsid w:val="008867D2"/>
    <w:rsid w:val="00886E96"/>
    <w:rsid w:val="00887745"/>
    <w:rsid w:val="00890053"/>
    <w:rsid w:val="008902AB"/>
    <w:rsid w:val="0089036F"/>
    <w:rsid w:val="0089065A"/>
    <w:rsid w:val="00891183"/>
    <w:rsid w:val="0089161C"/>
    <w:rsid w:val="00891769"/>
    <w:rsid w:val="008918C5"/>
    <w:rsid w:val="00892150"/>
    <w:rsid w:val="008925F4"/>
    <w:rsid w:val="00892EDD"/>
    <w:rsid w:val="00893307"/>
    <w:rsid w:val="0089343D"/>
    <w:rsid w:val="00893852"/>
    <w:rsid w:val="00893D85"/>
    <w:rsid w:val="008941F7"/>
    <w:rsid w:val="0089425E"/>
    <w:rsid w:val="00894429"/>
    <w:rsid w:val="00894573"/>
    <w:rsid w:val="0089458A"/>
    <w:rsid w:val="0089467D"/>
    <w:rsid w:val="008948CE"/>
    <w:rsid w:val="00894B1F"/>
    <w:rsid w:val="00894E11"/>
    <w:rsid w:val="00894FC6"/>
    <w:rsid w:val="008955E3"/>
    <w:rsid w:val="008971CE"/>
    <w:rsid w:val="008977AA"/>
    <w:rsid w:val="008978DF"/>
    <w:rsid w:val="008979F1"/>
    <w:rsid w:val="00897B0B"/>
    <w:rsid w:val="008A0B36"/>
    <w:rsid w:val="008A0BED"/>
    <w:rsid w:val="008A0F4E"/>
    <w:rsid w:val="008A1007"/>
    <w:rsid w:val="008A153C"/>
    <w:rsid w:val="008A1BC2"/>
    <w:rsid w:val="008A1F21"/>
    <w:rsid w:val="008A24D0"/>
    <w:rsid w:val="008A25A5"/>
    <w:rsid w:val="008A2A9E"/>
    <w:rsid w:val="008A2C70"/>
    <w:rsid w:val="008A330E"/>
    <w:rsid w:val="008A3BF8"/>
    <w:rsid w:val="008A3EEC"/>
    <w:rsid w:val="008A4498"/>
    <w:rsid w:val="008A44E1"/>
    <w:rsid w:val="008A4642"/>
    <w:rsid w:val="008A4730"/>
    <w:rsid w:val="008A4C29"/>
    <w:rsid w:val="008A4E61"/>
    <w:rsid w:val="008A525F"/>
    <w:rsid w:val="008A6186"/>
    <w:rsid w:val="008A6950"/>
    <w:rsid w:val="008B002C"/>
    <w:rsid w:val="008B07B3"/>
    <w:rsid w:val="008B0CE9"/>
    <w:rsid w:val="008B1A60"/>
    <w:rsid w:val="008B1B78"/>
    <w:rsid w:val="008B20A7"/>
    <w:rsid w:val="008B2B61"/>
    <w:rsid w:val="008B31E2"/>
    <w:rsid w:val="008B39D2"/>
    <w:rsid w:val="008B3AD9"/>
    <w:rsid w:val="008B3B7B"/>
    <w:rsid w:val="008B3B9B"/>
    <w:rsid w:val="008B3E10"/>
    <w:rsid w:val="008B4331"/>
    <w:rsid w:val="008B489A"/>
    <w:rsid w:val="008B48EF"/>
    <w:rsid w:val="008B508D"/>
    <w:rsid w:val="008B513A"/>
    <w:rsid w:val="008B5490"/>
    <w:rsid w:val="008B5BA7"/>
    <w:rsid w:val="008B6301"/>
    <w:rsid w:val="008B64B1"/>
    <w:rsid w:val="008B7AF5"/>
    <w:rsid w:val="008B7CAB"/>
    <w:rsid w:val="008C07BD"/>
    <w:rsid w:val="008C09E0"/>
    <w:rsid w:val="008C1167"/>
    <w:rsid w:val="008C225E"/>
    <w:rsid w:val="008C2705"/>
    <w:rsid w:val="008C2E5B"/>
    <w:rsid w:val="008C2FD2"/>
    <w:rsid w:val="008C37B2"/>
    <w:rsid w:val="008C4736"/>
    <w:rsid w:val="008C4925"/>
    <w:rsid w:val="008C4E16"/>
    <w:rsid w:val="008C501A"/>
    <w:rsid w:val="008C5612"/>
    <w:rsid w:val="008C56E3"/>
    <w:rsid w:val="008C608E"/>
    <w:rsid w:val="008C68F0"/>
    <w:rsid w:val="008C6E73"/>
    <w:rsid w:val="008C6EA4"/>
    <w:rsid w:val="008C6EF8"/>
    <w:rsid w:val="008C7754"/>
    <w:rsid w:val="008C7B37"/>
    <w:rsid w:val="008C7B9A"/>
    <w:rsid w:val="008D0BBE"/>
    <w:rsid w:val="008D0C83"/>
    <w:rsid w:val="008D1242"/>
    <w:rsid w:val="008D133A"/>
    <w:rsid w:val="008D15DC"/>
    <w:rsid w:val="008D1CE2"/>
    <w:rsid w:val="008D1D17"/>
    <w:rsid w:val="008D2521"/>
    <w:rsid w:val="008D2D06"/>
    <w:rsid w:val="008D2FC7"/>
    <w:rsid w:val="008D31C4"/>
    <w:rsid w:val="008D344E"/>
    <w:rsid w:val="008D34FB"/>
    <w:rsid w:val="008D3626"/>
    <w:rsid w:val="008D4766"/>
    <w:rsid w:val="008D4AE0"/>
    <w:rsid w:val="008D50E6"/>
    <w:rsid w:val="008D52AA"/>
    <w:rsid w:val="008D5D10"/>
    <w:rsid w:val="008D5F2C"/>
    <w:rsid w:val="008D6302"/>
    <w:rsid w:val="008D723E"/>
    <w:rsid w:val="008D79E9"/>
    <w:rsid w:val="008D7B17"/>
    <w:rsid w:val="008E0113"/>
    <w:rsid w:val="008E037B"/>
    <w:rsid w:val="008E0C79"/>
    <w:rsid w:val="008E1526"/>
    <w:rsid w:val="008E1B69"/>
    <w:rsid w:val="008E1CDA"/>
    <w:rsid w:val="008E201E"/>
    <w:rsid w:val="008E201F"/>
    <w:rsid w:val="008E2437"/>
    <w:rsid w:val="008E26BC"/>
    <w:rsid w:val="008E2D2B"/>
    <w:rsid w:val="008E2FD0"/>
    <w:rsid w:val="008E3222"/>
    <w:rsid w:val="008E36B0"/>
    <w:rsid w:val="008E4861"/>
    <w:rsid w:val="008E4E1C"/>
    <w:rsid w:val="008E4EEE"/>
    <w:rsid w:val="008E6A39"/>
    <w:rsid w:val="008F089C"/>
    <w:rsid w:val="008F0993"/>
    <w:rsid w:val="008F0F41"/>
    <w:rsid w:val="008F1D21"/>
    <w:rsid w:val="008F1E4B"/>
    <w:rsid w:val="008F23FC"/>
    <w:rsid w:val="008F2733"/>
    <w:rsid w:val="008F2881"/>
    <w:rsid w:val="008F377C"/>
    <w:rsid w:val="008F39DD"/>
    <w:rsid w:val="008F3FB7"/>
    <w:rsid w:val="008F404C"/>
    <w:rsid w:val="008F4354"/>
    <w:rsid w:val="008F466C"/>
    <w:rsid w:val="008F54C0"/>
    <w:rsid w:val="008F5747"/>
    <w:rsid w:val="008F6639"/>
    <w:rsid w:val="008F735C"/>
    <w:rsid w:val="008F74DD"/>
    <w:rsid w:val="008F7AD4"/>
    <w:rsid w:val="008F7C9F"/>
    <w:rsid w:val="008F7DCC"/>
    <w:rsid w:val="00900339"/>
    <w:rsid w:val="00900E95"/>
    <w:rsid w:val="00901A36"/>
    <w:rsid w:val="00902253"/>
    <w:rsid w:val="00902560"/>
    <w:rsid w:val="00903357"/>
    <w:rsid w:val="00903553"/>
    <w:rsid w:val="0090379C"/>
    <w:rsid w:val="0090399F"/>
    <w:rsid w:val="00904011"/>
    <w:rsid w:val="0090442D"/>
    <w:rsid w:val="0090468A"/>
    <w:rsid w:val="009054D7"/>
    <w:rsid w:val="00905D14"/>
    <w:rsid w:val="00906523"/>
    <w:rsid w:val="00906C57"/>
    <w:rsid w:val="009071A1"/>
    <w:rsid w:val="009073AF"/>
    <w:rsid w:val="0090755B"/>
    <w:rsid w:val="00907E5C"/>
    <w:rsid w:val="009100F4"/>
    <w:rsid w:val="00910109"/>
    <w:rsid w:val="00911403"/>
    <w:rsid w:val="0091220A"/>
    <w:rsid w:val="00912377"/>
    <w:rsid w:val="00912819"/>
    <w:rsid w:val="0091393F"/>
    <w:rsid w:val="00913A75"/>
    <w:rsid w:val="00913CCA"/>
    <w:rsid w:val="00914627"/>
    <w:rsid w:val="00915376"/>
    <w:rsid w:val="00916039"/>
    <w:rsid w:val="009171BC"/>
    <w:rsid w:val="00917269"/>
    <w:rsid w:val="00917A2C"/>
    <w:rsid w:val="00917E52"/>
    <w:rsid w:val="0092045E"/>
    <w:rsid w:val="00920692"/>
    <w:rsid w:val="00921222"/>
    <w:rsid w:val="0092197D"/>
    <w:rsid w:val="00921F67"/>
    <w:rsid w:val="009229EF"/>
    <w:rsid w:val="00922CA6"/>
    <w:rsid w:val="00922CE0"/>
    <w:rsid w:val="0092318D"/>
    <w:rsid w:val="00923E7E"/>
    <w:rsid w:val="009241A0"/>
    <w:rsid w:val="00924C79"/>
    <w:rsid w:val="00924FAF"/>
    <w:rsid w:val="009254B6"/>
    <w:rsid w:val="00925701"/>
    <w:rsid w:val="00925E1D"/>
    <w:rsid w:val="00925E2F"/>
    <w:rsid w:val="00925E93"/>
    <w:rsid w:val="00926171"/>
    <w:rsid w:val="00926190"/>
    <w:rsid w:val="00926F52"/>
    <w:rsid w:val="009275AC"/>
    <w:rsid w:val="009279CA"/>
    <w:rsid w:val="00927B23"/>
    <w:rsid w:val="00927D47"/>
    <w:rsid w:val="009304B9"/>
    <w:rsid w:val="009308FF"/>
    <w:rsid w:val="0093183C"/>
    <w:rsid w:val="00931BA4"/>
    <w:rsid w:val="00932887"/>
    <w:rsid w:val="00932E8F"/>
    <w:rsid w:val="00933106"/>
    <w:rsid w:val="00933A0D"/>
    <w:rsid w:val="00933E27"/>
    <w:rsid w:val="00934108"/>
    <w:rsid w:val="00934518"/>
    <w:rsid w:val="00934E61"/>
    <w:rsid w:val="0093584A"/>
    <w:rsid w:val="0093641E"/>
    <w:rsid w:val="00936DFE"/>
    <w:rsid w:val="00940006"/>
    <w:rsid w:val="00940518"/>
    <w:rsid w:val="0094062F"/>
    <w:rsid w:val="0094091A"/>
    <w:rsid w:val="00940AD5"/>
    <w:rsid w:val="00941095"/>
    <w:rsid w:val="00941C63"/>
    <w:rsid w:val="00941E27"/>
    <w:rsid w:val="00942637"/>
    <w:rsid w:val="00942C3B"/>
    <w:rsid w:val="00942DB8"/>
    <w:rsid w:val="00942DCE"/>
    <w:rsid w:val="00943A4D"/>
    <w:rsid w:val="00943DA3"/>
    <w:rsid w:val="00944425"/>
    <w:rsid w:val="009446D9"/>
    <w:rsid w:val="00945573"/>
    <w:rsid w:val="00946B5A"/>
    <w:rsid w:val="00946C42"/>
    <w:rsid w:val="00950656"/>
    <w:rsid w:val="00951334"/>
    <w:rsid w:val="0095149B"/>
    <w:rsid w:val="009519EA"/>
    <w:rsid w:val="00951C6B"/>
    <w:rsid w:val="00952BDC"/>
    <w:rsid w:val="00952C10"/>
    <w:rsid w:val="00953392"/>
    <w:rsid w:val="00953E8A"/>
    <w:rsid w:val="0095450E"/>
    <w:rsid w:val="009545A1"/>
    <w:rsid w:val="00954722"/>
    <w:rsid w:val="009557E7"/>
    <w:rsid w:val="00955F15"/>
    <w:rsid w:val="009560E6"/>
    <w:rsid w:val="00956E31"/>
    <w:rsid w:val="00956F40"/>
    <w:rsid w:val="009570D6"/>
    <w:rsid w:val="0095785F"/>
    <w:rsid w:val="00957A44"/>
    <w:rsid w:val="00957C15"/>
    <w:rsid w:val="00957F04"/>
    <w:rsid w:val="009615AE"/>
    <w:rsid w:val="00961A75"/>
    <w:rsid w:val="00961B54"/>
    <w:rsid w:val="0096216A"/>
    <w:rsid w:val="0096224B"/>
    <w:rsid w:val="009627CE"/>
    <w:rsid w:val="00962BA5"/>
    <w:rsid w:val="0096336D"/>
    <w:rsid w:val="00963C05"/>
    <w:rsid w:val="009644FD"/>
    <w:rsid w:val="00964C8D"/>
    <w:rsid w:val="00964F2E"/>
    <w:rsid w:val="00965180"/>
    <w:rsid w:val="009652D0"/>
    <w:rsid w:val="009654E7"/>
    <w:rsid w:val="00965794"/>
    <w:rsid w:val="0096584B"/>
    <w:rsid w:val="009659ED"/>
    <w:rsid w:val="00966A38"/>
    <w:rsid w:val="00966FB5"/>
    <w:rsid w:val="00967056"/>
    <w:rsid w:val="0096737D"/>
    <w:rsid w:val="0096748F"/>
    <w:rsid w:val="00967CC8"/>
    <w:rsid w:val="00967EC8"/>
    <w:rsid w:val="00970144"/>
    <w:rsid w:val="0097026A"/>
    <w:rsid w:val="00970371"/>
    <w:rsid w:val="00970685"/>
    <w:rsid w:val="00970A7C"/>
    <w:rsid w:val="00970ACE"/>
    <w:rsid w:val="00971F17"/>
    <w:rsid w:val="0097218C"/>
    <w:rsid w:val="00972D32"/>
    <w:rsid w:val="00972E0A"/>
    <w:rsid w:val="00973FB1"/>
    <w:rsid w:val="009748DE"/>
    <w:rsid w:val="00974FC4"/>
    <w:rsid w:val="009755F3"/>
    <w:rsid w:val="00975C3B"/>
    <w:rsid w:val="00975FB0"/>
    <w:rsid w:val="00976175"/>
    <w:rsid w:val="00977BBF"/>
    <w:rsid w:val="009809B4"/>
    <w:rsid w:val="0098114F"/>
    <w:rsid w:val="00981682"/>
    <w:rsid w:val="00981D5F"/>
    <w:rsid w:val="00982400"/>
    <w:rsid w:val="009826CE"/>
    <w:rsid w:val="00982ECD"/>
    <w:rsid w:val="00983577"/>
    <w:rsid w:val="009841A9"/>
    <w:rsid w:val="00984E88"/>
    <w:rsid w:val="00984EB7"/>
    <w:rsid w:val="0098505E"/>
    <w:rsid w:val="00985063"/>
    <w:rsid w:val="009857A9"/>
    <w:rsid w:val="00985902"/>
    <w:rsid w:val="00985A59"/>
    <w:rsid w:val="00985BE7"/>
    <w:rsid w:val="00985C51"/>
    <w:rsid w:val="00985ED8"/>
    <w:rsid w:val="00986B47"/>
    <w:rsid w:val="009874E7"/>
    <w:rsid w:val="00987829"/>
    <w:rsid w:val="00987ABC"/>
    <w:rsid w:val="0099053A"/>
    <w:rsid w:val="009908E4"/>
    <w:rsid w:val="00991187"/>
    <w:rsid w:val="009928D9"/>
    <w:rsid w:val="009929A7"/>
    <w:rsid w:val="00992ECF"/>
    <w:rsid w:val="0099333F"/>
    <w:rsid w:val="00993382"/>
    <w:rsid w:val="0099341A"/>
    <w:rsid w:val="00993C62"/>
    <w:rsid w:val="00994273"/>
    <w:rsid w:val="009945EF"/>
    <w:rsid w:val="00994AC0"/>
    <w:rsid w:val="0099530E"/>
    <w:rsid w:val="009953CE"/>
    <w:rsid w:val="00995527"/>
    <w:rsid w:val="0099581B"/>
    <w:rsid w:val="009972D9"/>
    <w:rsid w:val="00997994"/>
    <w:rsid w:val="009A03F5"/>
    <w:rsid w:val="009A08E6"/>
    <w:rsid w:val="009A1172"/>
    <w:rsid w:val="009A142A"/>
    <w:rsid w:val="009A17D7"/>
    <w:rsid w:val="009A1A20"/>
    <w:rsid w:val="009A1E38"/>
    <w:rsid w:val="009A1E52"/>
    <w:rsid w:val="009A2A18"/>
    <w:rsid w:val="009A2B7E"/>
    <w:rsid w:val="009A2D1F"/>
    <w:rsid w:val="009A2D94"/>
    <w:rsid w:val="009A4575"/>
    <w:rsid w:val="009A4822"/>
    <w:rsid w:val="009A49BB"/>
    <w:rsid w:val="009A5039"/>
    <w:rsid w:val="009A534E"/>
    <w:rsid w:val="009A5816"/>
    <w:rsid w:val="009A63D8"/>
    <w:rsid w:val="009A6561"/>
    <w:rsid w:val="009A661F"/>
    <w:rsid w:val="009A685B"/>
    <w:rsid w:val="009A6F9B"/>
    <w:rsid w:val="009A793B"/>
    <w:rsid w:val="009A79E1"/>
    <w:rsid w:val="009A7C99"/>
    <w:rsid w:val="009B079B"/>
    <w:rsid w:val="009B0868"/>
    <w:rsid w:val="009B0BDF"/>
    <w:rsid w:val="009B0F35"/>
    <w:rsid w:val="009B17C4"/>
    <w:rsid w:val="009B1B16"/>
    <w:rsid w:val="009B1C19"/>
    <w:rsid w:val="009B1EE1"/>
    <w:rsid w:val="009B2479"/>
    <w:rsid w:val="009B282A"/>
    <w:rsid w:val="009B2CCC"/>
    <w:rsid w:val="009B3671"/>
    <w:rsid w:val="009B3AFC"/>
    <w:rsid w:val="009B4553"/>
    <w:rsid w:val="009B4755"/>
    <w:rsid w:val="009B4AB2"/>
    <w:rsid w:val="009B4BA3"/>
    <w:rsid w:val="009B4F92"/>
    <w:rsid w:val="009B54FD"/>
    <w:rsid w:val="009B57C8"/>
    <w:rsid w:val="009B5C30"/>
    <w:rsid w:val="009B5D66"/>
    <w:rsid w:val="009B6027"/>
    <w:rsid w:val="009B612A"/>
    <w:rsid w:val="009B6140"/>
    <w:rsid w:val="009B6E68"/>
    <w:rsid w:val="009B76B9"/>
    <w:rsid w:val="009B7E6F"/>
    <w:rsid w:val="009B7F92"/>
    <w:rsid w:val="009C01D6"/>
    <w:rsid w:val="009C04A2"/>
    <w:rsid w:val="009C127E"/>
    <w:rsid w:val="009C1921"/>
    <w:rsid w:val="009C1A52"/>
    <w:rsid w:val="009C1CA2"/>
    <w:rsid w:val="009C2226"/>
    <w:rsid w:val="009C2EEC"/>
    <w:rsid w:val="009C3353"/>
    <w:rsid w:val="009C459C"/>
    <w:rsid w:val="009C481A"/>
    <w:rsid w:val="009C4C63"/>
    <w:rsid w:val="009C4CDD"/>
    <w:rsid w:val="009C4F07"/>
    <w:rsid w:val="009C4FB1"/>
    <w:rsid w:val="009C54D0"/>
    <w:rsid w:val="009C55CE"/>
    <w:rsid w:val="009C5859"/>
    <w:rsid w:val="009C59D8"/>
    <w:rsid w:val="009C5CC1"/>
    <w:rsid w:val="009C6069"/>
    <w:rsid w:val="009C660D"/>
    <w:rsid w:val="009C6644"/>
    <w:rsid w:val="009C68C9"/>
    <w:rsid w:val="009C699C"/>
    <w:rsid w:val="009C6B29"/>
    <w:rsid w:val="009C6C18"/>
    <w:rsid w:val="009C7305"/>
    <w:rsid w:val="009C775F"/>
    <w:rsid w:val="009C78E9"/>
    <w:rsid w:val="009C7B82"/>
    <w:rsid w:val="009C7C14"/>
    <w:rsid w:val="009D01C2"/>
    <w:rsid w:val="009D03A8"/>
    <w:rsid w:val="009D0901"/>
    <w:rsid w:val="009D0EAC"/>
    <w:rsid w:val="009D1CD4"/>
    <w:rsid w:val="009D2306"/>
    <w:rsid w:val="009D260D"/>
    <w:rsid w:val="009D286A"/>
    <w:rsid w:val="009D288F"/>
    <w:rsid w:val="009D3195"/>
    <w:rsid w:val="009D398A"/>
    <w:rsid w:val="009D3C8B"/>
    <w:rsid w:val="009D43C1"/>
    <w:rsid w:val="009D4611"/>
    <w:rsid w:val="009D4D29"/>
    <w:rsid w:val="009D6244"/>
    <w:rsid w:val="009D6256"/>
    <w:rsid w:val="009D70A2"/>
    <w:rsid w:val="009D7383"/>
    <w:rsid w:val="009D74A8"/>
    <w:rsid w:val="009D7889"/>
    <w:rsid w:val="009D7C86"/>
    <w:rsid w:val="009E0256"/>
    <w:rsid w:val="009E0AAA"/>
    <w:rsid w:val="009E0E36"/>
    <w:rsid w:val="009E0EEF"/>
    <w:rsid w:val="009E1527"/>
    <w:rsid w:val="009E15A2"/>
    <w:rsid w:val="009E1838"/>
    <w:rsid w:val="009E19A3"/>
    <w:rsid w:val="009E1D7F"/>
    <w:rsid w:val="009E239D"/>
    <w:rsid w:val="009E2968"/>
    <w:rsid w:val="009E2D38"/>
    <w:rsid w:val="009E33AF"/>
    <w:rsid w:val="009E37A6"/>
    <w:rsid w:val="009E3B79"/>
    <w:rsid w:val="009E43E5"/>
    <w:rsid w:val="009E4FDF"/>
    <w:rsid w:val="009E53F7"/>
    <w:rsid w:val="009E552F"/>
    <w:rsid w:val="009E5639"/>
    <w:rsid w:val="009E59CC"/>
    <w:rsid w:val="009E61FD"/>
    <w:rsid w:val="009E71F0"/>
    <w:rsid w:val="009E7870"/>
    <w:rsid w:val="009E7E0E"/>
    <w:rsid w:val="009F1060"/>
    <w:rsid w:val="009F14D7"/>
    <w:rsid w:val="009F1CD9"/>
    <w:rsid w:val="009F1E1A"/>
    <w:rsid w:val="009F2B3B"/>
    <w:rsid w:val="009F3EA9"/>
    <w:rsid w:val="009F4108"/>
    <w:rsid w:val="009F42CB"/>
    <w:rsid w:val="009F4672"/>
    <w:rsid w:val="009F4721"/>
    <w:rsid w:val="009F4A8B"/>
    <w:rsid w:val="009F4F77"/>
    <w:rsid w:val="009F5479"/>
    <w:rsid w:val="009F599A"/>
    <w:rsid w:val="009F5C2A"/>
    <w:rsid w:val="009F6310"/>
    <w:rsid w:val="009F73F7"/>
    <w:rsid w:val="009F76FC"/>
    <w:rsid w:val="009F7A26"/>
    <w:rsid w:val="00A00045"/>
    <w:rsid w:val="00A006E0"/>
    <w:rsid w:val="00A00AE1"/>
    <w:rsid w:val="00A00CE0"/>
    <w:rsid w:val="00A00EB8"/>
    <w:rsid w:val="00A01068"/>
    <w:rsid w:val="00A023B9"/>
    <w:rsid w:val="00A024D0"/>
    <w:rsid w:val="00A0285D"/>
    <w:rsid w:val="00A02899"/>
    <w:rsid w:val="00A02A68"/>
    <w:rsid w:val="00A02B25"/>
    <w:rsid w:val="00A02E68"/>
    <w:rsid w:val="00A02F00"/>
    <w:rsid w:val="00A02F04"/>
    <w:rsid w:val="00A043B5"/>
    <w:rsid w:val="00A0507C"/>
    <w:rsid w:val="00A054A1"/>
    <w:rsid w:val="00A057A3"/>
    <w:rsid w:val="00A05E0D"/>
    <w:rsid w:val="00A06631"/>
    <w:rsid w:val="00A06CA6"/>
    <w:rsid w:val="00A06EFA"/>
    <w:rsid w:val="00A0704D"/>
    <w:rsid w:val="00A07E31"/>
    <w:rsid w:val="00A1045B"/>
    <w:rsid w:val="00A10518"/>
    <w:rsid w:val="00A10826"/>
    <w:rsid w:val="00A10ED0"/>
    <w:rsid w:val="00A11365"/>
    <w:rsid w:val="00A1147D"/>
    <w:rsid w:val="00A115D8"/>
    <w:rsid w:val="00A1192E"/>
    <w:rsid w:val="00A11CA2"/>
    <w:rsid w:val="00A11E67"/>
    <w:rsid w:val="00A120DF"/>
    <w:rsid w:val="00A121B7"/>
    <w:rsid w:val="00A12970"/>
    <w:rsid w:val="00A131FF"/>
    <w:rsid w:val="00A13A36"/>
    <w:rsid w:val="00A14F68"/>
    <w:rsid w:val="00A155A7"/>
    <w:rsid w:val="00A15856"/>
    <w:rsid w:val="00A158EB"/>
    <w:rsid w:val="00A16B58"/>
    <w:rsid w:val="00A177B9"/>
    <w:rsid w:val="00A17A18"/>
    <w:rsid w:val="00A208BE"/>
    <w:rsid w:val="00A214D2"/>
    <w:rsid w:val="00A2182B"/>
    <w:rsid w:val="00A219FB"/>
    <w:rsid w:val="00A2230D"/>
    <w:rsid w:val="00A234DD"/>
    <w:rsid w:val="00A23A9D"/>
    <w:rsid w:val="00A23D6B"/>
    <w:rsid w:val="00A24205"/>
    <w:rsid w:val="00A24734"/>
    <w:rsid w:val="00A25C2E"/>
    <w:rsid w:val="00A265CF"/>
    <w:rsid w:val="00A2756A"/>
    <w:rsid w:val="00A27F8E"/>
    <w:rsid w:val="00A3042C"/>
    <w:rsid w:val="00A3069A"/>
    <w:rsid w:val="00A306CC"/>
    <w:rsid w:val="00A30E4D"/>
    <w:rsid w:val="00A31874"/>
    <w:rsid w:val="00A31C1D"/>
    <w:rsid w:val="00A3209B"/>
    <w:rsid w:val="00A320AF"/>
    <w:rsid w:val="00A323B9"/>
    <w:rsid w:val="00A326F3"/>
    <w:rsid w:val="00A3310D"/>
    <w:rsid w:val="00A33453"/>
    <w:rsid w:val="00A3347A"/>
    <w:rsid w:val="00A3356C"/>
    <w:rsid w:val="00A336EA"/>
    <w:rsid w:val="00A34CEE"/>
    <w:rsid w:val="00A34D4A"/>
    <w:rsid w:val="00A3539E"/>
    <w:rsid w:val="00A357F6"/>
    <w:rsid w:val="00A35AF4"/>
    <w:rsid w:val="00A36362"/>
    <w:rsid w:val="00A367C3"/>
    <w:rsid w:val="00A36C8A"/>
    <w:rsid w:val="00A37143"/>
    <w:rsid w:val="00A37A14"/>
    <w:rsid w:val="00A37BBA"/>
    <w:rsid w:val="00A37BC6"/>
    <w:rsid w:val="00A37F4D"/>
    <w:rsid w:val="00A406C2"/>
    <w:rsid w:val="00A40973"/>
    <w:rsid w:val="00A41A55"/>
    <w:rsid w:val="00A41C33"/>
    <w:rsid w:val="00A42104"/>
    <w:rsid w:val="00A42F82"/>
    <w:rsid w:val="00A437FE"/>
    <w:rsid w:val="00A43E57"/>
    <w:rsid w:val="00A43E9B"/>
    <w:rsid w:val="00A44314"/>
    <w:rsid w:val="00A44E11"/>
    <w:rsid w:val="00A4565D"/>
    <w:rsid w:val="00A45C79"/>
    <w:rsid w:val="00A468EE"/>
    <w:rsid w:val="00A46C70"/>
    <w:rsid w:val="00A46F0A"/>
    <w:rsid w:val="00A4775B"/>
    <w:rsid w:val="00A47B4E"/>
    <w:rsid w:val="00A50DBA"/>
    <w:rsid w:val="00A50DFE"/>
    <w:rsid w:val="00A50E6B"/>
    <w:rsid w:val="00A51E21"/>
    <w:rsid w:val="00A523EB"/>
    <w:rsid w:val="00A525C4"/>
    <w:rsid w:val="00A55466"/>
    <w:rsid w:val="00A5610E"/>
    <w:rsid w:val="00A56632"/>
    <w:rsid w:val="00A56696"/>
    <w:rsid w:val="00A569FE"/>
    <w:rsid w:val="00A56D37"/>
    <w:rsid w:val="00A56EF7"/>
    <w:rsid w:val="00A5774F"/>
    <w:rsid w:val="00A57A02"/>
    <w:rsid w:val="00A57EC3"/>
    <w:rsid w:val="00A60888"/>
    <w:rsid w:val="00A609FD"/>
    <w:rsid w:val="00A60BB3"/>
    <w:rsid w:val="00A61249"/>
    <w:rsid w:val="00A62EE9"/>
    <w:rsid w:val="00A6407E"/>
    <w:rsid w:val="00A65B52"/>
    <w:rsid w:val="00A66272"/>
    <w:rsid w:val="00A6636A"/>
    <w:rsid w:val="00A66A4D"/>
    <w:rsid w:val="00A66D9E"/>
    <w:rsid w:val="00A66FDB"/>
    <w:rsid w:val="00A6715F"/>
    <w:rsid w:val="00A674E7"/>
    <w:rsid w:val="00A67537"/>
    <w:rsid w:val="00A6794F"/>
    <w:rsid w:val="00A67EA2"/>
    <w:rsid w:val="00A7028D"/>
    <w:rsid w:val="00A70B15"/>
    <w:rsid w:val="00A710D9"/>
    <w:rsid w:val="00A71107"/>
    <w:rsid w:val="00A7132D"/>
    <w:rsid w:val="00A717F8"/>
    <w:rsid w:val="00A718FC"/>
    <w:rsid w:val="00A71C66"/>
    <w:rsid w:val="00A72034"/>
    <w:rsid w:val="00A72EBE"/>
    <w:rsid w:val="00A72EE0"/>
    <w:rsid w:val="00A73B8A"/>
    <w:rsid w:val="00A74085"/>
    <w:rsid w:val="00A74498"/>
    <w:rsid w:val="00A747D4"/>
    <w:rsid w:val="00A749B2"/>
    <w:rsid w:val="00A74C55"/>
    <w:rsid w:val="00A74F68"/>
    <w:rsid w:val="00A755FE"/>
    <w:rsid w:val="00A760B4"/>
    <w:rsid w:val="00A76493"/>
    <w:rsid w:val="00A76503"/>
    <w:rsid w:val="00A7789C"/>
    <w:rsid w:val="00A820A8"/>
    <w:rsid w:val="00A823A9"/>
    <w:rsid w:val="00A824E0"/>
    <w:rsid w:val="00A82768"/>
    <w:rsid w:val="00A8309C"/>
    <w:rsid w:val="00A83145"/>
    <w:rsid w:val="00A83E60"/>
    <w:rsid w:val="00A8411C"/>
    <w:rsid w:val="00A84386"/>
    <w:rsid w:val="00A846FC"/>
    <w:rsid w:val="00A8526D"/>
    <w:rsid w:val="00A856B6"/>
    <w:rsid w:val="00A86DE0"/>
    <w:rsid w:val="00A86FC9"/>
    <w:rsid w:val="00A871C4"/>
    <w:rsid w:val="00A879B8"/>
    <w:rsid w:val="00A90192"/>
    <w:rsid w:val="00A9028A"/>
    <w:rsid w:val="00A9052D"/>
    <w:rsid w:val="00A907D3"/>
    <w:rsid w:val="00A90993"/>
    <w:rsid w:val="00A912CC"/>
    <w:rsid w:val="00A92F2B"/>
    <w:rsid w:val="00A93C78"/>
    <w:rsid w:val="00A94517"/>
    <w:rsid w:val="00A94D11"/>
    <w:rsid w:val="00A94D3E"/>
    <w:rsid w:val="00A953EB"/>
    <w:rsid w:val="00A95E54"/>
    <w:rsid w:val="00A9655F"/>
    <w:rsid w:val="00A978C3"/>
    <w:rsid w:val="00AA0B54"/>
    <w:rsid w:val="00AA0D8A"/>
    <w:rsid w:val="00AA0DAD"/>
    <w:rsid w:val="00AA1F7E"/>
    <w:rsid w:val="00AA21BF"/>
    <w:rsid w:val="00AA2428"/>
    <w:rsid w:val="00AA24C5"/>
    <w:rsid w:val="00AA250E"/>
    <w:rsid w:val="00AA26E8"/>
    <w:rsid w:val="00AA3284"/>
    <w:rsid w:val="00AA34F6"/>
    <w:rsid w:val="00AA3BBC"/>
    <w:rsid w:val="00AA3DAA"/>
    <w:rsid w:val="00AA42EF"/>
    <w:rsid w:val="00AA42F8"/>
    <w:rsid w:val="00AA4310"/>
    <w:rsid w:val="00AA4A58"/>
    <w:rsid w:val="00AA5612"/>
    <w:rsid w:val="00AA5BE1"/>
    <w:rsid w:val="00AA5ED7"/>
    <w:rsid w:val="00AA6590"/>
    <w:rsid w:val="00AA68A9"/>
    <w:rsid w:val="00AA6B6C"/>
    <w:rsid w:val="00AA6B9B"/>
    <w:rsid w:val="00AA76A0"/>
    <w:rsid w:val="00AA7E5F"/>
    <w:rsid w:val="00AB00A0"/>
    <w:rsid w:val="00AB0B43"/>
    <w:rsid w:val="00AB10A3"/>
    <w:rsid w:val="00AB12A2"/>
    <w:rsid w:val="00AB169D"/>
    <w:rsid w:val="00AB2A6D"/>
    <w:rsid w:val="00AB3336"/>
    <w:rsid w:val="00AB357C"/>
    <w:rsid w:val="00AB3D49"/>
    <w:rsid w:val="00AB446E"/>
    <w:rsid w:val="00AB44A6"/>
    <w:rsid w:val="00AB4A96"/>
    <w:rsid w:val="00AB50E3"/>
    <w:rsid w:val="00AB537B"/>
    <w:rsid w:val="00AB583D"/>
    <w:rsid w:val="00AB5992"/>
    <w:rsid w:val="00AB59B8"/>
    <w:rsid w:val="00AB5ECF"/>
    <w:rsid w:val="00AB5F0F"/>
    <w:rsid w:val="00AB65B4"/>
    <w:rsid w:val="00AB6BC7"/>
    <w:rsid w:val="00AB6C12"/>
    <w:rsid w:val="00AB7392"/>
    <w:rsid w:val="00AB778E"/>
    <w:rsid w:val="00AB7B68"/>
    <w:rsid w:val="00AB7B7E"/>
    <w:rsid w:val="00AC02B7"/>
    <w:rsid w:val="00AC1522"/>
    <w:rsid w:val="00AC17D4"/>
    <w:rsid w:val="00AC1F89"/>
    <w:rsid w:val="00AC304F"/>
    <w:rsid w:val="00AC43CF"/>
    <w:rsid w:val="00AC446A"/>
    <w:rsid w:val="00AC4745"/>
    <w:rsid w:val="00AC47B4"/>
    <w:rsid w:val="00AC4803"/>
    <w:rsid w:val="00AC48EC"/>
    <w:rsid w:val="00AC4F46"/>
    <w:rsid w:val="00AC5782"/>
    <w:rsid w:val="00AC59A0"/>
    <w:rsid w:val="00AC59FE"/>
    <w:rsid w:val="00AC5CF6"/>
    <w:rsid w:val="00AC6131"/>
    <w:rsid w:val="00AC684B"/>
    <w:rsid w:val="00AC697F"/>
    <w:rsid w:val="00AC6BE6"/>
    <w:rsid w:val="00AC6EA8"/>
    <w:rsid w:val="00AC72C4"/>
    <w:rsid w:val="00AC74D9"/>
    <w:rsid w:val="00AC7641"/>
    <w:rsid w:val="00AC78C3"/>
    <w:rsid w:val="00AC7C78"/>
    <w:rsid w:val="00AC7F3C"/>
    <w:rsid w:val="00AD0257"/>
    <w:rsid w:val="00AD0BAF"/>
    <w:rsid w:val="00AD1B93"/>
    <w:rsid w:val="00AD1DB3"/>
    <w:rsid w:val="00AD1DC6"/>
    <w:rsid w:val="00AD1F5A"/>
    <w:rsid w:val="00AD20AD"/>
    <w:rsid w:val="00AD2179"/>
    <w:rsid w:val="00AD25D6"/>
    <w:rsid w:val="00AD291A"/>
    <w:rsid w:val="00AD3160"/>
    <w:rsid w:val="00AD33F0"/>
    <w:rsid w:val="00AD385E"/>
    <w:rsid w:val="00AD3A7D"/>
    <w:rsid w:val="00AD404F"/>
    <w:rsid w:val="00AD4071"/>
    <w:rsid w:val="00AD4264"/>
    <w:rsid w:val="00AD51ED"/>
    <w:rsid w:val="00AD6194"/>
    <w:rsid w:val="00AD6675"/>
    <w:rsid w:val="00AD70D2"/>
    <w:rsid w:val="00AE0555"/>
    <w:rsid w:val="00AE07BF"/>
    <w:rsid w:val="00AE0CBD"/>
    <w:rsid w:val="00AE19D7"/>
    <w:rsid w:val="00AE1D1C"/>
    <w:rsid w:val="00AE1FD5"/>
    <w:rsid w:val="00AE252A"/>
    <w:rsid w:val="00AE2CA2"/>
    <w:rsid w:val="00AE2DFD"/>
    <w:rsid w:val="00AE3A65"/>
    <w:rsid w:val="00AE3FA3"/>
    <w:rsid w:val="00AE4178"/>
    <w:rsid w:val="00AE4C9C"/>
    <w:rsid w:val="00AE5DFA"/>
    <w:rsid w:val="00AE6333"/>
    <w:rsid w:val="00AE6664"/>
    <w:rsid w:val="00AE6C41"/>
    <w:rsid w:val="00AE77BD"/>
    <w:rsid w:val="00AF03A7"/>
    <w:rsid w:val="00AF07B2"/>
    <w:rsid w:val="00AF0A42"/>
    <w:rsid w:val="00AF0C30"/>
    <w:rsid w:val="00AF0EDF"/>
    <w:rsid w:val="00AF1E4F"/>
    <w:rsid w:val="00AF1F58"/>
    <w:rsid w:val="00AF22C2"/>
    <w:rsid w:val="00AF3692"/>
    <w:rsid w:val="00AF3B51"/>
    <w:rsid w:val="00AF3BB9"/>
    <w:rsid w:val="00AF4121"/>
    <w:rsid w:val="00AF4478"/>
    <w:rsid w:val="00AF5555"/>
    <w:rsid w:val="00AF55BC"/>
    <w:rsid w:val="00AF579F"/>
    <w:rsid w:val="00AF59E0"/>
    <w:rsid w:val="00AF616B"/>
    <w:rsid w:val="00AF7D3F"/>
    <w:rsid w:val="00AF7EED"/>
    <w:rsid w:val="00AF7EFC"/>
    <w:rsid w:val="00B000E8"/>
    <w:rsid w:val="00B004EF"/>
    <w:rsid w:val="00B00F88"/>
    <w:rsid w:val="00B01333"/>
    <w:rsid w:val="00B016BD"/>
    <w:rsid w:val="00B022DB"/>
    <w:rsid w:val="00B031B4"/>
    <w:rsid w:val="00B031D0"/>
    <w:rsid w:val="00B03E3C"/>
    <w:rsid w:val="00B04835"/>
    <w:rsid w:val="00B048CE"/>
    <w:rsid w:val="00B05100"/>
    <w:rsid w:val="00B05D9C"/>
    <w:rsid w:val="00B05EC6"/>
    <w:rsid w:val="00B063FC"/>
    <w:rsid w:val="00B069B2"/>
    <w:rsid w:val="00B06F5B"/>
    <w:rsid w:val="00B07D4D"/>
    <w:rsid w:val="00B07E00"/>
    <w:rsid w:val="00B104AC"/>
    <w:rsid w:val="00B10874"/>
    <w:rsid w:val="00B10ACD"/>
    <w:rsid w:val="00B110A4"/>
    <w:rsid w:val="00B11995"/>
    <w:rsid w:val="00B11E16"/>
    <w:rsid w:val="00B12301"/>
    <w:rsid w:val="00B127DD"/>
    <w:rsid w:val="00B13B3A"/>
    <w:rsid w:val="00B14141"/>
    <w:rsid w:val="00B14168"/>
    <w:rsid w:val="00B152CA"/>
    <w:rsid w:val="00B15DB5"/>
    <w:rsid w:val="00B161E0"/>
    <w:rsid w:val="00B167E8"/>
    <w:rsid w:val="00B16B7F"/>
    <w:rsid w:val="00B17724"/>
    <w:rsid w:val="00B177C2"/>
    <w:rsid w:val="00B20390"/>
    <w:rsid w:val="00B20504"/>
    <w:rsid w:val="00B205CD"/>
    <w:rsid w:val="00B20D28"/>
    <w:rsid w:val="00B222EB"/>
    <w:rsid w:val="00B22F3B"/>
    <w:rsid w:val="00B237D5"/>
    <w:rsid w:val="00B24992"/>
    <w:rsid w:val="00B24E06"/>
    <w:rsid w:val="00B25321"/>
    <w:rsid w:val="00B256A7"/>
    <w:rsid w:val="00B25B8E"/>
    <w:rsid w:val="00B25C65"/>
    <w:rsid w:val="00B25C6B"/>
    <w:rsid w:val="00B26062"/>
    <w:rsid w:val="00B2668E"/>
    <w:rsid w:val="00B2692E"/>
    <w:rsid w:val="00B26AE0"/>
    <w:rsid w:val="00B27439"/>
    <w:rsid w:val="00B27469"/>
    <w:rsid w:val="00B27545"/>
    <w:rsid w:val="00B27D26"/>
    <w:rsid w:val="00B30084"/>
    <w:rsid w:val="00B30733"/>
    <w:rsid w:val="00B307BA"/>
    <w:rsid w:val="00B31BE2"/>
    <w:rsid w:val="00B31C44"/>
    <w:rsid w:val="00B32792"/>
    <w:rsid w:val="00B32E83"/>
    <w:rsid w:val="00B33719"/>
    <w:rsid w:val="00B33767"/>
    <w:rsid w:val="00B3462E"/>
    <w:rsid w:val="00B348EF"/>
    <w:rsid w:val="00B35149"/>
    <w:rsid w:val="00B35D95"/>
    <w:rsid w:val="00B3603E"/>
    <w:rsid w:val="00B36090"/>
    <w:rsid w:val="00B36A83"/>
    <w:rsid w:val="00B36FE1"/>
    <w:rsid w:val="00B37459"/>
    <w:rsid w:val="00B376E1"/>
    <w:rsid w:val="00B37AB7"/>
    <w:rsid w:val="00B37AC0"/>
    <w:rsid w:val="00B401C7"/>
    <w:rsid w:val="00B4067C"/>
    <w:rsid w:val="00B40C6C"/>
    <w:rsid w:val="00B40C75"/>
    <w:rsid w:val="00B40EE7"/>
    <w:rsid w:val="00B410A0"/>
    <w:rsid w:val="00B41BF4"/>
    <w:rsid w:val="00B41C0C"/>
    <w:rsid w:val="00B41CB6"/>
    <w:rsid w:val="00B4256C"/>
    <w:rsid w:val="00B42A8B"/>
    <w:rsid w:val="00B43099"/>
    <w:rsid w:val="00B4317C"/>
    <w:rsid w:val="00B435FE"/>
    <w:rsid w:val="00B45147"/>
    <w:rsid w:val="00B45AE1"/>
    <w:rsid w:val="00B45C8E"/>
    <w:rsid w:val="00B4685F"/>
    <w:rsid w:val="00B4695D"/>
    <w:rsid w:val="00B4703E"/>
    <w:rsid w:val="00B47393"/>
    <w:rsid w:val="00B476D3"/>
    <w:rsid w:val="00B47B09"/>
    <w:rsid w:val="00B47C2C"/>
    <w:rsid w:val="00B47F2A"/>
    <w:rsid w:val="00B50007"/>
    <w:rsid w:val="00B50A4C"/>
    <w:rsid w:val="00B50A89"/>
    <w:rsid w:val="00B50BF1"/>
    <w:rsid w:val="00B50DE7"/>
    <w:rsid w:val="00B51D99"/>
    <w:rsid w:val="00B52360"/>
    <w:rsid w:val="00B527B6"/>
    <w:rsid w:val="00B52F27"/>
    <w:rsid w:val="00B5316B"/>
    <w:rsid w:val="00B53300"/>
    <w:rsid w:val="00B534C1"/>
    <w:rsid w:val="00B53A80"/>
    <w:rsid w:val="00B54378"/>
    <w:rsid w:val="00B54625"/>
    <w:rsid w:val="00B54BAA"/>
    <w:rsid w:val="00B54FA6"/>
    <w:rsid w:val="00B55231"/>
    <w:rsid w:val="00B552AE"/>
    <w:rsid w:val="00B557E2"/>
    <w:rsid w:val="00B5627B"/>
    <w:rsid w:val="00B5687A"/>
    <w:rsid w:val="00B578DB"/>
    <w:rsid w:val="00B605DB"/>
    <w:rsid w:val="00B6100C"/>
    <w:rsid w:val="00B61725"/>
    <w:rsid w:val="00B61A58"/>
    <w:rsid w:val="00B61BAA"/>
    <w:rsid w:val="00B61D64"/>
    <w:rsid w:val="00B622F4"/>
    <w:rsid w:val="00B63156"/>
    <w:rsid w:val="00B6333F"/>
    <w:rsid w:val="00B63741"/>
    <w:rsid w:val="00B63767"/>
    <w:rsid w:val="00B63838"/>
    <w:rsid w:val="00B63A1C"/>
    <w:rsid w:val="00B641C1"/>
    <w:rsid w:val="00B64441"/>
    <w:rsid w:val="00B6491E"/>
    <w:rsid w:val="00B64975"/>
    <w:rsid w:val="00B656D5"/>
    <w:rsid w:val="00B65EF5"/>
    <w:rsid w:val="00B65F1B"/>
    <w:rsid w:val="00B65F9F"/>
    <w:rsid w:val="00B66373"/>
    <w:rsid w:val="00B66B38"/>
    <w:rsid w:val="00B66F59"/>
    <w:rsid w:val="00B66FEE"/>
    <w:rsid w:val="00B6709E"/>
    <w:rsid w:val="00B675B1"/>
    <w:rsid w:val="00B70B2C"/>
    <w:rsid w:val="00B70F7F"/>
    <w:rsid w:val="00B71182"/>
    <w:rsid w:val="00B7143C"/>
    <w:rsid w:val="00B71791"/>
    <w:rsid w:val="00B71AB4"/>
    <w:rsid w:val="00B71BF4"/>
    <w:rsid w:val="00B71C87"/>
    <w:rsid w:val="00B71E76"/>
    <w:rsid w:val="00B71E81"/>
    <w:rsid w:val="00B72E73"/>
    <w:rsid w:val="00B73E70"/>
    <w:rsid w:val="00B75801"/>
    <w:rsid w:val="00B758C0"/>
    <w:rsid w:val="00B75AC0"/>
    <w:rsid w:val="00B76923"/>
    <w:rsid w:val="00B77172"/>
    <w:rsid w:val="00B776AD"/>
    <w:rsid w:val="00B777F9"/>
    <w:rsid w:val="00B80454"/>
    <w:rsid w:val="00B8072A"/>
    <w:rsid w:val="00B80B1E"/>
    <w:rsid w:val="00B8255E"/>
    <w:rsid w:val="00B82778"/>
    <w:rsid w:val="00B828A9"/>
    <w:rsid w:val="00B831A6"/>
    <w:rsid w:val="00B8331B"/>
    <w:rsid w:val="00B833BE"/>
    <w:rsid w:val="00B835DA"/>
    <w:rsid w:val="00B836E2"/>
    <w:rsid w:val="00B8455D"/>
    <w:rsid w:val="00B84891"/>
    <w:rsid w:val="00B84A19"/>
    <w:rsid w:val="00B85717"/>
    <w:rsid w:val="00B8593F"/>
    <w:rsid w:val="00B85B11"/>
    <w:rsid w:val="00B85C9C"/>
    <w:rsid w:val="00B86017"/>
    <w:rsid w:val="00B86523"/>
    <w:rsid w:val="00B86532"/>
    <w:rsid w:val="00B8671A"/>
    <w:rsid w:val="00B8762F"/>
    <w:rsid w:val="00B87CAA"/>
    <w:rsid w:val="00B9018B"/>
    <w:rsid w:val="00B90292"/>
    <w:rsid w:val="00B90859"/>
    <w:rsid w:val="00B90CCC"/>
    <w:rsid w:val="00B91975"/>
    <w:rsid w:val="00B91D29"/>
    <w:rsid w:val="00B9395C"/>
    <w:rsid w:val="00B9401F"/>
    <w:rsid w:val="00B94419"/>
    <w:rsid w:val="00B94892"/>
    <w:rsid w:val="00B94895"/>
    <w:rsid w:val="00B9490D"/>
    <w:rsid w:val="00B94DE1"/>
    <w:rsid w:val="00B94F0F"/>
    <w:rsid w:val="00B95B20"/>
    <w:rsid w:val="00B9670B"/>
    <w:rsid w:val="00B968BB"/>
    <w:rsid w:val="00B96BF6"/>
    <w:rsid w:val="00B96F32"/>
    <w:rsid w:val="00B979FB"/>
    <w:rsid w:val="00B97C81"/>
    <w:rsid w:val="00B97E4D"/>
    <w:rsid w:val="00BA052D"/>
    <w:rsid w:val="00BA0C31"/>
    <w:rsid w:val="00BA0E7E"/>
    <w:rsid w:val="00BA19F2"/>
    <w:rsid w:val="00BA30D9"/>
    <w:rsid w:val="00BA3ABF"/>
    <w:rsid w:val="00BA40A6"/>
    <w:rsid w:val="00BA4B88"/>
    <w:rsid w:val="00BA4F41"/>
    <w:rsid w:val="00BA5209"/>
    <w:rsid w:val="00BA5574"/>
    <w:rsid w:val="00BA60B7"/>
    <w:rsid w:val="00BA658D"/>
    <w:rsid w:val="00BA723C"/>
    <w:rsid w:val="00BA757C"/>
    <w:rsid w:val="00BA7A4C"/>
    <w:rsid w:val="00BB000B"/>
    <w:rsid w:val="00BB07BF"/>
    <w:rsid w:val="00BB0897"/>
    <w:rsid w:val="00BB0F2A"/>
    <w:rsid w:val="00BB1636"/>
    <w:rsid w:val="00BB177D"/>
    <w:rsid w:val="00BB232A"/>
    <w:rsid w:val="00BB25D1"/>
    <w:rsid w:val="00BB27D7"/>
    <w:rsid w:val="00BB2D18"/>
    <w:rsid w:val="00BB374A"/>
    <w:rsid w:val="00BB3B8E"/>
    <w:rsid w:val="00BB3D56"/>
    <w:rsid w:val="00BB42E7"/>
    <w:rsid w:val="00BB4BAE"/>
    <w:rsid w:val="00BB4DC2"/>
    <w:rsid w:val="00BB522C"/>
    <w:rsid w:val="00BB545A"/>
    <w:rsid w:val="00BB592B"/>
    <w:rsid w:val="00BB5931"/>
    <w:rsid w:val="00BB5A44"/>
    <w:rsid w:val="00BB5B61"/>
    <w:rsid w:val="00BB5F73"/>
    <w:rsid w:val="00BB6468"/>
    <w:rsid w:val="00BB6906"/>
    <w:rsid w:val="00BB767C"/>
    <w:rsid w:val="00BB76E6"/>
    <w:rsid w:val="00BB7D3E"/>
    <w:rsid w:val="00BC007D"/>
    <w:rsid w:val="00BC0221"/>
    <w:rsid w:val="00BC114F"/>
    <w:rsid w:val="00BC17F7"/>
    <w:rsid w:val="00BC1C46"/>
    <w:rsid w:val="00BC1FF2"/>
    <w:rsid w:val="00BC206F"/>
    <w:rsid w:val="00BC2233"/>
    <w:rsid w:val="00BC2311"/>
    <w:rsid w:val="00BC295C"/>
    <w:rsid w:val="00BC2A06"/>
    <w:rsid w:val="00BC306F"/>
    <w:rsid w:val="00BC32B7"/>
    <w:rsid w:val="00BC3AF7"/>
    <w:rsid w:val="00BC3BE0"/>
    <w:rsid w:val="00BC3DF6"/>
    <w:rsid w:val="00BC63EB"/>
    <w:rsid w:val="00BC6D6F"/>
    <w:rsid w:val="00BC744F"/>
    <w:rsid w:val="00BC75E3"/>
    <w:rsid w:val="00BC77F6"/>
    <w:rsid w:val="00BD0291"/>
    <w:rsid w:val="00BD0752"/>
    <w:rsid w:val="00BD09D5"/>
    <w:rsid w:val="00BD0B92"/>
    <w:rsid w:val="00BD0BF6"/>
    <w:rsid w:val="00BD1221"/>
    <w:rsid w:val="00BD23BA"/>
    <w:rsid w:val="00BD2F0C"/>
    <w:rsid w:val="00BD30EF"/>
    <w:rsid w:val="00BD44FA"/>
    <w:rsid w:val="00BD45D4"/>
    <w:rsid w:val="00BD5F24"/>
    <w:rsid w:val="00BD5FCF"/>
    <w:rsid w:val="00BD6282"/>
    <w:rsid w:val="00BD6A60"/>
    <w:rsid w:val="00BD6AF3"/>
    <w:rsid w:val="00BD6CCE"/>
    <w:rsid w:val="00BD6D38"/>
    <w:rsid w:val="00BD742B"/>
    <w:rsid w:val="00BE06E9"/>
    <w:rsid w:val="00BE1024"/>
    <w:rsid w:val="00BE1BB1"/>
    <w:rsid w:val="00BE24AE"/>
    <w:rsid w:val="00BE3F4C"/>
    <w:rsid w:val="00BE4DCC"/>
    <w:rsid w:val="00BE4DCE"/>
    <w:rsid w:val="00BE4DDF"/>
    <w:rsid w:val="00BE4E36"/>
    <w:rsid w:val="00BE534D"/>
    <w:rsid w:val="00BE574D"/>
    <w:rsid w:val="00BE5830"/>
    <w:rsid w:val="00BE585E"/>
    <w:rsid w:val="00BE6989"/>
    <w:rsid w:val="00BE7522"/>
    <w:rsid w:val="00BF083B"/>
    <w:rsid w:val="00BF09DB"/>
    <w:rsid w:val="00BF1E08"/>
    <w:rsid w:val="00BF295D"/>
    <w:rsid w:val="00BF2A4A"/>
    <w:rsid w:val="00BF2B5C"/>
    <w:rsid w:val="00BF2F62"/>
    <w:rsid w:val="00BF3396"/>
    <w:rsid w:val="00BF3591"/>
    <w:rsid w:val="00BF38E2"/>
    <w:rsid w:val="00BF3B58"/>
    <w:rsid w:val="00BF3DFD"/>
    <w:rsid w:val="00BF471E"/>
    <w:rsid w:val="00BF4BB8"/>
    <w:rsid w:val="00BF53EB"/>
    <w:rsid w:val="00BF5782"/>
    <w:rsid w:val="00BF57B3"/>
    <w:rsid w:val="00BF59CF"/>
    <w:rsid w:val="00BF59D9"/>
    <w:rsid w:val="00BF649A"/>
    <w:rsid w:val="00BF6A21"/>
    <w:rsid w:val="00BF7012"/>
    <w:rsid w:val="00BF70DD"/>
    <w:rsid w:val="00BF7642"/>
    <w:rsid w:val="00BF7C31"/>
    <w:rsid w:val="00BF7CB6"/>
    <w:rsid w:val="00C0059F"/>
    <w:rsid w:val="00C006F9"/>
    <w:rsid w:val="00C008B0"/>
    <w:rsid w:val="00C00F2A"/>
    <w:rsid w:val="00C01CCC"/>
    <w:rsid w:val="00C01D2D"/>
    <w:rsid w:val="00C0232A"/>
    <w:rsid w:val="00C02DE9"/>
    <w:rsid w:val="00C0354F"/>
    <w:rsid w:val="00C0368C"/>
    <w:rsid w:val="00C03AE1"/>
    <w:rsid w:val="00C03B5E"/>
    <w:rsid w:val="00C03C5B"/>
    <w:rsid w:val="00C044D0"/>
    <w:rsid w:val="00C0477A"/>
    <w:rsid w:val="00C04B58"/>
    <w:rsid w:val="00C052AB"/>
    <w:rsid w:val="00C0615F"/>
    <w:rsid w:val="00C0652C"/>
    <w:rsid w:val="00C07AD7"/>
    <w:rsid w:val="00C1071A"/>
    <w:rsid w:val="00C120B2"/>
    <w:rsid w:val="00C13054"/>
    <w:rsid w:val="00C13A58"/>
    <w:rsid w:val="00C14399"/>
    <w:rsid w:val="00C146B5"/>
    <w:rsid w:val="00C155EE"/>
    <w:rsid w:val="00C16162"/>
    <w:rsid w:val="00C169EA"/>
    <w:rsid w:val="00C16A98"/>
    <w:rsid w:val="00C16EB9"/>
    <w:rsid w:val="00C17039"/>
    <w:rsid w:val="00C17703"/>
    <w:rsid w:val="00C177D9"/>
    <w:rsid w:val="00C17F82"/>
    <w:rsid w:val="00C205C4"/>
    <w:rsid w:val="00C2076A"/>
    <w:rsid w:val="00C20A48"/>
    <w:rsid w:val="00C20CC8"/>
    <w:rsid w:val="00C21778"/>
    <w:rsid w:val="00C21854"/>
    <w:rsid w:val="00C21AFF"/>
    <w:rsid w:val="00C22535"/>
    <w:rsid w:val="00C2272A"/>
    <w:rsid w:val="00C2277F"/>
    <w:rsid w:val="00C24650"/>
    <w:rsid w:val="00C24A87"/>
    <w:rsid w:val="00C24BEE"/>
    <w:rsid w:val="00C24CD0"/>
    <w:rsid w:val="00C24D57"/>
    <w:rsid w:val="00C25CF6"/>
    <w:rsid w:val="00C25D99"/>
    <w:rsid w:val="00C26457"/>
    <w:rsid w:val="00C26BF3"/>
    <w:rsid w:val="00C26F40"/>
    <w:rsid w:val="00C2716D"/>
    <w:rsid w:val="00C27FA0"/>
    <w:rsid w:val="00C30883"/>
    <w:rsid w:val="00C30A6E"/>
    <w:rsid w:val="00C30C40"/>
    <w:rsid w:val="00C30C93"/>
    <w:rsid w:val="00C31333"/>
    <w:rsid w:val="00C31431"/>
    <w:rsid w:val="00C31DDE"/>
    <w:rsid w:val="00C32095"/>
    <w:rsid w:val="00C326EB"/>
    <w:rsid w:val="00C3289E"/>
    <w:rsid w:val="00C32BC1"/>
    <w:rsid w:val="00C331BF"/>
    <w:rsid w:val="00C343DB"/>
    <w:rsid w:val="00C3451B"/>
    <w:rsid w:val="00C345C2"/>
    <w:rsid w:val="00C348F3"/>
    <w:rsid w:val="00C34DE0"/>
    <w:rsid w:val="00C3545E"/>
    <w:rsid w:val="00C35902"/>
    <w:rsid w:val="00C360E5"/>
    <w:rsid w:val="00C36684"/>
    <w:rsid w:val="00C369DA"/>
    <w:rsid w:val="00C36A03"/>
    <w:rsid w:val="00C371E0"/>
    <w:rsid w:val="00C37578"/>
    <w:rsid w:val="00C37AC7"/>
    <w:rsid w:val="00C4021F"/>
    <w:rsid w:val="00C4063B"/>
    <w:rsid w:val="00C407D9"/>
    <w:rsid w:val="00C409BE"/>
    <w:rsid w:val="00C41424"/>
    <w:rsid w:val="00C41762"/>
    <w:rsid w:val="00C420C5"/>
    <w:rsid w:val="00C437EA"/>
    <w:rsid w:val="00C43803"/>
    <w:rsid w:val="00C439FC"/>
    <w:rsid w:val="00C43F30"/>
    <w:rsid w:val="00C4456D"/>
    <w:rsid w:val="00C463A1"/>
    <w:rsid w:val="00C4656A"/>
    <w:rsid w:val="00C4659B"/>
    <w:rsid w:val="00C4731D"/>
    <w:rsid w:val="00C476D5"/>
    <w:rsid w:val="00C478B0"/>
    <w:rsid w:val="00C4792C"/>
    <w:rsid w:val="00C479F5"/>
    <w:rsid w:val="00C50077"/>
    <w:rsid w:val="00C50236"/>
    <w:rsid w:val="00C50666"/>
    <w:rsid w:val="00C507F6"/>
    <w:rsid w:val="00C509FC"/>
    <w:rsid w:val="00C50CFB"/>
    <w:rsid w:val="00C51380"/>
    <w:rsid w:val="00C514BE"/>
    <w:rsid w:val="00C518DE"/>
    <w:rsid w:val="00C51E1F"/>
    <w:rsid w:val="00C522D6"/>
    <w:rsid w:val="00C52584"/>
    <w:rsid w:val="00C5272A"/>
    <w:rsid w:val="00C528EF"/>
    <w:rsid w:val="00C52E13"/>
    <w:rsid w:val="00C532AD"/>
    <w:rsid w:val="00C53562"/>
    <w:rsid w:val="00C53786"/>
    <w:rsid w:val="00C53974"/>
    <w:rsid w:val="00C539C3"/>
    <w:rsid w:val="00C54254"/>
    <w:rsid w:val="00C54E79"/>
    <w:rsid w:val="00C5504E"/>
    <w:rsid w:val="00C5513B"/>
    <w:rsid w:val="00C5569D"/>
    <w:rsid w:val="00C56050"/>
    <w:rsid w:val="00C565F0"/>
    <w:rsid w:val="00C567CD"/>
    <w:rsid w:val="00C57080"/>
    <w:rsid w:val="00C571F0"/>
    <w:rsid w:val="00C578AB"/>
    <w:rsid w:val="00C57D0A"/>
    <w:rsid w:val="00C57FC6"/>
    <w:rsid w:val="00C60310"/>
    <w:rsid w:val="00C603E0"/>
    <w:rsid w:val="00C61278"/>
    <w:rsid w:val="00C61775"/>
    <w:rsid w:val="00C61912"/>
    <w:rsid w:val="00C61DCF"/>
    <w:rsid w:val="00C61E38"/>
    <w:rsid w:val="00C620F1"/>
    <w:rsid w:val="00C6237C"/>
    <w:rsid w:val="00C62C31"/>
    <w:rsid w:val="00C62C8D"/>
    <w:rsid w:val="00C6337A"/>
    <w:rsid w:val="00C634E6"/>
    <w:rsid w:val="00C6395B"/>
    <w:rsid w:val="00C63ABC"/>
    <w:rsid w:val="00C63B9B"/>
    <w:rsid w:val="00C63E67"/>
    <w:rsid w:val="00C63FB7"/>
    <w:rsid w:val="00C6414F"/>
    <w:rsid w:val="00C6475E"/>
    <w:rsid w:val="00C6525B"/>
    <w:rsid w:val="00C65B88"/>
    <w:rsid w:val="00C65C45"/>
    <w:rsid w:val="00C65D7B"/>
    <w:rsid w:val="00C6680A"/>
    <w:rsid w:val="00C67284"/>
    <w:rsid w:val="00C677B2"/>
    <w:rsid w:val="00C678D4"/>
    <w:rsid w:val="00C700A4"/>
    <w:rsid w:val="00C703BF"/>
    <w:rsid w:val="00C70FB0"/>
    <w:rsid w:val="00C71332"/>
    <w:rsid w:val="00C71347"/>
    <w:rsid w:val="00C71785"/>
    <w:rsid w:val="00C72237"/>
    <w:rsid w:val="00C72AA1"/>
    <w:rsid w:val="00C7328F"/>
    <w:rsid w:val="00C73574"/>
    <w:rsid w:val="00C736D2"/>
    <w:rsid w:val="00C73C26"/>
    <w:rsid w:val="00C73D2E"/>
    <w:rsid w:val="00C73D74"/>
    <w:rsid w:val="00C741C6"/>
    <w:rsid w:val="00C7420B"/>
    <w:rsid w:val="00C75199"/>
    <w:rsid w:val="00C75BC2"/>
    <w:rsid w:val="00C76182"/>
    <w:rsid w:val="00C763EB"/>
    <w:rsid w:val="00C765F4"/>
    <w:rsid w:val="00C767A3"/>
    <w:rsid w:val="00C76B7D"/>
    <w:rsid w:val="00C771EB"/>
    <w:rsid w:val="00C77BF7"/>
    <w:rsid w:val="00C803E6"/>
    <w:rsid w:val="00C808A8"/>
    <w:rsid w:val="00C81ECD"/>
    <w:rsid w:val="00C82245"/>
    <w:rsid w:val="00C8232F"/>
    <w:rsid w:val="00C827C4"/>
    <w:rsid w:val="00C829B8"/>
    <w:rsid w:val="00C83774"/>
    <w:rsid w:val="00C843D8"/>
    <w:rsid w:val="00C846E8"/>
    <w:rsid w:val="00C85460"/>
    <w:rsid w:val="00C86165"/>
    <w:rsid w:val="00C86C3A"/>
    <w:rsid w:val="00C871EB"/>
    <w:rsid w:val="00C87517"/>
    <w:rsid w:val="00C87CC4"/>
    <w:rsid w:val="00C903E1"/>
    <w:rsid w:val="00C9064B"/>
    <w:rsid w:val="00C9086A"/>
    <w:rsid w:val="00C90D52"/>
    <w:rsid w:val="00C914D1"/>
    <w:rsid w:val="00C91AF5"/>
    <w:rsid w:val="00C921E9"/>
    <w:rsid w:val="00C9224C"/>
    <w:rsid w:val="00C92345"/>
    <w:rsid w:val="00C923F1"/>
    <w:rsid w:val="00C937B8"/>
    <w:rsid w:val="00C93D95"/>
    <w:rsid w:val="00C942F2"/>
    <w:rsid w:val="00C948D7"/>
    <w:rsid w:val="00C94DF2"/>
    <w:rsid w:val="00C956F1"/>
    <w:rsid w:val="00C96C08"/>
    <w:rsid w:val="00C9719E"/>
    <w:rsid w:val="00C971F8"/>
    <w:rsid w:val="00C97B16"/>
    <w:rsid w:val="00C97BFB"/>
    <w:rsid w:val="00CA06CB"/>
    <w:rsid w:val="00CA0857"/>
    <w:rsid w:val="00CA1B55"/>
    <w:rsid w:val="00CA1B92"/>
    <w:rsid w:val="00CA1C19"/>
    <w:rsid w:val="00CA1ED5"/>
    <w:rsid w:val="00CA2120"/>
    <w:rsid w:val="00CA2D65"/>
    <w:rsid w:val="00CA32A4"/>
    <w:rsid w:val="00CA3E77"/>
    <w:rsid w:val="00CA47B3"/>
    <w:rsid w:val="00CA4D7E"/>
    <w:rsid w:val="00CA607B"/>
    <w:rsid w:val="00CA6400"/>
    <w:rsid w:val="00CA65F7"/>
    <w:rsid w:val="00CA6B4D"/>
    <w:rsid w:val="00CA6C82"/>
    <w:rsid w:val="00CA6EB0"/>
    <w:rsid w:val="00CA70A2"/>
    <w:rsid w:val="00CA714E"/>
    <w:rsid w:val="00CA7C34"/>
    <w:rsid w:val="00CB0031"/>
    <w:rsid w:val="00CB0434"/>
    <w:rsid w:val="00CB0FB7"/>
    <w:rsid w:val="00CB10BD"/>
    <w:rsid w:val="00CB1A66"/>
    <w:rsid w:val="00CB1E7A"/>
    <w:rsid w:val="00CB24C6"/>
    <w:rsid w:val="00CB27DA"/>
    <w:rsid w:val="00CB2B6E"/>
    <w:rsid w:val="00CB2BA6"/>
    <w:rsid w:val="00CB2C16"/>
    <w:rsid w:val="00CB399C"/>
    <w:rsid w:val="00CB39C7"/>
    <w:rsid w:val="00CB3AF6"/>
    <w:rsid w:val="00CB3EF2"/>
    <w:rsid w:val="00CB4022"/>
    <w:rsid w:val="00CB4D0F"/>
    <w:rsid w:val="00CB4D13"/>
    <w:rsid w:val="00CB5559"/>
    <w:rsid w:val="00CB5963"/>
    <w:rsid w:val="00CB6838"/>
    <w:rsid w:val="00CB689C"/>
    <w:rsid w:val="00CB74BC"/>
    <w:rsid w:val="00CB74DD"/>
    <w:rsid w:val="00CB74EA"/>
    <w:rsid w:val="00CB751B"/>
    <w:rsid w:val="00CC018E"/>
    <w:rsid w:val="00CC022E"/>
    <w:rsid w:val="00CC08CF"/>
    <w:rsid w:val="00CC0A6A"/>
    <w:rsid w:val="00CC0F36"/>
    <w:rsid w:val="00CC0F94"/>
    <w:rsid w:val="00CC11D6"/>
    <w:rsid w:val="00CC1433"/>
    <w:rsid w:val="00CC17D0"/>
    <w:rsid w:val="00CC1AB6"/>
    <w:rsid w:val="00CC208D"/>
    <w:rsid w:val="00CC2703"/>
    <w:rsid w:val="00CC2F8E"/>
    <w:rsid w:val="00CC3D4C"/>
    <w:rsid w:val="00CC426A"/>
    <w:rsid w:val="00CC4829"/>
    <w:rsid w:val="00CC4ADA"/>
    <w:rsid w:val="00CC4C49"/>
    <w:rsid w:val="00CC5264"/>
    <w:rsid w:val="00CC5321"/>
    <w:rsid w:val="00CC54D7"/>
    <w:rsid w:val="00CC58A8"/>
    <w:rsid w:val="00CC5CA0"/>
    <w:rsid w:val="00CC722F"/>
    <w:rsid w:val="00CC7453"/>
    <w:rsid w:val="00CD0700"/>
    <w:rsid w:val="00CD0F40"/>
    <w:rsid w:val="00CD11A6"/>
    <w:rsid w:val="00CD18F7"/>
    <w:rsid w:val="00CD1F8F"/>
    <w:rsid w:val="00CD33E2"/>
    <w:rsid w:val="00CD57C9"/>
    <w:rsid w:val="00CD5930"/>
    <w:rsid w:val="00CD5E14"/>
    <w:rsid w:val="00CD6418"/>
    <w:rsid w:val="00CD651C"/>
    <w:rsid w:val="00CD671F"/>
    <w:rsid w:val="00CD69D0"/>
    <w:rsid w:val="00CD7D27"/>
    <w:rsid w:val="00CD7E0A"/>
    <w:rsid w:val="00CE05E4"/>
    <w:rsid w:val="00CE09D7"/>
    <w:rsid w:val="00CE0BF8"/>
    <w:rsid w:val="00CE139C"/>
    <w:rsid w:val="00CE287C"/>
    <w:rsid w:val="00CE3229"/>
    <w:rsid w:val="00CE3B79"/>
    <w:rsid w:val="00CE4782"/>
    <w:rsid w:val="00CE4EDB"/>
    <w:rsid w:val="00CE56A8"/>
    <w:rsid w:val="00CE571E"/>
    <w:rsid w:val="00CE5F70"/>
    <w:rsid w:val="00CE6658"/>
    <w:rsid w:val="00CE68D1"/>
    <w:rsid w:val="00CE6E82"/>
    <w:rsid w:val="00CF036C"/>
    <w:rsid w:val="00CF0969"/>
    <w:rsid w:val="00CF0CF2"/>
    <w:rsid w:val="00CF118D"/>
    <w:rsid w:val="00CF131F"/>
    <w:rsid w:val="00CF13FF"/>
    <w:rsid w:val="00CF1469"/>
    <w:rsid w:val="00CF187A"/>
    <w:rsid w:val="00CF215A"/>
    <w:rsid w:val="00CF233C"/>
    <w:rsid w:val="00CF2688"/>
    <w:rsid w:val="00CF2FD8"/>
    <w:rsid w:val="00CF3723"/>
    <w:rsid w:val="00CF46FF"/>
    <w:rsid w:val="00CF4954"/>
    <w:rsid w:val="00CF49B7"/>
    <w:rsid w:val="00CF58E6"/>
    <w:rsid w:val="00CF61B3"/>
    <w:rsid w:val="00CF6281"/>
    <w:rsid w:val="00CF6BDE"/>
    <w:rsid w:val="00CF7D6A"/>
    <w:rsid w:val="00D000CE"/>
    <w:rsid w:val="00D00683"/>
    <w:rsid w:val="00D0078A"/>
    <w:rsid w:val="00D00E2C"/>
    <w:rsid w:val="00D00E86"/>
    <w:rsid w:val="00D017C7"/>
    <w:rsid w:val="00D01EBD"/>
    <w:rsid w:val="00D02F52"/>
    <w:rsid w:val="00D0441B"/>
    <w:rsid w:val="00D054CD"/>
    <w:rsid w:val="00D05978"/>
    <w:rsid w:val="00D05B90"/>
    <w:rsid w:val="00D05C5E"/>
    <w:rsid w:val="00D061BE"/>
    <w:rsid w:val="00D063E4"/>
    <w:rsid w:val="00D06C5E"/>
    <w:rsid w:val="00D07054"/>
    <w:rsid w:val="00D07062"/>
    <w:rsid w:val="00D07152"/>
    <w:rsid w:val="00D07225"/>
    <w:rsid w:val="00D0734D"/>
    <w:rsid w:val="00D0779A"/>
    <w:rsid w:val="00D103C4"/>
    <w:rsid w:val="00D10960"/>
    <w:rsid w:val="00D111A8"/>
    <w:rsid w:val="00D11319"/>
    <w:rsid w:val="00D114F1"/>
    <w:rsid w:val="00D11C0A"/>
    <w:rsid w:val="00D11C9C"/>
    <w:rsid w:val="00D1272E"/>
    <w:rsid w:val="00D131EB"/>
    <w:rsid w:val="00D1379E"/>
    <w:rsid w:val="00D139E0"/>
    <w:rsid w:val="00D13A6B"/>
    <w:rsid w:val="00D13B25"/>
    <w:rsid w:val="00D141F9"/>
    <w:rsid w:val="00D143A5"/>
    <w:rsid w:val="00D148D9"/>
    <w:rsid w:val="00D14DA5"/>
    <w:rsid w:val="00D1518E"/>
    <w:rsid w:val="00D15351"/>
    <w:rsid w:val="00D15FFD"/>
    <w:rsid w:val="00D1666D"/>
    <w:rsid w:val="00D1668B"/>
    <w:rsid w:val="00D169BA"/>
    <w:rsid w:val="00D16F0D"/>
    <w:rsid w:val="00D17591"/>
    <w:rsid w:val="00D17618"/>
    <w:rsid w:val="00D1762D"/>
    <w:rsid w:val="00D17DA1"/>
    <w:rsid w:val="00D20570"/>
    <w:rsid w:val="00D20D3E"/>
    <w:rsid w:val="00D21A1A"/>
    <w:rsid w:val="00D21CA1"/>
    <w:rsid w:val="00D21FB2"/>
    <w:rsid w:val="00D2257D"/>
    <w:rsid w:val="00D23C69"/>
    <w:rsid w:val="00D2431E"/>
    <w:rsid w:val="00D24EE0"/>
    <w:rsid w:val="00D25B43"/>
    <w:rsid w:val="00D264E5"/>
    <w:rsid w:val="00D27093"/>
    <w:rsid w:val="00D27CF3"/>
    <w:rsid w:val="00D30EC2"/>
    <w:rsid w:val="00D30F0E"/>
    <w:rsid w:val="00D3153C"/>
    <w:rsid w:val="00D32556"/>
    <w:rsid w:val="00D32ACA"/>
    <w:rsid w:val="00D33783"/>
    <w:rsid w:val="00D33EF7"/>
    <w:rsid w:val="00D33F73"/>
    <w:rsid w:val="00D349BA"/>
    <w:rsid w:val="00D34D44"/>
    <w:rsid w:val="00D352EB"/>
    <w:rsid w:val="00D35833"/>
    <w:rsid w:val="00D35AC2"/>
    <w:rsid w:val="00D35FD4"/>
    <w:rsid w:val="00D364A6"/>
    <w:rsid w:val="00D3716C"/>
    <w:rsid w:val="00D37246"/>
    <w:rsid w:val="00D402D3"/>
    <w:rsid w:val="00D403AC"/>
    <w:rsid w:val="00D40C34"/>
    <w:rsid w:val="00D411B5"/>
    <w:rsid w:val="00D415D0"/>
    <w:rsid w:val="00D41645"/>
    <w:rsid w:val="00D41832"/>
    <w:rsid w:val="00D41F08"/>
    <w:rsid w:val="00D41FD6"/>
    <w:rsid w:val="00D420A2"/>
    <w:rsid w:val="00D42573"/>
    <w:rsid w:val="00D42679"/>
    <w:rsid w:val="00D4270B"/>
    <w:rsid w:val="00D429FA"/>
    <w:rsid w:val="00D42CDF"/>
    <w:rsid w:val="00D43ACC"/>
    <w:rsid w:val="00D43C5A"/>
    <w:rsid w:val="00D43E23"/>
    <w:rsid w:val="00D43EC9"/>
    <w:rsid w:val="00D445BC"/>
    <w:rsid w:val="00D44BCB"/>
    <w:rsid w:val="00D44E68"/>
    <w:rsid w:val="00D45035"/>
    <w:rsid w:val="00D466BB"/>
    <w:rsid w:val="00D46853"/>
    <w:rsid w:val="00D471B7"/>
    <w:rsid w:val="00D471DA"/>
    <w:rsid w:val="00D47ABD"/>
    <w:rsid w:val="00D50296"/>
    <w:rsid w:val="00D507F3"/>
    <w:rsid w:val="00D50F16"/>
    <w:rsid w:val="00D51723"/>
    <w:rsid w:val="00D5180D"/>
    <w:rsid w:val="00D51946"/>
    <w:rsid w:val="00D51B58"/>
    <w:rsid w:val="00D51C0B"/>
    <w:rsid w:val="00D52079"/>
    <w:rsid w:val="00D523EF"/>
    <w:rsid w:val="00D524A9"/>
    <w:rsid w:val="00D52537"/>
    <w:rsid w:val="00D52BFC"/>
    <w:rsid w:val="00D53181"/>
    <w:rsid w:val="00D5378A"/>
    <w:rsid w:val="00D542CA"/>
    <w:rsid w:val="00D5435E"/>
    <w:rsid w:val="00D544CC"/>
    <w:rsid w:val="00D5495E"/>
    <w:rsid w:val="00D54CA0"/>
    <w:rsid w:val="00D54ED0"/>
    <w:rsid w:val="00D56160"/>
    <w:rsid w:val="00D56D44"/>
    <w:rsid w:val="00D56F7E"/>
    <w:rsid w:val="00D57754"/>
    <w:rsid w:val="00D6002B"/>
    <w:rsid w:val="00D603F8"/>
    <w:rsid w:val="00D608A0"/>
    <w:rsid w:val="00D615CD"/>
    <w:rsid w:val="00D61F26"/>
    <w:rsid w:val="00D624DE"/>
    <w:rsid w:val="00D63312"/>
    <w:rsid w:val="00D63978"/>
    <w:rsid w:val="00D63B99"/>
    <w:rsid w:val="00D63F9E"/>
    <w:rsid w:val="00D644A7"/>
    <w:rsid w:val="00D645CD"/>
    <w:rsid w:val="00D646D7"/>
    <w:rsid w:val="00D649CA"/>
    <w:rsid w:val="00D64A83"/>
    <w:rsid w:val="00D64DB6"/>
    <w:rsid w:val="00D65181"/>
    <w:rsid w:val="00D665AF"/>
    <w:rsid w:val="00D66B69"/>
    <w:rsid w:val="00D66D01"/>
    <w:rsid w:val="00D66D9C"/>
    <w:rsid w:val="00D67F16"/>
    <w:rsid w:val="00D705CF"/>
    <w:rsid w:val="00D70D4D"/>
    <w:rsid w:val="00D710C8"/>
    <w:rsid w:val="00D710F4"/>
    <w:rsid w:val="00D7163F"/>
    <w:rsid w:val="00D7216D"/>
    <w:rsid w:val="00D726AD"/>
    <w:rsid w:val="00D72D5A"/>
    <w:rsid w:val="00D73287"/>
    <w:rsid w:val="00D732E0"/>
    <w:rsid w:val="00D73740"/>
    <w:rsid w:val="00D73867"/>
    <w:rsid w:val="00D73C65"/>
    <w:rsid w:val="00D740C8"/>
    <w:rsid w:val="00D747FD"/>
    <w:rsid w:val="00D74EAA"/>
    <w:rsid w:val="00D75111"/>
    <w:rsid w:val="00D75198"/>
    <w:rsid w:val="00D7537D"/>
    <w:rsid w:val="00D754C8"/>
    <w:rsid w:val="00D75538"/>
    <w:rsid w:val="00D76897"/>
    <w:rsid w:val="00D76E08"/>
    <w:rsid w:val="00D76FD2"/>
    <w:rsid w:val="00D77BE7"/>
    <w:rsid w:val="00D77E1A"/>
    <w:rsid w:val="00D800AE"/>
    <w:rsid w:val="00D80256"/>
    <w:rsid w:val="00D80CE3"/>
    <w:rsid w:val="00D80E0E"/>
    <w:rsid w:val="00D813D8"/>
    <w:rsid w:val="00D8170A"/>
    <w:rsid w:val="00D81753"/>
    <w:rsid w:val="00D82525"/>
    <w:rsid w:val="00D833A3"/>
    <w:rsid w:val="00D8387B"/>
    <w:rsid w:val="00D840CC"/>
    <w:rsid w:val="00D844FB"/>
    <w:rsid w:val="00D84A3D"/>
    <w:rsid w:val="00D84A6C"/>
    <w:rsid w:val="00D84C15"/>
    <w:rsid w:val="00D84C43"/>
    <w:rsid w:val="00D84DDA"/>
    <w:rsid w:val="00D8513B"/>
    <w:rsid w:val="00D860A1"/>
    <w:rsid w:val="00D865A1"/>
    <w:rsid w:val="00D872EF"/>
    <w:rsid w:val="00D877AF"/>
    <w:rsid w:val="00D87A16"/>
    <w:rsid w:val="00D90614"/>
    <w:rsid w:val="00D90D4D"/>
    <w:rsid w:val="00D90D8F"/>
    <w:rsid w:val="00D91C94"/>
    <w:rsid w:val="00D91E89"/>
    <w:rsid w:val="00D91EDC"/>
    <w:rsid w:val="00D9215D"/>
    <w:rsid w:val="00D923C6"/>
    <w:rsid w:val="00D924F3"/>
    <w:rsid w:val="00D929E6"/>
    <w:rsid w:val="00D9318C"/>
    <w:rsid w:val="00D932F7"/>
    <w:rsid w:val="00D935DD"/>
    <w:rsid w:val="00D938DA"/>
    <w:rsid w:val="00D93941"/>
    <w:rsid w:val="00D93B8E"/>
    <w:rsid w:val="00D946BF"/>
    <w:rsid w:val="00D94F62"/>
    <w:rsid w:val="00D95006"/>
    <w:rsid w:val="00D95151"/>
    <w:rsid w:val="00D9533F"/>
    <w:rsid w:val="00D956DD"/>
    <w:rsid w:val="00D95A6D"/>
    <w:rsid w:val="00D96941"/>
    <w:rsid w:val="00D96CEC"/>
    <w:rsid w:val="00D971DD"/>
    <w:rsid w:val="00DA003D"/>
    <w:rsid w:val="00DA0460"/>
    <w:rsid w:val="00DA2BB0"/>
    <w:rsid w:val="00DA2C8E"/>
    <w:rsid w:val="00DA3275"/>
    <w:rsid w:val="00DA36A7"/>
    <w:rsid w:val="00DA3D18"/>
    <w:rsid w:val="00DA5655"/>
    <w:rsid w:val="00DA5A48"/>
    <w:rsid w:val="00DA61BE"/>
    <w:rsid w:val="00DA636C"/>
    <w:rsid w:val="00DA713F"/>
    <w:rsid w:val="00DA729D"/>
    <w:rsid w:val="00DA7615"/>
    <w:rsid w:val="00DA76F3"/>
    <w:rsid w:val="00DA797D"/>
    <w:rsid w:val="00DB0689"/>
    <w:rsid w:val="00DB086B"/>
    <w:rsid w:val="00DB08C1"/>
    <w:rsid w:val="00DB0A37"/>
    <w:rsid w:val="00DB0A3D"/>
    <w:rsid w:val="00DB0DB8"/>
    <w:rsid w:val="00DB0F29"/>
    <w:rsid w:val="00DB154D"/>
    <w:rsid w:val="00DB16AD"/>
    <w:rsid w:val="00DB1BCA"/>
    <w:rsid w:val="00DB25BF"/>
    <w:rsid w:val="00DB3102"/>
    <w:rsid w:val="00DB323A"/>
    <w:rsid w:val="00DB32C0"/>
    <w:rsid w:val="00DB35B8"/>
    <w:rsid w:val="00DB472A"/>
    <w:rsid w:val="00DB4880"/>
    <w:rsid w:val="00DB5AD2"/>
    <w:rsid w:val="00DB64F0"/>
    <w:rsid w:val="00DB6533"/>
    <w:rsid w:val="00DB663B"/>
    <w:rsid w:val="00DB67CF"/>
    <w:rsid w:val="00DB6A47"/>
    <w:rsid w:val="00DB6D88"/>
    <w:rsid w:val="00DB6DD8"/>
    <w:rsid w:val="00DB6EBD"/>
    <w:rsid w:val="00DB703C"/>
    <w:rsid w:val="00DB7665"/>
    <w:rsid w:val="00DC056D"/>
    <w:rsid w:val="00DC076C"/>
    <w:rsid w:val="00DC11CE"/>
    <w:rsid w:val="00DC2765"/>
    <w:rsid w:val="00DC2CD2"/>
    <w:rsid w:val="00DC3662"/>
    <w:rsid w:val="00DC3844"/>
    <w:rsid w:val="00DC3B82"/>
    <w:rsid w:val="00DC3B9F"/>
    <w:rsid w:val="00DC3CFE"/>
    <w:rsid w:val="00DC44A4"/>
    <w:rsid w:val="00DC4840"/>
    <w:rsid w:val="00DC4D3D"/>
    <w:rsid w:val="00DC51A0"/>
    <w:rsid w:val="00DC568A"/>
    <w:rsid w:val="00DC5985"/>
    <w:rsid w:val="00DC5C06"/>
    <w:rsid w:val="00DC618D"/>
    <w:rsid w:val="00DC66B0"/>
    <w:rsid w:val="00DC68F5"/>
    <w:rsid w:val="00DC6F14"/>
    <w:rsid w:val="00DC708E"/>
    <w:rsid w:val="00DC73F8"/>
    <w:rsid w:val="00DC7ADC"/>
    <w:rsid w:val="00DC7E80"/>
    <w:rsid w:val="00DC7F16"/>
    <w:rsid w:val="00DD01BB"/>
    <w:rsid w:val="00DD0913"/>
    <w:rsid w:val="00DD0985"/>
    <w:rsid w:val="00DD0C88"/>
    <w:rsid w:val="00DD0D5B"/>
    <w:rsid w:val="00DD0DF4"/>
    <w:rsid w:val="00DD25F1"/>
    <w:rsid w:val="00DD29AB"/>
    <w:rsid w:val="00DD29DC"/>
    <w:rsid w:val="00DD2BCF"/>
    <w:rsid w:val="00DD30DD"/>
    <w:rsid w:val="00DD3D83"/>
    <w:rsid w:val="00DD489C"/>
    <w:rsid w:val="00DD5B6A"/>
    <w:rsid w:val="00DD649B"/>
    <w:rsid w:val="00DD6555"/>
    <w:rsid w:val="00DD686C"/>
    <w:rsid w:val="00DD6CF9"/>
    <w:rsid w:val="00DD6DC0"/>
    <w:rsid w:val="00DD7F12"/>
    <w:rsid w:val="00DE0292"/>
    <w:rsid w:val="00DE084F"/>
    <w:rsid w:val="00DE08D7"/>
    <w:rsid w:val="00DE12FC"/>
    <w:rsid w:val="00DE15A3"/>
    <w:rsid w:val="00DE1651"/>
    <w:rsid w:val="00DE1DC6"/>
    <w:rsid w:val="00DE2AA0"/>
    <w:rsid w:val="00DE2AB4"/>
    <w:rsid w:val="00DE2E48"/>
    <w:rsid w:val="00DE31F3"/>
    <w:rsid w:val="00DE396C"/>
    <w:rsid w:val="00DE41DB"/>
    <w:rsid w:val="00DE4A9D"/>
    <w:rsid w:val="00DE4AAA"/>
    <w:rsid w:val="00DE4BF0"/>
    <w:rsid w:val="00DE58F6"/>
    <w:rsid w:val="00DE615B"/>
    <w:rsid w:val="00DE66EF"/>
    <w:rsid w:val="00DF0456"/>
    <w:rsid w:val="00DF04A9"/>
    <w:rsid w:val="00DF0685"/>
    <w:rsid w:val="00DF09C5"/>
    <w:rsid w:val="00DF0ACA"/>
    <w:rsid w:val="00DF235D"/>
    <w:rsid w:val="00DF2621"/>
    <w:rsid w:val="00DF28E6"/>
    <w:rsid w:val="00DF2990"/>
    <w:rsid w:val="00DF354D"/>
    <w:rsid w:val="00DF39CF"/>
    <w:rsid w:val="00DF3F1E"/>
    <w:rsid w:val="00DF4537"/>
    <w:rsid w:val="00DF5347"/>
    <w:rsid w:val="00DF54FC"/>
    <w:rsid w:val="00DF5B35"/>
    <w:rsid w:val="00DF5B3E"/>
    <w:rsid w:val="00DF6BD0"/>
    <w:rsid w:val="00DF6E42"/>
    <w:rsid w:val="00DF73A1"/>
    <w:rsid w:val="00DF74F7"/>
    <w:rsid w:val="00DF7966"/>
    <w:rsid w:val="00DF7B2D"/>
    <w:rsid w:val="00DF7C53"/>
    <w:rsid w:val="00E004C3"/>
    <w:rsid w:val="00E005C4"/>
    <w:rsid w:val="00E005C7"/>
    <w:rsid w:val="00E006F2"/>
    <w:rsid w:val="00E0124B"/>
    <w:rsid w:val="00E017FE"/>
    <w:rsid w:val="00E01A0B"/>
    <w:rsid w:val="00E0203B"/>
    <w:rsid w:val="00E02111"/>
    <w:rsid w:val="00E0268C"/>
    <w:rsid w:val="00E032DB"/>
    <w:rsid w:val="00E041D6"/>
    <w:rsid w:val="00E04B8A"/>
    <w:rsid w:val="00E04DCB"/>
    <w:rsid w:val="00E05097"/>
    <w:rsid w:val="00E05193"/>
    <w:rsid w:val="00E05533"/>
    <w:rsid w:val="00E055B3"/>
    <w:rsid w:val="00E05667"/>
    <w:rsid w:val="00E05B26"/>
    <w:rsid w:val="00E060B7"/>
    <w:rsid w:val="00E061F3"/>
    <w:rsid w:val="00E063AD"/>
    <w:rsid w:val="00E065A0"/>
    <w:rsid w:val="00E06D8C"/>
    <w:rsid w:val="00E06EFC"/>
    <w:rsid w:val="00E073B5"/>
    <w:rsid w:val="00E074E1"/>
    <w:rsid w:val="00E077F7"/>
    <w:rsid w:val="00E1016D"/>
    <w:rsid w:val="00E10354"/>
    <w:rsid w:val="00E112D0"/>
    <w:rsid w:val="00E11686"/>
    <w:rsid w:val="00E117F3"/>
    <w:rsid w:val="00E118F8"/>
    <w:rsid w:val="00E11DD9"/>
    <w:rsid w:val="00E11EE5"/>
    <w:rsid w:val="00E11EE7"/>
    <w:rsid w:val="00E11FB8"/>
    <w:rsid w:val="00E12301"/>
    <w:rsid w:val="00E12404"/>
    <w:rsid w:val="00E12E88"/>
    <w:rsid w:val="00E12F94"/>
    <w:rsid w:val="00E13069"/>
    <w:rsid w:val="00E1368E"/>
    <w:rsid w:val="00E13779"/>
    <w:rsid w:val="00E145A3"/>
    <w:rsid w:val="00E15823"/>
    <w:rsid w:val="00E160DE"/>
    <w:rsid w:val="00E16CBA"/>
    <w:rsid w:val="00E16E09"/>
    <w:rsid w:val="00E20146"/>
    <w:rsid w:val="00E2133D"/>
    <w:rsid w:val="00E21D7D"/>
    <w:rsid w:val="00E21F01"/>
    <w:rsid w:val="00E22827"/>
    <w:rsid w:val="00E22BEE"/>
    <w:rsid w:val="00E23724"/>
    <w:rsid w:val="00E23E34"/>
    <w:rsid w:val="00E23F79"/>
    <w:rsid w:val="00E24690"/>
    <w:rsid w:val="00E24878"/>
    <w:rsid w:val="00E24ECF"/>
    <w:rsid w:val="00E250D3"/>
    <w:rsid w:val="00E25232"/>
    <w:rsid w:val="00E25528"/>
    <w:rsid w:val="00E26229"/>
    <w:rsid w:val="00E26F3A"/>
    <w:rsid w:val="00E271F1"/>
    <w:rsid w:val="00E2724B"/>
    <w:rsid w:val="00E2778F"/>
    <w:rsid w:val="00E27C00"/>
    <w:rsid w:val="00E3009E"/>
    <w:rsid w:val="00E30469"/>
    <w:rsid w:val="00E30704"/>
    <w:rsid w:val="00E30977"/>
    <w:rsid w:val="00E30C20"/>
    <w:rsid w:val="00E30C6D"/>
    <w:rsid w:val="00E30CFF"/>
    <w:rsid w:val="00E3178F"/>
    <w:rsid w:val="00E31D88"/>
    <w:rsid w:val="00E32091"/>
    <w:rsid w:val="00E3279F"/>
    <w:rsid w:val="00E327D8"/>
    <w:rsid w:val="00E32F17"/>
    <w:rsid w:val="00E33215"/>
    <w:rsid w:val="00E33652"/>
    <w:rsid w:val="00E3371F"/>
    <w:rsid w:val="00E338D1"/>
    <w:rsid w:val="00E33949"/>
    <w:rsid w:val="00E33BE0"/>
    <w:rsid w:val="00E343D1"/>
    <w:rsid w:val="00E345BD"/>
    <w:rsid w:val="00E35DA1"/>
    <w:rsid w:val="00E35F94"/>
    <w:rsid w:val="00E36535"/>
    <w:rsid w:val="00E3685D"/>
    <w:rsid w:val="00E37CE3"/>
    <w:rsid w:val="00E40149"/>
    <w:rsid w:val="00E40183"/>
    <w:rsid w:val="00E40F19"/>
    <w:rsid w:val="00E4108F"/>
    <w:rsid w:val="00E4137F"/>
    <w:rsid w:val="00E41497"/>
    <w:rsid w:val="00E4151B"/>
    <w:rsid w:val="00E416AE"/>
    <w:rsid w:val="00E417C0"/>
    <w:rsid w:val="00E41E2E"/>
    <w:rsid w:val="00E4251D"/>
    <w:rsid w:val="00E426B3"/>
    <w:rsid w:val="00E426F8"/>
    <w:rsid w:val="00E42965"/>
    <w:rsid w:val="00E42EDA"/>
    <w:rsid w:val="00E4319E"/>
    <w:rsid w:val="00E431AF"/>
    <w:rsid w:val="00E43DC3"/>
    <w:rsid w:val="00E43E07"/>
    <w:rsid w:val="00E44880"/>
    <w:rsid w:val="00E44DA6"/>
    <w:rsid w:val="00E45935"/>
    <w:rsid w:val="00E459BA"/>
    <w:rsid w:val="00E45AB8"/>
    <w:rsid w:val="00E45F82"/>
    <w:rsid w:val="00E46667"/>
    <w:rsid w:val="00E466BF"/>
    <w:rsid w:val="00E472CF"/>
    <w:rsid w:val="00E476CE"/>
    <w:rsid w:val="00E47B71"/>
    <w:rsid w:val="00E47B76"/>
    <w:rsid w:val="00E47BF0"/>
    <w:rsid w:val="00E47C15"/>
    <w:rsid w:val="00E500CB"/>
    <w:rsid w:val="00E51120"/>
    <w:rsid w:val="00E514DF"/>
    <w:rsid w:val="00E528FC"/>
    <w:rsid w:val="00E52978"/>
    <w:rsid w:val="00E53441"/>
    <w:rsid w:val="00E545FE"/>
    <w:rsid w:val="00E54624"/>
    <w:rsid w:val="00E54F10"/>
    <w:rsid w:val="00E555C0"/>
    <w:rsid w:val="00E5593C"/>
    <w:rsid w:val="00E55C4B"/>
    <w:rsid w:val="00E560DA"/>
    <w:rsid w:val="00E56525"/>
    <w:rsid w:val="00E569F4"/>
    <w:rsid w:val="00E577EB"/>
    <w:rsid w:val="00E57877"/>
    <w:rsid w:val="00E57CBA"/>
    <w:rsid w:val="00E6014D"/>
    <w:rsid w:val="00E6061B"/>
    <w:rsid w:val="00E60C0A"/>
    <w:rsid w:val="00E60EC3"/>
    <w:rsid w:val="00E611A6"/>
    <w:rsid w:val="00E611EE"/>
    <w:rsid w:val="00E6172C"/>
    <w:rsid w:val="00E6208F"/>
    <w:rsid w:val="00E62D0B"/>
    <w:rsid w:val="00E63550"/>
    <w:rsid w:val="00E635DB"/>
    <w:rsid w:val="00E640BE"/>
    <w:rsid w:val="00E648F3"/>
    <w:rsid w:val="00E65074"/>
    <w:rsid w:val="00E65335"/>
    <w:rsid w:val="00E65D1C"/>
    <w:rsid w:val="00E65F07"/>
    <w:rsid w:val="00E665A6"/>
    <w:rsid w:val="00E66728"/>
    <w:rsid w:val="00E675C7"/>
    <w:rsid w:val="00E67C1E"/>
    <w:rsid w:val="00E7004D"/>
    <w:rsid w:val="00E706F7"/>
    <w:rsid w:val="00E70AB9"/>
    <w:rsid w:val="00E71222"/>
    <w:rsid w:val="00E71302"/>
    <w:rsid w:val="00E71614"/>
    <w:rsid w:val="00E718C1"/>
    <w:rsid w:val="00E7287D"/>
    <w:rsid w:val="00E72F9B"/>
    <w:rsid w:val="00E73688"/>
    <w:rsid w:val="00E73857"/>
    <w:rsid w:val="00E73ACE"/>
    <w:rsid w:val="00E73FE4"/>
    <w:rsid w:val="00E7461E"/>
    <w:rsid w:val="00E7537E"/>
    <w:rsid w:val="00E75E27"/>
    <w:rsid w:val="00E75F76"/>
    <w:rsid w:val="00E762FE"/>
    <w:rsid w:val="00E769A1"/>
    <w:rsid w:val="00E77467"/>
    <w:rsid w:val="00E77552"/>
    <w:rsid w:val="00E77834"/>
    <w:rsid w:val="00E8002F"/>
    <w:rsid w:val="00E80C88"/>
    <w:rsid w:val="00E80EA8"/>
    <w:rsid w:val="00E811F8"/>
    <w:rsid w:val="00E813CC"/>
    <w:rsid w:val="00E813F4"/>
    <w:rsid w:val="00E8142F"/>
    <w:rsid w:val="00E8171A"/>
    <w:rsid w:val="00E81A13"/>
    <w:rsid w:val="00E81A29"/>
    <w:rsid w:val="00E81C3B"/>
    <w:rsid w:val="00E823AE"/>
    <w:rsid w:val="00E82B52"/>
    <w:rsid w:val="00E82EEC"/>
    <w:rsid w:val="00E830E3"/>
    <w:rsid w:val="00E83933"/>
    <w:rsid w:val="00E84737"/>
    <w:rsid w:val="00E848EA"/>
    <w:rsid w:val="00E84B3E"/>
    <w:rsid w:val="00E84C09"/>
    <w:rsid w:val="00E84E5A"/>
    <w:rsid w:val="00E8597E"/>
    <w:rsid w:val="00E85ACE"/>
    <w:rsid w:val="00E85B2B"/>
    <w:rsid w:val="00E86934"/>
    <w:rsid w:val="00E87082"/>
    <w:rsid w:val="00E876EF"/>
    <w:rsid w:val="00E87C4D"/>
    <w:rsid w:val="00E87CF0"/>
    <w:rsid w:val="00E9071D"/>
    <w:rsid w:val="00E909AA"/>
    <w:rsid w:val="00E90AE2"/>
    <w:rsid w:val="00E911E7"/>
    <w:rsid w:val="00E916AC"/>
    <w:rsid w:val="00E91FCC"/>
    <w:rsid w:val="00E925D9"/>
    <w:rsid w:val="00E92DA6"/>
    <w:rsid w:val="00E92EDA"/>
    <w:rsid w:val="00E9312D"/>
    <w:rsid w:val="00E93193"/>
    <w:rsid w:val="00E93DAB"/>
    <w:rsid w:val="00E9433A"/>
    <w:rsid w:val="00E9448B"/>
    <w:rsid w:val="00E944EC"/>
    <w:rsid w:val="00E94697"/>
    <w:rsid w:val="00E946CD"/>
    <w:rsid w:val="00E949BE"/>
    <w:rsid w:val="00E952DB"/>
    <w:rsid w:val="00E96277"/>
    <w:rsid w:val="00E96C42"/>
    <w:rsid w:val="00E972B8"/>
    <w:rsid w:val="00EA022B"/>
    <w:rsid w:val="00EA1007"/>
    <w:rsid w:val="00EA1451"/>
    <w:rsid w:val="00EA19CB"/>
    <w:rsid w:val="00EA1BD8"/>
    <w:rsid w:val="00EA273D"/>
    <w:rsid w:val="00EA2C3D"/>
    <w:rsid w:val="00EA3171"/>
    <w:rsid w:val="00EA3AD8"/>
    <w:rsid w:val="00EA3F21"/>
    <w:rsid w:val="00EA4262"/>
    <w:rsid w:val="00EA44EA"/>
    <w:rsid w:val="00EA485C"/>
    <w:rsid w:val="00EA4DB6"/>
    <w:rsid w:val="00EA5A61"/>
    <w:rsid w:val="00EA5EA0"/>
    <w:rsid w:val="00EA65D8"/>
    <w:rsid w:val="00EA662E"/>
    <w:rsid w:val="00EA6F18"/>
    <w:rsid w:val="00EA7D93"/>
    <w:rsid w:val="00EA7FC3"/>
    <w:rsid w:val="00EB04B0"/>
    <w:rsid w:val="00EB098D"/>
    <w:rsid w:val="00EB0CC5"/>
    <w:rsid w:val="00EB0D5B"/>
    <w:rsid w:val="00EB0E89"/>
    <w:rsid w:val="00EB12FE"/>
    <w:rsid w:val="00EB1452"/>
    <w:rsid w:val="00EB1F79"/>
    <w:rsid w:val="00EB2E08"/>
    <w:rsid w:val="00EB4158"/>
    <w:rsid w:val="00EB4265"/>
    <w:rsid w:val="00EB4E04"/>
    <w:rsid w:val="00EB4F0A"/>
    <w:rsid w:val="00EB5855"/>
    <w:rsid w:val="00EB58F3"/>
    <w:rsid w:val="00EB5AC4"/>
    <w:rsid w:val="00EB62BA"/>
    <w:rsid w:val="00EB6665"/>
    <w:rsid w:val="00EB67D4"/>
    <w:rsid w:val="00EB699B"/>
    <w:rsid w:val="00EB6C9F"/>
    <w:rsid w:val="00EB7313"/>
    <w:rsid w:val="00EB779A"/>
    <w:rsid w:val="00EB77D5"/>
    <w:rsid w:val="00EB7ADC"/>
    <w:rsid w:val="00EC00CB"/>
    <w:rsid w:val="00EC01C8"/>
    <w:rsid w:val="00EC030E"/>
    <w:rsid w:val="00EC03C4"/>
    <w:rsid w:val="00EC05E9"/>
    <w:rsid w:val="00EC1157"/>
    <w:rsid w:val="00EC1717"/>
    <w:rsid w:val="00EC1FF6"/>
    <w:rsid w:val="00EC2004"/>
    <w:rsid w:val="00EC2112"/>
    <w:rsid w:val="00EC2344"/>
    <w:rsid w:val="00EC2DCF"/>
    <w:rsid w:val="00EC39D9"/>
    <w:rsid w:val="00EC3D65"/>
    <w:rsid w:val="00EC3EFD"/>
    <w:rsid w:val="00EC40EF"/>
    <w:rsid w:val="00EC419B"/>
    <w:rsid w:val="00EC4745"/>
    <w:rsid w:val="00EC48B2"/>
    <w:rsid w:val="00EC4D6A"/>
    <w:rsid w:val="00EC550E"/>
    <w:rsid w:val="00EC5AFD"/>
    <w:rsid w:val="00EC5C3C"/>
    <w:rsid w:val="00EC6896"/>
    <w:rsid w:val="00EC6D53"/>
    <w:rsid w:val="00EC73B4"/>
    <w:rsid w:val="00EC7C8C"/>
    <w:rsid w:val="00ED005A"/>
    <w:rsid w:val="00ED0529"/>
    <w:rsid w:val="00ED0691"/>
    <w:rsid w:val="00ED0BA0"/>
    <w:rsid w:val="00ED12B1"/>
    <w:rsid w:val="00ED1D8A"/>
    <w:rsid w:val="00ED28E2"/>
    <w:rsid w:val="00ED2EAB"/>
    <w:rsid w:val="00ED3DDA"/>
    <w:rsid w:val="00ED43CB"/>
    <w:rsid w:val="00ED44F8"/>
    <w:rsid w:val="00ED5570"/>
    <w:rsid w:val="00ED5928"/>
    <w:rsid w:val="00ED59A8"/>
    <w:rsid w:val="00ED61A6"/>
    <w:rsid w:val="00ED6420"/>
    <w:rsid w:val="00ED6424"/>
    <w:rsid w:val="00ED6AF2"/>
    <w:rsid w:val="00ED6BBF"/>
    <w:rsid w:val="00ED6C52"/>
    <w:rsid w:val="00ED6E0B"/>
    <w:rsid w:val="00ED72C0"/>
    <w:rsid w:val="00ED7726"/>
    <w:rsid w:val="00ED79CD"/>
    <w:rsid w:val="00ED7BDF"/>
    <w:rsid w:val="00ED7D48"/>
    <w:rsid w:val="00EE0A3F"/>
    <w:rsid w:val="00EE0A80"/>
    <w:rsid w:val="00EE1AF5"/>
    <w:rsid w:val="00EE271B"/>
    <w:rsid w:val="00EE2F10"/>
    <w:rsid w:val="00EE3072"/>
    <w:rsid w:val="00EE354B"/>
    <w:rsid w:val="00EE4435"/>
    <w:rsid w:val="00EE4C4C"/>
    <w:rsid w:val="00EE4FB3"/>
    <w:rsid w:val="00EE5572"/>
    <w:rsid w:val="00EE57A6"/>
    <w:rsid w:val="00EE5996"/>
    <w:rsid w:val="00EE5E0A"/>
    <w:rsid w:val="00EE6011"/>
    <w:rsid w:val="00EE64A8"/>
    <w:rsid w:val="00EE69F9"/>
    <w:rsid w:val="00EE7809"/>
    <w:rsid w:val="00EF01FA"/>
    <w:rsid w:val="00EF05FB"/>
    <w:rsid w:val="00EF0DAC"/>
    <w:rsid w:val="00EF0DE6"/>
    <w:rsid w:val="00EF1A48"/>
    <w:rsid w:val="00EF1B66"/>
    <w:rsid w:val="00EF201C"/>
    <w:rsid w:val="00EF23A6"/>
    <w:rsid w:val="00EF3828"/>
    <w:rsid w:val="00EF3B72"/>
    <w:rsid w:val="00EF43B7"/>
    <w:rsid w:val="00EF446E"/>
    <w:rsid w:val="00EF494D"/>
    <w:rsid w:val="00EF4C1A"/>
    <w:rsid w:val="00EF4DBA"/>
    <w:rsid w:val="00EF609F"/>
    <w:rsid w:val="00EF6311"/>
    <w:rsid w:val="00EF6645"/>
    <w:rsid w:val="00EF69D0"/>
    <w:rsid w:val="00EF6E29"/>
    <w:rsid w:val="00EF6FFD"/>
    <w:rsid w:val="00EF7115"/>
    <w:rsid w:val="00F00452"/>
    <w:rsid w:val="00F0095D"/>
    <w:rsid w:val="00F00DE8"/>
    <w:rsid w:val="00F0218D"/>
    <w:rsid w:val="00F02821"/>
    <w:rsid w:val="00F02FF3"/>
    <w:rsid w:val="00F03115"/>
    <w:rsid w:val="00F037E0"/>
    <w:rsid w:val="00F048E0"/>
    <w:rsid w:val="00F04C42"/>
    <w:rsid w:val="00F04E15"/>
    <w:rsid w:val="00F055D2"/>
    <w:rsid w:val="00F062B8"/>
    <w:rsid w:val="00F063F4"/>
    <w:rsid w:val="00F06615"/>
    <w:rsid w:val="00F068A6"/>
    <w:rsid w:val="00F0699D"/>
    <w:rsid w:val="00F06AE9"/>
    <w:rsid w:val="00F06D44"/>
    <w:rsid w:val="00F06FEB"/>
    <w:rsid w:val="00F070EB"/>
    <w:rsid w:val="00F07891"/>
    <w:rsid w:val="00F07ABB"/>
    <w:rsid w:val="00F07C5C"/>
    <w:rsid w:val="00F07CA7"/>
    <w:rsid w:val="00F07CF4"/>
    <w:rsid w:val="00F10228"/>
    <w:rsid w:val="00F10368"/>
    <w:rsid w:val="00F1053D"/>
    <w:rsid w:val="00F107DF"/>
    <w:rsid w:val="00F11252"/>
    <w:rsid w:val="00F122BC"/>
    <w:rsid w:val="00F1248A"/>
    <w:rsid w:val="00F12AD5"/>
    <w:rsid w:val="00F13121"/>
    <w:rsid w:val="00F13379"/>
    <w:rsid w:val="00F1342F"/>
    <w:rsid w:val="00F1360C"/>
    <w:rsid w:val="00F13663"/>
    <w:rsid w:val="00F13B41"/>
    <w:rsid w:val="00F13E05"/>
    <w:rsid w:val="00F14575"/>
    <w:rsid w:val="00F14FF0"/>
    <w:rsid w:val="00F15091"/>
    <w:rsid w:val="00F1552B"/>
    <w:rsid w:val="00F15A3C"/>
    <w:rsid w:val="00F15BCB"/>
    <w:rsid w:val="00F162B8"/>
    <w:rsid w:val="00F16571"/>
    <w:rsid w:val="00F16C29"/>
    <w:rsid w:val="00F171D9"/>
    <w:rsid w:val="00F17C02"/>
    <w:rsid w:val="00F202C0"/>
    <w:rsid w:val="00F20543"/>
    <w:rsid w:val="00F2056D"/>
    <w:rsid w:val="00F205CA"/>
    <w:rsid w:val="00F2069B"/>
    <w:rsid w:val="00F20824"/>
    <w:rsid w:val="00F211AE"/>
    <w:rsid w:val="00F21655"/>
    <w:rsid w:val="00F216DF"/>
    <w:rsid w:val="00F21BB3"/>
    <w:rsid w:val="00F21D6C"/>
    <w:rsid w:val="00F22387"/>
    <w:rsid w:val="00F22395"/>
    <w:rsid w:val="00F22627"/>
    <w:rsid w:val="00F229CF"/>
    <w:rsid w:val="00F236A0"/>
    <w:rsid w:val="00F236ED"/>
    <w:rsid w:val="00F23748"/>
    <w:rsid w:val="00F23B0D"/>
    <w:rsid w:val="00F240E7"/>
    <w:rsid w:val="00F24117"/>
    <w:rsid w:val="00F24AF9"/>
    <w:rsid w:val="00F24EAE"/>
    <w:rsid w:val="00F259F4"/>
    <w:rsid w:val="00F25BE5"/>
    <w:rsid w:val="00F26309"/>
    <w:rsid w:val="00F26E44"/>
    <w:rsid w:val="00F27B46"/>
    <w:rsid w:val="00F27DDC"/>
    <w:rsid w:val="00F30D62"/>
    <w:rsid w:val="00F30FB7"/>
    <w:rsid w:val="00F317C6"/>
    <w:rsid w:val="00F3219D"/>
    <w:rsid w:val="00F33548"/>
    <w:rsid w:val="00F336CA"/>
    <w:rsid w:val="00F33DB8"/>
    <w:rsid w:val="00F34239"/>
    <w:rsid w:val="00F34D27"/>
    <w:rsid w:val="00F353C7"/>
    <w:rsid w:val="00F353D1"/>
    <w:rsid w:val="00F356F5"/>
    <w:rsid w:val="00F35E1B"/>
    <w:rsid w:val="00F3611A"/>
    <w:rsid w:val="00F3691B"/>
    <w:rsid w:val="00F36AEF"/>
    <w:rsid w:val="00F36B64"/>
    <w:rsid w:val="00F36C0A"/>
    <w:rsid w:val="00F36E8E"/>
    <w:rsid w:val="00F373A9"/>
    <w:rsid w:val="00F374CA"/>
    <w:rsid w:val="00F37537"/>
    <w:rsid w:val="00F375B0"/>
    <w:rsid w:val="00F403E7"/>
    <w:rsid w:val="00F406CE"/>
    <w:rsid w:val="00F40958"/>
    <w:rsid w:val="00F40E52"/>
    <w:rsid w:val="00F410D7"/>
    <w:rsid w:val="00F4119B"/>
    <w:rsid w:val="00F419FC"/>
    <w:rsid w:val="00F41B09"/>
    <w:rsid w:val="00F4264E"/>
    <w:rsid w:val="00F42B55"/>
    <w:rsid w:val="00F42C8B"/>
    <w:rsid w:val="00F4352D"/>
    <w:rsid w:val="00F4380A"/>
    <w:rsid w:val="00F457A7"/>
    <w:rsid w:val="00F45BFC"/>
    <w:rsid w:val="00F45DCB"/>
    <w:rsid w:val="00F45F56"/>
    <w:rsid w:val="00F46810"/>
    <w:rsid w:val="00F47965"/>
    <w:rsid w:val="00F47A8F"/>
    <w:rsid w:val="00F47DC7"/>
    <w:rsid w:val="00F50758"/>
    <w:rsid w:val="00F51D21"/>
    <w:rsid w:val="00F51D26"/>
    <w:rsid w:val="00F530B3"/>
    <w:rsid w:val="00F539B3"/>
    <w:rsid w:val="00F539BB"/>
    <w:rsid w:val="00F54055"/>
    <w:rsid w:val="00F54225"/>
    <w:rsid w:val="00F54829"/>
    <w:rsid w:val="00F55F30"/>
    <w:rsid w:val="00F56438"/>
    <w:rsid w:val="00F56C65"/>
    <w:rsid w:val="00F56FB4"/>
    <w:rsid w:val="00F572EB"/>
    <w:rsid w:val="00F5773F"/>
    <w:rsid w:val="00F57A01"/>
    <w:rsid w:val="00F60589"/>
    <w:rsid w:val="00F606D6"/>
    <w:rsid w:val="00F607B5"/>
    <w:rsid w:val="00F60830"/>
    <w:rsid w:val="00F60F5E"/>
    <w:rsid w:val="00F6103D"/>
    <w:rsid w:val="00F613BB"/>
    <w:rsid w:val="00F61553"/>
    <w:rsid w:val="00F61671"/>
    <w:rsid w:val="00F61B00"/>
    <w:rsid w:val="00F61ECB"/>
    <w:rsid w:val="00F61F96"/>
    <w:rsid w:val="00F625B0"/>
    <w:rsid w:val="00F63047"/>
    <w:rsid w:val="00F630D6"/>
    <w:rsid w:val="00F635E7"/>
    <w:rsid w:val="00F63E48"/>
    <w:rsid w:val="00F645B4"/>
    <w:rsid w:val="00F64B46"/>
    <w:rsid w:val="00F64F2D"/>
    <w:rsid w:val="00F6514E"/>
    <w:rsid w:val="00F65369"/>
    <w:rsid w:val="00F66125"/>
    <w:rsid w:val="00F6631B"/>
    <w:rsid w:val="00F66EA7"/>
    <w:rsid w:val="00F66FB4"/>
    <w:rsid w:val="00F673F1"/>
    <w:rsid w:val="00F70518"/>
    <w:rsid w:val="00F7082C"/>
    <w:rsid w:val="00F70B86"/>
    <w:rsid w:val="00F70EE1"/>
    <w:rsid w:val="00F70F8A"/>
    <w:rsid w:val="00F7115C"/>
    <w:rsid w:val="00F715BB"/>
    <w:rsid w:val="00F72349"/>
    <w:rsid w:val="00F7241E"/>
    <w:rsid w:val="00F726F7"/>
    <w:rsid w:val="00F72964"/>
    <w:rsid w:val="00F7390A"/>
    <w:rsid w:val="00F7390E"/>
    <w:rsid w:val="00F73E4A"/>
    <w:rsid w:val="00F73F6D"/>
    <w:rsid w:val="00F74BCB"/>
    <w:rsid w:val="00F74D33"/>
    <w:rsid w:val="00F74ECE"/>
    <w:rsid w:val="00F7526D"/>
    <w:rsid w:val="00F75673"/>
    <w:rsid w:val="00F75773"/>
    <w:rsid w:val="00F757C0"/>
    <w:rsid w:val="00F758EB"/>
    <w:rsid w:val="00F75C16"/>
    <w:rsid w:val="00F75E5D"/>
    <w:rsid w:val="00F7645C"/>
    <w:rsid w:val="00F769C9"/>
    <w:rsid w:val="00F77C73"/>
    <w:rsid w:val="00F80778"/>
    <w:rsid w:val="00F808C7"/>
    <w:rsid w:val="00F8124A"/>
    <w:rsid w:val="00F815AC"/>
    <w:rsid w:val="00F815CB"/>
    <w:rsid w:val="00F81ABF"/>
    <w:rsid w:val="00F8207B"/>
    <w:rsid w:val="00F82093"/>
    <w:rsid w:val="00F82BE2"/>
    <w:rsid w:val="00F836F6"/>
    <w:rsid w:val="00F83AF7"/>
    <w:rsid w:val="00F83D60"/>
    <w:rsid w:val="00F83EBC"/>
    <w:rsid w:val="00F84D3C"/>
    <w:rsid w:val="00F85EE3"/>
    <w:rsid w:val="00F86B80"/>
    <w:rsid w:val="00F86C2F"/>
    <w:rsid w:val="00F87108"/>
    <w:rsid w:val="00F876BB"/>
    <w:rsid w:val="00F87749"/>
    <w:rsid w:val="00F87E0A"/>
    <w:rsid w:val="00F90E41"/>
    <w:rsid w:val="00F91094"/>
    <w:rsid w:val="00F9212A"/>
    <w:rsid w:val="00F92326"/>
    <w:rsid w:val="00F92582"/>
    <w:rsid w:val="00F92DFC"/>
    <w:rsid w:val="00F9336D"/>
    <w:rsid w:val="00F93374"/>
    <w:rsid w:val="00F9478E"/>
    <w:rsid w:val="00F94C60"/>
    <w:rsid w:val="00F9535C"/>
    <w:rsid w:val="00F977F0"/>
    <w:rsid w:val="00FA07D9"/>
    <w:rsid w:val="00FA134C"/>
    <w:rsid w:val="00FA171A"/>
    <w:rsid w:val="00FA178C"/>
    <w:rsid w:val="00FA1D2A"/>
    <w:rsid w:val="00FA1E0B"/>
    <w:rsid w:val="00FA4493"/>
    <w:rsid w:val="00FA455B"/>
    <w:rsid w:val="00FA598C"/>
    <w:rsid w:val="00FA6506"/>
    <w:rsid w:val="00FA7360"/>
    <w:rsid w:val="00FA7511"/>
    <w:rsid w:val="00FA76B8"/>
    <w:rsid w:val="00FA7A92"/>
    <w:rsid w:val="00FA7E8D"/>
    <w:rsid w:val="00FB036E"/>
    <w:rsid w:val="00FB064A"/>
    <w:rsid w:val="00FB075B"/>
    <w:rsid w:val="00FB0A20"/>
    <w:rsid w:val="00FB0D4F"/>
    <w:rsid w:val="00FB117B"/>
    <w:rsid w:val="00FB1F35"/>
    <w:rsid w:val="00FB21C6"/>
    <w:rsid w:val="00FB25C4"/>
    <w:rsid w:val="00FB262A"/>
    <w:rsid w:val="00FB2802"/>
    <w:rsid w:val="00FB29FE"/>
    <w:rsid w:val="00FB2E48"/>
    <w:rsid w:val="00FB300B"/>
    <w:rsid w:val="00FB3092"/>
    <w:rsid w:val="00FB3229"/>
    <w:rsid w:val="00FB38C7"/>
    <w:rsid w:val="00FB3BE4"/>
    <w:rsid w:val="00FB40DA"/>
    <w:rsid w:val="00FB42FE"/>
    <w:rsid w:val="00FB470C"/>
    <w:rsid w:val="00FB4C7D"/>
    <w:rsid w:val="00FB4DDB"/>
    <w:rsid w:val="00FB50B7"/>
    <w:rsid w:val="00FB53C8"/>
    <w:rsid w:val="00FB5815"/>
    <w:rsid w:val="00FB5F33"/>
    <w:rsid w:val="00FB616F"/>
    <w:rsid w:val="00FB64A7"/>
    <w:rsid w:val="00FB6905"/>
    <w:rsid w:val="00FB7AA5"/>
    <w:rsid w:val="00FB7AC2"/>
    <w:rsid w:val="00FC0005"/>
    <w:rsid w:val="00FC007A"/>
    <w:rsid w:val="00FC0166"/>
    <w:rsid w:val="00FC02D9"/>
    <w:rsid w:val="00FC04E7"/>
    <w:rsid w:val="00FC0513"/>
    <w:rsid w:val="00FC0AAA"/>
    <w:rsid w:val="00FC1160"/>
    <w:rsid w:val="00FC131B"/>
    <w:rsid w:val="00FC1659"/>
    <w:rsid w:val="00FC1867"/>
    <w:rsid w:val="00FC1FEA"/>
    <w:rsid w:val="00FC20CE"/>
    <w:rsid w:val="00FC24ED"/>
    <w:rsid w:val="00FC28C6"/>
    <w:rsid w:val="00FC3190"/>
    <w:rsid w:val="00FC3666"/>
    <w:rsid w:val="00FC396A"/>
    <w:rsid w:val="00FC3EB3"/>
    <w:rsid w:val="00FC3EE3"/>
    <w:rsid w:val="00FC45DF"/>
    <w:rsid w:val="00FC487E"/>
    <w:rsid w:val="00FC4953"/>
    <w:rsid w:val="00FC4E49"/>
    <w:rsid w:val="00FC4EA0"/>
    <w:rsid w:val="00FC5899"/>
    <w:rsid w:val="00FC5BE8"/>
    <w:rsid w:val="00FC5E5E"/>
    <w:rsid w:val="00FC5F41"/>
    <w:rsid w:val="00FC664F"/>
    <w:rsid w:val="00FC67B2"/>
    <w:rsid w:val="00FC68AE"/>
    <w:rsid w:val="00FC77EA"/>
    <w:rsid w:val="00FC7BDC"/>
    <w:rsid w:val="00FC7C10"/>
    <w:rsid w:val="00FD01D7"/>
    <w:rsid w:val="00FD0BD5"/>
    <w:rsid w:val="00FD1097"/>
    <w:rsid w:val="00FD124F"/>
    <w:rsid w:val="00FD1274"/>
    <w:rsid w:val="00FD14AB"/>
    <w:rsid w:val="00FD1C99"/>
    <w:rsid w:val="00FD1D4D"/>
    <w:rsid w:val="00FD1DE1"/>
    <w:rsid w:val="00FD1F39"/>
    <w:rsid w:val="00FD20B9"/>
    <w:rsid w:val="00FD2201"/>
    <w:rsid w:val="00FD27C7"/>
    <w:rsid w:val="00FD2A0A"/>
    <w:rsid w:val="00FD2BB8"/>
    <w:rsid w:val="00FD2E18"/>
    <w:rsid w:val="00FD2F1A"/>
    <w:rsid w:val="00FD351A"/>
    <w:rsid w:val="00FD39B6"/>
    <w:rsid w:val="00FD3B20"/>
    <w:rsid w:val="00FD4220"/>
    <w:rsid w:val="00FD5368"/>
    <w:rsid w:val="00FD561D"/>
    <w:rsid w:val="00FD6AB6"/>
    <w:rsid w:val="00FD6D5F"/>
    <w:rsid w:val="00FD75FE"/>
    <w:rsid w:val="00FD7714"/>
    <w:rsid w:val="00FD7CFD"/>
    <w:rsid w:val="00FE0286"/>
    <w:rsid w:val="00FE0AD6"/>
    <w:rsid w:val="00FE0FCC"/>
    <w:rsid w:val="00FE1B5E"/>
    <w:rsid w:val="00FE1BF2"/>
    <w:rsid w:val="00FE1C81"/>
    <w:rsid w:val="00FE24DE"/>
    <w:rsid w:val="00FE2697"/>
    <w:rsid w:val="00FE2A8D"/>
    <w:rsid w:val="00FE4441"/>
    <w:rsid w:val="00FE512F"/>
    <w:rsid w:val="00FE5E9D"/>
    <w:rsid w:val="00FE6A30"/>
    <w:rsid w:val="00FE705C"/>
    <w:rsid w:val="00FE7C00"/>
    <w:rsid w:val="00FE7E0E"/>
    <w:rsid w:val="00FF0264"/>
    <w:rsid w:val="00FF096D"/>
    <w:rsid w:val="00FF0B58"/>
    <w:rsid w:val="00FF0B64"/>
    <w:rsid w:val="00FF14FD"/>
    <w:rsid w:val="00FF1AF2"/>
    <w:rsid w:val="00FF1CD9"/>
    <w:rsid w:val="00FF1E38"/>
    <w:rsid w:val="00FF2B6C"/>
    <w:rsid w:val="00FF2BFC"/>
    <w:rsid w:val="00FF2DEC"/>
    <w:rsid w:val="00FF338A"/>
    <w:rsid w:val="00FF4252"/>
    <w:rsid w:val="00FF469F"/>
    <w:rsid w:val="00FF4B06"/>
    <w:rsid w:val="00FF4C7D"/>
    <w:rsid w:val="00FF57A6"/>
    <w:rsid w:val="00FF5C48"/>
    <w:rsid w:val="00FF5DAC"/>
    <w:rsid w:val="00FF6D7E"/>
    <w:rsid w:val="00FF6EE9"/>
    <w:rsid w:val="00FF71C6"/>
    <w:rsid w:val="00FF7BD3"/>
    <w:rsid w:val="018823FB"/>
    <w:rsid w:val="029055F2"/>
    <w:rsid w:val="02953D2F"/>
    <w:rsid w:val="03256A6C"/>
    <w:rsid w:val="05BC6575"/>
    <w:rsid w:val="0627537E"/>
    <w:rsid w:val="08FF1C4F"/>
    <w:rsid w:val="0A37439C"/>
    <w:rsid w:val="0A472774"/>
    <w:rsid w:val="0A4B6E1E"/>
    <w:rsid w:val="0CE17CCE"/>
    <w:rsid w:val="11330A9D"/>
    <w:rsid w:val="12564EE8"/>
    <w:rsid w:val="13496D90"/>
    <w:rsid w:val="14430D8F"/>
    <w:rsid w:val="152851F5"/>
    <w:rsid w:val="15D14E87"/>
    <w:rsid w:val="16507F33"/>
    <w:rsid w:val="1655529B"/>
    <w:rsid w:val="167422E1"/>
    <w:rsid w:val="183559ED"/>
    <w:rsid w:val="18596295"/>
    <w:rsid w:val="19384682"/>
    <w:rsid w:val="198F32D7"/>
    <w:rsid w:val="19DD4C7B"/>
    <w:rsid w:val="1ADD2620"/>
    <w:rsid w:val="1B990DAE"/>
    <w:rsid w:val="1D30279F"/>
    <w:rsid w:val="1DA575B0"/>
    <w:rsid w:val="1E7C533A"/>
    <w:rsid w:val="1EC75144"/>
    <w:rsid w:val="1F00357B"/>
    <w:rsid w:val="1F814921"/>
    <w:rsid w:val="201723F5"/>
    <w:rsid w:val="21C915AF"/>
    <w:rsid w:val="21CD73E2"/>
    <w:rsid w:val="21FB5F9F"/>
    <w:rsid w:val="232C7925"/>
    <w:rsid w:val="233E5662"/>
    <w:rsid w:val="26275DE6"/>
    <w:rsid w:val="282A36A0"/>
    <w:rsid w:val="28C87941"/>
    <w:rsid w:val="29EB5D25"/>
    <w:rsid w:val="2A6F00A9"/>
    <w:rsid w:val="2C4414E4"/>
    <w:rsid w:val="2D945258"/>
    <w:rsid w:val="30644C60"/>
    <w:rsid w:val="31290F99"/>
    <w:rsid w:val="317A12E6"/>
    <w:rsid w:val="31C06E67"/>
    <w:rsid w:val="32CF2F6B"/>
    <w:rsid w:val="338B2CE4"/>
    <w:rsid w:val="343F7577"/>
    <w:rsid w:val="365F6866"/>
    <w:rsid w:val="36A90817"/>
    <w:rsid w:val="37F02813"/>
    <w:rsid w:val="39071107"/>
    <w:rsid w:val="39767C4F"/>
    <w:rsid w:val="3A70556D"/>
    <w:rsid w:val="3D270E57"/>
    <w:rsid w:val="3E4B02C1"/>
    <w:rsid w:val="3EAC144D"/>
    <w:rsid w:val="414B7F62"/>
    <w:rsid w:val="41C14600"/>
    <w:rsid w:val="434A6272"/>
    <w:rsid w:val="43B70AA5"/>
    <w:rsid w:val="43CC3F57"/>
    <w:rsid w:val="44E02999"/>
    <w:rsid w:val="44F23A8E"/>
    <w:rsid w:val="45B33EBA"/>
    <w:rsid w:val="461F4717"/>
    <w:rsid w:val="47FA5DCF"/>
    <w:rsid w:val="4A29377C"/>
    <w:rsid w:val="4A813D9A"/>
    <w:rsid w:val="4B802219"/>
    <w:rsid w:val="4C642EF5"/>
    <w:rsid w:val="4D4B6A9F"/>
    <w:rsid w:val="4ED82033"/>
    <w:rsid w:val="4FAF2D41"/>
    <w:rsid w:val="51203358"/>
    <w:rsid w:val="51AE3792"/>
    <w:rsid w:val="530E2CA1"/>
    <w:rsid w:val="53901041"/>
    <w:rsid w:val="55595B0B"/>
    <w:rsid w:val="5657621D"/>
    <w:rsid w:val="56C566BF"/>
    <w:rsid w:val="56F26DD0"/>
    <w:rsid w:val="57A04D4E"/>
    <w:rsid w:val="581E3818"/>
    <w:rsid w:val="59CD78E2"/>
    <w:rsid w:val="5A082F03"/>
    <w:rsid w:val="5AB55159"/>
    <w:rsid w:val="5AF67A57"/>
    <w:rsid w:val="5BD50DED"/>
    <w:rsid w:val="5BDD4541"/>
    <w:rsid w:val="5E1C5281"/>
    <w:rsid w:val="602F0EEF"/>
    <w:rsid w:val="60697B26"/>
    <w:rsid w:val="636209C7"/>
    <w:rsid w:val="63DE2FB6"/>
    <w:rsid w:val="64ED11A3"/>
    <w:rsid w:val="68CE01C6"/>
    <w:rsid w:val="6B464BBC"/>
    <w:rsid w:val="6B9E763D"/>
    <w:rsid w:val="6C123536"/>
    <w:rsid w:val="6E5C4750"/>
    <w:rsid w:val="6E7100B0"/>
    <w:rsid w:val="70476B93"/>
    <w:rsid w:val="714813F6"/>
    <w:rsid w:val="724F27D3"/>
    <w:rsid w:val="727A6CA7"/>
    <w:rsid w:val="738414F7"/>
    <w:rsid w:val="7606432D"/>
    <w:rsid w:val="764A5251"/>
    <w:rsid w:val="77BF41E2"/>
    <w:rsid w:val="785A1789"/>
    <w:rsid w:val="78F84707"/>
    <w:rsid w:val="7A2478D5"/>
    <w:rsid w:val="7AC00470"/>
    <w:rsid w:val="7B384E18"/>
    <w:rsid w:val="7BE40FF1"/>
    <w:rsid w:val="7CB761F5"/>
    <w:rsid w:val="7D1A4F7A"/>
    <w:rsid w:val="7DEE24D2"/>
    <w:rsid w:val="7DF79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0" w:name="envelope address"/>
    <w:lsdException w:uiPriority="0" w:name="envelope return"/>
    <w:lsdException w:qFormat="1" w:unhideWhenUsed="0"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qFormat="1" w:unhideWhenUsed="0" w:uiPriority="0" w:semiHidden="0" w:name="endnote text"/>
    <w:lsdException w:uiPriority="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99" w:semiHidden="0" w:name="List 4"/>
    <w:lsdException w:qFormat="1" w:unhideWhenUsed="0" w:uiPriority="99"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qFormat="1" w:unhideWhenUsed="0" w:uiPriority="0" w:semiHidden="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99" w:semiHidden="0" w:name="Body Text Indent"/>
    <w:lsdException w:qFormat="1" w:unhideWhenUsed="0" w:uiPriority="99" w:semiHidden="0" w:name="List Continue"/>
    <w:lsdException w:qFormat="1" w:unhideWhenUsed="0" w:uiPriority="0" w:semiHidden="0" w:name="List Continue 2"/>
    <w:lsdException w:qFormat="1" w:unhideWhenUsed="0" w:uiPriority="99"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qFormat="1" w:unhideWhenUsed="0"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qFormat="1" w:unhideWhenUsed="0" w:uiPriority="0" w:semiHidden="0" w:name="Table Theme"/>
    <w:lsdException w:qFormat="1" w:unhideWhenUsed="0" w:uiPriority="99"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80"/>
    <w:qFormat/>
    <w:uiPriority w:val="0"/>
    <w:pPr>
      <w:keepNext/>
      <w:keepLines/>
      <w:spacing w:before="120" w:after="120"/>
      <w:jc w:val="center"/>
      <w:outlineLvl w:val="0"/>
    </w:pPr>
    <w:rPr>
      <w:b/>
      <w:spacing w:val="20"/>
      <w:kern w:val="44"/>
      <w:sz w:val="32"/>
    </w:rPr>
  </w:style>
  <w:style w:type="paragraph" w:styleId="4">
    <w:name w:val="heading 2"/>
    <w:basedOn w:val="1"/>
    <w:next w:val="1"/>
    <w:link w:val="82"/>
    <w:qFormat/>
    <w:uiPriority w:val="0"/>
    <w:pPr>
      <w:keepNext/>
      <w:keepLines/>
      <w:spacing w:line="400" w:lineRule="exact"/>
      <w:jc w:val="center"/>
      <w:outlineLvl w:val="1"/>
    </w:pPr>
    <w:rPr>
      <w:rFonts w:ascii="Arial" w:hAnsi="Arial"/>
      <w:b/>
      <w:kern w:val="0"/>
      <w:sz w:val="30"/>
    </w:rPr>
  </w:style>
  <w:style w:type="paragraph" w:styleId="5">
    <w:name w:val="heading 3"/>
    <w:basedOn w:val="1"/>
    <w:next w:val="6"/>
    <w:link w:val="83"/>
    <w:qFormat/>
    <w:uiPriority w:val="0"/>
    <w:pPr>
      <w:keepNext/>
      <w:keepLines/>
      <w:spacing w:before="60" w:after="60" w:line="500" w:lineRule="exact"/>
      <w:ind w:firstLine="510"/>
      <w:outlineLvl w:val="2"/>
    </w:pPr>
    <w:rPr>
      <w:rFonts w:ascii="宋体"/>
      <w:b/>
      <w:sz w:val="24"/>
    </w:rPr>
  </w:style>
  <w:style w:type="paragraph" w:styleId="7">
    <w:name w:val="heading 4"/>
    <w:basedOn w:val="1"/>
    <w:next w:val="1"/>
    <w:link w:val="84"/>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85"/>
    <w:qFormat/>
    <w:uiPriority w:val="0"/>
    <w:pPr>
      <w:keepNext/>
      <w:jc w:val="center"/>
      <w:outlineLvl w:val="4"/>
    </w:pPr>
    <w:rPr>
      <w:rFonts w:ascii="仿宋_GB2312" w:eastAsia="仿宋_GB2312"/>
      <w:b/>
      <w:bCs/>
      <w:sz w:val="24"/>
    </w:rPr>
  </w:style>
  <w:style w:type="paragraph" w:styleId="9">
    <w:name w:val="heading 6"/>
    <w:basedOn w:val="1"/>
    <w:next w:val="1"/>
    <w:link w:val="86"/>
    <w:qFormat/>
    <w:uiPriority w:val="0"/>
    <w:pPr>
      <w:keepNext/>
      <w:keepLines/>
      <w:widowControl/>
      <w:numPr>
        <w:ilvl w:val="5"/>
        <w:numId w:val="1"/>
      </w:numPr>
      <w:tabs>
        <w:tab w:val="left" w:pos="1440"/>
      </w:tabs>
      <w:spacing w:before="240" w:after="64" w:line="317" w:lineRule="auto"/>
      <w:jc w:val="left"/>
      <w:outlineLvl w:val="5"/>
    </w:pPr>
    <w:rPr>
      <w:rFonts w:ascii="Arial" w:hAnsi="Arial" w:eastAsia="黑体"/>
      <w:b/>
      <w:bCs/>
      <w:kern w:val="0"/>
      <w:sz w:val="24"/>
      <w:szCs w:val="24"/>
    </w:rPr>
  </w:style>
  <w:style w:type="paragraph" w:styleId="10">
    <w:name w:val="heading 7"/>
    <w:basedOn w:val="1"/>
    <w:next w:val="1"/>
    <w:link w:val="87"/>
    <w:qFormat/>
    <w:uiPriority w:val="0"/>
    <w:pPr>
      <w:keepNext/>
      <w:keepLines/>
      <w:widowControl/>
      <w:tabs>
        <w:tab w:val="left" w:pos="2520"/>
        <w:tab w:val="left" w:pos="3472"/>
      </w:tabs>
      <w:spacing w:before="240" w:after="64" w:line="317" w:lineRule="auto"/>
      <w:ind w:left="3472" w:hanging="420"/>
      <w:jc w:val="left"/>
      <w:outlineLvl w:val="6"/>
    </w:pPr>
    <w:rPr>
      <w:b/>
      <w:bCs/>
      <w:kern w:val="0"/>
      <w:sz w:val="24"/>
      <w:szCs w:val="24"/>
    </w:rPr>
  </w:style>
  <w:style w:type="paragraph" w:styleId="11">
    <w:name w:val="heading 8"/>
    <w:basedOn w:val="1"/>
    <w:next w:val="1"/>
    <w:link w:val="88"/>
    <w:qFormat/>
    <w:uiPriority w:val="0"/>
    <w:pPr>
      <w:keepNext/>
      <w:keepLines/>
      <w:widowControl/>
      <w:tabs>
        <w:tab w:val="left" w:pos="1440"/>
        <w:tab w:val="left" w:pos="3892"/>
      </w:tabs>
      <w:spacing w:before="240" w:after="64" w:line="317" w:lineRule="auto"/>
      <w:ind w:left="3892" w:hanging="420"/>
      <w:jc w:val="left"/>
      <w:outlineLvl w:val="7"/>
    </w:pPr>
    <w:rPr>
      <w:rFonts w:ascii="Arial" w:hAnsi="Arial" w:eastAsia="黑体"/>
      <w:kern w:val="0"/>
      <w:sz w:val="24"/>
      <w:szCs w:val="24"/>
    </w:rPr>
  </w:style>
  <w:style w:type="paragraph" w:styleId="12">
    <w:name w:val="heading 9"/>
    <w:basedOn w:val="1"/>
    <w:next w:val="1"/>
    <w:link w:val="89"/>
    <w:qFormat/>
    <w:uiPriority w:val="0"/>
    <w:pPr>
      <w:keepNext/>
      <w:keepLines/>
      <w:widowControl/>
      <w:tabs>
        <w:tab w:val="left" w:pos="1584"/>
        <w:tab w:val="left" w:pos="4312"/>
      </w:tabs>
      <w:spacing w:before="240" w:after="64" w:line="317" w:lineRule="auto"/>
      <w:ind w:left="4312" w:hanging="420"/>
      <w:jc w:val="left"/>
      <w:outlineLvl w:val="8"/>
    </w:pPr>
    <w:rPr>
      <w:rFonts w:ascii="Arial" w:hAnsi="Arial" w:eastAsia="黑体"/>
      <w:kern w:val="0"/>
      <w:szCs w:val="21"/>
    </w:rPr>
  </w:style>
  <w:style w:type="character" w:default="1" w:styleId="71">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2">
    <w:name w:val="macro"/>
    <w:link w:val="19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Times New Roman"/>
      <w:sz w:val="24"/>
      <w:szCs w:val="24"/>
      <w:lang w:val="en-US" w:eastAsia="zh-CN" w:bidi="ar-SA"/>
    </w:rPr>
  </w:style>
  <w:style w:type="paragraph" w:styleId="6">
    <w:name w:val="Normal Indent"/>
    <w:basedOn w:val="1"/>
    <w:link w:val="81"/>
    <w:qFormat/>
    <w:uiPriority w:val="0"/>
    <w:pPr>
      <w:ind w:firstLine="420"/>
    </w:pPr>
  </w:style>
  <w:style w:type="paragraph" w:styleId="13">
    <w:name w:val="List 3"/>
    <w:basedOn w:val="1"/>
    <w:qFormat/>
    <w:uiPriority w:val="0"/>
    <w:pPr>
      <w:ind w:left="100" w:leftChars="400" w:hanging="200" w:hangingChars="200"/>
    </w:pPr>
    <w:rPr>
      <w:szCs w:val="24"/>
    </w:rPr>
  </w:style>
  <w:style w:type="paragraph" w:styleId="14">
    <w:name w:val="toc 7"/>
    <w:basedOn w:val="1"/>
    <w:next w:val="1"/>
    <w:qFormat/>
    <w:uiPriority w:val="39"/>
    <w:pPr>
      <w:ind w:left="1260"/>
      <w:jc w:val="left"/>
    </w:pPr>
    <w:rPr>
      <w:rFonts w:asciiTheme="minorHAnsi" w:hAnsiTheme="minorHAnsi" w:cstheme="minorHAnsi"/>
      <w:sz w:val="18"/>
      <w:szCs w:val="18"/>
    </w:rPr>
  </w:style>
  <w:style w:type="paragraph" w:styleId="15">
    <w:name w:val="List Number 2"/>
    <w:basedOn w:val="1"/>
    <w:autoRedefine/>
    <w:qFormat/>
    <w:uiPriority w:val="0"/>
    <w:pPr>
      <w:widowControl/>
      <w:tabs>
        <w:tab w:val="left" w:pos="1260"/>
        <w:tab w:val="left" w:pos="1680"/>
      </w:tabs>
      <w:spacing w:afterLines="50"/>
      <w:ind w:left="3360" w:hanging="420"/>
      <w:jc w:val="left"/>
    </w:pPr>
    <w:rPr>
      <w:rFonts w:ascii="Calibri" w:hAnsi="Calibri" w:eastAsia="楷体_GB2312"/>
      <w:kern w:val="0"/>
      <w:sz w:val="24"/>
    </w:rPr>
  </w:style>
  <w:style w:type="paragraph" w:styleId="16">
    <w:name w:val="List Number"/>
    <w:basedOn w:val="1"/>
    <w:autoRedefine/>
    <w:qFormat/>
    <w:uiPriority w:val="0"/>
    <w:pPr>
      <w:tabs>
        <w:tab w:val="left" w:pos="840"/>
      </w:tabs>
      <w:ind w:left="840" w:hanging="420"/>
    </w:pPr>
    <w:rPr>
      <w:rFonts w:ascii="Calibri" w:hAnsi="Calibri" w:eastAsia="楷体_GB2312"/>
    </w:rPr>
  </w:style>
  <w:style w:type="paragraph" w:styleId="17">
    <w:name w:val="caption"/>
    <w:basedOn w:val="1"/>
    <w:next w:val="1"/>
    <w:link w:val="561"/>
    <w:qFormat/>
    <w:uiPriority w:val="0"/>
    <w:rPr>
      <w:rFonts w:ascii="Arial" w:hAnsi="Arial" w:eastAsia="黑体" w:cs="Arial"/>
      <w:sz w:val="20"/>
    </w:rPr>
  </w:style>
  <w:style w:type="paragraph" w:styleId="18">
    <w:name w:val="List Bullet"/>
    <w:basedOn w:val="1"/>
    <w:qFormat/>
    <w:uiPriority w:val="0"/>
    <w:pPr>
      <w:tabs>
        <w:tab w:val="left" w:pos="360"/>
        <w:tab w:val="left" w:pos="432"/>
      </w:tabs>
      <w:ind w:left="432" w:hanging="432"/>
    </w:pPr>
    <w:rPr>
      <w:szCs w:val="24"/>
    </w:rPr>
  </w:style>
  <w:style w:type="paragraph" w:styleId="19">
    <w:name w:val="Document Map"/>
    <w:basedOn w:val="1"/>
    <w:link w:val="130"/>
    <w:qFormat/>
    <w:uiPriority w:val="0"/>
    <w:pPr>
      <w:shd w:val="clear" w:color="auto" w:fill="000080"/>
    </w:pPr>
  </w:style>
  <w:style w:type="paragraph" w:styleId="20">
    <w:name w:val="toa heading"/>
    <w:basedOn w:val="1"/>
    <w:next w:val="1"/>
    <w:link w:val="541"/>
    <w:qFormat/>
    <w:uiPriority w:val="0"/>
    <w:pPr>
      <w:spacing w:before="120"/>
    </w:pPr>
    <w:rPr>
      <w:rFonts w:ascii="Arial" w:hAnsi="Arial" w:cs="Arial"/>
      <w:sz w:val="24"/>
      <w:szCs w:val="24"/>
    </w:rPr>
  </w:style>
  <w:style w:type="paragraph" w:styleId="21">
    <w:name w:val="annotation text"/>
    <w:basedOn w:val="1"/>
    <w:link w:val="156"/>
    <w:unhideWhenUsed/>
    <w:qFormat/>
    <w:uiPriority w:val="0"/>
    <w:pPr>
      <w:jc w:val="left"/>
    </w:pPr>
  </w:style>
  <w:style w:type="paragraph" w:styleId="22">
    <w:name w:val="Salutation"/>
    <w:basedOn w:val="1"/>
    <w:next w:val="1"/>
    <w:link w:val="526"/>
    <w:autoRedefine/>
    <w:qFormat/>
    <w:uiPriority w:val="0"/>
    <w:rPr>
      <w:rFonts w:ascii="Calibri" w:hAnsi="Calibri" w:eastAsia="楷体_GB2312"/>
      <w:sz w:val="24"/>
    </w:rPr>
  </w:style>
  <w:style w:type="paragraph" w:styleId="23">
    <w:name w:val="Body Text 3"/>
    <w:basedOn w:val="1"/>
    <w:link w:val="189"/>
    <w:qFormat/>
    <w:uiPriority w:val="0"/>
    <w:pPr>
      <w:widowControl/>
      <w:spacing w:after="120"/>
      <w:jc w:val="left"/>
    </w:pPr>
    <w:rPr>
      <w:kern w:val="0"/>
      <w:sz w:val="16"/>
      <w:szCs w:val="16"/>
    </w:rPr>
  </w:style>
  <w:style w:type="paragraph" w:styleId="24">
    <w:name w:val="Closing"/>
    <w:basedOn w:val="1"/>
    <w:link w:val="527"/>
    <w:autoRedefine/>
    <w:qFormat/>
    <w:uiPriority w:val="0"/>
    <w:pPr>
      <w:ind w:left="100" w:leftChars="2100"/>
    </w:pPr>
    <w:rPr>
      <w:rFonts w:ascii="Calibri" w:hAnsi="Calibri" w:eastAsia="楷体_GB2312"/>
      <w:sz w:val="24"/>
    </w:rPr>
  </w:style>
  <w:style w:type="paragraph" w:styleId="25">
    <w:name w:val="Body Text"/>
    <w:basedOn w:val="1"/>
    <w:next w:val="1"/>
    <w:link w:val="139"/>
    <w:qFormat/>
    <w:uiPriority w:val="1"/>
    <w:pPr>
      <w:adjustRightInd w:val="0"/>
      <w:spacing w:line="440" w:lineRule="exact"/>
    </w:pPr>
    <w:rPr>
      <w:rFonts w:ascii="宋体" w:hAnsi="宋体"/>
      <w:bCs/>
      <w:color w:val="000000"/>
      <w:sz w:val="24"/>
    </w:rPr>
  </w:style>
  <w:style w:type="paragraph" w:styleId="26">
    <w:name w:val="Body Text Indent"/>
    <w:basedOn w:val="1"/>
    <w:next w:val="27"/>
    <w:link w:val="141"/>
    <w:qFormat/>
    <w:uiPriority w:val="99"/>
    <w:pPr>
      <w:spacing w:line="460" w:lineRule="exact"/>
      <w:ind w:firstLine="510"/>
    </w:pPr>
  </w:style>
  <w:style w:type="paragraph" w:styleId="27">
    <w:name w:val="Body Text First Indent 2"/>
    <w:basedOn w:val="26"/>
    <w:next w:val="28"/>
    <w:link w:val="209"/>
    <w:qFormat/>
    <w:uiPriority w:val="0"/>
    <w:pPr>
      <w:widowControl/>
      <w:spacing w:line="240" w:lineRule="auto"/>
      <w:ind w:firstLine="200" w:firstLineChars="200"/>
      <w:jc w:val="left"/>
    </w:pPr>
    <w:rPr>
      <w:szCs w:val="24"/>
    </w:rPr>
  </w:style>
  <w:style w:type="paragraph" w:styleId="28">
    <w:name w:val="Body Text First Indent"/>
    <w:basedOn w:val="25"/>
    <w:next w:val="1"/>
    <w:link w:val="266"/>
    <w:qFormat/>
    <w:uiPriority w:val="0"/>
    <w:pPr>
      <w:adjustRightInd/>
      <w:spacing w:after="120" w:line="360" w:lineRule="auto"/>
      <w:ind w:firstLine="309" w:firstLineChars="100"/>
      <w:outlineLvl w:val="0"/>
    </w:pPr>
    <w:rPr>
      <w:rFonts w:ascii="Times New Roman" w:hAnsi="Times New Roman"/>
      <w:kern w:val="28"/>
      <w:sz w:val="21"/>
      <w:szCs w:val="21"/>
    </w:rPr>
  </w:style>
  <w:style w:type="paragraph" w:styleId="29">
    <w:name w:val="List Number 3"/>
    <w:basedOn w:val="1"/>
    <w:autoRedefine/>
    <w:qFormat/>
    <w:uiPriority w:val="0"/>
    <w:pPr>
      <w:tabs>
        <w:tab w:val="left" w:pos="360"/>
        <w:tab w:val="left" w:pos="1200"/>
      </w:tabs>
      <w:ind w:left="360" w:hanging="360"/>
    </w:pPr>
    <w:rPr>
      <w:rFonts w:ascii="Calibri" w:hAnsi="Calibri" w:eastAsia="楷体_GB2312"/>
    </w:rPr>
  </w:style>
  <w:style w:type="paragraph" w:styleId="30">
    <w:name w:val="List 2"/>
    <w:basedOn w:val="1"/>
    <w:qFormat/>
    <w:uiPriority w:val="0"/>
    <w:pPr>
      <w:ind w:left="100" w:leftChars="200" w:hanging="200" w:hangingChars="200"/>
    </w:pPr>
    <w:rPr>
      <w:szCs w:val="24"/>
    </w:rPr>
  </w:style>
  <w:style w:type="paragraph" w:styleId="31">
    <w:name w:val="List Continue"/>
    <w:basedOn w:val="1"/>
    <w:autoRedefine/>
    <w:qFormat/>
    <w:uiPriority w:val="99"/>
    <w:pPr>
      <w:spacing w:after="120"/>
      <w:ind w:left="420" w:leftChars="200"/>
    </w:pPr>
    <w:rPr>
      <w:szCs w:val="24"/>
    </w:rPr>
  </w:style>
  <w:style w:type="paragraph" w:styleId="32">
    <w:name w:val="Block Text"/>
    <w:basedOn w:val="1"/>
    <w:qFormat/>
    <w:uiPriority w:val="0"/>
    <w:pPr>
      <w:widowControl/>
      <w:spacing w:after="120"/>
      <w:ind w:left="1440" w:leftChars="700" w:right="1440" w:rightChars="700"/>
      <w:jc w:val="left"/>
    </w:pPr>
    <w:rPr>
      <w:kern w:val="0"/>
      <w:sz w:val="20"/>
    </w:rPr>
  </w:style>
  <w:style w:type="paragraph" w:styleId="33">
    <w:name w:val="index 4"/>
    <w:basedOn w:val="1"/>
    <w:next w:val="1"/>
    <w:unhideWhenUsed/>
    <w:qFormat/>
    <w:uiPriority w:val="0"/>
    <w:pPr>
      <w:ind w:left="600" w:leftChars="600"/>
    </w:pPr>
    <w:rPr>
      <w:szCs w:val="24"/>
    </w:rPr>
  </w:style>
  <w:style w:type="paragraph" w:styleId="34">
    <w:name w:val="toc 5"/>
    <w:basedOn w:val="1"/>
    <w:next w:val="1"/>
    <w:qFormat/>
    <w:uiPriority w:val="39"/>
    <w:pPr>
      <w:ind w:left="840"/>
      <w:jc w:val="left"/>
    </w:pPr>
    <w:rPr>
      <w:rFonts w:asciiTheme="minorHAnsi" w:hAnsiTheme="minorHAnsi" w:cstheme="minorHAnsi"/>
      <w:sz w:val="18"/>
      <w:szCs w:val="18"/>
    </w:rPr>
  </w:style>
  <w:style w:type="paragraph" w:styleId="35">
    <w:name w:val="toc 3"/>
    <w:basedOn w:val="1"/>
    <w:next w:val="1"/>
    <w:qFormat/>
    <w:uiPriority w:val="39"/>
    <w:pPr>
      <w:ind w:left="420"/>
      <w:jc w:val="left"/>
    </w:pPr>
    <w:rPr>
      <w:rFonts w:asciiTheme="minorHAnsi" w:hAnsiTheme="minorHAnsi" w:cstheme="minorHAnsi"/>
      <w:i/>
      <w:iCs/>
      <w:sz w:val="20"/>
    </w:rPr>
  </w:style>
  <w:style w:type="paragraph" w:styleId="36">
    <w:name w:val="Plain Text"/>
    <w:basedOn w:val="1"/>
    <w:link w:val="90"/>
    <w:qFormat/>
    <w:uiPriority w:val="99"/>
    <w:rPr>
      <w:rFonts w:ascii="宋体" w:hAnsi="Courier New"/>
    </w:rPr>
  </w:style>
  <w:style w:type="paragraph" w:styleId="37">
    <w:name w:val="toc 8"/>
    <w:basedOn w:val="1"/>
    <w:next w:val="1"/>
    <w:qFormat/>
    <w:uiPriority w:val="39"/>
    <w:pPr>
      <w:ind w:left="1470"/>
      <w:jc w:val="left"/>
    </w:pPr>
    <w:rPr>
      <w:rFonts w:asciiTheme="minorHAnsi" w:hAnsiTheme="minorHAnsi" w:cstheme="minorHAnsi"/>
      <w:sz w:val="18"/>
      <w:szCs w:val="18"/>
    </w:rPr>
  </w:style>
  <w:style w:type="paragraph" w:styleId="38">
    <w:name w:val="Date"/>
    <w:basedOn w:val="1"/>
    <w:next w:val="1"/>
    <w:link w:val="93"/>
    <w:qFormat/>
    <w:uiPriority w:val="0"/>
    <w:pPr>
      <w:ind w:left="100" w:leftChars="2500"/>
    </w:pPr>
    <w:rPr>
      <w:rFonts w:eastAsia="楷体_GB2312"/>
      <w:sz w:val="48"/>
      <w:szCs w:val="24"/>
    </w:rPr>
  </w:style>
  <w:style w:type="paragraph" w:styleId="39">
    <w:name w:val="Body Text Indent 2"/>
    <w:basedOn w:val="1"/>
    <w:link w:val="114"/>
    <w:qFormat/>
    <w:uiPriority w:val="0"/>
    <w:pPr>
      <w:spacing w:line="500" w:lineRule="exact"/>
      <w:ind w:firstLine="510"/>
    </w:pPr>
    <w:rPr>
      <w:rFonts w:ascii="宋体"/>
      <w:sz w:val="24"/>
    </w:rPr>
  </w:style>
  <w:style w:type="paragraph" w:styleId="40">
    <w:name w:val="endnote text"/>
    <w:basedOn w:val="1"/>
    <w:link w:val="528"/>
    <w:autoRedefine/>
    <w:qFormat/>
    <w:uiPriority w:val="0"/>
    <w:pPr>
      <w:snapToGrid w:val="0"/>
      <w:jc w:val="left"/>
    </w:pPr>
    <w:rPr>
      <w:rFonts w:ascii="Calibri" w:hAnsi="Calibri" w:eastAsia="楷体_GB2312"/>
      <w:szCs w:val="24"/>
    </w:rPr>
  </w:style>
  <w:style w:type="paragraph" w:styleId="41">
    <w:name w:val="Balloon Text"/>
    <w:basedOn w:val="1"/>
    <w:link w:val="138"/>
    <w:qFormat/>
    <w:uiPriority w:val="0"/>
    <w:rPr>
      <w:sz w:val="18"/>
      <w:szCs w:val="18"/>
    </w:rPr>
  </w:style>
  <w:style w:type="paragraph" w:styleId="42">
    <w:name w:val="footer"/>
    <w:basedOn w:val="1"/>
    <w:link w:val="147"/>
    <w:qFormat/>
    <w:uiPriority w:val="99"/>
    <w:pPr>
      <w:tabs>
        <w:tab w:val="center" w:pos="4153"/>
        <w:tab w:val="right" w:pos="8306"/>
      </w:tabs>
      <w:snapToGrid w:val="0"/>
      <w:jc w:val="left"/>
    </w:pPr>
    <w:rPr>
      <w:sz w:val="18"/>
    </w:rPr>
  </w:style>
  <w:style w:type="paragraph" w:styleId="43">
    <w:name w:val="header"/>
    <w:basedOn w:val="1"/>
    <w:link w:val="129"/>
    <w:qFormat/>
    <w:uiPriority w:val="0"/>
    <w:pPr>
      <w:pBdr>
        <w:bottom w:val="single" w:color="auto" w:sz="6" w:space="1"/>
      </w:pBdr>
      <w:tabs>
        <w:tab w:val="center" w:pos="4153"/>
        <w:tab w:val="right" w:pos="8306"/>
      </w:tabs>
      <w:snapToGrid w:val="0"/>
      <w:jc w:val="center"/>
    </w:pPr>
    <w:rPr>
      <w:sz w:val="18"/>
    </w:rPr>
  </w:style>
  <w:style w:type="paragraph" w:styleId="44">
    <w:name w:val="toc 1"/>
    <w:basedOn w:val="1"/>
    <w:next w:val="1"/>
    <w:qFormat/>
    <w:uiPriority w:val="39"/>
    <w:pPr>
      <w:spacing w:before="120" w:after="120"/>
      <w:jc w:val="left"/>
    </w:pPr>
    <w:rPr>
      <w:rFonts w:asciiTheme="minorHAnsi" w:hAnsiTheme="minorHAnsi" w:cstheme="minorHAnsi"/>
      <w:b/>
      <w:bCs/>
      <w:caps/>
      <w:sz w:val="20"/>
    </w:rPr>
  </w:style>
  <w:style w:type="paragraph" w:styleId="45">
    <w:name w:val="toc 4"/>
    <w:basedOn w:val="1"/>
    <w:next w:val="1"/>
    <w:qFormat/>
    <w:uiPriority w:val="39"/>
    <w:pPr>
      <w:ind w:left="630"/>
      <w:jc w:val="left"/>
    </w:pPr>
    <w:rPr>
      <w:rFonts w:asciiTheme="minorHAnsi" w:hAnsiTheme="minorHAnsi" w:cstheme="minorHAnsi"/>
      <w:sz w:val="18"/>
      <w:szCs w:val="18"/>
    </w:rPr>
  </w:style>
  <w:style w:type="paragraph" w:styleId="46">
    <w:name w:val="index heading"/>
    <w:basedOn w:val="1"/>
    <w:next w:val="47"/>
    <w:qFormat/>
    <w:uiPriority w:val="0"/>
    <w:pPr>
      <w:autoSpaceDE w:val="0"/>
    </w:pPr>
    <w:rPr>
      <w:rFonts w:ascii="宋体"/>
      <w:kern w:val="0"/>
      <w:sz w:val="18"/>
    </w:rPr>
  </w:style>
  <w:style w:type="paragraph" w:styleId="47">
    <w:name w:val="index 1"/>
    <w:basedOn w:val="1"/>
    <w:next w:val="1"/>
    <w:qFormat/>
    <w:uiPriority w:val="0"/>
    <w:rPr>
      <w:rFonts w:ascii="宋体" w:hAnsi="宋体"/>
      <w:sz w:val="24"/>
      <w:szCs w:val="24"/>
    </w:rPr>
  </w:style>
  <w:style w:type="paragraph" w:styleId="48">
    <w:name w:val="Subtitle"/>
    <w:basedOn w:val="1"/>
    <w:next w:val="1"/>
    <w:link w:val="301"/>
    <w:qFormat/>
    <w:uiPriority w:val="11"/>
    <w:pPr>
      <w:spacing w:before="240" w:after="60" w:line="312" w:lineRule="auto"/>
      <w:jc w:val="center"/>
      <w:outlineLvl w:val="1"/>
    </w:pPr>
    <w:rPr>
      <w:rFonts w:ascii="Cambria" w:hAnsi="Cambria"/>
      <w:b/>
      <w:bCs/>
      <w:kern w:val="28"/>
      <w:sz w:val="32"/>
      <w:szCs w:val="32"/>
    </w:rPr>
  </w:style>
  <w:style w:type="paragraph" w:styleId="49">
    <w:name w:val="List"/>
    <w:basedOn w:val="1"/>
    <w:qFormat/>
    <w:uiPriority w:val="0"/>
    <w:pPr>
      <w:ind w:left="200" w:hanging="200" w:hangingChars="200"/>
    </w:pPr>
    <w:rPr>
      <w:szCs w:val="24"/>
    </w:rPr>
  </w:style>
  <w:style w:type="paragraph" w:styleId="50">
    <w:name w:val="footnote text"/>
    <w:basedOn w:val="1"/>
    <w:link w:val="263"/>
    <w:qFormat/>
    <w:uiPriority w:val="0"/>
    <w:pPr>
      <w:snapToGrid w:val="0"/>
      <w:jc w:val="left"/>
    </w:pPr>
    <w:rPr>
      <w:sz w:val="18"/>
      <w:szCs w:val="18"/>
    </w:rPr>
  </w:style>
  <w:style w:type="paragraph" w:styleId="51">
    <w:name w:val="toc 6"/>
    <w:basedOn w:val="1"/>
    <w:next w:val="1"/>
    <w:qFormat/>
    <w:uiPriority w:val="39"/>
    <w:pPr>
      <w:ind w:left="1050"/>
      <w:jc w:val="left"/>
    </w:pPr>
    <w:rPr>
      <w:rFonts w:asciiTheme="minorHAnsi" w:hAnsiTheme="minorHAnsi" w:cstheme="minorHAnsi"/>
      <w:sz w:val="18"/>
      <w:szCs w:val="18"/>
    </w:rPr>
  </w:style>
  <w:style w:type="paragraph" w:styleId="52">
    <w:name w:val="List 5"/>
    <w:basedOn w:val="1"/>
    <w:next w:val="53"/>
    <w:autoRedefine/>
    <w:qFormat/>
    <w:uiPriority w:val="99"/>
    <w:pPr>
      <w:ind w:left="100" w:leftChars="800" w:hanging="200" w:hangingChars="200"/>
    </w:pPr>
    <w:rPr>
      <w:szCs w:val="24"/>
    </w:rPr>
  </w:style>
  <w:style w:type="paragraph" w:customStyle="1" w:styleId="53">
    <w:name w:val="目录 51"/>
    <w:basedOn w:val="1"/>
    <w:next w:val="1"/>
    <w:autoRedefine/>
    <w:qFormat/>
    <w:uiPriority w:val="39"/>
    <w:pPr>
      <w:widowControl/>
      <w:ind w:left="1680" w:leftChars="800"/>
      <w:jc w:val="left"/>
    </w:pPr>
    <w:rPr>
      <w:rFonts w:ascii="Calibri" w:hAnsi="Calibri"/>
      <w:kern w:val="0"/>
      <w:sz w:val="20"/>
    </w:rPr>
  </w:style>
  <w:style w:type="paragraph" w:styleId="54">
    <w:name w:val="Body Text Indent 3"/>
    <w:basedOn w:val="1"/>
    <w:link w:val="124"/>
    <w:qFormat/>
    <w:uiPriority w:val="0"/>
    <w:pPr>
      <w:spacing w:line="360" w:lineRule="auto"/>
      <w:ind w:firstLine="480" w:firstLineChars="200"/>
    </w:pPr>
    <w:rPr>
      <w:sz w:val="24"/>
      <w:szCs w:val="24"/>
    </w:rPr>
  </w:style>
  <w:style w:type="paragraph" w:styleId="55">
    <w:name w:val="table of figures"/>
    <w:basedOn w:val="1"/>
    <w:next w:val="1"/>
    <w:autoRedefine/>
    <w:unhideWhenUsed/>
    <w:qFormat/>
    <w:uiPriority w:val="99"/>
    <w:pPr>
      <w:spacing w:line="360" w:lineRule="auto"/>
      <w:ind w:left="298" w:leftChars="47" w:hanging="199" w:hangingChars="95"/>
    </w:pPr>
    <w:rPr>
      <w:rFonts w:ascii="Calibri" w:hAnsi="Calibri"/>
      <w:color w:val="EE0000"/>
      <w:szCs w:val="24"/>
    </w:rPr>
  </w:style>
  <w:style w:type="paragraph" w:styleId="56">
    <w:name w:val="toc 2"/>
    <w:basedOn w:val="1"/>
    <w:next w:val="1"/>
    <w:link w:val="128"/>
    <w:qFormat/>
    <w:uiPriority w:val="39"/>
    <w:pPr>
      <w:ind w:left="210"/>
      <w:jc w:val="left"/>
    </w:pPr>
    <w:rPr>
      <w:rFonts w:asciiTheme="minorHAnsi" w:hAnsiTheme="minorHAnsi" w:cstheme="minorHAnsi"/>
      <w:smallCaps/>
      <w:sz w:val="20"/>
    </w:rPr>
  </w:style>
  <w:style w:type="paragraph" w:styleId="57">
    <w:name w:val="toc 9"/>
    <w:basedOn w:val="1"/>
    <w:next w:val="1"/>
    <w:qFormat/>
    <w:uiPriority w:val="39"/>
    <w:pPr>
      <w:ind w:left="1680"/>
      <w:jc w:val="left"/>
    </w:pPr>
    <w:rPr>
      <w:rFonts w:asciiTheme="minorHAnsi" w:hAnsiTheme="minorHAnsi" w:cstheme="minorHAnsi"/>
      <w:sz w:val="18"/>
      <w:szCs w:val="18"/>
    </w:rPr>
  </w:style>
  <w:style w:type="paragraph" w:styleId="58">
    <w:name w:val="Body Text 2"/>
    <w:basedOn w:val="1"/>
    <w:link w:val="119"/>
    <w:qFormat/>
    <w:uiPriority w:val="0"/>
    <w:pPr>
      <w:spacing w:before="360"/>
    </w:pPr>
    <w:rPr>
      <w:rFonts w:ascii="仿宋_GB2312" w:eastAsia="仿宋_GB2312"/>
      <w:b/>
      <w:color w:val="000000"/>
      <w:kern w:val="0"/>
      <w:sz w:val="44"/>
    </w:rPr>
  </w:style>
  <w:style w:type="paragraph" w:styleId="59">
    <w:name w:val="List 4"/>
    <w:basedOn w:val="1"/>
    <w:autoRedefine/>
    <w:qFormat/>
    <w:uiPriority w:val="99"/>
    <w:pPr>
      <w:ind w:left="100" w:leftChars="600" w:hanging="200" w:hangingChars="200"/>
    </w:pPr>
    <w:rPr>
      <w:szCs w:val="24"/>
    </w:rPr>
  </w:style>
  <w:style w:type="paragraph" w:styleId="60">
    <w:name w:val="List Continue 2"/>
    <w:basedOn w:val="1"/>
    <w:qFormat/>
    <w:uiPriority w:val="0"/>
    <w:pPr>
      <w:spacing w:after="120"/>
      <w:ind w:left="840" w:leftChars="400"/>
    </w:pPr>
    <w:rPr>
      <w:szCs w:val="24"/>
    </w:rPr>
  </w:style>
  <w:style w:type="paragraph" w:styleId="61">
    <w:name w:val="Message Header"/>
    <w:basedOn w:val="25"/>
    <w:link w:val="529"/>
    <w:autoRedefine/>
    <w:qFormat/>
    <w:uiPriority w:val="0"/>
    <w:pPr>
      <w:keepLines/>
      <w:widowControl/>
      <w:wordWrap w:val="0"/>
      <w:topLinePunct/>
      <w:spacing w:after="40" w:line="140" w:lineRule="atLeast"/>
      <w:ind w:left="360"/>
      <w:jc w:val="left"/>
    </w:pPr>
    <w:rPr>
      <w:rFonts w:ascii="Garamond" w:hAnsi="Garamond"/>
      <w:bCs w:val="0"/>
      <w:color w:val="auto"/>
      <w:spacing w:val="-5"/>
      <w:kern w:val="0"/>
      <w:sz w:val="18"/>
    </w:rPr>
  </w:style>
  <w:style w:type="paragraph" w:styleId="62">
    <w:name w:val="HTML Preformatted"/>
    <w:basedOn w:val="1"/>
    <w:link w:val="13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63">
    <w:name w:val="Normal (Web)"/>
    <w:basedOn w:val="1"/>
    <w:qFormat/>
    <w:uiPriority w:val="99"/>
    <w:pPr>
      <w:widowControl/>
      <w:spacing w:before="100" w:beforeAutospacing="1" w:after="100" w:afterAutospacing="1" w:line="330" w:lineRule="atLeast"/>
      <w:jc w:val="left"/>
    </w:pPr>
    <w:rPr>
      <w:rFonts w:ascii="宋体" w:hAnsi="宋体" w:cs="宋体"/>
      <w:kern w:val="0"/>
      <w:sz w:val="18"/>
      <w:szCs w:val="18"/>
    </w:rPr>
  </w:style>
  <w:style w:type="paragraph" w:styleId="64">
    <w:name w:val="List Continue 3"/>
    <w:basedOn w:val="1"/>
    <w:autoRedefine/>
    <w:qFormat/>
    <w:uiPriority w:val="99"/>
    <w:pPr>
      <w:spacing w:after="120"/>
      <w:ind w:left="1260" w:leftChars="600"/>
    </w:pPr>
    <w:rPr>
      <w:szCs w:val="24"/>
    </w:rPr>
  </w:style>
  <w:style w:type="paragraph" w:styleId="65">
    <w:name w:val="Title"/>
    <w:basedOn w:val="1"/>
    <w:link w:val="232"/>
    <w:qFormat/>
    <w:uiPriority w:val="0"/>
    <w:pPr>
      <w:adjustRightInd w:val="0"/>
      <w:spacing w:line="420" w:lineRule="atLeast"/>
      <w:jc w:val="center"/>
      <w:textAlignment w:val="baseline"/>
      <w:outlineLvl w:val="0"/>
    </w:pPr>
    <w:rPr>
      <w:rFonts w:ascii="Arial" w:hAnsi="Arial"/>
      <w:b/>
      <w:kern w:val="0"/>
      <w:sz w:val="32"/>
    </w:rPr>
  </w:style>
  <w:style w:type="paragraph" w:styleId="66">
    <w:name w:val="annotation subject"/>
    <w:basedOn w:val="21"/>
    <w:next w:val="21"/>
    <w:link w:val="157"/>
    <w:unhideWhenUsed/>
    <w:qFormat/>
    <w:uiPriority w:val="0"/>
    <w:rPr>
      <w:b/>
      <w:bCs/>
    </w:rPr>
  </w:style>
  <w:style w:type="table" w:styleId="68">
    <w:name w:val="Table Grid"/>
    <w:basedOn w:val="67"/>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9">
    <w:name w:val="Table Theme"/>
    <w:basedOn w:val="67"/>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70">
    <w:name w:val="Table Professional"/>
    <w:basedOn w:val="67"/>
    <w:qFormat/>
    <w:uiPriority w:val="0"/>
    <w:pPr>
      <w:widowControl w:val="0"/>
      <w:jc w:val="both"/>
    </w:pPr>
    <w:rPr>
      <w:rFonts w:asciiTheme="minorHAnsi" w:hAnsiTheme="minorHAnsi" w:eastAsiaTheme="minorEastAsia" w:cstheme="minorBid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72">
    <w:name w:val="Strong"/>
    <w:qFormat/>
    <w:uiPriority w:val="22"/>
    <w:rPr>
      <w:b/>
      <w:bCs/>
    </w:rPr>
  </w:style>
  <w:style w:type="character" w:styleId="73">
    <w:name w:val="page number"/>
    <w:basedOn w:val="71"/>
    <w:qFormat/>
    <w:uiPriority w:val="0"/>
  </w:style>
  <w:style w:type="character" w:styleId="74">
    <w:name w:val="FollowedHyperlink"/>
    <w:qFormat/>
    <w:uiPriority w:val="99"/>
    <w:rPr>
      <w:rFonts w:ascii="Arial" w:hAnsi="Arial" w:eastAsia="黑体"/>
      <w:color w:val="800080"/>
      <w:kern w:val="2"/>
      <w:sz w:val="21"/>
      <w:szCs w:val="21"/>
      <w:u w:val="single"/>
      <w:lang w:val="en-US" w:eastAsia="zh-CN" w:bidi="ar-SA"/>
    </w:rPr>
  </w:style>
  <w:style w:type="character" w:styleId="75">
    <w:name w:val="Emphasis"/>
    <w:qFormat/>
    <w:uiPriority w:val="0"/>
    <w:rPr>
      <w:i/>
      <w:iCs/>
    </w:rPr>
  </w:style>
  <w:style w:type="character" w:styleId="76">
    <w:name w:val="HTML Typewriter"/>
    <w:autoRedefine/>
    <w:qFormat/>
    <w:uiPriority w:val="0"/>
    <w:rPr>
      <w:rFonts w:ascii="Courier New" w:hAnsi="Courier New" w:cs="Courier New"/>
      <w:sz w:val="20"/>
      <w:szCs w:val="20"/>
    </w:rPr>
  </w:style>
  <w:style w:type="character" w:styleId="77">
    <w:name w:val="Hyperlink"/>
    <w:qFormat/>
    <w:uiPriority w:val="99"/>
    <w:rPr>
      <w:color w:val="0000FF"/>
      <w:u w:val="single"/>
    </w:rPr>
  </w:style>
  <w:style w:type="character" w:styleId="78">
    <w:name w:val="annotation reference"/>
    <w:basedOn w:val="71"/>
    <w:unhideWhenUsed/>
    <w:qFormat/>
    <w:uiPriority w:val="0"/>
    <w:rPr>
      <w:sz w:val="21"/>
      <w:szCs w:val="21"/>
    </w:rPr>
  </w:style>
  <w:style w:type="character" w:styleId="79">
    <w:name w:val="footnote reference"/>
    <w:qFormat/>
    <w:uiPriority w:val="0"/>
    <w:rPr>
      <w:vertAlign w:val="superscript"/>
    </w:rPr>
  </w:style>
  <w:style w:type="character" w:customStyle="1" w:styleId="80">
    <w:name w:val="标题 1 字符"/>
    <w:basedOn w:val="71"/>
    <w:link w:val="3"/>
    <w:qFormat/>
    <w:uiPriority w:val="0"/>
    <w:rPr>
      <w:b/>
      <w:spacing w:val="20"/>
      <w:kern w:val="44"/>
      <w:sz w:val="32"/>
    </w:rPr>
  </w:style>
  <w:style w:type="character" w:customStyle="1" w:styleId="81">
    <w:name w:val="正文缩进 字符"/>
    <w:link w:val="6"/>
    <w:qFormat/>
    <w:uiPriority w:val="0"/>
    <w:rPr>
      <w:rFonts w:eastAsia="宋体"/>
      <w:kern w:val="2"/>
      <w:sz w:val="21"/>
      <w:lang w:val="en-US" w:eastAsia="zh-CN" w:bidi="ar-SA"/>
    </w:rPr>
  </w:style>
  <w:style w:type="character" w:customStyle="1" w:styleId="82">
    <w:name w:val="标题 2 字符"/>
    <w:link w:val="4"/>
    <w:qFormat/>
    <w:uiPriority w:val="0"/>
    <w:rPr>
      <w:rFonts w:ascii="Arial" w:hAnsi="Arial"/>
      <w:b/>
      <w:sz w:val="30"/>
    </w:rPr>
  </w:style>
  <w:style w:type="character" w:customStyle="1" w:styleId="83">
    <w:name w:val="标题 3 字符"/>
    <w:link w:val="5"/>
    <w:qFormat/>
    <w:uiPriority w:val="0"/>
    <w:rPr>
      <w:rFonts w:ascii="宋体"/>
      <w:b/>
      <w:kern w:val="2"/>
      <w:sz w:val="24"/>
    </w:rPr>
  </w:style>
  <w:style w:type="character" w:customStyle="1" w:styleId="84">
    <w:name w:val="标题 4 字符"/>
    <w:link w:val="7"/>
    <w:qFormat/>
    <w:uiPriority w:val="0"/>
    <w:rPr>
      <w:rFonts w:ascii="Arial" w:hAnsi="Arial" w:eastAsia="黑体"/>
      <w:b/>
      <w:bCs/>
      <w:kern w:val="2"/>
      <w:sz w:val="28"/>
      <w:szCs w:val="28"/>
    </w:rPr>
  </w:style>
  <w:style w:type="character" w:customStyle="1" w:styleId="85">
    <w:name w:val="标题 5 字符"/>
    <w:link w:val="8"/>
    <w:qFormat/>
    <w:uiPriority w:val="0"/>
    <w:rPr>
      <w:rFonts w:ascii="仿宋_GB2312" w:eastAsia="仿宋_GB2312"/>
      <w:b/>
      <w:bCs/>
      <w:kern w:val="2"/>
      <w:sz w:val="24"/>
    </w:rPr>
  </w:style>
  <w:style w:type="character" w:customStyle="1" w:styleId="86">
    <w:name w:val="标题 6 字符"/>
    <w:basedOn w:val="71"/>
    <w:link w:val="9"/>
    <w:qFormat/>
    <w:uiPriority w:val="0"/>
    <w:rPr>
      <w:rFonts w:ascii="Arial" w:hAnsi="Arial" w:eastAsia="黑体"/>
      <w:b/>
      <w:bCs/>
      <w:sz w:val="24"/>
      <w:szCs w:val="24"/>
    </w:rPr>
  </w:style>
  <w:style w:type="character" w:customStyle="1" w:styleId="87">
    <w:name w:val="标题 7 字符"/>
    <w:basedOn w:val="71"/>
    <w:link w:val="10"/>
    <w:qFormat/>
    <w:uiPriority w:val="0"/>
    <w:rPr>
      <w:b/>
      <w:bCs/>
      <w:sz w:val="24"/>
      <w:szCs w:val="24"/>
    </w:rPr>
  </w:style>
  <w:style w:type="character" w:customStyle="1" w:styleId="88">
    <w:name w:val="标题 8 字符"/>
    <w:basedOn w:val="71"/>
    <w:link w:val="11"/>
    <w:qFormat/>
    <w:uiPriority w:val="0"/>
    <w:rPr>
      <w:rFonts w:ascii="Arial" w:hAnsi="Arial" w:eastAsia="黑体"/>
      <w:sz w:val="24"/>
      <w:szCs w:val="24"/>
    </w:rPr>
  </w:style>
  <w:style w:type="character" w:customStyle="1" w:styleId="89">
    <w:name w:val="标题 9 字符"/>
    <w:basedOn w:val="71"/>
    <w:link w:val="12"/>
    <w:qFormat/>
    <w:uiPriority w:val="0"/>
    <w:rPr>
      <w:rFonts w:ascii="Arial" w:hAnsi="Arial" w:eastAsia="黑体"/>
      <w:sz w:val="21"/>
      <w:szCs w:val="21"/>
    </w:rPr>
  </w:style>
  <w:style w:type="character" w:customStyle="1" w:styleId="90">
    <w:name w:val="纯文本 字符"/>
    <w:link w:val="36"/>
    <w:qFormat/>
    <w:uiPriority w:val="0"/>
    <w:rPr>
      <w:rFonts w:ascii="宋体" w:hAnsi="Courier New" w:eastAsia="宋体"/>
      <w:kern w:val="2"/>
      <w:sz w:val="21"/>
      <w:lang w:val="en-US" w:eastAsia="zh-CN" w:bidi="ar-SA"/>
    </w:rPr>
  </w:style>
  <w:style w:type="character" w:customStyle="1" w:styleId="91">
    <w:name w:val="ca-31"/>
    <w:qFormat/>
    <w:uiPriority w:val="99"/>
    <w:rPr>
      <w:rFonts w:ascii="宋体" w:hAnsi="宋体" w:eastAsia="宋体" w:cs="Times New Roman"/>
      <w:color w:val="000000"/>
      <w:sz w:val="28"/>
      <w:szCs w:val="28"/>
    </w:rPr>
  </w:style>
  <w:style w:type="character" w:customStyle="1" w:styleId="92">
    <w:name w:val="纯文本 Char1"/>
    <w:qFormat/>
    <w:uiPriority w:val="99"/>
    <w:rPr>
      <w:rFonts w:ascii="宋体" w:eastAsia="宋体"/>
      <w:szCs w:val="24"/>
      <w:lang w:val="en-US" w:eastAsia="zh-CN" w:bidi="ar-SA"/>
    </w:rPr>
  </w:style>
  <w:style w:type="character" w:customStyle="1" w:styleId="93">
    <w:name w:val="日期 字符"/>
    <w:link w:val="38"/>
    <w:qFormat/>
    <w:locked/>
    <w:uiPriority w:val="0"/>
    <w:rPr>
      <w:rFonts w:eastAsia="楷体_GB2312"/>
      <w:kern w:val="2"/>
      <w:sz w:val="48"/>
      <w:szCs w:val="24"/>
    </w:rPr>
  </w:style>
  <w:style w:type="character" w:customStyle="1" w:styleId="94">
    <w:name w:val="point_normal"/>
    <w:basedOn w:val="71"/>
    <w:qFormat/>
    <w:uiPriority w:val="0"/>
  </w:style>
  <w:style w:type="character" w:customStyle="1" w:styleId="95">
    <w:name w:val="style4 style5"/>
    <w:basedOn w:val="71"/>
    <w:qFormat/>
    <w:uiPriority w:val="0"/>
  </w:style>
  <w:style w:type="character" w:customStyle="1" w:styleId="96">
    <w:name w:val="规划正文 Char Char Char Char"/>
    <w:link w:val="97"/>
    <w:qFormat/>
    <w:uiPriority w:val="0"/>
    <w:rPr>
      <w:rFonts w:eastAsia="宋体"/>
      <w:kern w:val="2"/>
      <w:sz w:val="28"/>
      <w:szCs w:val="28"/>
      <w:lang w:val="en-US" w:eastAsia="zh-CN" w:bidi="ar-SA"/>
    </w:rPr>
  </w:style>
  <w:style w:type="paragraph" w:customStyle="1" w:styleId="97">
    <w:name w:val="规划正文 Char Char"/>
    <w:basedOn w:val="1"/>
    <w:link w:val="96"/>
    <w:qFormat/>
    <w:uiPriority w:val="0"/>
    <w:pPr>
      <w:widowControl/>
      <w:spacing w:line="360" w:lineRule="auto"/>
      <w:ind w:firstLine="200" w:firstLineChars="200"/>
      <w:jc w:val="left"/>
    </w:pPr>
    <w:rPr>
      <w:sz w:val="28"/>
      <w:szCs w:val="28"/>
    </w:rPr>
  </w:style>
  <w:style w:type="character" w:customStyle="1" w:styleId="98">
    <w:name w:val="标题 1 Char Char"/>
    <w:qFormat/>
    <w:uiPriority w:val="0"/>
    <w:rPr>
      <w:rFonts w:eastAsia="宋体"/>
      <w:b/>
      <w:bCs/>
      <w:kern w:val="44"/>
      <w:sz w:val="44"/>
      <w:lang w:val="en-US" w:eastAsia="zh-CN" w:bidi="ar-SA"/>
    </w:rPr>
  </w:style>
  <w:style w:type="character" w:customStyle="1" w:styleId="99">
    <w:name w:val="small1"/>
    <w:qFormat/>
    <w:uiPriority w:val="0"/>
    <w:rPr>
      <w:rFonts w:hint="default" w:ascii="Verdana" w:hAnsi="Verdana"/>
      <w:sz w:val="17"/>
      <w:szCs w:val="17"/>
    </w:rPr>
  </w:style>
  <w:style w:type="character" w:customStyle="1" w:styleId="100">
    <w:name w:val="正文段 Char Char"/>
    <w:link w:val="101"/>
    <w:qFormat/>
    <w:uiPriority w:val="0"/>
    <w:rPr>
      <w:rFonts w:ascii="宋体" w:eastAsia="宋体"/>
      <w:kern w:val="2"/>
      <w:sz w:val="24"/>
      <w:lang w:val="en-US" w:eastAsia="zh-CN" w:bidi="ar-SA"/>
    </w:rPr>
  </w:style>
  <w:style w:type="paragraph" w:customStyle="1" w:styleId="101">
    <w:name w:val="正文段"/>
    <w:basedOn w:val="1"/>
    <w:link w:val="100"/>
    <w:qFormat/>
    <w:uiPriority w:val="0"/>
    <w:pPr>
      <w:snapToGrid w:val="0"/>
      <w:spacing w:after="240" w:line="240" w:lineRule="atLeast"/>
      <w:ind w:firstLine="425"/>
    </w:pPr>
    <w:rPr>
      <w:rFonts w:ascii="宋体"/>
      <w:sz w:val="24"/>
    </w:rPr>
  </w:style>
  <w:style w:type="character" w:customStyle="1" w:styleId="102">
    <w:name w:val="样式 规划正文 Char + 宋体 Char Char"/>
    <w:link w:val="103"/>
    <w:qFormat/>
    <w:uiPriority w:val="0"/>
    <w:rPr>
      <w:rFonts w:ascii="宋体" w:hAnsi="宋体" w:eastAsia="宋体"/>
      <w:kern w:val="2"/>
      <w:sz w:val="28"/>
      <w:szCs w:val="28"/>
      <w:lang w:val="en-US" w:eastAsia="zh-CN" w:bidi="ar-SA"/>
    </w:rPr>
  </w:style>
  <w:style w:type="paragraph" w:customStyle="1" w:styleId="103">
    <w:name w:val="样式 规划正文 Char + 宋体"/>
    <w:basedOn w:val="97"/>
    <w:link w:val="102"/>
    <w:qFormat/>
    <w:uiPriority w:val="0"/>
    <w:rPr>
      <w:rFonts w:ascii="宋体" w:hAnsi="宋体"/>
    </w:rPr>
  </w:style>
  <w:style w:type="character" w:customStyle="1" w:styleId="104">
    <w:name w:val="访问过的超链接1"/>
    <w:qFormat/>
    <w:uiPriority w:val="0"/>
    <w:rPr>
      <w:color w:val="800080"/>
      <w:u w:val="single"/>
    </w:rPr>
  </w:style>
  <w:style w:type="character" w:customStyle="1" w:styleId="105">
    <w:name w:val="p41"/>
    <w:qFormat/>
    <w:uiPriority w:val="0"/>
    <w:rPr>
      <w:rFonts w:hint="eastAsia" w:ascii="宋体" w:hAnsi="宋体" w:eastAsia="宋体"/>
      <w:sz w:val="22"/>
      <w:szCs w:val="22"/>
    </w:rPr>
  </w:style>
  <w:style w:type="character" w:customStyle="1" w:styleId="106">
    <w:name w:val="para"/>
    <w:basedOn w:val="71"/>
    <w:qFormat/>
    <w:uiPriority w:val="0"/>
  </w:style>
  <w:style w:type="character" w:customStyle="1" w:styleId="107">
    <w:name w:val="title_emph"/>
    <w:basedOn w:val="71"/>
    <w:qFormat/>
    <w:uiPriority w:val="0"/>
  </w:style>
  <w:style w:type="character" w:customStyle="1" w:styleId="108">
    <w:name w:val="Char Char2"/>
    <w:qFormat/>
    <w:uiPriority w:val="0"/>
    <w:rPr>
      <w:rFonts w:ascii="宋体" w:eastAsia="宋体"/>
      <w:kern w:val="2"/>
      <w:sz w:val="21"/>
      <w:lang w:val="en-US" w:eastAsia="zh-CN" w:bidi="ar-SA"/>
    </w:rPr>
  </w:style>
  <w:style w:type="character" w:customStyle="1" w:styleId="109">
    <w:name w:val="v151"/>
    <w:qFormat/>
    <w:uiPriority w:val="0"/>
    <w:rPr>
      <w:sz w:val="18"/>
      <w:szCs w:val="18"/>
    </w:rPr>
  </w:style>
  <w:style w:type="paragraph" w:customStyle="1" w:styleId="110">
    <w:name w:val="并列项-点"/>
    <w:basedOn w:val="1"/>
    <w:qFormat/>
    <w:uiPriority w:val="0"/>
    <w:pPr>
      <w:tabs>
        <w:tab w:val="left" w:pos="840"/>
      </w:tabs>
      <w:adjustRightInd w:val="0"/>
      <w:snapToGrid w:val="0"/>
      <w:spacing w:after="120" w:line="360" w:lineRule="exact"/>
      <w:ind w:left="840" w:hanging="480"/>
    </w:pPr>
    <w:rPr>
      <w:rFonts w:eastAsia="仿宋_GB2312"/>
      <w:sz w:val="32"/>
    </w:rPr>
  </w:style>
  <w:style w:type="paragraph" w:customStyle="1" w:styleId="111">
    <w:name w:val="retrait3"/>
    <w:basedOn w:val="1"/>
    <w:qFormat/>
    <w:uiPriority w:val="99"/>
    <w:pPr>
      <w:widowControl/>
      <w:spacing w:before="20" w:after="20"/>
      <w:ind w:left="851"/>
      <w:jc w:val="left"/>
    </w:pPr>
    <w:rPr>
      <w:rFonts w:ascii="Arial" w:hAnsi="Arial"/>
      <w:kern w:val="0"/>
      <w:sz w:val="24"/>
      <w:lang w:val="en-GB"/>
    </w:rPr>
  </w:style>
  <w:style w:type="paragraph" w:customStyle="1" w:styleId="112">
    <w:name w:val="Char Char Char Char"/>
    <w:basedOn w:val="1"/>
    <w:link w:val="752"/>
    <w:qFormat/>
    <w:uiPriority w:val="0"/>
    <w:pPr>
      <w:widowControl/>
      <w:spacing w:after="160" w:line="240" w:lineRule="exact"/>
      <w:jc w:val="left"/>
    </w:pPr>
    <w:rPr>
      <w:rFonts w:ascii="Verdana" w:hAnsi="Verdana" w:eastAsia="仿宋_GB2312"/>
      <w:kern w:val="0"/>
      <w:sz w:val="24"/>
      <w:lang w:eastAsia="en-US"/>
    </w:rPr>
  </w:style>
  <w:style w:type="paragraph" w:customStyle="1" w:styleId="113">
    <w:name w:val="正文 New New New New New New"/>
    <w:qFormat/>
    <w:uiPriority w:val="0"/>
    <w:pPr>
      <w:widowControl w:val="0"/>
      <w:jc w:val="both"/>
    </w:pPr>
    <w:rPr>
      <w:rFonts w:ascii="Calibri" w:hAnsi="Calibri" w:eastAsia="宋体" w:cs="Times New Roman"/>
      <w:kern w:val="2"/>
      <w:sz w:val="21"/>
      <w:szCs w:val="21"/>
      <w:lang w:val="en-US" w:eastAsia="zh-CN" w:bidi="ar-SA"/>
    </w:rPr>
  </w:style>
  <w:style w:type="character" w:customStyle="1" w:styleId="114">
    <w:name w:val="正文文本缩进 2 字符"/>
    <w:basedOn w:val="71"/>
    <w:link w:val="39"/>
    <w:qFormat/>
    <w:uiPriority w:val="0"/>
    <w:rPr>
      <w:rFonts w:ascii="宋体"/>
      <w:kern w:val="2"/>
      <w:sz w:val="24"/>
    </w:rPr>
  </w:style>
  <w:style w:type="paragraph" w:customStyle="1" w:styleId="115">
    <w:name w:val="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16">
    <w:name w:val="正文 New New New New New New New New New New New New New New New New New New New New New New New New New New New New New New New New New New New New New New New New New"/>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7">
    <w:name w:val="p0"/>
    <w:basedOn w:val="1"/>
    <w:link w:val="343"/>
    <w:qFormat/>
    <w:uiPriority w:val="0"/>
    <w:pPr>
      <w:widowControl/>
    </w:pPr>
    <w:rPr>
      <w:kern w:val="0"/>
      <w:szCs w:val="21"/>
    </w:rPr>
  </w:style>
  <w:style w:type="paragraph" w:customStyle="1" w:styleId="118">
    <w:name w:val="NomDoc"/>
    <w:basedOn w:val="1"/>
    <w:qFormat/>
    <w:uiPriority w:val="99"/>
    <w:pPr>
      <w:widowControl/>
      <w:jc w:val="left"/>
    </w:pPr>
    <w:rPr>
      <w:rFonts w:ascii="Arial" w:hAnsi="Arial"/>
      <w:caps/>
      <w:kern w:val="0"/>
      <w:sz w:val="16"/>
      <w:lang w:val="en-GB"/>
    </w:rPr>
  </w:style>
  <w:style w:type="character" w:customStyle="1" w:styleId="119">
    <w:name w:val="正文文本 2 字符"/>
    <w:basedOn w:val="71"/>
    <w:link w:val="58"/>
    <w:qFormat/>
    <w:uiPriority w:val="0"/>
    <w:rPr>
      <w:rFonts w:ascii="仿宋_GB2312" w:eastAsia="仿宋_GB2312"/>
      <w:b/>
      <w:color w:val="000000"/>
      <w:sz w:val="44"/>
    </w:rPr>
  </w:style>
  <w:style w:type="paragraph" w:customStyle="1" w:styleId="120">
    <w:name w:val="Char111"/>
    <w:basedOn w:val="1"/>
    <w:link w:val="121"/>
    <w:qFormat/>
    <w:uiPriority w:val="0"/>
    <w:rPr>
      <w:rFonts w:ascii="仿宋_GB2312" w:eastAsia="仿宋_GB2312"/>
      <w:b/>
      <w:sz w:val="32"/>
      <w:szCs w:val="32"/>
    </w:rPr>
  </w:style>
  <w:style w:type="character" w:customStyle="1" w:styleId="121">
    <w:name w:val="Char Char Char"/>
    <w:link w:val="120"/>
    <w:qFormat/>
    <w:uiPriority w:val="0"/>
    <w:rPr>
      <w:rFonts w:ascii="仿宋_GB2312" w:eastAsia="仿宋_GB2312"/>
      <w:b/>
      <w:kern w:val="2"/>
      <w:sz w:val="32"/>
      <w:szCs w:val="32"/>
    </w:rPr>
  </w:style>
  <w:style w:type="paragraph" w:customStyle="1" w:styleId="122">
    <w:name w:val="Char Char5 Char Char"/>
    <w:basedOn w:val="1"/>
    <w:qFormat/>
    <w:uiPriority w:val="0"/>
    <w:pPr>
      <w:adjustRightInd w:val="0"/>
      <w:spacing w:line="360" w:lineRule="auto"/>
    </w:pPr>
    <w:rPr>
      <w:kern w:val="0"/>
      <w:sz w:val="24"/>
    </w:rPr>
  </w:style>
  <w:style w:type="paragraph" w:customStyle="1" w:styleId="123">
    <w:name w:val="字元 字元 字元 字元 字元"/>
    <w:basedOn w:val="1"/>
    <w:qFormat/>
    <w:uiPriority w:val="0"/>
  </w:style>
  <w:style w:type="character" w:customStyle="1" w:styleId="124">
    <w:name w:val="正文文本缩进 3 字符"/>
    <w:link w:val="54"/>
    <w:qFormat/>
    <w:uiPriority w:val="0"/>
    <w:rPr>
      <w:kern w:val="2"/>
      <w:sz w:val="24"/>
      <w:szCs w:val="24"/>
    </w:rPr>
  </w:style>
  <w:style w:type="paragraph" w:customStyle="1" w:styleId="125">
    <w:name w:val="Char Char Char Char Char Char Char Char Char Char1"/>
    <w:basedOn w:val="1"/>
    <w:qFormat/>
    <w:uiPriority w:val="0"/>
    <w:pPr>
      <w:tabs>
        <w:tab w:val="left" w:pos="425"/>
      </w:tabs>
      <w:ind w:left="425" w:hanging="425"/>
    </w:pPr>
  </w:style>
  <w:style w:type="paragraph" w:customStyle="1" w:styleId="126">
    <w:name w:val="规划正文"/>
    <w:basedOn w:val="1"/>
    <w:qFormat/>
    <w:uiPriority w:val="0"/>
    <w:pPr>
      <w:widowControl/>
      <w:spacing w:line="360" w:lineRule="auto"/>
      <w:ind w:firstLine="200" w:firstLineChars="200"/>
      <w:jc w:val="left"/>
    </w:pPr>
    <w:rPr>
      <w:kern w:val="0"/>
      <w:sz w:val="28"/>
      <w:szCs w:val="28"/>
    </w:rPr>
  </w:style>
  <w:style w:type="paragraph" w:customStyle="1" w:styleId="127">
    <w:name w:val="pa-5"/>
    <w:basedOn w:val="1"/>
    <w:qFormat/>
    <w:uiPriority w:val="99"/>
    <w:pPr>
      <w:widowControl/>
      <w:spacing w:line="360" w:lineRule="atLeast"/>
      <w:jc w:val="left"/>
    </w:pPr>
    <w:rPr>
      <w:rFonts w:ascii="宋体" w:hAnsi="宋体" w:cs="宋体"/>
      <w:kern w:val="0"/>
      <w:sz w:val="24"/>
      <w:szCs w:val="24"/>
    </w:rPr>
  </w:style>
  <w:style w:type="character" w:customStyle="1" w:styleId="128">
    <w:name w:val="目录 2 字符"/>
    <w:link w:val="56"/>
    <w:qFormat/>
    <w:uiPriority w:val="39"/>
    <w:rPr>
      <w:rFonts w:asciiTheme="minorHAnsi" w:hAnsiTheme="minorHAnsi" w:cstheme="minorHAnsi"/>
      <w:smallCaps/>
      <w:kern w:val="2"/>
    </w:rPr>
  </w:style>
  <w:style w:type="character" w:customStyle="1" w:styleId="129">
    <w:name w:val="页眉 字符"/>
    <w:basedOn w:val="71"/>
    <w:link w:val="43"/>
    <w:qFormat/>
    <w:uiPriority w:val="0"/>
    <w:rPr>
      <w:kern w:val="2"/>
      <w:sz w:val="18"/>
    </w:rPr>
  </w:style>
  <w:style w:type="character" w:customStyle="1" w:styleId="130">
    <w:name w:val="文档结构图 字符"/>
    <w:link w:val="19"/>
    <w:qFormat/>
    <w:uiPriority w:val="0"/>
    <w:rPr>
      <w:kern w:val="2"/>
      <w:sz w:val="21"/>
      <w:shd w:val="clear" w:color="auto" w:fill="000080"/>
    </w:rPr>
  </w:style>
  <w:style w:type="paragraph" w:customStyle="1" w:styleId="131">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132">
    <w:name w:val="p15"/>
    <w:basedOn w:val="1"/>
    <w:qFormat/>
    <w:uiPriority w:val="0"/>
    <w:pPr>
      <w:widowControl/>
      <w:spacing w:before="100" w:after="100"/>
      <w:jc w:val="left"/>
    </w:pPr>
    <w:rPr>
      <w:rFonts w:ascii="宋体" w:hAnsi="宋体" w:cs="宋体"/>
      <w:kern w:val="0"/>
      <w:sz w:val="24"/>
      <w:szCs w:val="24"/>
    </w:rPr>
  </w:style>
  <w:style w:type="paragraph" w:customStyle="1" w:styleId="133">
    <w:name w:val="新编号"/>
    <w:basedOn w:val="134"/>
    <w:qFormat/>
    <w:uiPriority w:val="0"/>
    <w:pPr>
      <w:tabs>
        <w:tab w:val="left" w:pos="0"/>
        <w:tab w:val="left" w:pos="360"/>
      </w:tabs>
      <w:ind w:firstLine="400"/>
    </w:pPr>
    <w:rPr>
      <w:kern w:val="0"/>
    </w:rPr>
  </w:style>
  <w:style w:type="paragraph" w:customStyle="1" w:styleId="134">
    <w:name w:val="样式 规划正文 Char + 宋体 两端对齐 首行缩进:  2 字符 行距: 固定值 26 磅"/>
    <w:basedOn w:val="97"/>
    <w:qFormat/>
    <w:uiPriority w:val="0"/>
    <w:pPr>
      <w:tabs>
        <w:tab w:val="left" w:pos="360"/>
      </w:tabs>
      <w:spacing w:line="520" w:lineRule="exact"/>
      <w:ind w:firstLine="0" w:firstLineChars="0"/>
      <w:jc w:val="both"/>
    </w:pPr>
    <w:rPr>
      <w:rFonts w:ascii="宋体" w:hAnsi="宋体" w:cs="宋体"/>
      <w:szCs w:val="20"/>
    </w:rPr>
  </w:style>
  <w:style w:type="character" w:customStyle="1" w:styleId="135">
    <w:name w:val="HTML 预设格式 字符"/>
    <w:link w:val="62"/>
    <w:qFormat/>
    <w:uiPriority w:val="0"/>
    <w:rPr>
      <w:rFonts w:ascii="宋体" w:hAnsi="宋体" w:cs="宋体"/>
      <w:sz w:val="24"/>
      <w:szCs w:val="24"/>
    </w:rPr>
  </w:style>
  <w:style w:type="paragraph" w:customStyle="1" w:styleId="136">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37">
    <w:name w:val="表格内字体"/>
    <w:basedOn w:val="1"/>
    <w:qFormat/>
    <w:uiPriority w:val="0"/>
    <w:pPr>
      <w:spacing w:before="360" w:line="360" w:lineRule="auto"/>
      <w:jc w:val="center"/>
    </w:pPr>
    <w:rPr>
      <w:rFonts w:ascii="宋体" w:eastAsia="仿宋_GB2312"/>
    </w:rPr>
  </w:style>
  <w:style w:type="character" w:customStyle="1" w:styleId="138">
    <w:name w:val="批注框文本 字符"/>
    <w:link w:val="41"/>
    <w:qFormat/>
    <w:uiPriority w:val="0"/>
    <w:rPr>
      <w:kern w:val="2"/>
      <w:sz w:val="18"/>
      <w:szCs w:val="18"/>
    </w:rPr>
  </w:style>
  <w:style w:type="character" w:customStyle="1" w:styleId="139">
    <w:name w:val="正文文本 字符"/>
    <w:link w:val="25"/>
    <w:qFormat/>
    <w:uiPriority w:val="1"/>
    <w:rPr>
      <w:rFonts w:ascii="宋体" w:hAnsi="宋体"/>
      <w:bCs/>
      <w:color w:val="000000"/>
      <w:kern w:val="2"/>
      <w:sz w:val="24"/>
    </w:rPr>
  </w:style>
  <w:style w:type="paragraph" w:styleId="140">
    <w:name w:val="List Paragraph"/>
    <w:basedOn w:val="1"/>
    <w:qFormat/>
    <w:uiPriority w:val="1"/>
    <w:pPr>
      <w:ind w:left="720"/>
      <w:contextualSpacing/>
    </w:pPr>
    <w:rPr>
      <w:sz w:val="28"/>
    </w:rPr>
  </w:style>
  <w:style w:type="character" w:customStyle="1" w:styleId="141">
    <w:name w:val="正文文本缩进 字符"/>
    <w:basedOn w:val="71"/>
    <w:link w:val="26"/>
    <w:qFormat/>
    <w:uiPriority w:val="99"/>
    <w:rPr>
      <w:kern w:val="2"/>
      <w:sz w:val="21"/>
    </w:rPr>
  </w:style>
  <w:style w:type="paragraph" w:customStyle="1" w:styleId="142">
    <w:name w:val="小标题"/>
    <w:basedOn w:val="134"/>
    <w:qFormat/>
    <w:uiPriority w:val="0"/>
    <w:pPr>
      <w:tabs>
        <w:tab w:val="left" w:pos="814"/>
        <w:tab w:val="clear" w:pos="360"/>
      </w:tabs>
      <w:ind w:left="737" w:hanging="283"/>
    </w:pPr>
  </w:style>
  <w:style w:type="paragraph" w:customStyle="1" w:styleId="143">
    <w:name w:val="要点1"/>
    <w:basedOn w:val="6"/>
    <w:qFormat/>
    <w:uiPriority w:val="0"/>
    <w:pPr>
      <w:tabs>
        <w:tab w:val="left" w:pos="960"/>
      </w:tabs>
      <w:spacing w:line="520" w:lineRule="exact"/>
      <w:ind w:firstLine="200" w:firstLineChars="200"/>
    </w:pPr>
    <w:rPr>
      <w:rFonts w:ascii="宋体" w:hAnsi="宋体"/>
      <w:sz w:val="28"/>
      <w:szCs w:val="28"/>
    </w:rPr>
  </w:style>
  <w:style w:type="paragraph" w:customStyle="1" w:styleId="144">
    <w:name w:val="图片"/>
    <w:basedOn w:val="1"/>
    <w:next w:val="17"/>
    <w:qFormat/>
    <w:uiPriority w:val="0"/>
    <w:pPr>
      <w:keepNext/>
      <w:widowControl/>
      <w:jc w:val="left"/>
    </w:pPr>
    <w:rPr>
      <w:rFonts w:ascii="Garamond" w:hAnsi="Garamond"/>
      <w:kern w:val="0"/>
    </w:rPr>
  </w:style>
  <w:style w:type="paragraph" w:customStyle="1" w:styleId="145">
    <w:name w:val="字元 字元"/>
    <w:basedOn w:val="1"/>
    <w:qFormat/>
    <w:uiPriority w:val="0"/>
  </w:style>
  <w:style w:type="paragraph" w:customStyle="1" w:styleId="146">
    <w:name w:val="Absatz2AL"/>
    <w:basedOn w:val="25"/>
    <w:next w:val="1"/>
    <w:qFormat/>
    <w:uiPriority w:val="0"/>
    <w:pPr>
      <w:widowControl/>
      <w:overflowPunct w:val="0"/>
      <w:autoSpaceDE w:val="0"/>
      <w:autoSpaceDN w:val="0"/>
      <w:spacing w:line="240" w:lineRule="auto"/>
    </w:pPr>
    <w:rPr>
      <w:rFonts w:ascii="Times New Roman" w:hAnsi="Times New Roman" w:eastAsia="楷体_GB2312"/>
      <w:bCs w:val="0"/>
      <w:color w:val="auto"/>
      <w:kern w:val="0"/>
      <w:lang w:val="de-DE"/>
    </w:rPr>
  </w:style>
  <w:style w:type="character" w:customStyle="1" w:styleId="147">
    <w:name w:val="页脚 字符"/>
    <w:basedOn w:val="71"/>
    <w:link w:val="42"/>
    <w:qFormat/>
    <w:uiPriority w:val="99"/>
    <w:rPr>
      <w:kern w:val="2"/>
      <w:sz w:val="18"/>
    </w:rPr>
  </w:style>
  <w:style w:type="paragraph" w:customStyle="1" w:styleId="14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49">
    <w:name w:val="默认段落字体 Para Char"/>
    <w:basedOn w:val="1"/>
    <w:qFormat/>
    <w:uiPriority w:val="0"/>
  </w:style>
  <w:style w:type="paragraph" w:customStyle="1" w:styleId="150">
    <w:name w:val="TOC 标题1"/>
    <w:basedOn w:val="3"/>
    <w:next w:val="1"/>
    <w:qFormat/>
    <w:uiPriority w:val="39"/>
    <w:pPr>
      <w:widowControl/>
      <w:spacing w:before="480" w:after="0" w:line="276" w:lineRule="auto"/>
      <w:jc w:val="left"/>
      <w:outlineLvl w:val="9"/>
    </w:pPr>
    <w:rPr>
      <w:rFonts w:ascii="Cambria" w:hAnsi="Cambria"/>
      <w:bCs/>
      <w:color w:val="365F91"/>
      <w:spacing w:val="0"/>
      <w:kern w:val="0"/>
      <w:sz w:val="28"/>
      <w:szCs w:val="28"/>
    </w:rPr>
  </w:style>
  <w:style w:type="paragraph" w:customStyle="1" w:styleId="151">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52">
    <w:name w:val="正文文本缩进 2 Char1"/>
    <w:qFormat/>
    <w:uiPriority w:val="99"/>
    <w:rPr>
      <w:kern w:val="2"/>
      <w:sz w:val="21"/>
    </w:rPr>
  </w:style>
  <w:style w:type="paragraph" w:customStyle="1" w:styleId="153">
    <w:name w:val="正文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54">
    <w:name w:val="纯文本 字符1"/>
    <w:qFormat/>
    <w:uiPriority w:val="0"/>
    <w:rPr>
      <w:rFonts w:ascii="宋体" w:hAnsi="Times New Roman" w:eastAsia="宋体" w:cs="Times New Roman"/>
      <w:kern w:val="0"/>
      <w:sz w:val="20"/>
      <w:szCs w:val="24"/>
    </w:rPr>
  </w:style>
  <w:style w:type="paragraph" w:customStyle="1" w:styleId="155">
    <w:name w:val="正文_2"/>
    <w:qFormat/>
    <w:uiPriority w:val="0"/>
    <w:pPr>
      <w:widowControl w:val="0"/>
      <w:jc w:val="both"/>
    </w:pPr>
    <w:rPr>
      <w:rFonts w:ascii="Calibri" w:hAnsi="Calibri" w:eastAsia="宋体" w:cs="Times New Roman"/>
      <w:kern w:val="2"/>
      <w:sz w:val="21"/>
      <w:szCs w:val="22"/>
      <w:lang w:val="en-US" w:eastAsia="zh-CN" w:bidi="ar-SA"/>
    </w:rPr>
  </w:style>
  <w:style w:type="character" w:customStyle="1" w:styleId="156">
    <w:name w:val="批注文字 字符"/>
    <w:basedOn w:val="71"/>
    <w:link w:val="21"/>
    <w:qFormat/>
    <w:uiPriority w:val="0"/>
    <w:rPr>
      <w:kern w:val="2"/>
      <w:sz w:val="21"/>
    </w:rPr>
  </w:style>
  <w:style w:type="character" w:customStyle="1" w:styleId="157">
    <w:name w:val="批注主题 字符"/>
    <w:basedOn w:val="156"/>
    <w:link w:val="66"/>
    <w:qFormat/>
    <w:uiPriority w:val="0"/>
    <w:rPr>
      <w:b/>
      <w:bCs/>
      <w:kern w:val="2"/>
      <w:sz w:val="21"/>
    </w:rPr>
  </w:style>
  <w:style w:type="paragraph" w:customStyle="1" w:styleId="158">
    <w:name w:val="Blockquote"/>
    <w:basedOn w:val="1"/>
    <w:link w:val="159"/>
    <w:qFormat/>
    <w:uiPriority w:val="0"/>
    <w:pPr>
      <w:autoSpaceDE w:val="0"/>
      <w:autoSpaceDN w:val="0"/>
      <w:adjustRightInd w:val="0"/>
      <w:spacing w:before="100" w:after="100"/>
      <w:ind w:left="360" w:right="360"/>
      <w:jc w:val="left"/>
    </w:pPr>
    <w:rPr>
      <w:kern w:val="0"/>
      <w:sz w:val="24"/>
    </w:rPr>
  </w:style>
  <w:style w:type="character" w:customStyle="1" w:styleId="159">
    <w:name w:val="Blockquote Char"/>
    <w:link w:val="158"/>
    <w:qFormat/>
    <w:uiPriority w:val="0"/>
    <w:rPr>
      <w:sz w:val="24"/>
    </w:rPr>
  </w:style>
  <w:style w:type="paragraph" w:customStyle="1" w:styleId="160">
    <w:name w:val="Normal_0"/>
    <w:qFormat/>
    <w:uiPriority w:val="0"/>
    <w:pPr>
      <w:widowControl w:val="0"/>
      <w:jc w:val="both"/>
    </w:pPr>
    <w:rPr>
      <w:rFonts w:ascii="Calibri" w:hAnsi="Calibri" w:eastAsia="宋体" w:cs="Times New Roman"/>
      <w:lang w:val="en-US" w:eastAsia="zh-CN" w:bidi="ar-SA"/>
    </w:rPr>
  </w:style>
  <w:style w:type="paragraph" w:customStyle="1" w:styleId="161">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Normal_1"/>
    <w:qFormat/>
    <w:uiPriority w:val="0"/>
    <w:pPr>
      <w:widowControl w:val="0"/>
      <w:jc w:val="both"/>
    </w:pPr>
    <w:rPr>
      <w:rFonts w:ascii="Calibri" w:hAnsi="Calibri" w:eastAsia="宋体" w:cs="Times New Roman"/>
      <w:lang w:val="en-US" w:eastAsia="zh-CN" w:bidi="ar-SA"/>
    </w:rPr>
  </w:style>
  <w:style w:type="paragraph" w:customStyle="1" w:styleId="163">
    <w:name w:val="页脚1"/>
    <w:basedOn w:val="160"/>
    <w:link w:val="164"/>
    <w:unhideWhenUsed/>
    <w:qFormat/>
    <w:uiPriority w:val="0"/>
    <w:pPr>
      <w:tabs>
        <w:tab w:val="center" w:pos="4153"/>
        <w:tab w:val="right" w:pos="8306"/>
      </w:tabs>
      <w:snapToGrid w:val="0"/>
      <w:jc w:val="left"/>
    </w:pPr>
    <w:rPr>
      <w:sz w:val="18"/>
      <w:szCs w:val="18"/>
    </w:rPr>
  </w:style>
  <w:style w:type="character" w:customStyle="1" w:styleId="164">
    <w:name w:val="页脚 Char_0"/>
    <w:link w:val="163"/>
    <w:qFormat/>
    <w:uiPriority w:val="0"/>
    <w:rPr>
      <w:rFonts w:ascii="Calibri" w:hAnsi="Calibri"/>
      <w:sz w:val="18"/>
      <w:szCs w:val="18"/>
    </w:rPr>
  </w:style>
  <w:style w:type="paragraph" w:customStyle="1" w:styleId="165">
    <w:name w:val="正文_3_0"/>
    <w:qFormat/>
    <w:uiPriority w:val="0"/>
    <w:pPr>
      <w:widowControl w:val="0"/>
      <w:jc w:val="both"/>
    </w:pPr>
    <w:rPr>
      <w:rFonts w:ascii="Calibri" w:hAnsi="Calibri" w:eastAsia="宋体" w:cs="Times New Roman"/>
      <w:lang w:val="en-US" w:eastAsia="zh-CN" w:bidi="ar-SA"/>
    </w:rPr>
  </w:style>
  <w:style w:type="character" w:customStyle="1" w:styleId="166">
    <w:name w:val="Char Char19"/>
    <w:qFormat/>
    <w:uiPriority w:val="0"/>
    <w:rPr>
      <w:rFonts w:ascii="Arial" w:hAnsi="Arial" w:eastAsia="黑体"/>
      <w:b/>
      <w:bCs/>
      <w:sz w:val="32"/>
      <w:szCs w:val="32"/>
    </w:rPr>
  </w:style>
  <w:style w:type="paragraph" w:customStyle="1" w:styleId="167">
    <w:name w:val="Normal_2"/>
    <w:qFormat/>
    <w:uiPriority w:val="0"/>
    <w:pPr>
      <w:widowControl w:val="0"/>
      <w:jc w:val="both"/>
    </w:pPr>
    <w:rPr>
      <w:rFonts w:ascii="Calibri" w:hAnsi="Calibri" w:eastAsia="宋体" w:cs="Times New Roman"/>
      <w:lang w:val="en-US" w:eastAsia="zh-CN" w:bidi="ar-SA"/>
    </w:rPr>
  </w:style>
  <w:style w:type="paragraph" w:customStyle="1" w:styleId="168">
    <w:name w:val="Normal_1_0"/>
    <w:qFormat/>
    <w:uiPriority w:val="0"/>
    <w:pPr>
      <w:widowControl w:val="0"/>
      <w:jc w:val="both"/>
    </w:pPr>
    <w:rPr>
      <w:rFonts w:ascii="Calibri" w:hAnsi="Calibri" w:eastAsia="宋体" w:cs="Times New Roman"/>
      <w:lang w:val="en-US" w:eastAsia="zh-CN" w:bidi="ar-SA"/>
    </w:rPr>
  </w:style>
  <w:style w:type="paragraph" w:customStyle="1" w:styleId="169">
    <w:name w:val="Normal_3"/>
    <w:qFormat/>
    <w:uiPriority w:val="0"/>
    <w:pPr>
      <w:widowControl w:val="0"/>
      <w:jc w:val="both"/>
    </w:pPr>
    <w:rPr>
      <w:rFonts w:ascii="Calibri" w:hAnsi="Calibri" w:eastAsia="宋体" w:cs="Times New Roman"/>
      <w:lang w:val="en-US" w:eastAsia="zh-CN" w:bidi="ar-SA"/>
    </w:rPr>
  </w:style>
  <w:style w:type="paragraph" w:customStyle="1" w:styleId="170">
    <w:name w:val="样式1"/>
    <w:basedOn w:val="7"/>
    <w:link w:val="721"/>
    <w:qFormat/>
    <w:uiPriority w:val="0"/>
    <w:pPr>
      <w:widowControl/>
      <w:jc w:val="left"/>
    </w:pPr>
    <w:rPr>
      <w:rFonts w:ascii="黑体"/>
      <w:kern w:val="0"/>
      <w:sz w:val="24"/>
      <w:szCs w:val="30"/>
    </w:rPr>
  </w:style>
  <w:style w:type="paragraph" w:customStyle="1" w:styleId="171">
    <w:name w:val="标题4"/>
    <w:basedOn w:val="1"/>
    <w:next w:val="7"/>
    <w:link w:val="172"/>
    <w:qFormat/>
    <w:uiPriority w:val="0"/>
    <w:pPr>
      <w:widowControl/>
      <w:jc w:val="left"/>
    </w:pPr>
    <w:rPr>
      <w:rFonts w:ascii="黑体" w:eastAsia="黑体"/>
      <w:kern w:val="0"/>
      <w:sz w:val="24"/>
      <w:szCs w:val="30"/>
    </w:rPr>
  </w:style>
  <w:style w:type="character" w:customStyle="1" w:styleId="172">
    <w:name w:val="标题4 Char Char"/>
    <w:link w:val="171"/>
    <w:qFormat/>
    <w:uiPriority w:val="0"/>
    <w:rPr>
      <w:rFonts w:ascii="黑体" w:eastAsia="黑体"/>
      <w:sz w:val="24"/>
      <w:szCs w:val="30"/>
    </w:rPr>
  </w:style>
  <w:style w:type="paragraph" w:customStyle="1" w:styleId="173">
    <w:name w:val="样式2"/>
    <w:basedOn w:val="7"/>
    <w:next w:val="7"/>
    <w:link w:val="693"/>
    <w:qFormat/>
    <w:uiPriority w:val="0"/>
    <w:pPr>
      <w:widowControl/>
      <w:jc w:val="left"/>
    </w:pPr>
    <w:rPr>
      <w:rFonts w:ascii="黑体"/>
      <w:kern w:val="0"/>
      <w:sz w:val="24"/>
      <w:szCs w:val="30"/>
    </w:rPr>
  </w:style>
  <w:style w:type="character" w:customStyle="1" w:styleId="174">
    <w:name w:val="正文文本缩进 Char1"/>
    <w:basedOn w:val="71"/>
    <w:qFormat/>
    <w:uiPriority w:val="99"/>
  </w:style>
  <w:style w:type="paragraph" w:customStyle="1" w:styleId="175">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character" w:customStyle="1" w:styleId="176">
    <w:name w:val="zbggmain style9"/>
    <w:basedOn w:val="71"/>
    <w:qFormat/>
    <w:uiPriority w:val="0"/>
  </w:style>
  <w:style w:type="paragraph" w:customStyle="1" w:styleId="177">
    <w:name w:val="样式 标题 3 + (中文) 黑体 小四 非加粗 段前: 7.8 磅 段后: 0 磅 行距: 固定值 20 磅"/>
    <w:basedOn w:val="5"/>
    <w:qFormat/>
    <w:uiPriority w:val="0"/>
    <w:pPr>
      <w:spacing w:before="0" w:after="0" w:line="400" w:lineRule="exact"/>
      <w:ind w:firstLine="0"/>
    </w:pPr>
    <w:rPr>
      <w:rFonts w:ascii="Times New Roman" w:eastAsia="黑体" w:cs="宋体"/>
      <w:b w:val="0"/>
    </w:rPr>
  </w:style>
  <w:style w:type="paragraph" w:customStyle="1" w:styleId="178">
    <w:name w:val="样式 标题 2 + Times New Roman 四号 非加粗 段前: 5 磅 段后: 0 磅 行距: 固定值 20..."/>
    <w:basedOn w:val="4"/>
    <w:link w:val="179"/>
    <w:qFormat/>
    <w:uiPriority w:val="0"/>
    <w:pPr>
      <w:spacing w:before="100"/>
      <w:jc w:val="both"/>
    </w:pPr>
    <w:rPr>
      <w:rFonts w:ascii="Times New Roman" w:hAnsi="Times New Roman" w:eastAsia="黑体" w:cs="宋体"/>
      <w:b w:val="0"/>
      <w:kern w:val="2"/>
      <w:sz w:val="28"/>
    </w:rPr>
  </w:style>
  <w:style w:type="character" w:customStyle="1" w:styleId="179">
    <w:name w:val="样式 标题 2 + Times New Roman 四号 非加粗 段前: 5 磅 段后: 0 磅 行距: 固定值 20... Char Char"/>
    <w:basedOn w:val="71"/>
    <w:link w:val="178"/>
    <w:qFormat/>
    <w:uiPriority w:val="0"/>
    <w:rPr>
      <w:rFonts w:eastAsia="黑体" w:cs="宋体"/>
      <w:kern w:val="2"/>
      <w:sz w:val="28"/>
    </w:rPr>
  </w:style>
  <w:style w:type="paragraph" w:customStyle="1" w:styleId="18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181">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182">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lang w:eastAsia="en-US"/>
    </w:rPr>
  </w:style>
  <w:style w:type="character" w:customStyle="1" w:styleId="183">
    <w:name w:val="javascript"/>
    <w:basedOn w:val="71"/>
    <w:qFormat/>
    <w:uiPriority w:val="0"/>
  </w:style>
  <w:style w:type="character" w:customStyle="1" w:styleId="184">
    <w:name w:val="style11"/>
    <w:qFormat/>
    <w:uiPriority w:val="0"/>
    <w:rPr>
      <w:b/>
      <w:bCs/>
    </w:rPr>
  </w:style>
  <w:style w:type="paragraph" w:customStyle="1" w:styleId="185">
    <w:name w:val="1"/>
    <w:basedOn w:val="1"/>
    <w:next w:val="32"/>
    <w:qFormat/>
    <w:uiPriority w:val="0"/>
    <w:pPr>
      <w:adjustRightInd w:val="0"/>
      <w:ind w:left="420" w:right="33"/>
      <w:jc w:val="left"/>
      <w:textAlignment w:val="baseline"/>
    </w:pPr>
    <w:rPr>
      <w:kern w:val="0"/>
      <w:sz w:val="24"/>
    </w:rPr>
  </w:style>
  <w:style w:type="paragraph" w:customStyle="1" w:styleId="186">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rPr>
  </w:style>
  <w:style w:type="paragraph" w:customStyle="1" w:styleId="187">
    <w:name w:val="目录文字"/>
    <w:basedOn w:val="1"/>
    <w:qFormat/>
    <w:uiPriority w:val="0"/>
    <w:pPr>
      <w:widowControl/>
      <w:spacing w:line="480" w:lineRule="auto"/>
      <w:jc w:val="left"/>
    </w:pPr>
    <w:rPr>
      <w:rFonts w:ascii="宋体" w:hAnsi="宋体"/>
      <w:kern w:val="0"/>
      <w:sz w:val="24"/>
    </w:rPr>
  </w:style>
  <w:style w:type="paragraph" w:customStyle="1" w:styleId="188">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character" w:customStyle="1" w:styleId="189">
    <w:name w:val="正文文本 3 字符"/>
    <w:basedOn w:val="71"/>
    <w:link w:val="23"/>
    <w:qFormat/>
    <w:uiPriority w:val="0"/>
    <w:rPr>
      <w:sz w:val="16"/>
      <w:szCs w:val="16"/>
    </w:rPr>
  </w:style>
  <w:style w:type="character" w:customStyle="1" w:styleId="190">
    <w:name w:val="宏文本 字符"/>
    <w:link w:val="2"/>
    <w:qFormat/>
    <w:uiPriority w:val="0"/>
    <w:rPr>
      <w:rFonts w:ascii="Courier New" w:hAnsi="Courier New"/>
      <w:sz w:val="24"/>
      <w:szCs w:val="24"/>
    </w:rPr>
  </w:style>
  <w:style w:type="character" w:customStyle="1" w:styleId="191">
    <w:name w:val="宏文本 Char1"/>
    <w:basedOn w:val="71"/>
    <w:qFormat/>
    <w:uiPriority w:val="0"/>
    <w:rPr>
      <w:rFonts w:ascii="Courier New" w:hAnsi="Courier New" w:cs="Courier New"/>
      <w:kern w:val="2"/>
      <w:sz w:val="24"/>
      <w:szCs w:val="24"/>
    </w:rPr>
  </w:style>
  <w:style w:type="character" w:customStyle="1" w:styleId="192">
    <w:name w:val="15"/>
    <w:qFormat/>
    <w:uiPriority w:val="0"/>
    <w:rPr>
      <w:rFonts w:hint="eastAsia" w:ascii="MingLiU" w:hAnsi="MingLiU" w:eastAsia="MingLiU"/>
      <w:sz w:val="22"/>
      <w:szCs w:val="22"/>
    </w:rPr>
  </w:style>
  <w:style w:type="character" w:customStyle="1" w:styleId="193">
    <w:name w:val="font51"/>
    <w:qFormat/>
    <w:uiPriority w:val="0"/>
    <w:rPr>
      <w:rFonts w:hint="eastAsia" w:ascii="宋体" w:hAnsi="宋体" w:eastAsia="宋体" w:cs="宋体"/>
      <w:b/>
      <w:color w:val="000000"/>
      <w:sz w:val="21"/>
      <w:szCs w:val="21"/>
      <w:u w:val="none"/>
    </w:rPr>
  </w:style>
  <w:style w:type="character" w:customStyle="1" w:styleId="194">
    <w:name w:val="正文文本 (2)_"/>
    <w:link w:val="195"/>
    <w:qFormat/>
    <w:uiPriority w:val="0"/>
    <w:rPr>
      <w:rFonts w:ascii="MingLiU" w:hAnsi="MingLiU" w:eastAsia="MingLiU" w:cs="MingLiU"/>
      <w:spacing w:val="4"/>
      <w:sz w:val="22"/>
      <w:szCs w:val="22"/>
    </w:rPr>
  </w:style>
  <w:style w:type="paragraph" w:customStyle="1" w:styleId="195">
    <w:name w:val="正文文本 (2)"/>
    <w:basedOn w:val="1"/>
    <w:link w:val="194"/>
    <w:qFormat/>
    <w:uiPriority w:val="0"/>
    <w:pPr>
      <w:spacing w:after="120" w:line="458" w:lineRule="exact"/>
      <w:jc w:val="distribute"/>
    </w:pPr>
    <w:rPr>
      <w:rFonts w:ascii="MingLiU" w:hAnsi="MingLiU" w:eastAsia="MingLiU" w:cs="MingLiU"/>
      <w:spacing w:val="4"/>
      <w:kern w:val="0"/>
      <w:sz w:val="22"/>
      <w:szCs w:val="22"/>
    </w:rPr>
  </w:style>
  <w:style w:type="character" w:customStyle="1" w:styleId="196">
    <w:name w:val="font61"/>
    <w:qFormat/>
    <w:uiPriority w:val="0"/>
    <w:rPr>
      <w:rFonts w:hint="default" w:ascii="Times New Roman" w:hAnsi="Times New Roman" w:cs="Times New Roman"/>
      <w:b/>
      <w:color w:val="000000"/>
      <w:sz w:val="21"/>
      <w:szCs w:val="21"/>
      <w:u w:val="none"/>
    </w:rPr>
  </w:style>
  <w:style w:type="character" w:customStyle="1" w:styleId="197">
    <w:name w:val="my Char Char"/>
    <w:link w:val="198"/>
    <w:qFormat/>
    <w:uiPriority w:val="0"/>
    <w:rPr>
      <w:color w:val="000000"/>
      <w:kern w:val="2"/>
      <w:sz w:val="24"/>
      <w:szCs w:val="24"/>
    </w:rPr>
  </w:style>
  <w:style w:type="paragraph" w:customStyle="1" w:styleId="198">
    <w:name w:val="my"/>
    <w:basedOn w:val="54"/>
    <w:link w:val="197"/>
    <w:qFormat/>
    <w:uiPriority w:val="0"/>
    <w:rPr>
      <w:color w:val="000000"/>
    </w:rPr>
  </w:style>
  <w:style w:type="character" w:customStyle="1" w:styleId="199">
    <w:name w:val="样式 标题 2 + 二号 Char"/>
    <w:qFormat/>
    <w:uiPriority w:val="0"/>
    <w:rPr>
      <w:rFonts w:ascii="Arial" w:hAnsi="Arial" w:eastAsia="宋体"/>
      <w:b/>
      <w:color w:val="FF0000"/>
      <w:sz w:val="32"/>
      <w:lang w:val="en-US" w:eastAsia="zh-CN"/>
    </w:rPr>
  </w:style>
  <w:style w:type="character" w:customStyle="1" w:styleId="200">
    <w:name w:val="font161"/>
    <w:qFormat/>
    <w:uiPriority w:val="0"/>
    <w:rPr>
      <w:rFonts w:ascii="Arial" w:hAnsi="Arial" w:eastAsia="黑体"/>
      <w:b/>
      <w:bCs/>
      <w:kern w:val="2"/>
      <w:sz w:val="32"/>
      <w:szCs w:val="32"/>
      <w:lang w:val="en-US" w:eastAsia="zh-CN" w:bidi="ar-SA"/>
    </w:rPr>
  </w:style>
  <w:style w:type="character" w:customStyle="1" w:styleId="201">
    <w:name w:val="表一 Char Char"/>
    <w:link w:val="202"/>
    <w:qFormat/>
    <w:uiPriority w:val="0"/>
    <w:rPr>
      <w:snapToGrid w:val="0"/>
      <w:sz w:val="24"/>
    </w:rPr>
  </w:style>
  <w:style w:type="paragraph" w:customStyle="1" w:styleId="202">
    <w:name w:val="表一"/>
    <w:basedOn w:val="1"/>
    <w:link w:val="201"/>
    <w:qFormat/>
    <w:uiPriority w:val="0"/>
    <w:pPr>
      <w:adjustRightInd w:val="0"/>
      <w:snapToGrid w:val="0"/>
      <w:ind w:right="-71"/>
      <w:jc w:val="center"/>
    </w:pPr>
    <w:rPr>
      <w:snapToGrid w:val="0"/>
      <w:kern w:val="0"/>
      <w:sz w:val="24"/>
    </w:rPr>
  </w:style>
  <w:style w:type="character" w:customStyle="1" w:styleId="203">
    <w:name w:val="段落 Char"/>
    <w:link w:val="204"/>
    <w:qFormat/>
    <w:uiPriority w:val="0"/>
    <w:rPr>
      <w:rFonts w:ascii="宋体" w:hAnsi="宋体"/>
      <w:kern w:val="2"/>
      <w:sz w:val="24"/>
      <w:szCs w:val="24"/>
    </w:rPr>
  </w:style>
  <w:style w:type="paragraph" w:customStyle="1" w:styleId="204">
    <w:name w:val="段落"/>
    <w:basedOn w:val="1"/>
    <w:link w:val="203"/>
    <w:qFormat/>
    <w:uiPriority w:val="0"/>
    <w:pPr>
      <w:spacing w:line="440" w:lineRule="exact"/>
      <w:ind w:firstLine="200" w:firstLineChars="200"/>
    </w:pPr>
    <w:rPr>
      <w:rFonts w:ascii="宋体" w:hAnsi="宋体"/>
      <w:sz w:val="24"/>
      <w:szCs w:val="24"/>
    </w:rPr>
  </w:style>
  <w:style w:type="character" w:customStyle="1" w:styleId="205">
    <w:name w:val="Char Char1"/>
    <w:qFormat/>
    <w:uiPriority w:val="0"/>
    <w:rPr>
      <w:rFonts w:eastAsia="宋体"/>
      <w:b/>
      <w:kern w:val="2"/>
      <w:sz w:val="32"/>
      <w:lang w:val="en-US" w:eastAsia="zh-CN"/>
    </w:rPr>
  </w:style>
  <w:style w:type="character" w:customStyle="1" w:styleId="206">
    <w:name w:val="正文文本_"/>
    <w:link w:val="207"/>
    <w:qFormat/>
    <w:uiPriority w:val="0"/>
    <w:rPr>
      <w:rFonts w:ascii="MingLiU" w:hAnsi="MingLiU" w:eastAsia="MingLiU" w:cs="MingLiU"/>
      <w:spacing w:val="9"/>
      <w:sz w:val="21"/>
      <w:szCs w:val="21"/>
    </w:rPr>
  </w:style>
  <w:style w:type="paragraph" w:customStyle="1" w:styleId="207">
    <w:name w:val="正文文本1"/>
    <w:basedOn w:val="1"/>
    <w:link w:val="206"/>
    <w:qFormat/>
    <w:uiPriority w:val="0"/>
    <w:pPr>
      <w:spacing w:after="60" w:line="463" w:lineRule="exact"/>
      <w:jc w:val="distribute"/>
    </w:pPr>
    <w:rPr>
      <w:rFonts w:ascii="MingLiU" w:hAnsi="MingLiU" w:eastAsia="MingLiU" w:cs="MingLiU"/>
      <w:spacing w:val="9"/>
      <w:kern w:val="0"/>
      <w:szCs w:val="21"/>
    </w:rPr>
  </w:style>
  <w:style w:type="character" w:customStyle="1" w:styleId="208">
    <w:name w:val="font31"/>
    <w:qFormat/>
    <w:uiPriority w:val="0"/>
    <w:rPr>
      <w:rFonts w:hint="default" w:ascii="Times New Roman" w:hAnsi="Times New Roman" w:cs="Times New Roman"/>
      <w:color w:val="000000"/>
      <w:sz w:val="21"/>
      <w:szCs w:val="21"/>
      <w:u w:val="none"/>
    </w:rPr>
  </w:style>
  <w:style w:type="character" w:customStyle="1" w:styleId="209">
    <w:name w:val="正文首行缩进 2 字符"/>
    <w:basedOn w:val="210"/>
    <w:link w:val="27"/>
    <w:qFormat/>
    <w:uiPriority w:val="0"/>
    <w:rPr>
      <w:kern w:val="2"/>
      <w:sz w:val="21"/>
      <w:szCs w:val="24"/>
    </w:rPr>
  </w:style>
  <w:style w:type="character" w:customStyle="1" w:styleId="210">
    <w:name w:val="正文文本缩进 Char"/>
    <w:qFormat/>
    <w:uiPriority w:val="0"/>
    <w:rPr>
      <w:kern w:val="2"/>
      <w:sz w:val="21"/>
      <w:szCs w:val="24"/>
    </w:rPr>
  </w:style>
  <w:style w:type="character" w:customStyle="1" w:styleId="211">
    <w:name w:val="正文首行缩进 2 Char1"/>
    <w:basedOn w:val="141"/>
    <w:qFormat/>
    <w:uiPriority w:val="0"/>
    <w:rPr>
      <w:kern w:val="2"/>
      <w:sz w:val="21"/>
    </w:rPr>
  </w:style>
  <w:style w:type="character" w:customStyle="1" w:styleId="212">
    <w:name w:val="HTML 预设格式 Char1"/>
    <w:qFormat/>
    <w:uiPriority w:val="0"/>
    <w:rPr>
      <w:rFonts w:ascii="Courier New" w:hAnsi="Courier New" w:cs="Courier New"/>
    </w:rPr>
  </w:style>
  <w:style w:type="character" w:customStyle="1" w:styleId="213">
    <w:name w:val="正正正文 Char1"/>
    <w:link w:val="214"/>
    <w:qFormat/>
    <w:uiPriority w:val="0"/>
    <w:rPr>
      <w:color w:val="000000"/>
      <w:kern w:val="2"/>
      <w:sz w:val="21"/>
    </w:rPr>
  </w:style>
  <w:style w:type="paragraph" w:customStyle="1" w:styleId="214">
    <w:name w:val="正正正文"/>
    <w:basedOn w:val="1"/>
    <w:link w:val="213"/>
    <w:qFormat/>
    <w:uiPriority w:val="0"/>
    <w:pPr>
      <w:snapToGrid w:val="0"/>
      <w:spacing w:line="460" w:lineRule="exact"/>
      <w:ind w:firstLine="420" w:firstLineChars="200"/>
    </w:pPr>
    <w:rPr>
      <w:color w:val="000000"/>
    </w:rPr>
  </w:style>
  <w:style w:type="character" w:customStyle="1" w:styleId="215">
    <w:name w:val="Char Char3"/>
    <w:qFormat/>
    <w:uiPriority w:val="0"/>
    <w:rPr>
      <w:rFonts w:eastAsia="宋体"/>
      <w:b/>
      <w:kern w:val="44"/>
      <w:sz w:val="44"/>
      <w:lang w:val="en-US" w:eastAsia="zh-CN"/>
    </w:rPr>
  </w:style>
  <w:style w:type="character" w:customStyle="1" w:styleId="216">
    <w:name w:val="font21"/>
    <w:qFormat/>
    <w:uiPriority w:val="0"/>
    <w:rPr>
      <w:rFonts w:hint="eastAsia" w:ascii="宋体" w:hAnsi="宋体" w:eastAsia="宋体" w:cs="宋体"/>
      <w:color w:val="FF0000"/>
      <w:sz w:val="21"/>
      <w:szCs w:val="21"/>
      <w:u w:val="none"/>
    </w:rPr>
  </w:style>
  <w:style w:type="character" w:customStyle="1" w:styleId="217">
    <w:name w:val="p21"/>
    <w:qFormat/>
    <w:uiPriority w:val="0"/>
    <w:rPr>
      <w:sz w:val="9"/>
      <w:szCs w:val="9"/>
    </w:rPr>
  </w:style>
  <w:style w:type="character" w:customStyle="1" w:styleId="218">
    <w:name w:val="正文文本 + Tahoma"/>
    <w:qFormat/>
    <w:uiPriority w:val="0"/>
    <w:rPr>
      <w:rFonts w:ascii="Tahoma" w:hAnsi="Tahoma" w:eastAsia="Tahoma" w:cs="Tahoma"/>
      <w:color w:val="000000"/>
      <w:spacing w:val="23"/>
      <w:w w:val="100"/>
      <w:position w:val="0"/>
      <w:sz w:val="19"/>
      <w:szCs w:val="19"/>
      <w:u w:val="none"/>
      <w:lang w:val="zh-CN"/>
    </w:rPr>
  </w:style>
  <w:style w:type="character" w:customStyle="1" w:styleId="219">
    <w:name w:val="正文文本 (2) + 间距 3 pt"/>
    <w:qFormat/>
    <w:uiPriority w:val="0"/>
    <w:rPr>
      <w:rFonts w:ascii="MingLiU" w:hAnsi="MingLiU" w:eastAsia="MingLiU" w:cs="MingLiU"/>
      <w:color w:val="000000"/>
      <w:spacing w:val="73"/>
      <w:w w:val="100"/>
      <w:position w:val="0"/>
      <w:sz w:val="22"/>
      <w:szCs w:val="22"/>
      <w:u w:val="none"/>
      <w:lang w:val="zh-CN"/>
    </w:rPr>
  </w:style>
  <w:style w:type="character" w:customStyle="1" w:styleId="220">
    <w:name w:val="font5 Char"/>
    <w:link w:val="221"/>
    <w:qFormat/>
    <w:uiPriority w:val="0"/>
    <w:rPr>
      <w:rFonts w:ascii="宋体" w:hAnsi="宋体"/>
      <w:sz w:val="24"/>
      <w:szCs w:val="24"/>
    </w:rPr>
  </w:style>
  <w:style w:type="paragraph" w:customStyle="1" w:styleId="221">
    <w:name w:val="font5"/>
    <w:basedOn w:val="1"/>
    <w:link w:val="220"/>
    <w:qFormat/>
    <w:uiPriority w:val="0"/>
    <w:pPr>
      <w:widowControl/>
      <w:spacing w:before="100" w:beforeAutospacing="1" w:after="100" w:afterAutospacing="1"/>
      <w:jc w:val="left"/>
    </w:pPr>
    <w:rPr>
      <w:rFonts w:ascii="宋体" w:hAnsi="宋体"/>
      <w:kern w:val="0"/>
      <w:sz w:val="24"/>
      <w:szCs w:val="24"/>
    </w:rPr>
  </w:style>
  <w:style w:type="character" w:customStyle="1" w:styleId="222">
    <w:name w:val="标题 3 Char Char"/>
    <w:qFormat/>
    <w:uiPriority w:val="0"/>
    <w:rPr>
      <w:rFonts w:eastAsia="宋体"/>
      <w:b/>
      <w:kern w:val="2"/>
      <w:sz w:val="32"/>
      <w:lang w:val="en-US" w:eastAsia="zh-CN"/>
    </w:rPr>
  </w:style>
  <w:style w:type="character" w:customStyle="1" w:styleId="223">
    <w:name w:val="正文缩进 Char1 Char"/>
    <w:qFormat/>
    <w:uiPriority w:val="0"/>
    <w:rPr>
      <w:rFonts w:eastAsia="宋体"/>
      <w:kern w:val="2"/>
      <w:sz w:val="24"/>
      <w:szCs w:val="24"/>
      <w:lang w:val="en-US" w:eastAsia="zh-CN" w:bidi="ar-SA"/>
    </w:rPr>
  </w:style>
  <w:style w:type="character" w:customStyle="1" w:styleId="224">
    <w:name w:val="font01"/>
    <w:qFormat/>
    <w:uiPriority w:val="0"/>
    <w:rPr>
      <w:rFonts w:hint="eastAsia" w:ascii="宋体" w:hAnsi="宋体" w:eastAsia="宋体" w:cs="宋体"/>
      <w:color w:val="000000"/>
      <w:sz w:val="21"/>
      <w:szCs w:val="21"/>
      <w:u w:val="none"/>
    </w:rPr>
  </w:style>
  <w:style w:type="character" w:customStyle="1" w:styleId="225">
    <w:name w:val="font11"/>
    <w:qFormat/>
    <w:uiPriority w:val="0"/>
    <w:rPr>
      <w:rFonts w:hint="default" w:ascii="Times New Roman" w:hAnsi="Times New Roman" w:cs="Times New Roman"/>
      <w:color w:val="FF0000"/>
      <w:sz w:val="21"/>
      <w:szCs w:val="21"/>
      <w:u w:val="none"/>
    </w:rPr>
  </w:style>
  <w:style w:type="paragraph" w:customStyle="1" w:styleId="226">
    <w:name w:val="样式 样式 样式 公正文 + 首行缩进:  2 字符2 + 首行缩进:  2 字符 + 首行缩进:  2 字符"/>
    <w:basedOn w:val="227"/>
    <w:qFormat/>
    <w:uiPriority w:val="0"/>
  </w:style>
  <w:style w:type="paragraph" w:customStyle="1" w:styleId="227">
    <w:name w:val="样式 样式 公正文 + 首行缩进:  2 字符2 + 首行缩进:  2 字符"/>
    <w:basedOn w:val="228"/>
    <w:qFormat/>
    <w:uiPriority w:val="0"/>
  </w:style>
  <w:style w:type="paragraph" w:customStyle="1" w:styleId="228">
    <w:name w:val="样式 公正文 + 首行缩进:  2 字符2"/>
    <w:basedOn w:val="229"/>
    <w:qFormat/>
    <w:uiPriority w:val="0"/>
    <w:rPr>
      <w:rFonts w:cs="宋体"/>
    </w:rPr>
  </w:style>
  <w:style w:type="paragraph" w:customStyle="1" w:styleId="229">
    <w:name w:val="公正文"/>
    <w:basedOn w:val="6"/>
    <w:qFormat/>
    <w:uiPriority w:val="0"/>
    <w:pPr>
      <w:adjustRightInd w:val="0"/>
      <w:snapToGrid w:val="0"/>
      <w:spacing w:line="560" w:lineRule="exact"/>
      <w:ind w:firstLine="200"/>
    </w:pPr>
    <w:rPr>
      <w:rFonts w:ascii="仿宋_GB2312" w:hAnsi="宋体" w:eastAsia="仿宋_GB2312"/>
      <w:sz w:val="28"/>
    </w:rPr>
  </w:style>
  <w:style w:type="paragraph" w:customStyle="1" w:styleId="230">
    <w:name w:val="样式 样式 样式 样式 公正文 + 首行缩进:  2 字符2 + 首行缩进:  2 字符 + 首行缩进:  2 字符 + 首行缩...1"/>
    <w:basedOn w:val="226"/>
    <w:qFormat/>
    <w:uiPriority w:val="0"/>
    <w:pPr>
      <w:adjustRightInd/>
      <w:snapToGrid/>
    </w:pPr>
  </w:style>
  <w:style w:type="paragraph" w:customStyle="1" w:styleId="231">
    <w:name w:val="表二"/>
    <w:basedOn w:val="1"/>
    <w:qFormat/>
    <w:uiPriority w:val="0"/>
    <w:pPr>
      <w:adjustRightInd w:val="0"/>
      <w:snapToGrid w:val="0"/>
    </w:pPr>
    <w:rPr>
      <w:snapToGrid w:val="0"/>
      <w:kern w:val="0"/>
    </w:rPr>
  </w:style>
  <w:style w:type="character" w:customStyle="1" w:styleId="232">
    <w:name w:val="标题 字符"/>
    <w:basedOn w:val="71"/>
    <w:link w:val="65"/>
    <w:qFormat/>
    <w:uiPriority w:val="0"/>
    <w:rPr>
      <w:rFonts w:ascii="Arial" w:hAnsi="Arial"/>
      <w:b/>
      <w:sz w:val="32"/>
    </w:rPr>
  </w:style>
  <w:style w:type="paragraph" w:customStyle="1" w:styleId="233">
    <w:name w:val="表三"/>
    <w:basedOn w:val="231"/>
    <w:qFormat/>
    <w:uiPriority w:val="0"/>
    <w:pPr>
      <w:ind w:right="-34" w:rightChars="-34"/>
      <w:jc w:val="right"/>
    </w:pPr>
  </w:style>
  <w:style w:type="paragraph" w:customStyle="1" w:styleId="234">
    <w:name w:val="样式 样式 样式 样式 样式 公正文 + 首行缩进:  2 字符2 + 首行缩进:  2 字符 + 首行缩进:  2 字符 + ..."/>
    <w:basedOn w:val="230"/>
    <w:qFormat/>
    <w:uiPriority w:val="0"/>
  </w:style>
  <w:style w:type="paragraph" w:customStyle="1" w:styleId="235">
    <w:name w:val="contentartic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6">
    <w:name w:val="样式 标题 2标题 2 Char章章1章2章3章11章21章4章12章22章5章6章7章8章9章..."/>
    <w:basedOn w:val="4"/>
    <w:qFormat/>
    <w:uiPriority w:val="0"/>
    <w:pPr>
      <w:spacing w:line="360" w:lineRule="auto"/>
      <w:jc w:val="left"/>
    </w:pPr>
    <w:rPr>
      <w:rFonts w:ascii="宋体" w:hAnsi="宋体" w:cs="宋体"/>
      <w:bCs/>
      <w:color w:val="FF0000"/>
      <w:sz w:val="21"/>
    </w:rPr>
  </w:style>
  <w:style w:type="paragraph" w:customStyle="1" w:styleId="237">
    <w:name w:val="样式 样式 样式 样式 样式 样式 公正文 + 首行缩进:  2 字符2 + 首行缩进:  2 字符 + 首行缩进:  2 字符..."/>
    <w:basedOn w:val="234"/>
    <w:qFormat/>
    <w:uiPriority w:val="0"/>
  </w:style>
  <w:style w:type="paragraph" w:customStyle="1" w:styleId="238">
    <w:name w:val="样式 标题 1 + 黑体 三号 非加粗 居中 段前: 6 磅 段后: 6 磅 行距: 固定值 20 磅"/>
    <w:basedOn w:val="3"/>
    <w:qFormat/>
    <w:uiPriority w:val="0"/>
    <w:pPr>
      <w:spacing w:line="400" w:lineRule="exact"/>
    </w:pPr>
    <w:rPr>
      <w:rFonts w:ascii="黑体" w:hAnsi="黑体" w:eastAsia="黑体" w:cs="宋体"/>
      <w:b w:val="0"/>
      <w:spacing w:val="0"/>
    </w:rPr>
  </w:style>
  <w:style w:type="paragraph" w:customStyle="1" w:styleId="239">
    <w:name w:val="xl31"/>
    <w:basedOn w:val="1"/>
    <w:qFormat/>
    <w:uiPriority w:val="0"/>
    <w:pPr>
      <w:widowControl/>
      <w:spacing w:before="100" w:beforeAutospacing="1" w:after="100" w:afterAutospacing="1"/>
      <w:jc w:val="center"/>
    </w:pPr>
    <w:rPr>
      <w:rFonts w:ascii="宋体" w:hAnsi="宋体"/>
      <w:kern w:val="0"/>
      <w:sz w:val="24"/>
      <w:szCs w:val="24"/>
    </w:rPr>
  </w:style>
  <w:style w:type="paragraph" w:customStyle="1" w:styleId="240">
    <w:name w:val="表格文字"/>
    <w:basedOn w:val="1"/>
    <w:qFormat/>
    <w:uiPriority w:val="0"/>
    <w:pPr>
      <w:adjustRightInd w:val="0"/>
      <w:spacing w:line="420" w:lineRule="atLeast"/>
      <w:jc w:val="left"/>
      <w:textAlignment w:val="baseline"/>
    </w:pPr>
    <w:rPr>
      <w:kern w:val="0"/>
    </w:rPr>
  </w:style>
  <w:style w:type="paragraph" w:customStyle="1" w:styleId="241">
    <w:name w:val="样式 首行缩进:  2 字符"/>
    <w:basedOn w:val="1"/>
    <w:qFormat/>
    <w:uiPriority w:val="0"/>
    <w:pPr>
      <w:widowControl/>
      <w:spacing w:line="400" w:lineRule="exact"/>
      <w:ind w:firstLine="200" w:firstLineChars="200"/>
      <w:jc w:val="left"/>
    </w:pPr>
    <w:rPr>
      <w:rFonts w:cs="宋体"/>
      <w:kern w:val="0"/>
    </w:rPr>
  </w:style>
  <w:style w:type="paragraph" w:customStyle="1" w:styleId="242">
    <w:name w:val="Char1"/>
    <w:basedOn w:val="1"/>
    <w:qFormat/>
    <w:uiPriority w:val="0"/>
    <w:pPr>
      <w:pageBreakBefore/>
      <w:spacing w:line="360" w:lineRule="auto"/>
    </w:pPr>
    <w:rPr>
      <w:sz w:val="28"/>
    </w:rPr>
  </w:style>
  <w:style w:type="paragraph" w:customStyle="1" w:styleId="243">
    <w:name w:val="标题2"/>
    <w:basedOn w:val="4"/>
    <w:next w:val="1"/>
    <w:qFormat/>
    <w:uiPriority w:val="0"/>
    <w:pPr>
      <w:snapToGrid w:val="0"/>
      <w:spacing w:before="120" w:after="120" w:line="240" w:lineRule="auto"/>
      <w:jc w:val="left"/>
    </w:pPr>
    <w:rPr>
      <w:rFonts w:ascii="Times New Roman" w:hAnsi="Times New Roman"/>
      <w:b w:val="0"/>
      <w:sz w:val="21"/>
      <w:szCs w:val="21"/>
    </w:rPr>
  </w:style>
  <w:style w:type="paragraph" w:customStyle="1" w:styleId="244">
    <w:name w:val="表格2"/>
    <w:basedOn w:val="1"/>
    <w:qFormat/>
    <w:uiPriority w:val="0"/>
    <w:pPr>
      <w:adjustRightInd w:val="0"/>
      <w:spacing w:before="60" w:after="60"/>
      <w:jc w:val="center"/>
    </w:pPr>
    <w:rPr>
      <w:rFonts w:ascii="宋体"/>
      <w:color w:val="000000"/>
      <w:kern w:val="0"/>
      <w:sz w:val="24"/>
    </w:rPr>
  </w:style>
  <w:style w:type="paragraph" w:customStyle="1" w:styleId="245">
    <w:name w:val="font7"/>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46">
    <w:name w:val="XW正文"/>
    <w:basedOn w:val="26"/>
    <w:qFormat/>
    <w:uiPriority w:val="0"/>
    <w:pPr>
      <w:adjustRightInd w:val="0"/>
      <w:snapToGrid w:val="0"/>
      <w:spacing w:line="300" w:lineRule="auto"/>
      <w:ind w:firstLine="520" w:firstLineChars="200"/>
      <w:jc w:val="left"/>
    </w:pPr>
    <w:rPr>
      <w:kern w:val="0"/>
      <w:szCs w:val="24"/>
    </w:rPr>
  </w:style>
  <w:style w:type="paragraph" w:customStyle="1" w:styleId="247">
    <w:name w:val="样式 样式 标题 3小标题 1一、标题 3XW标题 3 Char Char Char Char Char Char Char....."/>
    <w:basedOn w:val="1"/>
    <w:qFormat/>
    <w:uiPriority w:val="0"/>
    <w:pPr>
      <w:keepNext/>
      <w:keepLines/>
      <w:spacing w:line="360" w:lineRule="auto"/>
      <w:jc w:val="left"/>
      <w:outlineLvl w:val="2"/>
    </w:pPr>
    <w:rPr>
      <w:rFonts w:ascii="宋体" w:hAnsi="宋体" w:cs="宋体"/>
      <w:b/>
      <w:bCs/>
      <w:color w:val="0000FF"/>
    </w:rPr>
  </w:style>
  <w:style w:type="paragraph" w:customStyle="1" w:styleId="248">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49">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szCs w:val="24"/>
    </w:rPr>
  </w:style>
  <w:style w:type="paragraph" w:customStyle="1" w:styleId="250">
    <w:name w:val="表格"/>
    <w:basedOn w:val="1"/>
    <w:link w:val="974"/>
    <w:qFormat/>
    <w:uiPriority w:val="0"/>
    <w:pPr>
      <w:jc w:val="center"/>
      <w:textAlignment w:val="center"/>
    </w:pPr>
    <w:rPr>
      <w:rFonts w:ascii="华文细黑" w:hAnsi="华文细黑"/>
      <w:kern w:val="0"/>
    </w:rPr>
  </w:style>
  <w:style w:type="paragraph" w:customStyle="1" w:styleId="251">
    <w:name w:val="6'"/>
    <w:basedOn w:val="1"/>
    <w:qFormat/>
    <w:uiPriority w:val="0"/>
    <w:pPr>
      <w:autoSpaceDE w:val="0"/>
      <w:autoSpaceDN w:val="0"/>
      <w:adjustRightInd w:val="0"/>
      <w:snapToGrid w:val="0"/>
      <w:spacing w:line="320" w:lineRule="exact"/>
      <w:jc w:val="center"/>
      <w:textAlignment w:val="baseline"/>
    </w:pPr>
    <w:rPr>
      <w:spacing w:val="20"/>
      <w:kern w:val="28"/>
    </w:rPr>
  </w:style>
  <w:style w:type="paragraph" w:customStyle="1" w:styleId="252">
    <w:name w:val="_Style 12"/>
    <w:basedOn w:val="1"/>
    <w:qFormat/>
    <w:uiPriority w:val="0"/>
    <w:rPr>
      <w:sz w:val="28"/>
      <w:szCs w:val="28"/>
    </w:rPr>
  </w:style>
  <w:style w:type="paragraph" w:customStyle="1" w:styleId="253">
    <w:name w:val="样式"/>
    <w:link w:val="546"/>
    <w:qFormat/>
    <w:uiPriority w:val="0"/>
    <w:pPr>
      <w:widowControl w:val="0"/>
      <w:autoSpaceDE w:val="0"/>
      <w:autoSpaceDN w:val="0"/>
      <w:adjustRightInd w:val="0"/>
    </w:pPr>
    <w:rPr>
      <w:rFonts w:ascii="宋体" w:hAnsi="宋体" w:eastAsia="宋体" w:cs="Times New Roman"/>
      <w:sz w:val="24"/>
      <w:lang w:val="en-US" w:eastAsia="zh-CN" w:bidi="ar-SA"/>
    </w:rPr>
  </w:style>
  <w:style w:type="paragraph" w:customStyle="1" w:styleId="254">
    <w:name w:val="Char2"/>
    <w:basedOn w:val="1"/>
    <w:qFormat/>
    <w:uiPriority w:val="0"/>
    <w:pPr>
      <w:ind w:left="432" w:hanging="432"/>
    </w:pPr>
    <w:rPr>
      <w:sz w:val="24"/>
    </w:rPr>
  </w:style>
  <w:style w:type="paragraph" w:customStyle="1" w:styleId="255">
    <w:name w:val="样式 标题 1 + 首行缩进:  2 字符"/>
    <w:basedOn w:val="3"/>
    <w:qFormat/>
    <w:uiPriority w:val="0"/>
    <w:pPr>
      <w:spacing w:before="0" w:after="0" w:line="576" w:lineRule="auto"/>
      <w:jc w:val="left"/>
    </w:pPr>
    <w:rPr>
      <w:rFonts w:cs="宋体"/>
      <w:spacing w:val="0"/>
      <w:sz w:val="44"/>
    </w:rPr>
  </w:style>
  <w:style w:type="paragraph" w:customStyle="1" w:styleId="256">
    <w:name w:val="_Style 7"/>
    <w:basedOn w:val="1"/>
    <w:qFormat/>
    <w:uiPriority w:val="0"/>
    <w:pPr>
      <w:pageBreakBefore/>
      <w:spacing w:line="360" w:lineRule="auto"/>
    </w:pPr>
  </w:style>
  <w:style w:type="paragraph" w:customStyle="1" w:styleId="257">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58">
    <w:name w:val="Char Char Char Char Char Char Char Char Char Char"/>
    <w:basedOn w:val="1"/>
    <w:qFormat/>
    <w:uiPriority w:val="0"/>
  </w:style>
  <w:style w:type="paragraph" w:customStyle="1" w:styleId="259">
    <w:name w:val="t_black_12_b"/>
    <w:basedOn w:val="1"/>
    <w:qFormat/>
    <w:uiPriority w:val="0"/>
    <w:pPr>
      <w:widowControl/>
      <w:jc w:val="left"/>
    </w:pPr>
    <w:rPr>
      <w:rFonts w:ascii="宋体" w:hAnsi="宋体" w:cs="宋体"/>
      <w:b/>
      <w:bCs/>
      <w:color w:val="212121"/>
      <w:kern w:val="0"/>
      <w:sz w:val="9"/>
      <w:szCs w:val="9"/>
    </w:rPr>
  </w:style>
  <w:style w:type="paragraph" w:customStyle="1" w:styleId="260">
    <w:name w:val="4 Char Char Char Char Char Char Char Char Char Char Char Char Char Char Char Char Char Char Char Char Char Char"/>
    <w:basedOn w:val="1"/>
    <w:qFormat/>
    <w:uiPriority w:val="0"/>
  </w:style>
  <w:style w:type="paragraph" w:customStyle="1" w:styleId="261">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262">
    <w:name w:val="Char Char Char Char Char Char Char Char Char Char Char Char Char"/>
    <w:basedOn w:val="1"/>
    <w:qFormat/>
    <w:uiPriority w:val="0"/>
    <w:rPr>
      <w:szCs w:val="24"/>
    </w:rPr>
  </w:style>
  <w:style w:type="character" w:customStyle="1" w:styleId="263">
    <w:name w:val="脚注文本 字符"/>
    <w:basedOn w:val="71"/>
    <w:link w:val="50"/>
    <w:qFormat/>
    <w:uiPriority w:val="0"/>
    <w:rPr>
      <w:kern w:val="2"/>
      <w:sz w:val="18"/>
      <w:szCs w:val="18"/>
    </w:rPr>
  </w:style>
  <w:style w:type="character" w:customStyle="1" w:styleId="264">
    <w:name w:val="样式 粉红 下划线"/>
    <w:qFormat/>
    <w:uiPriority w:val="0"/>
    <w:rPr>
      <w:color w:val="auto"/>
      <w:u w:val="none"/>
    </w:rPr>
  </w:style>
  <w:style w:type="character" w:customStyle="1" w:styleId="265">
    <w:name w:val="样式 粉红"/>
    <w:qFormat/>
    <w:uiPriority w:val="0"/>
    <w:rPr>
      <w:color w:val="auto"/>
      <w:u w:val="none"/>
    </w:rPr>
  </w:style>
  <w:style w:type="character" w:customStyle="1" w:styleId="266">
    <w:name w:val="正文首行缩进 字符"/>
    <w:basedOn w:val="139"/>
    <w:link w:val="28"/>
    <w:qFormat/>
    <w:uiPriority w:val="0"/>
    <w:rPr>
      <w:rFonts w:ascii="宋体" w:hAnsi="宋体"/>
      <w:color w:val="000000"/>
      <w:kern w:val="28"/>
      <w:sz w:val="21"/>
      <w:szCs w:val="21"/>
    </w:rPr>
  </w:style>
  <w:style w:type="paragraph" w:customStyle="1" w:styleId="267">
    <w:name w:val="范本-正文"/>
    <w:qFormat/>
    <w:uiPriority w:val="0"/>
    <w:pPr>
      <w:spacing w:line="360" w:lineRule="auto"/>
      <w:ind w:firstLine="420"/>
    </w:pPr>
    <w:rPr>
      <w:rFonts w:ascii="Times New Roman" w:hAnsi="Times New Roman" w:eastAsia="宋体" w:cs="Times New Roman"/>
      <w:iCs/>
      <w:kern w:val="2"/>
      <w:sz w:val="24"/>
      <w:szCs w:val="21"/>
      <w:lang w:val="en-US" w:eastAsia="zh-CN" w:bidi="ar-SA"/>
    </w:rPr>
  </w:style>
  <w:style w:type="paragraph" w:customStyle="1" w:styleId="268">
    <w:name w:val="金安桥正文"/>
    <w:basedOn w:val="26"/>
    <w:qFormat/>
    <w:uiPriority w:val="0"/>
    <w:pPr>
      <w:adjustRightInd w:val="0"/>
      <w:spacing w:line="300" w:lineRule="auto"/>
      <w:ind w:firstLine="200" w:firstLineChars="200"/>
      <w:jc w:val="left"/>
    </w:pPr>
    <w:rPr>
      <w:kern w:val="0"/>
      <w:sz w:val="24"/>
    </w:rPr>
  </w:style>
  <w:style w:type="paragraph" w:customStyle="1" w:styleId="269">
    <w:name w:val="正  文"/>
    <w:basedOn w:val="1"/>
    <w:qFormat/>
    <w:uiPriority w:val="0"/>
    <w:pPr>
      <w:spacing w:line="360" w:lineRule="auto"/>
      <w:ind w:firstLine="200" w:firstLineChars="200"/>
    </w:pPr>
    <w:rPr>
      <w:rFonts w:ascii="宋体"/>
      <w:sz w:val="24"/>
      <w:szCs w:val="24"/>
    </w:rPr>
  </w:style>
  <w:style w:type="paragraph" w:customStyle="1" w:styleId="270">
    <w:name w:val="XW标题3"/>
    <w:basedOn w:val="246"/>
    <w:next w:val="246"/>
    <w:qFormat/>
    <w:uiPriority w:val="0"/>
    <w:pPr>
      <w:snapToGrid/>
      <w:spacing w:before="200" w:line="360" w:lineRule="auto"/>
      <w:ind w:firstLine="0" w:firstLineChars="0"/>
      <w:outlineLvl w:val="2"/>
    </w:pPr>
    <w:rPr>
      <w:rFonts w:ascii="Arial" w:hAnsi="Arial" w:eastAsia="黑体"/>
      <w:sz w:val="30"/>
      <w:szCs w:val="20"/>
    </w:rPr>
  </w:style>
  <w:style w:type="paragraph" w:customStyle="1" w:styleId="271">
    <w:name w:val="XW悬挂正文"/>
    <w:basedOn w:val="246"/>
    <w:qFormat/>
    <w:uiPriority w:val="0"/>
    <w:pPr>
      <w:snapToGrid/>
      <w:spacing w:line="360" w:lineRule="auto"/>
      <w:ind w:left="1474" w:hanging="340" w:firstLineChars="0"/>
    </w:pPr>
    <w:rPr>
      <w:rFonts w:hAnsi="宋体"/>
      <w:sz w:val="24"/>
      <w:szCs w:val="20"/>
    </w:rPr>
  </w:style>
  <w:style w:type="paragraph" w:customStyle="1" w:styleId="272">
    <w:name w:val="XW标题1"/>
    <w:basedOn w:val="246"/>
    <w:next w:val="246"/>
    <w:qFormat/>
    <w:uiPriority w:val="0"/>
    <w:pPr>
      <w:snapToGrid/>
      <w:spacing w:before="5000" w:line="360" w:lineRule="auto"/>
      <w:ind w:left="425" w:hanging="425" w:firstLineChars="0"/>
      <w:jc w:val="center"/>
      <w:outlineLvl w:val="0"/>
    </w:pPr>
    <w:rPr>
      <w:rFonts w:ascii="Arial" w:hAnsi="Arial" w:eastAsia="黑体"/>
      <w:sz w:val="44"/>
      <w:szCs w:val="20"/>
    </w:rPr>
  </w:style>
  <w:style w:type="paragraph" w:customStyle="1" w:styleId="273">
    <w:name w:val="首页脚样式"/>
    <w:basedOn w:val="42"/>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rPr>
  </w:style>
  <w:style w:type="paragraph" w:customStyle="1" w:styleId="274">
    <w:name w:val="标题3"/>
    <w:basedOn w:val="243"/>
    <w:qFormat/>
    <w:uiPriority w:val="0"/>
    <w:pPr>
      <w:snapToGrid/>
      <w:spacing w:before="0" w:after="0" w:line="360" w:lineRule="auto"/>
      <w:jc w:val="both"/>
      <w:outlineLvl w:val="0"/>
    </w:pPr>
    <w:rPr>
      <w:b/>
      <w:kern w:val="44"/>
    </w:rPr>
  </w:style>
  <w:style w:type="paragraph" w:customStyle="1" w:styleId="275">
    <w:name w:val="正文小标题"/>
    <w:basedOn w:val="1"/>
    <w:next w:val="25"/>
    <w:qFormat/>
    <w:uiPriority w:val="0"/>
    <w:pPr>
      <w:tabs>
        <w:tab w:val="left" w:pos="735"/>
        <w:tab w:val="left" w:pos="780"/>
      </w:tabs>
      <w:overflowPunct w:val="0"/>
      <w:autoSpaceDE w:val="0"/>
      <w:autoSpaceDN w:val="0"/>
      <w:adjustRightInd w:val="0"/>
      <w:ind w:firstLine="420" w:firstLineChars="200"/>
    </w:pPr>
    <w:rPr>
      <w:rFonts w:hAnsi="宋体"/>
      <w:kern w:val="0"/>
    </w:rPr>
  </w:style>
  <w:style w:type="paragraph" w:customStyle="1" w:styleId="276">
    <w:name w:val="基准标题"/>
    <w:basedOn w:val="25"/>
    <w:next w:val="25"/>
    <w:qFormat/>
    <w:uiPriority w:val="0"/>
    <w:pPr>
      <w:widowControl/>
      <w:tabs>
        <w:tab w:val="left" w:pos="6000"/>
        <w:tab w:val="left" w:pos="7680"/>
      </w:tabs>
      <w:adjustRightInd/>
      <w:spacing w:line="360" w:lineRule="auto"/>
      <w:ind w:firstLine="422" w:firstLineChars="200"/>
      <w:jc w:val="left"/>
    </w:pPr>
    <w:rPr>
      <w:rFonts w:ascii="Garamond" w:hAnsi="Garamond"/>
      <w:bCs w:val="0"/>
      <w:color w:val="auto"/>
      <w:kern w:val="0"/>
      <w:sz w:val="21"/>
    </w:rPr>
  </w:style>
  <w:style w:type="paragraph" w:customStyle="1" w:styleId="277">
    <w:name w:val="XW标题2"/>
    <w:basedOn w:val="246"/>
    <w:next w:val="246"/>
    <w:qFormat/>
    <w:uiPriority w:val="0"/>
    <w:pPr>
      <w:snapToGrid/>
      <w:spacing w:before="300" w:line="360" w:lineRule="auto"/>
      <w:ind w:firstLine="0" w:firstLineChars="0"/>
      <w:outlineLvl w:val="1"/>
    </w:pPr>
    <w:rPr>
      <w:rFonts w:ascii="Arial" w:hAnsi="Arial" w:eastAsia="黑体"/>
      <w:sz w:val="32"/>
      <w:szCs w:val="20"/>
    </w:rPr>
  </w:style>
  <w:style w:type="paragraph" w:customStyle="1" w:styleId="278">
    <w:name w:val="奇页脚样式"/>
    <w:basedOn w:val="42"/>
    <w:qFormat/>
    <w:uiPriority w:val="0"/>
    <w:pPr>
      <w:keepLines/>
      <w:widowControl/>
      <w:tabs>
        <w:tab w:val="right" w:pos="-18551"/>
        <w:tab w:val="right" w:pos="4320"/>
        <w:tab w:val="clear" w:pos="4153"/>
        <w:tab w:val="clear" w:pos="8306"/>
      </w:tabs>
      <w:snapToGrid/>
      <w:spacing w:before="600" w:line="240" w:lineRule="atLeast"/>
      <w:ind w:left="-840" w:right="-840"/>
      <w:jc w:val="center"/>
    </w:pPr>
    <w:rPr>
      <w:rFonts w:ascii="Garamond" w:hAnsi="Garamond"/>
      <w:smallCaps/>
      <w:spacing w:val="15"/>
      <w:kern w:val="0"/>
      <w:sz w:val="24"/>
    </w:rPr>
  </w:style>
  <w:style w:type="paragraph" w:customStyle="1" w:styleId="279">
    <w:name w:val="XW标题4"/>
    <w:basedOn w:val="246"/>
    <w:next w:val="246"/>
    <w:qFormat/>
    <w:uiPriority w:val="0"/>
    <w:pPr>
      <w:snapToGrid/>
      <w:spacing w:before="200" w:line="360" w:lineRule="auto"/>
      <w:ind w:firstLine="0" w:firstLineChars="0"/>
      <w:outlineLvl w:val="3"/>
    </w:pPr>
    <w:rPr>
      <w:rFonts w:hAnsi="宋体" w:eastAsia="仿宋_GB2312"/>
      <w:b/>
      <w:sz w:val="28"/>
      <w:szCs w:val="20"/>
    </w:rPr>
  </w:style>
  <w:style w:type="paragraph" w:customStyle="1" w:styleId="280">
    <w:name w:val="XW表名"/>
    <w:basedOn w:val="3"/>
    <w:qFormat/>
    <w:uiPriority w:val="0"/>
    <w:pPr>
      <w:keepNext w:val="0"/>
      <w:keepLines w:val="0"/>
      <w:adjustRightInd w:val="0"/>
      <w:spacing w:before="300" w:after="80"/>
      <w:outlineLvl w:val="9"/>
    </w:pPr>
    <w:rPr>
      <w:rFonts w:eastAsia="黑体"/>
      <w:b w:val="0"/>
      <w:spacing w:val="0"/>
      <w:sz w:val="24"/>
    </w:rPr>
  </w:style>
  <w:style w:type="paragraph" w:customStyle="1" w:styleId="281">
    <w:name w:val="XW表内文字"/>
    <w:basedOn w:val="1"/>
    <w:qFormat/>
    <w:uiPriority w:val="0"/>
    <w:pPr>
      <w:adjustRightInd w:val="0"/>
      <w:spacing w:before="60" w:after="60" w:line="300" w:lineRule="exact"/>
      <w:ind w:firstLine="422" w:firstLineChars="200"/>
      <w:jc w:val="center"/>
    </w:pPr>
    <w:rPr>
      <w:rFonts w:hAnsi="宋体"/>
      <w:kern w:val="0"/>
    </w:rPr>
  </w:style>
  <w:style w:type="paragraph" w:customStyle="1" w:styleId="282">
    <w:name w:val="XW图名表名"/>
    <w:basedOn w:val="1"/>
    <w:qFormat/>
    <w:uiPriority w:val="0"/>
    <w:pPr>
      <w:adjustRightInd w:val="0"/>
      <w:spacing w:before="120" w:after="60"/>
      <w:ind w:firstLine="422" w:firstLineChars="200"/>
      <w:jc w:val="center"/>
    </w:pPr>
    <w:rPr>
      <w:rFonts w:hAnsi="宋体" w:eastAsia="黑体"/>
      <w:kern w:val="0"/>
      <w:sz w:val="24"/>
    </w:rPr>
  </w:style>
  <w:style w:type="paragraph" w:customStyle="1" w:styleId="283">
    <w:name w:val="正文2"/>
    <w:basedOn w:val="1"/>
    <w:next w:val="1"/>
    <w:qFormat/>
    <w:uiPriority w:val="0"/>
    <w:pPr>
      <w:tabs>
        <w:tab w:val="left" w:pos="4025"/>
      </w:tabs>
      <w:spacing w:line="360" w:lineRule="auto"/>
      <w:ind w:left="4025" w:hanging="425" w:firstLineChars="200"/>
    </w:pPr>
    <w:rPr>
      <w:rFonts w:hAnsi="宋体"/>
      <w:sz w:val="24"/>
    </w:rPr>
  </w:style>
  <w:style w:type="paragraph" w:customStyle="1" w:styleId="284">
    <w:name w:val="目录"/>
    <w:basedOn w:val="1"/>
    <w:qFormat/>
    <w:uiPriority w:val="0"/>
    <w:pPr>
      <w:spacing w:before="240" w:after="600" w:line="560" w:lineRule="exact"/>
      <w:jc w:val="center"/>
    </w:pPr>
    <w:rPr>
      <w:rFonts w:eastAsia="黑体"/>
      <w:sz w:val="32"/>
      <w:szCs w:val="32"/>
    </w:rPr>
  </w:style>
  <w:style w:type="paragraph" w:customStyle="1" w:styleId="285">
    <w:name w:val="简单回函地址"/>
    <w:basedOn w:val="1"/>
    <w:qFormat/>
    <w:uiPriority w:val="0"/>
    <w:rPr>
      <w:szCs w:val="24"/>
    </w:rPr>
  </w:style>
  <w:style w:type="paragraph" w:customStyle="1" w:styleId="286">
    <w:name w:val="条款正文（三级标题）"/>
    <w:basedOn w:val="5"/>
    <w:qFormat/>
    <w:uiPriority w:val="0"/>
    <w:pPr>
      <w:keepNext w:val="0"/>
      <w:keepLines w:val="0"/>
      <w:tabs>
        <w:tab w:val="left" w:pos="720"/>
      </w:tabs>
      <w:autoSpaceDE w:val="0"/>
      <w:autoSpaceDN w:val="0"/>
      <w:adjustRightInd w:val="0"/>
      <w:spacing w:before="0" w:after="0" w:line="360" w:lineRule="auto"/>
      <w:ind w:firstLine="416" w:firstLineChars="198"/>
    </w:pPr>
    <w:rPr>
      <w:rFonts w:ascii="Times New Roman"/>
      <w:b w:val="0"/>
      <w:color w:val="000000"/>
      <w:kern w:val="24"/>
      <w:sz w:val="21"/>
    </w:rPr>
  </w:style>
  <w:style w:type="paragraph" w:customStyle="1" w:styleId="287">
    <w:name w:val="正文3"/>
    <w:basedOn w:val="1"/>
    <w:next w:val="1"/>
    <w:qFormat/>
    <w:uiPriority w:val="0"/>
    <w:pPr>
      <w:tabs>
        <w:tab w:val="left" w:pos="1276"/>
      </w:tabs>
      <w:autoSpaceDE w:val="0"/>
      <w:autoSpaceDN w:val="0"/>
      <w:adjustRightInd w:val="0"/>
      <w:spacing w:line="360" w:lineRule="auto"/>
      <w:ind w:left="1276" w:hanging="425" w:firstLineChars="200"/>
    </w:pPr>
    <w:rPr>
      <w:rFonts w:hAnsi="宋体"/>
      <w:spacing w:val="4"/>
      <w:sz w:val="24"/>
    </w:rPr>
  </w:style>
  <w:style w:type="paragraph" w:customStyle="1" w:styleId="288">
    <w:name w:val="标题一"/>
    <w:basedOn w:val="1"/>
    <w:qFormat/>
    <w:uiPriority w:val="0"/>
    <w:rPr>
      <w:b/>
      <w:sz w:val="30"/>
      <w:szCs w:val="24"/>
    </w:rPr>
  </w:style>
  <w:style w:type="character" w:customStyle="1" w:styleId="289">
    <w:name w:val="标题 1 Char1"/>
    <w:qFormat/>
    <w:uiPriority w:val="0"/>
    <w:rPr>
      <w:rFonts w:eastAsia="宋体"/>
      <w:b/>
      <w:bCs/>
      <w:kern w:val="44"/>
      <w:sz w:val="44"/>
      <w:szCs w:val="44"/>
      <w:lang w:val="en-US" w:eastAsia="zh-CN" w:bidi="ar-SA"/>
    </w:rPr>
  </w:style>
  <w:style w:type="character" w:customStyle="1" w:styleId="290">
    <w:name w:val="question-title2"/>
    <w:basedOn w:val="71"/>
    <w:qFormat/>
    <w:uiPriority w:val="0"/>
  </w:style>
  <w:style w:type="paragraph" w:customStyle="1" w:styleId="291">
    <w:name w:val="Char Char Char Char Char Char1 Char1"/>
    <w:basedOn w:val="1"/>
    <w:qFormat/>
    <w:uiPriority w:val="0"/>
    <w:pPr>
      <w:ind w:left="510"/>
    </w:pPr>
    <w:rPr>
      <w:szCs w:val="24"/>
    </w:rPr>
  </w:style>
  <w:style w:type="paragraph" w:customStyle="1" w:styleId="292">
    <w:name w:val="Char Char Char Char Char Char Char"/>
    <w:basedOn w:val="1"/>
    <w:next w:val="2"/>
    <w:qFormat/>
    <w:uiPriority w:val="0"/>
    <w:rPr>
      <w:sz w:val="28"/>
      <w:szCs w:val="28"/>
    </w:rPr>
  </w:style>
  <w:style w:type="paragraph" w:customStyle="1" w:styleId="293">
    <w:name w:val="Char Char Char Char Char Char"/>
    <w:basedOn w:val="1"/>
    <w:next w:val="2"/>
    <w:qFormat/>
    <w:uiPriority w:val="0"/>
    <w:rPr>
      <w:szCs w:val="24"/>
    </w:rPr>
  </w:style>
  <w:style w:type="paragraph" w:customStyle="1" w:styleId="294">
    <w:name w:val="正文4"/>
    <w:qFormat/>
    <w:uiPriority w:val="0"/>
    <w:pPr>
      <w:jc w:val="both"/>
    </w:pPr>
    <w:rPr>
      <w:rFonts w:ascii="Times New Roman" w:hAnsi="Times New Roman" w:eastAsia="宋体" w:cs="Times New Roman"/>
      <w:kern w:val="2"/>
      <w:sz w:val="21"/>
      <w:szCs w:val="21"/>
      <w:lang w:val="en-US" w:eastAsia="zh-CN" w:bidi="ar-SA"/>
    </w:rPr>
  </w:style>
  <w:style w:type="paragraph" w:customStyle="1" w:styleId="295">
    <w:name w:val="Char Char Char Char Char Char1 Char Char Char Char Char Char Char Char Char Char Char Char Char"/>
    <w:basedOn w:val="1"/>
    <w:qFormat/>
    <w:uiPriority w:val="0"/>
    <w:rPr>
      <w:szCs w:val="24"/>
    </w:rPr>
  </w:style>
  <w:style w:type="character" w:customStyle="1" w:styleId="296">
    <w:name w:val="正文文本 Char1"/>
    <w:qFormat/>
    <w:uiPriority w:val="0"/>
    <w:rPr>
      <w:kern w:val="2"/>
      <w:sz w:val="21"/>
      <w:szCs w:val="22"/>
    </w:rPr>
  </w:style>
  <w:style w:type="character" w:customStyle="1" w:styleId="297">
    <w:name w:val="明显强调1"/>
    <w:qFormat/>
    <w:uiPriority w:val="0"/>
    <w:rPr>
      <w:b/>
      <w:bCs/>
      <w:i/>
      <w:iCs/>
      <w:color w:val="4F81BD"/>
    </w:rPr>
  </w:style>
  <w:style w:type="character" w:customStyle="1" w:styleId="298">
    <w:name w:val="批注主题 Char1"/>
    <w:qFormat/>
    <w:uiPriority w:val="99"/>
    <w:rPr>
      <w:b/>
      <w:bCs/>
      <w:kern w:val="2"/>
      <w:sz w:val="21"/>
      <w:szCs w:val="22"/>
    </w:rPr>
  </w:style>
  <w:style w:type="character" w:customStyle="1" w:styleId="299">
    <w:name w:val="批注框文本 Char1"/>
    <w:qFormat/>
    <w:uiPriority w:val="99"/>
    <w:rPr>
      <w:kern w:val="2"/>
      <w:sz w:val="18"/>
      <w:szCs w:val="18"/>
    </w:rPr>
  </w:style>
  <w:style w:type="character" w:customStyle="1" w:styleId="300">
    <w:name w:val="书籍标题1"/>
    <w:qFormat/>
    <w:uiPriority w:val="0"/>
    <w:rPr>
      <w:b/>
      <w:bCs/>
      <w:smallCaps/>
      <w:spacing w:val="5"/>
    </w:rPr>
  </w:style>
  <w:style w:type="character" w:customStyle="1" w:styleId="301">
    <w:name w:val="副标题 字符"/>
    <w:link w:val="48"/>
    <w:qFormat/>
    <w:uiPriority w:val="11"/>
    <w:rPr>
      <w:rFonts w:ascii="Cambria" w:hAnsi="Cambria"/>
      <w:b/>
      <w:bCs/>
      <w:kern w:val="28"/>
      <w:sz w:val="32"/>
      <w:szCs w:val="32"/>
    </w:rPr>
  </w:style>
  <w:style w:type="character" w:customStyle="1" w:styleId="302">
    <w:name w:val="副标题 Char1"/>
    <w:basedOn w:val="71"/>
    <w:qFormat/>
    <w:uiPriority w:val="0"/>
    <w:rPr>
      <w:rFonts w:asciiTheme="majorHAnsi" w:hAnsiTheme="majorHAnsi" w:cstheme="majorBidi"/>
      <w:b/>
      <w:bCs/>
      <w:kern w:val="28"/>
      <w:sz w:val="32"/>
      <w:szCs w:val="32"/>
    </w:rPr>
  </w:style>
  <w:style w:type="character" w:customStyle="1" w:styleId="303">
    <w:name w:val="批注文字 Char Char"/>
    <w:qFormat/>
    <w:uiPriority w:val="0"/>
    <w:rPr>
      <w:rFonts w:ascii="宋体" w:hAnsi="Times New Roman" w:eastAsia="宋体" w:cs="Times New Roman"/>
      <w:sz w:val="28"/>
      <w:szCs w:val="20"/>
    </w:rPr>
  </w:style>
  <w:style w:type="character" w:customStyle="1" w:styleId="304">
    <w:name w:val="不明显强调1"/>
    <w:qFormat/>
    <w:uiPriority w:val="0"/>
    <w:rPr>
      <w:i/>
      <w:iCs/>
      <w:color w:val="808080"/>
    </w:rPr>
  </w:style>
  <w:style w:type="character" w:customStyle="1" w:styleId="305">
    <w:name w:val="不明显参考1"/>
    <w:qFormat/>
    <w:uiPriority w:val="0"/>
    <w:rPr>
      <w:smallCaps/>
      <w:color w:val="C0504D"/>
      <w:u w:val="single"/>
    </w:rPr>
  </w:style>
  <w:style w:type="character" w:customStyle="1" w:styleId="306">
    <w:name w:val="明显参考1"/>
    <w:qFormat/>
    <w:uiPriority w:val="0"/>
    <w:rPr>
      <w:b/>
      <w:bCs/>
      <w:smallCaps/>
      <w:color w:val="C0504D"/>
      <w:spacing w:val="5"/>
      <w:u w:val="single"/>
    </w:rPr>
  </w:style>
  <w:style w:type="character" w:customStyle="1" w:styleId="307">
    <w:name w:val="标题5 Char Char"/>
    <w:link w:val="308"/>
    <w:qFormat/>
    <w:uiPriority w:val="0"/>
    <w:rPr>
      <w:rFonts w:ascii="Arial" w:hAnsi="Arial"/>
      <w:b/>
      <w:bCs/>
      <w:sz w:val="24"/>
      <w:szCs w:val="32"/>
    </w:rPr>
  </w:style>
  <w:style w:type="paragraph" w:customStyle="1" w:styleId="308">
    <w:name w:val="标题5"/>
    <w:basedOn w:val="5"/>
    <w:link w:val="307"/>
    <w:qFormat/>
    <w:uiPriority w:val="0"/>
    <w:pPr>
      <w:spacing w:before="260" w:after="260" w:line="413" w:lineRule="auto"/>
      <w:ind w:firstLine="0"/>
    </w:pPr>
    <w:rPr>
      <w:rFonts w:ascii="Arial" w:hAnsi="Arial"/>
      <w:bCs/>
      <w:kern w:val="0"/>
      <w:szCs w:val="32"/>
    </w:rPr>
  </w:style>
  <w:style w:type="character" w:customStyle="1" w:styleId="309">
    <w:name w:val="明显引用 字符"/>
    <w:link w:val="310"/>
    <w:qFormat/>
    <w:uiPriority w:val="99"/>
    <w:rPr>
      <w:b/>
      <w:bCs/>
      <w:i/>
      <w:iCs/>
      <w:color w:val="4F81BD"/>
    </w:rPr>
  </w:style>
  <w:style w:type="paragraph" w:styleId="310">
    <w:name w:val="Intense Quote"/>
    <w:basedOn w:val="1"/>
    <w:next w:val="1"/>
    <w:link w:val="309"/>
    <w:qFormat/>
    <w:uiPriority w:val="0"/>
    <w:pPr>
      <w:pBdr>
        <w:bottom w:val="single" w:color="4F81BD" w:sz="4" w:space="4"/>
      </w:pBdr>
      <w:spacing w:before="200" w:after="280"/>
      <w:ind w:left="936" w:right="936"/>
    </w:pPr>
    <w:rPr>
      <w:b/>
      <w:bCs/>
      <w:i/>
      <w:iCs/>
      <w:color w:val="4F81BD"/>
      <w:kern w:val="0"/>
      <w:sz w:val="20"/>
    </w:rPr>
  </w:style>
  <w:style w:type="character" w:customStyle="1" w:styleId="311">
    <w:name w:val="明显引用 Char1"/>
    <w:basedOn w:val="71"/>
    <w:link w:val="312"/>
    <w:qFormat/>
    <w:uiPriority w:val="0"/>
    <w:rPr>
      <w:b/>
      <w:bCs/>
      <w:i/>
      <w:iCs/>
      <w:color w:val="4F81BD" w:themeColor="accent1"/>
      <w:kern w:val="2"/>
      <w:sz w:val="21"/>
      <w14:textFill>
        <w14:solidFill>
          <w14:schemeClr w14:val="accent1"/>
        </w14:solidFill>
      </w14:textFill>
    </w:rPr>
  </w:style>
  <w:style w:type="paragraph" w:customStyle="1" w:styleId="312">
    <w:name w:val="Intense Quote1"/>
    <w:basedOn w:val="1"/>
    <w:next w:val="1"/>
    <w:link w:val="311"/>
    <w:autoRedefine/>
    <w:qFormat/>
    <w:uiPriority w:val="0"/>
    <w:pPr>
      <w:pBdr>
        <w:bottom w:val="single" w:color="4F81BD" w:sz="4" w:space="4"/>
      </w:pBdr>
      <w:spacing w:before="200" w:after="280"/>
      <w:ind w:left="936" w:right="936"/>
    </w:pPr>
    <w:rPr>
      <w:b/>
      <w:bCs/>
      <w:i/>
      <w:iCs/>
      <w:color w:val="4F81BD" w:themeColor="accent1"/>
      <w14:textFill>
        <w14:solidFill>
          <w14:schemeClr w14:val="accent1"/>
        </w14:solidFill>
      </w14:textFill>
    </w:rPr>
  </w:style>
  <w:style w:type="character" w:customStyle="1" w:styleId="313">
    <w:name w:val="日期 Char1"/>
    <w:qFormat/>
    <w:uiPriority w:val="99"/>
    <w:rPr>
      <w:kern w:val="2"/>
      <w:sz w:val="21"/>
      <w:szCs w:val="22"/>
    </w:rPr>
  </w:style>
  <w:style w:type="character" w:customStyle="1" w:styleId="314">
    <w:name w:val="文档结构图 Char1"/>
    <w:qFormat/>
    <w:uiPriority w:val="99"/>
    <w:rPr>
      <w:rFonts w:ascii="宋体"/>
      <w:kern w:val="2"/>
      <w:sz w:val="18"/>
      <w:szCs w:val="18"/>
    </w:rPr>
  </w:style>
  <w:style w:type="character" w:customStyle="1" w:styleId="315">
    <w:name w:val="textcontents"/>
    <w:qFormat/>
    <w:uiPriority w:val="0"/>
    <w:rPr>
      <w:rFonts w:cs="Times New Roman"/>
    </w:rPr>
  </w:style>
  <w:style w:type="character" w:customStyle="1" w:styleId="316">
    <w:name w:val="引用 字符"/>
    <w:link w:val="317"/>
    <w:qFormat/>
    <w:uiPriority w:val="99"/>
    <w:rPr>
      <w:i/>
      <w:iCs/>
      <w:color w:val="000000"/>
    </w:rPr>
  </w:style>
  <w:style w:type="paragraph" w:styleId="317">
    <w:name w:val="Quote"/>
    <w:basedOn w:val="1"/>
    <w:next w:val="1"/>
    <w:link w:val="316"/>
    <w:qFormat/>
    <w:uiPriority w:val="0"/>
    <w:rPr>
      <w:i/>
      <w:iCs/>
      <w:color w:val="000000"/>
      <w:kern w:val="0"/>
      <w:sz w:val="20"/>
    </w:rPr>
  </w:style>
  <w:style w:type="character" w:customStyle="1" w:styleId="318">
    <w:name w:val="引用 Char1"/>
    <w:basedOn w:val="71"/>
    <w:link w:val="319"/>
    <w:qFormat/>
    <w:uiPriority w:val="29"/>
    <w:rPr>
      <w:i/>
      <w:iCs/>
      <w:color w:val="000000" w:themeColor="text1"/>
      <w:kern w:val="2"/>
      <w:sz w:val="21"/>
      <w14:textFill>
        <w14:solidFill>
          <w14:schemeClr w14:val="tx1"/>
        </w14:solidFill>
      </w14:textFill>
    </w:rPr>
  </w:style>
  <w:style w:type="paragraph" w:customStyle="1" w:styleId="319">
    <w:name w:val="Quote1"/>
    <w:basedOn w:val="1"/>
    <w:next w:val="1"/>
    <w:link w:val="318"/>
    <w:autoRedefine/>
    <w:qFormat/>
    <w:uiPriority w:val="29"/>
    <w:rPr>
      <w:i/>
      <w:iCs/>
      <w:color w:val="000000" w:themeColor="text1"/>
      <w14:textFill>
        <w14:solidFill>
          <w14:schemeClr w14:val="tx1"/>
        </w14:solidFill>
      </w14:textFill>
    </w:rPr>
  </w:style>
  <w:style w:type="character" w:customStyle="1" w:styleId="320">
    <w:name w:val="Char Char Char1"/>
    <w:qFormat/>
    <w:uiPriority w:val="0"/>
    <w:rPr>
      <w:rFonts w:ascii="Verdana" w:hAnsi="Verdana" w:eastAsia="黑体"/>
      <w:lang w:eastAsia="en-US"/>
    </w:rPr>
  </w:style>
  <w:style w:type="character" w:customStyle="1" w:styleId="321">
    <w:name w:val="副标题 Char2"/>
    <w:basedOn w:val="71"/>
    <w:qFormat/>
    <w:uiPriority w:val="11"/>
    <w:rPr>
      <w:rFonts w:ascii="Cambria" w:hAnsi="Cambria" w:cs="Times New Roman"/>
      <w:b/>
      <w:bCs/>
      <w:kern w:val="28"/>
      <w:sz w:val="32"/>
      <w:szCs w:val="32"/>
    </w:rPr>
  </w:style>
  <w:style w:type="character" w:customStyle="1" w:styleId="322">
    <w:name w:val="明显引用 Char2"/>
    <w:basedOn w:val="71"/>
    <w:qFormat/>
    <w:uiPriority w:val="30"/>
    <w:rPr>
      <w:b/>
      <w:bCs/>
      <w:i/>
      <w:iCs/>
      <w:color w:val="4F81BD"/>
    </w:rPr>
  </w:style>
  <w:style w:type="paragraph" w:styleId="323">
    <w:name w:val="No Spacing"/>
    <w:link w:val="587"/>
    <w:qFormat/>
    <w:uiPriority w:val="1"/>
    <w:pPr>
      <w:widowControl w:val="0"/>
      <w:jc w:val="both"/>
    </w:pPr>
    <w:rPr>
      <w:rFonts w:ascii="Calibri" w:hAnsi="Calibri" w:eastAsia="宋体" w:cs="Times New Roman"/>
      <w:kern w:val="2"/>
      <w:sz w:val="21"/>
      <w:szCs w:val="22"/>
      <w:lang w:val="en-US" w:eastAsia="zh-CN" w:bidi="ar-SA"/>
    </w:rPr>
  </w:style>
  <w:style w:type="paragraph" w:customStyle="1" w:styleId="324">
    <w:name w:val="Char Char Char Char Char Char Char1"/>
    <w:basedOn w:val="1"/>
    <w:qFormat/>
    <w:uiPriority w:val="0"/>
    <w:pPr>
      <w:jc w:val="left"/>
    </w:pPr>
    <w:rPr>
      <w:rFonts w:ascii="宋体" w:hAnsi="宋体" w:cs="宋体"/>
      <w:kern w:val="0"/>
      <w:sz w:val="24"/>
      <w:szCs w:val="24"/>
    </w:rPr>
  </w:style>
  <w:style w:type="character" w:customStyle="1" w:styleId="325">
    <w:name w:val="引用 Char2"/>
    <w:basedOn w:val="71"/>
    <w:qFormat/>
    <w:uiPriority w:val="29"/>
    <w:rPr>
      <w:i/>
      <w:iCs/>
      <w:color w:val="000000"/>
    </w:rPr>
  </w:style>
  <w:style w:type="paragraph" w:customStyle="1" w:styleId="326">
    <w:name w:val="Char11"/>
    <w:basedOn w:val="1"/>
    <w:qFormat/>
    <w:uiPriority w:val="0"/>
    <w:rPr>
      <w:rFonts w:ascii="仿宋_GB2312" w:eastAsia="仿宋_GB2312"/>
      <w:b/>
      <w:sz w:val="32"/>
      <w:szCs w:val="32"/>
    </w:rPr>
  </w:style>
  <w:style w:type="paragraph" w:customStyle="1" w:styleId="327">
    <w:name w:val="Char12"/>
    <w:basedOn w:val="1"/>
    <w:qFormat/>
    <w:uiPriority w:val="0"/>
    <w:pPr>
      <w:pageBreakBefore/>
      <w:spacing w:line="360" w:lineRule="auto"/>
    </w:pPr>
    <w:rPr>
      <w:sz w:val="28"/>
    </w:rPr>
  </w:style>
  <w:style w:type="paragraph" w:customStyle="1" w:styleId="328">
    <w:name w:val="flNote"/>
    <w:basedOn w:val="1"/>
    <w:qFormat/>
    <w:uiPriority w:val="0"/>
    <w:pPr>
      <w:adjustRightInd w:val="0"/>
      <w:spacing w:before="320" w:after="160" w:line="360" w:lineRule="atLeast"/>
      <w:jc w:val="center"/>
    </w:pPr>
    <w:rPr>
      <w:rFonts w:ascii="Arial" w:eastAsia="黑体"/>
      <w:kern w:val="0"/>
      <w:sz w:val="30"/>
    </w:rPr>
  </w:style>
  <w:style w:type="paragraph" w:customStyle="1" w:styleId="329">
    <w:name w:val="空半行"/>
    <w:basedOn w:val="1"/>
    <w:qFormat/>
    <w:uiPriority w:val="0"/>
    <w:pPr>
      <w:adjustRightInd w:val="0"/>
      <w:spacing w:line="120" w:lineRule="exact"/>
    </w:pPr>
    <w:rPr>
      <w:rFonts w:eastAsia="仿宋_GB2312"/>
      <w:color w:val="FFFFFF"/>
      <w:kern w:val="0"/>
      <w:sz w:val="30"/>
    </w:rPr>
  </w:style>
  <w:style w:type="character" w:customStyle="1" w:styleId="330">
    <w:name w:val="标题 Char1"/>
    <w:basedOn w:val="71"/>
    <w:qFormat/>
    <w:locked/>
    <w:uiPriority w:val="0"/>
    <w:rPr>
      <w:rFonts w:ascii="Cambria" w:hAnsi="Cambria"/>
      <w:b/>
      <w:bCs/>
      <w:kern w:val="2"/>
      <w:sz w:val="32"/>
      <w:szCs w:val="32"/>
    </w:rPr>
  </w:style>
  <w:style w:type="character" w:customStyle="1" w:styleId="331">
    <w:name w:val="正文文本 Char2"/>
    <w:basedOn w:val="71"/>
    <w:qFormat/>
    <w:locked/>
    <w:uiPriority w:val="99"/>
  </w:style>
  <w:style w:type="paragraph" w:customStyle="1" w:styleId="332">
    <w:name w:val="Normal_5"/>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33">
    <w:name w:val="标题 1 字符1"/>
    <w:basedOn w:val="71"/>
    <w:qFormat/>
    <w:uiPriority w:val="0"/>
    <w:rPr>
      <w:b/>
      <w:bCs/>
      <w:kern w:val="44"/>
      <w:sz w:val="44"/>
      <w:szCs w:val="44"/>
    </w:rPr>
  </w:style>
  <w:style w:type="paragraph" w:customStyle="1" w:styleId="334">
    <w:name w:val="msonormal"/>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335">
    <w:name w:val="副标题 字符1"/>
    <w:basedOn w:val="71"/>
    <w:qFormat/>
    <w:uiPriority w:val="11"/>
    <w:rPr>
      <w:rFonts w:hint="default" w:asciiTheme="minorHAnsi" w:hAnsiTheme="minorHAnsi" w:eastAsiaTheme="minorEastAsia" w:cstheme="minorBidi"/>
      <w:b/>
      <w:bCs/>
      <w:kern w:val="28"/>
      <w:sz w:val="32"/>
      <w:szCs w:val="32"/>
    </w:rPr>
  </w:style>
  <w:style w:type="character" w:customStyle="1" w:styleId="336">
    <w:name w:val="明显引用 字符1"/>
    <w:basedOn w:val="71"/>
    <w:qFormat/>
    <w:uiPriority w:val="0"/>
    <w:rPr>
      <w:i/>
      <w:iCs/>
      <w:color w:val="4F81BD" w:themeColor="accent1"/>
      <w14:textFill>
        <w14:solidFill>
          <w14:schemeClr w14:val="accent1"/>
        </w14:solidFill>
      </w14:textFill>
    </w:rPr>
  </w:style>
  <w:style w:type="character" w:customStyle="1" w:styleId="337">
    <w:name w:val="引用 字符1"/>
    <w:basedOn w:val="71"/>
    <w:qFormat/>
    <w:uiPriority w:val="0"/>
    <w:rPr>
      <w:i/>
      <w:iCs/>
      <w:color w:val="404040" w:themeColor="text1" w:themeTint="BF"/>
      <w14:textFill>
        <w14:solidFill>
          <w14:schemeClr w14:val="tx1">
            <w14:lumMod w14:val="75000"/>
            <w14:lumOff w14:val="25000"/>
          </w14:schemeClr>
        </w14:solidFill>
      </w14:textFill>
    </w:rPr>
  </w:style>
  <w:style w:type="paragraph" w:customStyle="1" w:styleId="338">
    <w:name w:val="正文_5_0"/>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customStyle="1" w:styleId="339">
    <w:name w:val="Normal_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340">
    <w:name w:val="Default"/>
    <w:basedOn w:val="257"/>
    <w:link w:val="543"/>
    <w:qFormat/>
    <w:uiPriority w:val="0"/>
    <w:pPr>
      <w:widowControl w:val="0"/>
      <w:autoSpaceDE w:val="0"/>
      <w:autoSpaceDN w:val="0"/>
      <w:adjustRightInd w:val="0"/>
    </w:pPr>
    <w:rPr>
      <w:rFonts w:ascii="Calibri" w:hAnsi="Calibri"/>
      <w:color w:val="000000"/>
      <w:sz w:val="24"/>
      <w:szCs w:val="24"/>
    </w:rPr>
  </w:style>
  <w:style w:type="paragraph" w:customStyle="1" w:styleId="341">
    <w:name w:val="正文缩进1"/>
    <w:basedOn w:val="1"/>
    <w:next w:val="52"/>
    <w:qFormat/>
    <w:uiPriority w:val="0"/>
    <w:pPr>
      <w:widowControl/>
      <w:ind w:firstLine="420"/>
    </w:pPr>
  </w:style>
  <w:style w:type="character" w:customStyle="1" w:styleId="342">
    <w:name w:val="10"/>
    <w:basedOn w:val="71"/>
    <w:qFormat/>
    <w:uiPriority w:val="0"/>
    <w:rPr>
      <w:rFonts w:hint="default" w:ascii="Times New Roman" w:hAnsi="Times New Roman" w:cs="Times New Roman"/>
    </w:rPr>
  </w:style>
  <w:style w:type="character" w:customStyle="1" w:styleId="343">
    <w:name w:val="p0 Char"/>
    <w:link w:val="117"/>
    <w:qFormat/>
    <w:uiPriority w:val="0"/>
    <w:rPr>
      <w:sz w:val="21"/>
      <w:szCs w:val="21"/>
    </w:rPr>
  </w:style>
  <w:style w:type="character" w:customStyle="1" w:styleId="344">
    <w:name w:val="未处理的提及1"/>
    <w:basedOn w:val="71"/>
    <w:unhideWhenUsed/>
    <w:qFormat/>
    <w:uiPriority w:val="99"/>
    <w:rPr>
      <w:color w:val="605E5C"/>
      <w:shd w:val="clear" w:color="auto" w:fill="E1DFDD"/>
    </w:rPr>
  </w:style>
  <w:style w:type="character" w:customStyle="1" w:styleId="345">
    <w:name w:val="Char Char8"/>
    <w:qFormat/>
    <w:uiPriority w:val="0"/>
    <w:rPr>
      <w:rFonts w:hint="default" w:ascii="Arial" w:hAnsi="Arial" w:eastAsia="黑体" w:cs="Arial"/>
      <w:b/>
      <w:bCs/>
      <w:kern w:val="2"/>
      <w:sz w:val="32"/>
      <w:szCs w:val="32"/>
      <w:lang w:val="en-US" w:eastAsia="zh-CN" w:bidi="ar-SA"/>
    </w:rPr>
  </w:style>
  <w:style w:type="paragraph" w:customStyle="1" w:styleId="346">
    <w:name w:val="Table Paragraph"/>
    <w:basedOn w:val="1"/>
    <w:qFormat/>
    <w:uiPriority w:val="1"/>
    <w:pPr>
      <w:autoSpaceDE w:val="0"/>
      <w:autoSpaceDN w:val="0"/>
      <w:spacing w:before="2"/>
      <w:jc w:val="left"/>
    </w:pPr>
    <w:rPr>
      <w:rFonts w:ascii="宋体" w:hAnsi="宋体" w:cs="宋体"/>
      <w:kern w:val="0"/>
      <w:sz w:val="22"/>
      <w:szCs w:val="22"/>
      <w:lang w:eastAsia="en-US"/>
    </w:rPr>
  </w:style>
  <w:style w:type="character" w:customStyle="1" w:styleId="347">
    <w:name w:val="日期 字符1"/>
    <w:basedOn w:val="71"/>
    <w:qFormat/>
    <w:uiPriority w:val="0"/>
    <w:rPr>
      <w:rFonts w:ascii="Times New Roman" w:hAnsi="Times New Roman" w:eastAsia="宋体" w:cs="Times New Roman"/>
      <w:szCs w:val="20"/>
    </w:rPr>
  </w:style>
  <w:style w:type="character" w:customStyle="1" w:styleId="348">
    <w:name w:val="宏文本 字符1"/>
    <w:basedOn w:val="71"/>
    <w:semiHidden/>
    <w:qFormat/>
    <w:uiPriority w:val="0"/>
    <w:rPr>
      <w:rFonts w:ascii="Courier New" w:hAnsi="Courier New" w:eastAsia="宋体" w:cs="Courier New"/>
      <w:sz w:val="24"/>
      <w:szCs w:val="24"/>
    </w:rPr>
  </w:style>
  <w:style w:type="character" w:customStyle="1" w:styleId="349">
    <w:name w:val="正文文本首行缩进 2 字符1"/>
    <w:basedOn w:val="141"/>
    <w:qFormat/>
    <w:uiPriority w:val="0"/>
    <w:rPr>
      <w:rFonts w:ascii="Times New Roman" w:hAnsi="Times New Roman" w:eastAsia="宋体" w:cs="Times New Roman"/>
      <w:kern w:val="2"/>
      <w:sz w:val="21"/>
      <w:szCs w:val="20"/>
    </w:rPr>
  </w:style>
  <w:style w:type="character" w:customStyle="1" w:styleId="350">
    <w:name w:val="未处理的提及2"/>
    <w:basedOn w:val="71"/>
    <w:unhideWhenUsed/>
    <w:qFormat/>
    <w:uiPriority w:val="99"/>
    <w:rPr>
      <w:color w:val="605E5C"/>
      <w:shd w:val="clear" w:color="auto" w:fill="E1DFDD"/>
    </w:rPr>
  </w:style>
  <w:style w:type="table" w:customStyle="1" w:styleId="351">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352">
    <w:name w:val="p16"/>
    <w:basedOn w:val="1"/>
    <w:qFormat/>
    <w:uiPriority w:val="0"/>
    <w:pPr>
      <w:widowControl/>
    </w:pPr>
    <w:rPr>
      <w:rFonts w:ascii="Calibri" w:hAnsi="Calibri" w:cs="宋体"/>
      <w:kern w:val="0"/>
      <w:szCs w:val="21"/>
    </w:rPr>
  </w:style>
  <w:style w:type="character" w:customStyle="1" w:styleId="353">
    <w:name w:val="正文文本缩进 字符1"/>
    <w:basedOn w:val="71"/>
    <w:qFormat/>
    <w:uiPriority w:val="0"/>
  </w:style>
  <w:style w:type="character" w:customStyle="1" w:styleId="354">
    <w:name w:val="未处理的提及3"/>
    <w:basedOn w:val="71"/>
    <w:unhideWhenUsed/>
    <w:qFormat/>
    <w:uiPriority w:val="99"/>
    <w:rPr>
      <w:color w:val="605E5C"/>
      <w:shd w:val="clear" w:color="auto" w:fill="E1DFDD"/>
    </w:rPr>
  </w:style>
  <w:style w:type="paragraph" w:customStyle="1" w:styleId="355">
    <w:name w:val="Char6"/>
    <w:basedOn w:val="1"/>
    <w:qFormat/>
    <w:uiPriority w:val="0"/>
    <w:rPr>
      <w:rFonts w:ascii="仿宋_GB2312" w:eastAsia="仿宋_GB2312"/>
      <w:b/>
      <w:sz w:val="32"/>
      <w:szCs w:val="32"/>
    </w:rPr>
  </w:style>
  <w:style w:type="character" w:customStyle="1" w:styleId="356">
    <w:name w:val="已访问的超链接1"/>
    <w:qFormat/>
    <w:uiPriority w:val="0"/>
    <w:rPr>
      <w:rFonts w:ascii="Arial" w:hAnsi="Arial" w:eastAsia="黑体"/>
      <w:color w:val="800080"/>
      <w:kern w:val="2"/>
      <w:sz w:val="21"/>
      <w:szCs w:val="21"/>
      <w:u w:val="single"/>
      <w:lang w:val="en-US" w:eastAsia="zh-CN" w:bidi="ar-SA"/>
    </w:rPr>
  </w:style>
  <w:style w:type="paragraph" w:customStyle="1" w:styleId="357">
    <w:name w:val="Char Char Char3"/>
    <w:basedOn w:val="1"/>
    <w:qFormat/>
    <w:uiPriority w:val="0"/>
  </w:style>
  <w:style w:type="paragraph" w:customStyle="1" w:styleId="358">
    <w:name w:val="Char14"/>
    <w:basedOn w:val="1"/>
    <w:qFormat/>
    <w:uiPriority w:val="0"/>
    <w:pPr>
      <w:pageBreakBefore/>
      <w:spacing w:line="360" w:lineRule="auto"/>
    </w:pPr>
    <w:rPr>
      <w:sz w:val="28"/>
    </w:rPr>
  </w:style>
  <w:style w:type="paragraph" w:customStyle="1" w:styleId="359">
    <w:name w:val="Char Char Char Char Char Char Char Char Char Char3"/>
    <w:basedOn w:val="1"/>
    <w:qFormat/>
    <w:uiPriority w:val="0"/>
    <w:pPr>
      <w:snapToGrid w:val="0"/>
      <w:spacing w:line="360" w:lineRule="auto"/>
      <w:ind w:firstLine="200" w:firstLineChars="200"/>
    </w:pPr>
    <w:rPr>
      <w:rFonts w:eastAsia="仿宋_GB2312"/>
      <w:sz w:val="24"/>
      <w:szCs w:val="24"/>
    </w:rPr>
  </w:style>
  <w:style w:type="paragraph" w:customStyle="1" w:styleId="360">
    <w:name w:val="Char Char Char Char Char Char Char Char Char Char Char Char Char Char Char Char Char Char Char Char Char Char Char Char Char Char Char Char Char Char Char Char Char Char"/>
    <w:basedOn w:val="1"/>
    <w:qFormat/>
    <w:uiPriority w:val="0"/>
    <w:rPr>
      <w:szCs w:val="24"/>
    </w:rPr>
  </w:style>
  <w:style w:type="paragraph" w:customStyle="1" w:styleId="361">
    <w:name w:val="Char Char Char Char Char Char Char3"/>
    <w:basedOn w:val="1"/>
    <w:qFormat/>
    <w:uiPriority w:val="0"/>
    <w:pPr>
      <w:jc w:val="left"/>
    </w:pPr>
    <w:rPr>
      <w:rFonts w:ascii="宋体" w:hAnsi="宋体" w:cs="宋体"/>
      <w:kern w:val="0"/>
      <w:sz w:val="24"/>
      <w:szCs w:val="24"/>
    </w:rPr>
  </w:style>
  <w:style w:type="character" w:customStyle="1" w:styleId="362">
    <w:name w:val="Char Char11"/>
    <w:qFormat/>
    <w:uiPriority w:val="99"/>
    <w:rPr>
      <w:rFonts w:eastAsia="宋体"/>
      <w:b/>
      <w:kern w:val="2"/>
      <w:sz w:val="32"/>
      <w:lang w:val="en-US" w:eastAsia="zh-CN"/>
    </w:rPr>
  </w:style>
  <w:style w:type="character" w:customStyle="1" w:styleId="363">
    <w:name w:val="Char Char31"/>
    <w:qFormat/>
    <w:uiPriority w:val="0"/>
    <w:rPr>
      <w:rFonts w:eastAsia="宋体"/>
      <w:b/>
      <w:kern w:val="44"/>
      <w:sz w:val="44"/>
      <w:lang w:val="en-US" w:eastAsia="zh-CN"/>
    </w:rPr>
  </w:style>
  <w:style w:type="character" w:customStyle="1" w:styleId="364">
    <w:name w:val="Char Char21"/>
    <w:qFormat/>
    <w:uiPriority w:val="0"/>
    <w:rPr>
      <w:rFonts w:ascii="宋体" w:hAnsi="Courier New" w:eastAsia="宋体"/>
      <w:kern w:val="2"/>
      <w:sz w:val="21"/>
      <w:lang w:val="en-US" w:eastAsia="zh-CN"/>
    </w:rPr>
  </w:style>
  <w:style w:type="character" w:customStyle="1" w:styleId="365">
    <w:name w:val="Char Char Char2"/>
    <w:link w:val="366"/>
    <w:qFormat/>
    <w:uiPriority w:val="0"/>
    <w:rPr>
      <w:rFonts w:ascii="Arial" w:hAnsi="Arial" w:eastAsia="黑体"/>
      <w:kern w:val="2"/>
      <w:sz w:val="21"/>
      <w:szCs w:val="21"/>
    </w:rPr>
  </w:style>
  <w:style w:type="paragraph" w:customStyle="1" w:styleId="366">
    <w:name w:val="Char5"/>
    <w:basedOn w:val="1"/>
    <w:link w:val="365"/>
    <w:qFormat/>
    <w:uiPriority w:val="0"/>
    <w:pPr>
      <w:snapToGrid w:val="0"/>
      <w:spacing w:line="360" w:lineRule="auto"/>
      <w:ind w:firstLine="200" w:firstLineChars="200"/>
    </w:pPr>
    <w:rPr>
      <w:rFonts w:ascii="Arial" w:hAnsi="Arial" w:eastAsia="黑体"/>
      <w:szCs w:val="21"/>
    </w:rPr>
  </w:style>
  <w:style w:type="paragraph" w:customStyle="1" w:styleId="367">
    <w:name w:val="Char13"/>
    <w:basedOn w:val="1"/>
    <w:qFormat/>
    <w:uiPriority w:val="0"/>
    <w:pPr>
      <w:pageBreakBefore/>
      <w:spacing w:line="360" w:lineRule="auto"/>
    </w:pPr>
    <w:rPr>
      <w:sz w:val="28"/>
    </w:rPr>
  </w:style>
  <w:style w:type="paragraph" w:customStyle="1" w:styleId="368">
    <w:name w:val="Char Char Char Char Char Char Char Char Char Char2"/>
    <w:basedOn w:val="1"/>
    <w:qFormat/>
    <w:uiPriority w:val="0"/>
  </w:style>
  <w:style w:type="paragraph" w:customStyle="1" w:styleId="369">
    <w:name w:val="Char Char Char Char Char Char Char Char Char Char Char Char Char1"/>
    <w:basedOn w:val="1"/>
    <w:qFormat/>
    <w:uiPriority w:val="0"/>
    <w:rPr>
      <w:szCs w:val="24"/>
    </w:rPr>
  </w:style>
  <w:style w:type="paragraph" w:customStyle="1" w:styleId="370">
    <w:name w:val="Char Char Char Char Char Char1 Char11"/>
    <w:basedOn w:val="1"/>
    <w:qFormat/>
    <w:uiPriority w:val="0"/>
    <w:pPr>
      <w:ind w:left="510"/>
    </w:pPr>
    <w:rPr>
      <w:szCs w:val="24"/>
    </w:rPr>
  </w:style>
  <w:style w:type="paragraph" w:customStyle="1" w:styleId="371">
    <w:name w:val="Char Char Char Char Char Char Char2"/>
    <w:basedOn w:val="1"/>
    <w:next w:val="2"/>
    <w:qFormat/>
    <w:uiPriority w:val="0"/>
    <w:rPr>
      <w:sz w:val="28"/>
      <w:szCs w:val="28"/>
    </w:rPr>
  </w:style>
  <w:style w:type="paragraph" w:customStyle="1" w:styleId="372">
    <w:name w:val="Char Char Char Char Char Char1"/>
    <w:basedOn w:val="1"/>
    <w:next w:val="2"/>
    <w:qFormat/>
    <w:uiPriority w:val="0"/>
    <w:rPr>
      <w:szCs w:val="24"/>
    </w:rPr>
  </w:style>
  <w:style w:type="character" w:customStyle="1" w:styleId="373">
    <w:name w:val="批注文字 Char1"/>
    <w:qFormat/>
    <w:locked/>
    <w:uiPriority w:val="99"/>
    <w:rPr>
      <w:rFonts w:ascii="Calibri" w:hAnsi="Calibri"/>
      <w:kern w:val="2"/>
      <w:sz w:val="21"/>
      <w:szCs w:val="22"/>
    </w:rPr>
  </w:style>
  <w:style w:type="character" w:customStyle="1" w:styleId="374">
    <w:name w:val="页眉 Char1"/>
    <w:semiHidden/>
    <w:qFormat/>
    <w:locked/>
    <w:uiPriority w:val="99"/>
    <w:rPr>
      <w:rFonts w:ascii="Calibri" w:hAnsi="Calibri"/>
      <w:kern w:val="2"/>
      <w:sz w:val="18"/>
      <w:szCs w:val="18"/>
    </w:rPr>
  </w:style>
  <w:style w:type="character" w:customStyle="1" w:styleId="375">
    <w:name w:val="页脚 Char1"/>
    <w:semiHidden/>
    <w:qFormat/>
    <w:locked/>
    <w:uiPriority w:val="99"/>
    <w:rPr>
      <w:rFonts w:ascii="Calibri" w:hAnsi="Calibri"/>
      <w:kern w:val="2"/>
      <w:sz w:val="18"/>
      <w:szCs w:val="18"/>
    </w:rPr>
  </w:style>
  <w:style w:type="character" w:customStyle="1" w:styleId="376">
    <w:name w:val="批注主题 Char2"/>
    <w:qFormat/>
    <w:locked/>
    <w:uiPriority w:val="99"/>
    <w:rPr>
      <w:rFonts w:ascii="宋体" w:hAnsi="Calibri"/>
      <w:b/>
      <w:bCs/>
      <w:kern w:val="2"/>
      <w:sz w:val="28"/>
      <w:szCs w:val="22"/>
    </w:rPr>
  </w:style>
  <w:style w:type="character" w:customStyle="1" w:styleId="377">
    <w:name w:val="日期 Char2"/>
    <w:semiHidden/>
    <w:qFormat/>
    <w:locked/>
    <w:uiPriority w:val="99"/>
    <w:rPr>
      <w:rFonts w:ascii="宋体"/>
      <w:sz w:val="28"/>
    </w:rPr>
  </w:style>
  <w:style w:type="character" w:customStyle="1" w:styleId="378">
    <w:name w:val="批注框文本 Char2"/>
    <w:semiHidden/>
    <w:qFormat/>
    <w:locked/>
    <w:uiPriority w:val="99"/>
    <w:rPr>
      <w:rFonts w:ascii="宋体"/>
      <w:sz w:val="18"/>
      <w:szCs w:val="18"/>
    </w:rPr>
  </w:style>
  <w:style w:type="character" w:customStyle="1" w:styleId="379">
    <w:name w:val="标题 1 Char"/>
    <w:qFormat/>
    <w:uiPriority w:val="0"/>
    <w:rPr>
      <w:rFonts w:eastAsia="宋体"/>
      <w:b/>
      <w:bCs/>
      <w:kern w:val="44"/>
      <w:sz w:val="44"/>
      <w:szCs w:val="44"/>
      <w:lang w:bidi="ar-SA"/>
    </w:rPr>
  </w:style>
  <w:style w:type="character" w:customStyle="1" w:styleId="380">
    <w:name w:val="标题 3 Char"/>
    <w:qFormat/>
    <w:uiPriority w:val="0"/>
    <w:rPr>
      <w:rFonts w:ascii="Calibri" w:hAnsi="Calibri" w:eastAsia="宋体"/>
      <w:b/>
      <w:bCs/>
      <w:kern w:val="2"/>
      <w:sz w:val="32"/>
      <w:szCs w:val="32"/>
      <w:lang w:bidi="ar-SA"/>
    </w:rPr>
  </w:style>
  <w:style w:type="character" w:customStyle="1" w:styleId="381">
    <w:name w:val="标题 4 Char"/>
    <w:qFormat/>
    <w:uiPriority w:val="0"/>
    <w:rPr>
      <w:rFonts w:ascii="Cambria" w:hAnsi="Cambria" w:eastAsia="宋体"/>
      <w:b/>
      <w:bCs/>
      <w:kern w:val="2"/>
      <w:sz w:val="28"/>
      <w:szCs w:val="28"/>
      <w:lang w:bidi="ar-SA"/>
    </w:rPr>
  </w:style>
  <w:style w:type="character" w:customStyle="1" w:styleId="382">
    <w:name w:val="标题 5 Char"/>
    <w:qFormat/>
    <w:uiPriority w:val="0"/>
    <w:rPr>
      <w:rFonts w:eastAsia="宋体"/>
      <w:b/>
      <w:bCs/>
      <w:kern w:val="2"/>
      <w:sz w:val="28"/>
      <w:szCs w:val="28"/>
      <w:lang w:bidi="ar-SA"/>
    </w:rPr>
  </w:style>
  <w:style w:type="character" w:customStyle="1" w:styleId="383">
    <w:name w:val="标题 6 Char"/>
    <w:qFormat/>
    <w:uiPriority w:val="0"/>
    <w:rPr>
      <w:rFonts w:ascii="Arial" w:hAnsi="Arial" w:eastAsia="黑体"/>
      <w:b/>
      <w:bCs/>
      <w:sz w:val="24"/>
      <w:szCs w:val="24"/>
      <w:lang w:val="zh-CN" w:eastAsia="zh-CN"/>
    </w:rPr>
  </w:style>
  <w:style w:type="character" w:customStyle="1" w:styleId="384">
    <w:name w:val="标题 7 Char"/>
    <w:qFormat/>
    <w:uiPriority w:val="0"/>
    <w:rPr>
      <w:b/>
      <w:bCs/>
      <w:sz w:val="24"/>
      <w:szCs w:val="24"/>
      <w:lang w:val="zh-CN" w:eastAsia="zh-CN"/>
    </w:rPr>
  </w:style>
  <w:style w:type="character" w:customStyle="1" w:styleId="385">
    <w:name w:val="标题 8 Char"/>
    <w:qFormat/>
    <w:uiPriority w:val="0"/>
    <w:rPr>
      <w:rFonts w:ascii="Arial" w:hAnsi="Arial" w:eastAsia="黑体"/>
      <w:sz w:val="24"/>
      <w:szCs w:val="24"/>
      <w:lang w:val="zh-CN" w:eastAsia="zh-CN"/>
    </w:rPr>
  </w:style>
  <w:style w:type="character" w:customStyle="1" w:styleId="386">
    <w:name w:val="标题 9 Char"/>
    <w:qFormat/>
    <w:uiPriority w:val="0"/>
    <w:rPr>
      <w:rFonts w:ascii="Arial" w:hAnsi="Arial" w:eastAsia="黑体"/>
      <w:sz w:val="21"/>
      <w:szCs w:val="21"/>
      <w:lang w:val="zh-CN" w:eastAsia="zh-CN"/>
    </w:rPr>
  </w:style>
  <w:style w:type="character" w:customStyle="1" w:styleId="387">
    <w:name w:val="ca-2"/>
    <w:qFormat/>
    <w:uiPriority w:val="0"/>
  </w:style>
  <w:style w:type="character" w:customStyle="1" w:styleId="388">
    <w:name w:val="正文缩进2格 Char Char"/>
    <w:link w:val="389"/>
    <w:qFormat/>
    <w:uiPriority w:val="0"/>
    <w:rPr>
      <w:rFonts w:ascii="仿宋_GB2312" w:hAnsi="宋体" w:eastAsia="仿宋_GB2312"/>
      <w:kern w:val="2"/>
      <w:sz w:val="31"/>
    </w:rPr>
  </w:style>
  <w:style w:type="paragraph" w:customStyle="1" w:styleId="389">
    <w:name w:val="正文缩进2格"/>
    <w:basedOn w:val="1"/>
    <w:link w:val="388"/>
    <w:qFormat/>
    <w:uiPriority w:val="0"/>
    <w:pPr>
      <w:widowControl/>
      <w:spacing w:line="600" w:lineRule="exact"/>
      <w:ind w:firstLine="639" w:firstLineChars="206"/>
      <w:jc w:val="left"/>
    </w:pPr>
    <w:rPr>
      <w:rFonts w:ascii="仿宋_GB2312" w:hAnsi="宋体" w:eastAsia="仿宋_GB2312"/>
      <w:sz w:val="31"/>
    </w:rPr>
  </w:style>
  <w:style w:type="character" w:customStyle="1" w:styleId="390">
    <w:name w:val="标题 6 Char Char"/>
    <w:qFormat/>
    <w:uiPriority w:val="0"/>
    <w:rPr>
      <w:rFonts w:ascii="Arial" w:hAnsi="Arial" w:eastAsia="黑体"/>
      <w:b/>
      <w:bCs/>
      <w:sz w:val="24"/>
      <w:szCs w:val="24"/>
    </w:rPr>
  </w:style>
  <w:style w:type="character" w:customStyle="1" w:styleId="391">
    <w:name w:val="批注框文本 Char"/>
    <w:qFormat/>
    <w:uiPriority w:val="0"/>
    <w:rPr>
      <w:kern w:val="2"/>
      <w:sz w:val="18"/>
      <w:szCs w:val="18"/>
      <w:lang w:bidi="ar-SA"/>
    </w:rPr>
  </w:style>
  <w:style w:type="character" w:customStyle="1" w:styleId="392">
    <w:name w:val="页眉 Char"/>
    <w:qFormat/>
    <w:uiPriority w:val="99"/>
    <w:rPr>
      <w:rFonts w:eastAsia="宋体"/>
      <w:kern w:val="2"/>
      <w:sz w:val="18"/>
      <w:lang w:bidi="ar-SA"/>
    </w:rPr>
  </w:style>
  <w:style w:type="character" w:customStyle="1" w:styleId="393">
    <w:name w:val="日期 Char"/>
    <w:qFormat/>
    <w:uiPriority w:val="0"/>
    <w:rPr>
      <w:rFonts w:ascii="Calibri" w:hAnsi="Calibri" w:eastAsia="宋体"/>
      <w:kern w:val="2"/>
      <w:sz w:val="21"/>
      <w:szCs w:val="22"/>
      <w:lang w:bidi="ar-SA"/>
    </w:rPr>
  </w:style>
  <w:style w:type="character" w:customStyle="1" w:styleId="394">
    <w:name w:val="正文文本 Char"/>
    <w:qFormat/>
    <w:uiPriority w:val="0"/>
  </w:style>
  <w:style w:type="character" w:customStyle="1" w:styleId="395">
    <w:name w:val="正文文本 2 Char"/>
    <w:basedOn w:val="71"/>
    <w:qFormat/>
    <w:uiPriority w:val="0"/>
  </w:style>
  <w:style w:type="character" w:customStyle="1" w:styleId="396">
    <w:name w:val="正文文本缩进 3 Char"/>
    <w:qFormat/>
    <w:uiPriority w:val="0"/>
    <w:rPr>
      <w:sz w:val="16"/>
      <w:szCs w:val="16"/>
    </w:rPr>
  </w:style>
  <w:style w:type="character" w:customStyle="1" w:styleId="397">
    <w:name w:val="批注文字 Char"/>
    <w:qFormat/>
    <w:uiPriority w:val="0"/>
    <w:rPr>
      <w:rFonts w:ascii="Calibri" w:hAnsi="Calibri" w:eastAsia="宋体"/>
      <w:kern w:val="2"/>
      <w:sz w:val="21"/>
      <w:szCs w:val="22"/>
      <w:lang w:bidi="ar-SA"/>
    </w:rPr>
  </w:style>
  <w:style w:type="character" w:customStyle="1" w:styleId="398">
    <w:name w:val="正文缩进 字符1"/>
    <w:qFormat/>
    <w:uiPriority w:val="0"/>
  </w:style>
  <w:style w:type="character" w:customStyle="1" w:styleId="399">
    <w:name w:val="style291"/>
    <w:qFormat/>
    <w:uiPriority w:val="0"/>
    <w:rPr>
      <w:sz w:val="21"/>
      <w:szCs w:val="21"/>
    </w:rPr>
  </w:style>
  <w:style w:type="character" w:customStyle="1" w:styleId="400">
    <w:name w:val="批注主题 Char"/>
    <w:qFormat/>
    <w:uiPriority w:val="0"/>
    <w:rPr>
      <w:rFonts w:ascii="Calibri" w:hAnsi="Calibri" w:eastAsia="宋体"/>
      <w:b/>
      <w:bCs/>
      <w:kern w:val="2"/>
      <w:sz w:val="21"/>
      <w:szCs w:val="22"/>
      <w:lang w:bidi="ar-SA"/>
    </w:rPr>
  </w:style>
  <w:style w:type="character" w:customStyle="1" w:styleId="401">
    <w:name w:val="头 Char Char Char Char Char"/>
    <w:qFormat/>
    <w:uiPriority w:val="0"/>
    <w:rPr>
      <w:rFonts w:eastAsia="宋体"/>
      <w:b/>
      <w:sz w:val="32"/>
      <w:lang w:val="en-US" w:eastAsia="zh-CN" w:bidi="ar-SA"/>
    </w:rPr>
  </w:style>
  <w:style w:type="character" w:customStyle="1" w:styleId="402">
    <w:name w:val="页脚 Char"/>
    <w:qFormat/>
    <w:uiPriority w:val="99"/>
    <w:rPr>
      <w:rFonts w:eastAsia="宋体"/>
      <w:kern w:val="2"/>
      <w:sz w:val="18"/>
      <w:lang w:bidi="ar-SA"/>
    </w:rPr>
  </w:style>
  <w:style w:type="character" w:customStyle="1" w:styleId="403">
    <w:name w:val="biaoti331"/>
    <w:qFormat/>
    <w:uiPriority w:val="0"/>
    <w:rPr>
      <w:b/>
      <w:bCs/>
      <w:color w:val="000000"/>
      <w:sz w:val="24"/>
      <w:szCs w:val="24"/>
      <w:u w:val="none"/>
    </w:rPr>
  </w:style>
  <w:style w:type="character" w:customStyle="1" w:styleId="404">
    <w:name w:val="ca-7"/>
    <w:qFormat/>
    <w:uiPriority w:val="0"/>
  </w:style>
  <w:style w:type="character" w:customStyle="1" w:styleId="405">
    <w:name w:val="more"/>
    <w:basedOn w:val="71"/>
    <w:qFormat/>
    <w:uiPriority w:val="0"/>
  </w:style>
  <w:style w:type="character" w:customStyle="1" w:styleId="406">
    <w:name w:val="正文文本缩进 2 Char"/>
    <w:basedOn w:val="71"/>
    <w:qFormat/>
    <w:uiPriority w:val="0"/>
  </w:style>
  <w:style w:type="character" w:customStyle="1" w:styleId="407">
    <w:name w:val="dash6b63_6587__char1"/>
    <w:qFormat/>
    <w:uiPriority w:val="0"/>
    <w:rPr>
      <w:rFonts w:hint="default" w:ascii="Calibri" w:hAnsi="Calibri" w:cs="Calibri"/>
      <w:sz w:val="20"/>
      <w:szCs w:val="20"/>
    </w:rPr>
  </w:style>
  <w:style w:type="character" w:customStyle="1" w:styleId="408">
    <w:name w:val="文档结构图 Char"/>
    <w:qFormat/>
    <w:uiPriority w:val="0"/>
    <w:rPr>
      <w:rFonts w:ascii="Calibri" w:hAnsi="Calibri" w:eastAsia="宋体"/>
      <w:kern w:val="2"/>
      <w:sz w:val="21"/>
      <w:szCs w:val="22"/>
      <w:lang w:bidi="ar-SA"/>
    </w:rPr>
  </w:style>
  <w:style w:type="character" w:customStyle="1" w:styleId="409">
    <w:name w:val="正文文本缩进 3 Char Char"/>
    <w:link w:val="410"/>
    <w:qFormat/>
    <w:uiPriority w:val="0"/>
    <w:rPr>
      <w:sz w:val="28"/>
      <w:szCs w:val="28"/>
    </w:rPr>
  </w:style>
  <w:style w:type="paragraph" w:customStyle="1" w:styleId="410">
    <w:name w:val="正文文本缩进 31"/>
    <w:basedOn w:val="1"/>
    <w:link w:val="409"/>
    <w:qFormat/>
    <w:uiPriority w:val="0"/>
    <w:pPr>
      <w:adjustRightInd w:val="0"/>
      <w:spacing w:before="240" w:line="520" w:lineRule="exact"/>
      <w:ind w:firstLine="539"/>
      <w:textAlignment w:val="baseline"/>
    </w:pPr>
    <w:rPr>
      <w:kern w:val="0"/>
      <w:sz w:val="28"/>
      <w:szCs w:val="28"/>
    </w:rPr>
  </w:style>
  <w:style w:type="paragraph" w:customStyle="1" w:styleId="411">
    <w:name w:val="2"/>
    <w:basedOn w:val="1"/>
    <w:next w:val="140"/>
    <w:qFormat/>
    <w:uiPriority w:val="0"/>
    <w:pPr>
      <w:ind w:firstLine="420" w:firstLineChars="200"/>
    </w:pPr>
    <w:rPr>
      <w:rFonts w:ascii="Calibri" w:hAnsi="Calibri"/>
    </w:rPr>
  </w:style>
  <w:style w:type="paragraph" w:customStyle="1" w:styleId="412">
    <w:name w:val="Char3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413">
    <w:name w:val="style3"/>
    <w:basedOn w:val="1"/>
    <w:qFormat/>
    <w:uiPriority w:val="0"/>
    <w:pPr>
      <w:widowControl/>
      <w:spacing w:line="480" w:lineRule="auto"/>
      <w:ind w:firstLine="420"/>
      <w:jc w:val="left"/>
    </w:pPr>
    <w:rPr>
      <w:rFonts w:ascii="宋体" w:hAnsi="宋体" w:cs="宋体"/>
      <w:kern w:val="0"/>
      <w:szCs w:val="21"/>
    </w:rPr>
  </w:style>
  <w:style w:type="paragraph" w:customStyle="1" w:styleId="414">
    <w:name w:val="3"/>
    <w:basedOn w:val="1"/>
    <w:next w:val="26"/>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rPr>
  </w:style>
  <w:style w:type="paragraph" w:customStyle="1" w:styleId="415">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16">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417">
    <w:name w:val="pa-10"/>
    <w:basedOn w:val="1"/>
    <w:qFormat/>
    <w:uiPriority w:val="0"/>
    <w:pPr>
      <w:widowControl/>
      <w:spacing w:before="150" w:after="150"/>
      <w:jc w:val="left"/>
    </w:pPr>
    <w:rPr>
      <w:rFonts w:ascii="宋体" w:hAnsi="宋体" w:cs="宋体"/>
      <w:kern w:val="0"/>
      <w:sz w:val="24"/>
      <w:szCs w:val="24"/>
    </w:rPr>
  </w:style>
  <w:style w:type="paragraph" w:customStyle="1" w:styleId="418">
    <w:name w:val="dash6b63_6587"/>
    <w:basedOn w:val="1"/>
    <w:qFormat/>
    <w:uiPriority w:val="0"/>
    <w:pPr>
      <w:widowControl/>
    </w:pPr>
    <w:rPr>
      <w:rFonts w:ascii="Calibri" w:hAnsi="Calibri"/>
      <w:kern w:val="0"/>
      <w:sz w:val="20"/>
    </w:rPr>
  </w:style>
  <w:style w:type="paragraph" w:customStyle="1" w:styleId="419">
    <w:name w:val="Char4"/>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lang w:eastAsia="en-US"/>
    </w:rPr>
  </w:style>
  <w:style w:type="paragraph" w:customStyle="1" w:styleId="420">
    <w:name w:val="pa-9"/>
    <w:basedOn w:val="1"/>
    <w:qFormat/>
    <w:uiPriority w:val="0"/>
    <w:pPr>
      <w:widowControl/>
      <w:spacing w:before="150" w:after="150"/>
      <w:jc w:val="left"/>
    </w:pPr>
    <w:rPr>
      <w:rFonts w:ascii="宋体" w:hAnsi="宋体" w:cs="宋体"/>
      <w:kern w:val="0"/>
      <w:sz w:val="24"/>
      <w:szCs w:val="24"/>
    </w:rPr>
  </w:style>
  <w:style w:type="paragraph" w:customStyle="1" w:styleId="421">
    <w:name w:val="pa-11"/>
    <w:basedOn w:val="1"/>
    <w:qFormat/>
    <w:uiPriority w:val="0"/>
    <w:pPr>
      <w:widowControl/>
      <w:spacing w:before="150" w:after="150"/>
      <w:jc w:val="left"/>
    </w:pPr>
    <w:rPr>
      <w:rFonts w:ascii="宋体" w:hAnsi="宋体" w:cs="宋体"/>
      <w:kern w:val="0"/>
      <w:sz w:val="24"/>
      <w:szCs w:val="24"/>
    </w:rPr>
  </w:style>
  <w:style w:type="paragraph" w:customStyle="1" w:styleId="422">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423">
    <w:name w:val="dash6b63_65871"/>
    <w:basedOn w:val="1"/>
    <w:qFormat/>
    <w:uiPriority w:val="0"/>
    <w:pPr>
      <w:widowControl/>
    </w:pPr>
    <w:rPr>
      <w:rFonts w:ascii="Calibri" w:hAnsi="Calibri" w:cs="Calibri"/>
      <w:kern w:val="0"/>
      <w:sz w:val="20"/>
    </w:rPr>
  </w:style>
  <w:style w:type="paragraph" w:customStyle="1" w:styleId="424">
    <w:name w:val="p2"/>
    <w:basedOn w:val="1"/>
    <w:qFormat/>
    <w:uiPriority w:val="0"/>
    <w:pPr>
      <w:widowControl/>
      <w:spacing w:line="480" w:lineRule="auto"/>
      <w:ind w:firstLine="420"/>
      <w:jc w:val="left"/>
    </w:pPr>
    <w:rPr>
      <w:rFonts w:ascii="宋体" w:hAnsi="宋体" w:cs="宋体"/>
      <w:kern w:val="0"/>
      <w:szCs w:val="21"/>
    </w:rPr>
  </w:style>
  <w:style w:type="paragraph" w:customStyle="1" w:styleId="425">
    <w:name w:val="pa-4"/>
    <w:basedOn w:val="1"/>
    <w:qFormat/>
    <w:uiPriority w:val="0"/>
    <w:pPr>
      <w:widowControl/>
      <w:spacing w:before="150" w:after="150"/>
      <w:jc w:val="left"/>
    </w:pPr>
    <w:rPr>
      <w:rFonts w:ascii="宋体" w:hAnsi="宋体" w:cs="宋体"/>
      <w:kern w:val="0"/>
      <w:sz w:val="24"/>
      <w:szCs w:val="24"/>
    </w:rPr>
  </w:style>
  <w:style w:type="character" w:customStyle="1" w:styleId="426">
    <w:name w:val="表名 Char"/>
    <w:link w:val="427"/>
    <w:qFormat/>
    <w:uiPriority w:val="0"/>
    <w:rPr>
      <w:rFonts w:ascii="Cambria" w:hAnsi="Cambria" w:eastAsia="Calibri"/>
      <w:bCs/>
      <w:kern w:val="2"/>
      <w:sz w:val="24"/>
      <w:szCs w:val="24"/>
    </w:rPr>
  </w:style>
  <w:style w:type="paragraph" w:customStyle="1" w:styleId="427">
    <w:name w:val="表名"/>
    <w:basedOn w:val="1"/>
    <w:link w:val="426"/>
    <w:qFormat/>
    <w:uiPriority w:val="0"/>
    <w:pPr>
      <w:spacing w:line="360" w:lineRule="auto"/>
      <w:jc w:val="center"/>
    </w:pPr>
    <w:rPr>
      <w:rFonts w:ascii="Cambria" w:hAnsi="Cambria" w:eastAsia="Calibri"/>
      <w:bCs/>
      <w:sz w:val="24"/>
      <w:szCs w:val="24"/>
    </w:rPr>
  </w:style>
  <w:style w:type="paragraph" w:customStyle="1" w:styleId="428">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429">
    <w:name w:val="正文5"/>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430">
    <w:name w:val="标题 Char"/>
    <w:qFormat/>
    <w:uiPriority w:val="0"/>
    <w:rPr>
      <w:rFonts w:ascii="Cambria" w:hAnsi="Cambria"/>
      <w:b/>
      <w:bCs/>
      <w:sz w:val="32"/>
      <w:szCs w:val="32"/>
    </w:rPr>
  </w:style>
  <w:style w:type="character" w:customStyle="1" w:styleId="431">
    <w:name w:val="明显引用 Char"/>
    <w:qFormat/>
    <w:uiPriority w:val="0"/>
    <w:rPr>
      <w:b/>
      <w:bCs/>
      <w:i/>
      <w:iCs/>
      <w:color w:val="4F81BD"/>
    </w:rPr>
  </w:style>
  <w:style w:type="character" w:customStyle="1" w:styleId="432">
    <w:name w:val="副标题 Char"/>
    <w:qFormat/>
    <w:uiPriority w:val="0"/>
    <w:rPr>
      <w:rFonts w:ascii="Cambria" w:hAnsi="Cambria"/>
      <w:b/>
      <w:bCs/>
      <w:kern w:val="28"/>
      <w:sz w:val="32"/>
      <w:szCs w:val="32"/>
    </w:rPr>
  </w:style>
  <w:style w:type="character" w:customStyle="1" w:styleId="433">
    <w:name w:val="引用 Char"/>
    <w:link w:val="434"/>
    <w:qFormat/>
    <w:uiPriority w:val="29"/>
    <w:rPr>
      <w:i/>
      <w:iCs/>
      <w:color w:val="000000"/>
    </w:rPr>
  </w:style>
  <w:style w:type="paragraph" w:customStyle="1" w:styleId="434">
    <w:name w:val="引用1"/>
    <w:basedOn w:val="1"/>
    <w:next w:val="1"/>
    <w:link w:val="433"/>
    <w:autoRedefine/>
    <w:qFormat/>
    <w:uiPriority w:val="29"/>
    <w:pPr>
      <w:widowControl/>
      <w:jc w:val="left"/>
    </w:pPr>
    <w:rPr>
      <w:i/>
      <w:iCs/>
      <w:color w:val="000000"/>
      <w:kern w:val="0"/>
      <w:sz w:val="20"/>
    </w:rPr>
  </w:style>
  <w:style w:type="paragraph" w:customStyle="1" w:styleId="435">
    <w:name w:val="TOC 标题11"/>
    <w:basedOn w:val="3"/>
    <w:next w:val="1"/>
    <w:qFormat/>
    <w:uiPriority w:val="0"/>
    <w:pPr>
      <w:spacing w:before="340" w:after="330" w:line="576" w:lineRule="auto"/>
      <w:jc w:val="both"/>
      <w:outlineLvl w:val="9"/>
    </w:pPr>
    <w:rPr>
      <w:rFonts w:ascii="Calibri" w:hAnsi="Calibri"/>
      <w:spacing w:val="0"/>
      <w:sz w:val="44"/>
      <w:szCs w:val="24"/>
      <w:lang w:val="zh-CN"/>
    </w:rPr>
  </w:style>
  <w:style w:type="character" w:customStyle="1" w:styleId="436">
    <w:name w:val="页码1"/>
    <w:qFormat/>
    <w:uiPriority w:val="0"/>
    <w:rPr>
      <w:rFonts w:cs="Times New Roman"/>
    </w:rPr>
  </w:style>
  <w:style w:type="paragraph" w:customStyle="1" w:styleId="437">
    <w:name w:val="a5"/>
    <w:basedOn w:val="438"/>
    <w:next w:val="140"/>
    <w:qFormat/>
    <w:uiPriority w:val="34"/>
    <w:pPr>
      <w:ind w:firstLine="420" w:firstLineChars="200"/>
    </w:pPr>
    <w:rPr>
      <w:rFonts w:ascii="Calibri" w:hAnsi="Calibri"/>
      <w:szCs w:val="22"/>
    </w:rPr>
  </w:style>
  <w:style w:type="paragraph" w:customStyle="1" w:styleId="438">
    <w:name w:val="Normal_3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39">
    <w:name w:val="Normal_3_1"/>
    <w:qFormat/>
    <w:uiPriority w:val="0"/>
    <w:pPr>
      <w:widowControl w:val="0"/>
      <w:jc w:val="both"/>
    </w:pPr>
    <w:rPr>
      <w:rFonts w:asciiTheme="minorHAnsi" w:hAnsiTheme="minorHAnsi" w:eastAsiaTheme="minorEastAsia" w:cstheme="minorBidi"/>
      <w:kern w:val="2"/>
      <w:sz w:val="21"/>
      <w:szCs w:val="22"/>
      <w:lang w:val="en-US" w:eastAsia="zh-CN" w:bidi="ar-SA"/>
    </w:rPr>
  </w:style>
  <w:style w:type="table" w:customStyle="1" w:styleId="440">
    <w:name w:val="Table Grid_0"/>
    <w:basedOn w:val="67"/>
    <w:qFormat/>
    <w:uiPriority w:val="0"/>
    <w:pPr>
      <w:widowControl w:val="0"/>
      <w:jc w:val="both"/>
    </w:pPr>
    <w:rPr>
      <w:rFonts w:asciiTheme="minorHAnsi" w:hAnsiTheme="minorHAnsi" w:eastAsiaTheme="minorEastAsia" w:cstheme="minorBidi"/>
      <w:kern w:val="2"/>
      <w:sz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1">
    <w:name w:val="TOC 标题2"/>
    <w:basedOn w:val="3"/>
    <w:next w:val="1"/>
    <w:qFormat/>
    <w:uiPriority w:val="0"/>
    <w:pPr>
      <w:widowControl/>
      <w:spacing w:before="480" w:after="0" w:line="276" w:lineRule="auto"/>
      <w:jc w:val="left"/>
      <w:outlineLvl w:val="9"/>
    </w:pPr>
    <w:rPr>
      <w:rFonts w:ascii="Cambria" w:hAnsi="Cambria"/>
      <w:bCs/>
      <w:color w:val="365F91"/>
      <w:spacing w:val="0"/>
      <w:kern w:val="0"/>
      <w:sz w:val="28"/>
      <w:szCs w:val="28"/>
    </w:rPr>
  </w:style>
  <w:style w:type="paragraph" w:customStyle="1" w:styleId="442">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443">
    <w:name w:val="明显强调2"/>
    <w:qFormat/>
    <w:uiPriority w:val="0"/>
    <w:rPr>
      <w:b/>
      <w:bCs/>
      <w:i/>
      <w:iCs/>
      <w:color w:val="4F81BD"/>
    </w:rPr>
  </w:style>
  <w:style w:type="character" w:customStyle="1" w:styleId="444">
    <w:name w:val="书籍标题2"/>
    <w:qFormat/>
    <w:uiPriority w:val="0"/>
    <w:rPr>
      <w:b/>
      <w:bCs/>
      <w:smallCaps/>
      <w:spacing w:val="5"/>
    </w:rPr>
  </w:style>
  <w:style w:type="character" w:customStyle="1" w:styleId="445">
    <w:name w:val="不明显强调2"/>
    <w:qFormat/>
    <w:uiPriority w:val="0"/>
    <w:rPr>
      <w:i/>
      <w:iCs/>
      <w:color w:val="808080"/>
    </w:rPr>
  </w:style>
  <w:style w:type="character" w:customStyle="1" w:styleId="446">
    <w:name w:val="不明显参考2"/>
    <w:qFormat/>
    <w:uiPriority w:val="0"/>
    <w:rPr>
      <w:smallCaps/>
      <w:color w:val="C0504D"/>
      <w:u w:val="single"/>
    </w:rPr>
  </w:style>
  <w:style w:type="character" w:customStyle="1" w:styleId="447">
    <w:name w:val="明显参考2"/>
    <w:qFormat/>
    <w:uiPriority w:val="0"/>
    <w:rPr>
      <w:b/>
      <w:bCs/>
      <w:smallCaps/>
      <w:color w:val="C0504D"/>
      <w:spacing w:val="5"/>
      <w:u w:val="single"/>
    </w:rPr>
  </w:style>
  <w:style w:type="paragraph" w:customStyle="1" w:styleId="448">
    <w:name w:val="列出段落1"/>
    <w:qFormat/>
    <w:uiPriority w:val="0"/>
    <w:pPr>
      <w:widowControl w:val="0"/>
      <w:ind w:left="720"/>
      <w:jc w:val="both"/>
    </w:pPr>
    <w:rPr>
      <w:rFonts w:ascii="Times New Roman" w:hAnsi="Times New Roman" w:eastAsia="Times New Roman" w:cs="Times New Roman"/>
      <w:color w:val="000000"/>
      <w:kern w:val="2"/>
      <w:sz w:val="21"/>
      <w:szCs w:val="21"/>
      <w:lang w:val="en-US" w:eastAsia="zh-CN" w:bidi="ar-SA"/>
    </w:rPr>
  </w:style>
  <w:style w:type="paragraph" w:customStyle="1" w:styleId="449">
    <w:name w:val="TOC 标题21"/>
    <w:basedOn w:val="3"/>
    <w:next w:val="1"/>
    <w:qFormat/>
    <w:uiPriority w:val="99"/>
    <w:pPr>
      <w:widowControl/>
      <w:spacing w:before="480" w:after="0" w:line="276" w:lineRule="auto"/>
      <w:jc w:val="left"/>
      <w:outlineLvl w:val="9"/>
    </w:pPr>
    <w:rPr>
      <w:rFonts w:ascii="Cambria" w:hAnsi="Cambria"/>
      <w:bCs/>
      <w:color w:val="365F91"/>
      <w:spacing w:val="0"/>
      <w:kern w:val="0"/>
      <w:sz w:val="28"/>
      <w:szCs w:val="28"/>
    </w:rPr>
  </w:style>
  <w:style w:type="paragraph" w:customStyle="1" w:styleId="450">
    <w:name w:val="修订21"/>
    <w:unhideWhenUsed/>
    <w:qFormat/>
    <w:uiPriority w:val="99"/>
    <w:rPr>
      <w:rFonts w:ascii="Times New Roman" w:hAnsi="Times New Roman" w:eastAsia="宋体" w:cs="Times New Roman"/>
      <w:kern w:val="2"/>
      <w:sz w:val="21"/>
      <w:szCs w:val="24"/>
      <w:lang w:val="en-US" w:eastAsia="zh-CN" w:bidi="ar-SA"/>
    </w:rPr>
  </w:style>
  <w:style w:type="character" w:customStyle="1" w:styleId="451">
    <w:name w:val="明显强调21"/>
    <w:qFormat/>
    <w:uiPriority w:val="0"/>
    <w:rPr>
      <w:b/>
      <w:bCs/>
      <w:i/>
      <w:iCs/>
      <w:color w:val="4F81BD"/>
    </w:rPr>
  </w:style>
  <w:style w:type="character" w:customStyle="1" w:styleId="452">
    <w:name w:val="书籍标题21"/>
    <w:qFormat/>
    <w:uiPriority w:val="0"/>
    <w:rPr>
      <w:b/>
      <w:bCs/>
      <w:smallCaps/>
      <w:spacing w:val="5"/>
    </w:rPr>
  </w:style>
  <w:style w:type="character" w:customStyle="1" w:styleId="453">
    <w:name w:val="不明显强调21"/>
    <w:qFormat/>
    <w:uiPriority w:val="0"/>
    <w:rPr>
      <w:i/>
      <w:iCs/>
      <w:color w:val="808080"/>
    </w:rPr>
  </w:style>
  <w:style w:type="character" w:customStyle="1" w:styleId="454">
    <w:name w:val="不明显参考21"/>
    <w:qFormat/>
    <w:uiPriority w:val="0"/>
    <w:rPr>
      <w:smallCaps/>
      <w:color w:val="C0504D"/>
      <w:u w:val="single"/>
    </w:rPr>
  </w:style>
  <w:style w:type="character" w:customStyle="1" w:styleId="455">
    <w:name w:val="明显参考21"/>
    <w:qFormat/>
    <w:uiPriority w:val="0"/>
    <w:rPr>
      <w:b/>
      <w:bCs/>
      <w:smallCaps/>
      <w:color w:val="C0504D"/>
      <w:spacing w:val="5"/>
      <w:u w:val="single"/>
    </w:rPr>
  </w:style>
  <w:style w:type="paragraph" w:customStyle="1" w:styleId="456">
    <w:name w:val="修订3"/>
    <w:hidden/>
    <w:unhideWhenUsed/>
    <w:qFormat/>
    <w:uiPriority w:val="99"/>
    <w:rPr>
      <w:rFonts w:ascii="Times New Roman" w:hAnsi="Times New Roman" w:eastAsia="宋体" w:cs="Times New Roman"/>
      <w:kern w:val="2"/>
      <w:sz w:val="21"/>
      <w:lang w:val="en-US" w:eastAsia="zh-CN" w:bidi="ar-SA"/>
    </w:rPr>
  </w:style>
  <w:style w:type="paragraph" w:customStyle="1" w:styleId="457">
    <w:name w:val="正文首行缩进1"/>
    <w:basedOn w:val="25"/>
    <w:link w:val="582"/>
    <w:qFormat/>
    <w:uiPriority w:val="99"/>
    <w:pPr>
      <w:adjustRightInd/>
      <w:spacing w:after="120" w:line="240" w:lineRule="auto"/>
      <w:ind w:firstLine="420" w:firstLineChars="100"/>
    </w:pPr>
    <w:rPr>
      <w:rFonts w:ascii="Times New Roman" w:hAnsi="Times New Roman"/>
      <w:bCs w:val="0"/>
      <w:color w:val="auto"/>
      <w:sz w:val="21"/>
      <w:szCs w:val="24"/>
    </w:rPr>
  </w:style>
  <w:style w:type="paragraph" w:customStyle="1" w:styleId="458">
    <w:name w:val="修订4"/>
    <w:hidden/>
    <w:unhideWhenUsed/>
    <w:qFormat/>
    <w:uiPriority w:val="99"/>
    <w:rPr>
      <w:rFonts w:ascii="Times New Roman" w:hAnsi="Times New Roman" w:eastAsia="宋体" w:cs="Times New Roman"/>
      <w:kern w:val="2"/>
      <w:sz w:val="21"/>
      <w:lang w:val="en-US" w:eastAsia="zh-CN" w:bidi="ar-SA"/>
    </w:rPr>
  </w:style>
  <w:style w:type="paragraph" w:customStyle="1" w:styleId="459">
    <w:name w:val="修订5"/>
    <w:hidden/>
    <w:unhideWhenUsed/>
    <w:qFormat/>
    <w:uiPriority w:val="99"/>
    <w:rPr>
      <w:rFonts w:ascii="Times New Roman" w:hAnsi="Times New Roman" w:eastAsia="宋体" w:cs="Times New Roman"/>
      <w:kern w:val="2"/>
      <w:sz w:val="21"/>
      <w:lang w:val="en-US" w:eastAsia="zh-CN" w:bidi="ar-SA"/>
    </w:rPr>
  </w:style>
  <w:style w:type="paragraph" w:customStyle="1" w:styleId="460">
    <w:name w:val="TOC 标题3"/>
    <w:basedOn w:val="3"/>
    <w:next w:val="1"/>
    <w:qFormat/>
    <w:uiPriority w:val="39"/>
    <w:pPr>
      <w:widowControl/>
      <w:spacing w:before="480" w:after="0" w:line="276" w:lineRule="auto"/>
      <w:jc w:val="left"/>
      <w:outlineLvl w:val="9"/>
    </w:pPr>
    <w:rPr>
      <w:rFonts w:ascii="Cambria" w:hAnsi="Cambria"/>
      <w:bCs/>
      <w:color w:val="365F91"/>
      <w:spacing w:val="0"/>
      <w:kern w:val="0"/>
      <w:sz w:val="28"/>
      <w:szCs w:val="28"/>
    </w:rPr>
  </w:style>
  <w:style w:type="character" w:customStyle="1" w:styleId="461">
    <w:name w:val="明显强调3"/>
    <w:qFormat/>
    <w:uiPriority w:val="0"/>
    <w:rPr>
      <w:b/>
      <w:bCs/>
      <w:i/>
      <w:iCs/>
      <w:color w:val="4F81BD"/>
    </w:rPr>
  </w:style>
  <w:style w:type="character" w:customStyle="1" w:styleId="462">
    <w:name w:val="书籍标题3"/>
    <w:qFormat/>
    <w:uiPriority w:val="0"/>
    <w:rPr>
      <w:b/>
      <w:bCs/>
      <w:smallCaps/>
      <w:spacing w:val="5"/>
    </w:rPr>
  </w:style>
  <w:style w:type="character" w:customStyle="1" w:styleId="463">
    <w:name w:val="不明显强调3"/>
    <w:qFormat/>
    <w:uiPriority w:val="0"/>
    <w:rPr>
      <w:i/>
      <w:iCs/>
      <w:color w:val="808080"/>
    </w:rPr>
  </w:style>
  <w:style w:type="character" w:customStyle="1" w:styleId="464">
    <w:name w:val="不明显参考3"/>
    <w:qFormat/>
    <w:uiPriority w:val="0"/>
    <w:rPr>
      <w:smallCaps/>
      <w:color w:val="C0504D"/>
      <w:u w:val="single"/>
    </w:rPr>
  </w:style>
  <w:style w:type="character" w:customStyle="1" w:styleId="465">
    <w:name w:val="明显参考3"/>
    <w:qFormat/>
    <w:uiPriority w:val="0"/>
    <w:rPr>
      <w:b/>
      <w:bCs/>
      <w:smallCaps/>
      <w:color w:val="C0504D"/>
      <w:spacing w:val="5"/>
      <w:u w:val="single"/>
    </w:rPr>
  </w:style>
  <w:style w:type="table" w:customStyle="1" w:styleId="466">
    <w:name w:val="网格型1"/>
    <w:basedOn w:val="6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67">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68">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69">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70">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szCs w:val="24"/>
    </w:rPr>
  </w:style>
  <w:style w:type="paragraph" w:customStyle="1" w:styleId="471">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szCs w:val="24"/>
    </w:rPr>
  </w:style>
  <w:style w:type="paragraph" w:customStyle="1" w:styleId="472">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szCs w:val="24"/>
    </w:rPr>
  </w:style>
  <w:style w:type="paragraph" w:customStyle="1" w:styleId="473">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szCs w:val="24"/>
    </w:rPr>
  </w:style>
  <w:style w:type="paragraph" w:customStyle="1" w:styleId="474">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75">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76">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77">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78">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szCs w:val="24"/>
    </w:rPr>
  </w:style>
  <w:style w:type="paragraph" w:customStyle="1" w:styleId="479">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szCs w:val="24"/>
    </w:rPr>
  </w:style>
  <w:style w:type="paragraph" w:customStyle="1" w:styleId="480">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szCs w:val="24"/>
    </w:rPr>
  </w:style>
  <w:style w:type="paragraph" w:customStyle="1" w:styleId="481">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82">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szCs w:val="24"/>
    </w:rPr>
  </w:style>
  <w:style w:type="paragraph" w:customStyle="1" w:styleId="483">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484">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485">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szCs w:val="24"/>
    </w:rPr>
  </w:style>
  <w:style w:type="paragraph" w:customStyle="1" w:styleId="486">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szCs w:val="24"/>
    </w:rPr>
  </w:style>
  <w:style w:type="paragraph" w:customStyle="1" w:styleId="487">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szCs w:val="24"/>
    </w:rPr>
  </w:style>
  <w:style w:type="paragraph" w:customStyle="1" w:styleId="488">
    <w:name w:val="font6"/>
    <w:basedOn w:val="1"/>
    <w:qFormat/>
    <w:uiPriority w:val="0"/>
    <w:pPr>
      <w:widowControl/>
      <w:spacing w:before="100" w:beforeAutospacing="1" w:after="100" w:afterAutospacing="1"/>
      <w:jc w:val="left"/>
    </w:pPr>
    <w:rPr>
      <w:rFonts w:ascii="宋体"/>
      <w:color w:val="0000FF"/>
      <w:kern w:val="0"/>
      <w:sz w:val="24"/>
      <w:szCs w:val="24"/>
      <w:u w:val="single"/>
    </w:rPr>
  </w:style>
  <w:style w:type="paragraph" w:customStyle="1" w:styleId="489">
    <w:name w:val="font8"/>
    <w:basedOn w:val="1"/>
    <w:qFormat/>
    <w:uiPriority w:val="0"/>
    <w:pPr>
      <w:widowControl/>
      <w:spacing w:before="100" w:beforeAutospacing="1" w:after="100" w:afterAutospacing="1"/>
      <w:jc w:val="left"/>
    </w:pPr>
    <w:rPr>
      <w:kern w:val="0"/>
      <w:sz w:val="20"/>
    </w:rPr>
  </w:style>
  <w:style w:type="paragraph" w:customStyle="1" w:styleId="490">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491">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rPr>
  </w:style>
  <w:style w:type="paragraph" w:customStyle="1" w:styleId="49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493">
    <w:name w:val="xl52"/>
    <w:basedOn w:val="1"/>
    <w:qFormat/>
    <w:uiPriority w:val="0"/>
    <w:pPr>
      <w:widowControl/>
      <w:numPr>
        <w:ilvl w:val="0"/>
        <w:numId w:val="2"/>
      </w:numPr>
      <w:pBdr>
        <w:top w:val="single" w:color="auto" w:sz="4" w:space="0"/>
        <w:left w:val="single" w:color="auto" w:sz="4" w:space="0"/>
        <w:bottom w:val="double" w:color="auto" w:sz="6" w:space="0"/>
        <w:right w:val="single" w:color="auto" w:sz="4" w:space="0"/>
      </w:pBdr>
      <w:tabs>
        <w:tab w:val="clear" w:pos="814"/>
      </w:tabs>
      <w:spacing w:before="100" w:beforeAutospacing="1" w:after="100" w:afterAutospacing="1"/>
      <w:ind w:left="0" w:firstLine="0"/>
      <w:textAlignment w:val="center"/>
    </w:pPr>
    <w:rPr>
      <w:kern w:val="0"/>
      <w:sz w:val="20"/>
    </w:rPr>
  </w:style>
  <w:style w:type="paragraph" w:customStyle="1" w:styleId="494">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rPr>
  </w:style>
  <w:style w:type="paragraph" w:customStyle="1" w:styleId="495">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rPr>
  </w:style>
  <w:style w:type="paragraph" w:customStyle="1" w:styleId="49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rPr>
  </w:style>
  <w:style w:type="paragraph" w:customStyle="1" w:styleId="49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rPr>
  </w:style>
  <w:style w:type="paragraph" w:customStyle="1" w:styleId="498">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rPr>
  </w:style>
  <w:style w:type="paragraph" w:customStyle="1" w:styleId="499">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rPr>
  </w:style>
  <w:style w:type="paragraph" w:customStyle="1" w:styleId="50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rPr>
  </w:style>
  <w:style w:type="paragraph" w:customStyle="1" w:styleId="501">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rPr>
  </w:style>
  <w:style w:type="paragraph" w:customStyle="1" w:styleId="502">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rPr>
  </w:style>
  <w:style w:type="paragraph" w:customStyle="1" w:styleId="503">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rPr>
  </w:style>
  <w:style w:type="paragraph" w:customStyle="1" w:styleId="504">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rPr>
  </w:style>
  <w:style w:type="paragraph" w:customStyle="1" w:styleId="50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rPr>
  </w:style>
  <w:style w:type="paragraph" w:customStyle="1" w:styleId="506">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rPr>
  </w:style>
  <w:style w:type="paragraph" w:customStyle="1" w:styleId="507">
    <w:name w:val="Bullet_Title"/>
    <w:basedOn w:val="1"/>
    <w:qFormat/>
    <w:uiPriority w:val="0"/>
    <w:pPr>
      <w:spacing w:after="78" w:line="300" w:lineRule="auto"/>
    </w:pPr>
    <w:rPr>
      <w:rFonts w:ascii="Arial Narrow" w:hAnsi="Arial Narrow"/>
      <w:sz w:val="24"/>
    </w:rPr>
  </w:style>
  <w:style w:type="character" w:customStyle="1" w:styleId="508">
    <w:name w:val="grame"/>
    <w:basedOn w:val="71"/>
    <w:qFormat/>
    <w:uiPriority w:val="0"/>
  </w:style>
  <w:style w:type="paragraph" w:customStyle="1" w:styleId="509">
    <w:name w:val="xl23"/>
    <w:next w:val="47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510">
    <w:name w:val="采购申报表正文"/>
    <w:basedOn w:val="1"/>
    <w:qFormat/>
    <w:uiPriority w:val="0"/>
    <w:rPr>
      <w:rFonts w:ascii="仿宋_GB2312" w:eastAsia="仿宋_GB2312"/>
      <w:szCs w:val="28"/>
    </w:rPr>
  </w:style>
  <w:style w:type="paragraph" w:customStyle="1" w:styleId="511">
    <w:name w:val="采购申报表备注"/>
    <w:basedOn w:val="1"/>
    <w:qFormat/>
    <w:uiPriority w:val="0"/>
    <w:pPr>
      <w:tabs>
        <w:tab w:val="left" w:pos="2634"/>
      </w:tabs>
    </w:pPr>
    <w:rPr>
      <w:rFonts w:ascii="仿宋_GB2312" w:eastAsia="仿宋_GB2312"/>
      <w:szCs w:val="24"/>
    </w:rPr>
  </w:style>
  <w:style w:type="paragraph" w:customStyle="1" w:styleId="512">
    <w:name w:val="Char Char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513">
    <w:name w:val="Char Char2 Char"/>
    <w:basedOn w:val="1"/>
    <w:qFormat/>
    <w:uiPriority w:val="0"/>
    <w:pPr>
      <w:keepNext/>
      <w:keepLines/>
      <w:pageBreakBefore/>
      <w:tabs>
        <w:tab w:val="left" w:pos="390"/>
      </w:tabs>
      <w:ind w:left="390" w:hanging="390"/>
    </w:pPr>
    <w:rPr>
      <w:rFonts w:ascii="Tahoma" w:hAnsi="Tahoma"/>
      <w:sz w:val="24"/>
    </w:rPr>
  </w:style>
  <w:style w:type="paragraph" w:customStyle="1" w:styleId="514">
    <w:name w:val="U_正文"/>
    <w:basedOn w:val="1"/>
    <w:qFormat/>
    <w:uiPriority w:val="0"/>
    <w:pPr>
      <w:spacing w:beforeLines="20" w:afterLines="20" w:line="300" w:lineRule="auto"/>
      <w:ind w:firstLine="200" w:firstLineChars="200"/>
    </w:pPr>
    <w:rPr>
      <w:sz w:val="24"/>
    </w:rPr>
  </w:style>
  <w:style w:type="character" w:customStyle="1" w:styleId="515">
    <w:name w:val="apple-converted-space"/>
    <w:qFormat/>
    <w:uiPriority w:val="0"/>
    <w:rPr>
      <w:rFonts w:cs="Times New Roman"/>
    </w:rPr>
  </w:style>
  <w:style w:type="character" w:customStyle="1" w:styleId="516">
    <w:name w:val="title1"/>
    <w:qFormat/>
    <w:uiPriority w:val="0"/>
    <w:rPr>
      <w:sz w:val="18"/>
      <w:szCs w:val="18"/>
    </w:rPr>
  </w:style>
  <w:style w:type="character" w:customStyle="1" w:styleId="517">
    <w:name w:val="yinying"/>
    <w:qFormat/>
    <w:uiPriority w:val="0"/>
    <w:rPr>
      <w:rFonts w:ascii="宋体" w:hAnsi="宋体"/>
      <w:spacing w:val="4"/>
      <w:sz w:val="24"/>
      <w:lang w:eastAsia="en-US"/>
    </w:rPr>
  </w:style>
  <w:style w:type="character" w:customStyle="1" w:styleId="518">
    <w:name w:val="批注文字 Char2"/>
    <w:qFormat/>
    <w:uiPriority w:val="0"/>
    <w:rPr>
      <w:kern w:val="2"/>
      <w:sz w:val="21"/>
      <w:szCs w:val="24"/>
    </w:rPr>
  </w:style>
  <w:style w:type="paragraph" w:customStyle="1" w:styleId="519">
    <w:name w:val="Char2 Char Char Char Char Char Char"/>
    <w:basedOn w:val="19"/>
    <w:qFormat/>
    <w:uiPriority w:val="0"/>
    <w:rPr>
      <w:szCs w:val="24"/>
      <w:lang w:val="zh-CN"/>
    </w:rPr>
  </w:style>
  <w:style w:type="paragraph" w:customStyle="1" w:styleId="520">
    <w:name w:val="pbj1"/>
    <w:basedOn w:val="1"/>
    <w:qFormat/>
    <w:uiPriority w:val="0"/>
    <w:pPr>
      <w:widowControl/>
      <w:jc w:val="left"/>
    </w:pPr>
    <w:rPr>
      <w:rFonts w:ascii="宋体" w:hAnsi="宋体" w:cs="宋体"/>
      <w:kern w:val="0"/>
      <w:sz w:val="24"/>
      <w:szCs w:val="24"/>
    </w:rPr>
  </w:style>
  <w:style w:type="character" w:customStyle="1" w:styleId="521">
    <w:name w:val="批注主题 Char3"/>
    <w:qFormat/>
    <w:uiPriority w:val="99"/>
    <w:rPr>
      <w:b/>
      <w:bCs/>
      <w:kern w:val="2"/>
      <w:sz w:val="21"/>
      <w:szCs w:val="24"/>
    </w:rPr>
  </w:style>
  <w:style w:type="character" w:customStyle="1" w:styleId="522">
    <w:name w:val="标题 Char2"/>
    <w:qFormat/>
    <w:uiPriority w:val="10"/>
    <w:rPr>
      <w:rFonts w:ascii="Cambria" w:hAnsi="Cambria" w:cs="Times New Roman"/>
      <w:b/>
      <w:bCs/>
      <w:kern w:val="2"/>
      <w:sz w:val="32"/>
      <w:szCs w:val="32"/>
    </w:rPr>
  </w:style>
  <w:style w:type="paragraph" w:customStyle="1" w:styleId="523">
    <w:name w:val="Char Char Char Char1 Char Char Char"/>
    <w:basedOn w:val="1"/>
    <w:qFormat/>
    <w:uiPriority w:val="0"/>
    <w:pPr>
      <w:spacing w:line="240" w:lineRule="atLeast"/>
      <w:ind w:left="420" w:firstLine="420"/>
    </w:pPr>
    <w:rPr>
      <w:kern w:val="0"/>
      <w:szCs w:val="21"/>
    </w:rPr>
  </w:style>
  <w:style w:type="character" w:customStyle="1" w:styleId="524">
    <w:name w:val="无"/>
    <w:qFormat/>
    <w:uiPriority w:val="0"/>
  </w:style>
  <w:style w:type="paragraph" w:customStyle="1" w:styleId="52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526">
    <w:name w:val="称呼 字符"/>
    <w:basedOn w:val="71"/>
    <w:link w:val="22"/>
    <w:qFormat/>
    <w:uiPriority w:val="0"/>
    <w:rPr>
      <w:rFonts w:ascii="Calibri" w:hAnsi="Calibri" w:eastAsia="楷体_GB2312"/>
      <w:kern w:val="2"/>
      <w:sz w:val="24"/>
    </w:rPr>
  </w:style>
  <w:style w:type="character" w:customStyle="1" w:styleId="527">
    <w:name w:val="结束语 字符"/>
    <w:basedOn w:val="71"/>
    <w:link w:val="24"/>
    <w:qFormat/>
    <w:uiPriority w:val="0"/>
    <w:rPr>
      <w:rFonts w:ascii="Calibri" w:hAnsi="Calibri" w:eastAsia="楷体_GB2312"/>
      <w:kern w:val="2"/>
      <w:sz w:val="24"/>
    </w:rPr>
  </w:style>
  <w:style w:type="character" w:customStyle="1" w:styleId="528">
    <w:name w:val="尾注文本 字符"/>
    <w:basedOn w:val="71"/>
    <w:link w:val="40"/>
    <w:qFormat/>
    <w:uiPriority w:val="0"/>
    <w:rPr>
      <w:rFonts w:ascii="Calibri" w:hAnsi="Calibri" w:eastAsia="楷体_GB2312"/>
      <w:kern w:val="2"/>
      <w:sz w:val="21"/>
      <w:szCs w:val="24"/>
    </w:rPr>
  </w:style>
  <w:style w:type="character" w:customStyle="1" w:styleId="529">
    <w:name w:val="信息标题 字符"/>
    <w:basedOn w:val="71"/>
    <w:link w:val="61"/>
    <w:qFormat/>
    <w:uiPriority w:val="0"/>
    <w:rPr>
      <w:rFonts w:ascii="Garamond" w:hAnsi="Garamond"/>
      <w:spacing w:val="-5"/>
      <w:sz w:val="18"/>
    </w:rPr>
  </w:style>
  <w:style w:type="table" w:customStyle="1" w:styleId="530">
    <w:name w:val="网格型2"/>
    <w:basedOn w:val="67"/>
    <w:autoRedefine/>
    <w:qFormat/>
    <w:uiPriority w:val="0"/>
    <w:pPr>
      <w:widowControl w:val="0"/>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1">
    <w:name w:val="表格主题1"/>
    <w:basedOn w:val="67"/>
    <w:autoRedefine/>
    <w:qFormat/>
    <w:uiPriority w:val="0"/>
    <w:pPr>
      <w:widowControl w:val="0"/>
      <w:jc w:val="both"/>
    </w:pPr>
    <w:rPr>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2">
    <w:name w:val="专业型1"/>
    <w:basedOn w:val="67"/>
    <w:autoRedefine/>
    <w:qFormat/>
    <w:uiPriority w:val="0"/>
    <w:pPr>
      <w:widowControl w:val="0"/>
      <w:jc w:val="both"/>
    </w:pPr>
    <w:rPr>
      <w:lang w:eastAsia="en-US"/>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character" w:customStyle="1" w:styleId="533">
    <w:name w:val="正文首行缩进 Char2"/>
    <w:autoRedefine/>
    <w:qFormat/>
    <w:uiPriority w:val="0"/>
    <w:rPr>
      <w:sz w:val="22"/>
      <w:szCs w:val="22"/>
    </w:rPr>
  </w:style>
  <w:style w:type="character" w:customStyle="1" w:styleId="534">
    <w:name w:val="正文文本 3 字符1"/>
    <w:autoRedefine/>
    <w:qFormat/>
    <w:uiPriority w:val="0"/>
    <w:rPr>
      <w:sz w:val="16"/>
      <w:szCs w:val="16"/>
    </w:rPr>
  </w:style>
  <w:style w:type="character" w:customStyle="1" w:styleId="535">
    <w:name w:val="Para head"/>
    <w:autoRedefine/>
    <w:qFormat/>
    <w:uiPriority w:val="0"/>
    <w:rPr>
      <w:rFonts w:ascii="Arial" w:hAnsi="Arial" w:eastAsia="Times New Roman"/>
      <w:sz w:val="20"/>
    </w:rPr>
  </w:style>
  <w:style w:type="character" w:customStyle="1" w:styleId="536">
    <w:name w:val="正文首行缩进 Char1"/>
    <w:autoRedefine/>
    <w:qFormat/>
    <w:uiPriority w:val="99"/>
    <w:rPr>
      <w:sz w:val="22"/>
      <w:szCs w:val="22"/>
    </w:rPr>
  </w:style>
  <w:style w:type="character" w:customStyle="1" w:styleId="537">
    <w:name w:val="Char Char10"/>
    <w:autoRedefine/>
    <w:qFormat/>
    <w:uiPriority w:val="0"/>
    <w:rPr>
      <w:kern w:val="2"/>
      <w:sz w:val="21"/>
      <w:szCs w:val="22"/>
    </w:rPr>
  </w:style>
  <w:style w:type="character" w:customStyle="1" w:styleId="538">
    <w:name w:val="报告正文 Char"/>
    <w:link w:val="539"/>
    <w:autoRedefine/>
    <w:qFormat/>
    <w:uiPriority w:val="0"/>
    <w:rPr>
      <w:rFonts w:eastAsia="楷体_GB2312"/>
      <w:bCs/>
      <w:spacing w:val="14"/>
      <w:kern w:val="2"/>
      <w:sz w:val="24"/>
      <w:szCs w:val="24"/>
    </w:rPr>
  </w:style>
  <w:style w:type="paragraph" w:customStyle="1" w:styleId="539">
    <w:name w:val="报告正文"/>
    <w:basedOn w:val="1"/>
    <w:link w:val="538"/>
    <w:autoRedefine/>
    <w:qFormat/>
    <w:uiPriority w:val="0"/>
    <w:pPr>
      <w:tabs>
        <w:tab w:val="left" w:pos="4080"/>
      </w:tabs>
      <w:topLinePunct/>
      <w:spacing w:line="360" w:lineRule="auto"/>
      <w:ind w:firstLine="200" w:firstLineChars="200"/>
      <w:jc w:val="left"/>
    </w:pPr>
    <w:rPr>
      <w:rFonts w:eastAsia="楷体_GB2312"/>
      <w:bCs/>
      <w:spacing w:val="14"/>
      <w:sz w:val="24"/>
      <w:szCs w:val="24"/>
    </w:rPr>
  </w:style>
  <w:style w:type="character" w:customStyle="1" w:styleId="540">
    <w:name w:val="标题 6 字符1"/>
    <w:autoRedefine/>
    <w:qFormat/>
    <w:uiPriority w:val="0"/>
    <w:rPr>
      <w:rFonts w:ascii="Cambria" w:hAnsi="Cambria"/>
      <w:i/>
      <w:iCs/>
      <w:color w:val="4F81BD"/>
      <w:lang w:eastAsia="zh-CN"/>
    </w:rPr>
  </w:style>
  <w:style w:type="character" w:customStyle="1" w:styleId="541">
    <w:name w:val="引文目录标题 字符"/>
    <w:link w:val="20"/>
    <w:autoRedefine/>
    <w:qFormat/>
    <w:uiPriority w:val="0"/>
    <w:rPr>
      <w:rFonts w:ascii="Arial" w:hAnsi="Arial" w:cs="Arial"/>
      <w:kern w:val="2"/>
      <w:sz w:val="24"/>
      <w:szCs w:val="24"/>
    </w:rPr>
  </w:style>
  <w:style w:type="character" w:customStyle="1" w:styleId="542">
    <w:name w:val="ca-11"/>
    <w:autoRedefine/>
    <w:qFormat/>
    <w:uiPriority w:val="0"/>
    <w:rPr>
      <w:rFonts w:hint="default" w:ascii="Times New Roman" w:hAnsi="Times New Roman" w:cs="Times New Roman"/>
      <w:sz w:val="28"/>
      <w:szCs w:val="28"/>
    </w:rPr>
  </w:style>
  <w:style w:type="character" w:customStyle="1" w:styleId="543">
    <w:name w:val="Default Char"/>
    <w:link w:val="340"/>
    <w:autoRedefine/>
    <w:qFormat/>
    <w:uiPriority w:val="0"/>
    <w:rPr>
      <w:rFonts w:ascii="Calibri" w:hAnsi="Calibri"/>
      <w:color w:val="000000"/>
      <w:sz w:val="24"/>
      <w:szCs w:val="24"/>
    </w:rPr>
  </w:style>
  <w:style w:type="character" w:styleId="544">
    <w:name w:val="Placeholder Text"/>
    <w:autoRedefine/>
    <w:qFormat/>
    <w:uiPriority w:val="99"/>
    <w:rPr>
      <w:color w:val="808080"/>
    </w:rPr>
  </w:style>
  <w:style w:type="character" w:customStyle="1" w:styleId="545">
    <w:name w:val="标题 7 字符1"/>
    <w:autoRedefine/>
    <w:qFormat/>
    <w:uiPriority w:val="0"/>
    <w:rPr>
      <w:rFonts w:ascii="Cambria" w:hAnsi="Cambria"/>
      <w:b/>
      <w:bCs/>
      <w:color w:val="9BBB59"/>
      <w:lang w:eastAsia="zh-CN"/>
    </w:rPr>
  </w:style>
  <w:style w:type="character" w:customStyle="1" w:styleId="546">
    <w:name w:val="样式 Char"/>
    <w:link w:val="253"/>
    <w:autoRedefine/>
    <w:qFormat/>
    <w:uiPriority w:val="0"/>
    <w:rPr>
      <w:rFonts w:ascii="宋体" w:hAnsi="宋体"/>
      <w:sz w:val="24"/>
    </w:rPr>
  </w:style>
  <w:style w:type="character" w:customStyle="1" w:styleId="547">
    <w:name w:val="正文缩进 字符2"/>
    <w:basedOn w:val="71"/>
    <w:autoRedefine/>
    <w:qFormat/>
    <w:locked/>
    <w:uiPriority w:val="0"/>
    <w:rPr>
      <w:rFonts w:ascii="Calibri" w:hAnsi="Calibri"/>
      <w:lang w:eastAsia="zh-CN"/>
    </w:rPr>
  </w:style>
  <w:style w:type="character" w:customStyle="1" w:styleId="548">
    <w:name w:val="Char Char7"/>
    <w:autoRedefine/>
    <w:qFormat/>
    <w:uiPriority w:val="99"/>
    <w:rPr>
      <w:rFonts w:hint="default" w:ascii="Arial" w:hAnsi="Arial" w:eastAsia="黑体" w:cs="Arial"/>
      <w:b/>
      <w:bCs/>
      <w:kern w:val="2"/>
      <w:sz w:val="32"/>
      <w:szCs w:val="32"/>
      <w:lang w:val="en-US" w:eastAsia="zh-CN" w:bidi="ar-SA"/>
    </w:rPr>
  </w:style>
  <w:style w:type="character" w:customStyle="1" w:styleId="549">
    <w:name w:val="标题 3 字符1"/>
    <w:autoRedefine/>
    <w:qFormat/>
    <w:uiPriority w:val="0"/>
    <w:rPr>
      <w:rFonts w:ascii="Cambria" w:hAnsi="Cambria"/>
      <w:color w:val="4F81BD"/>
      <w:sz w:val="24"/>
      <w:szCs w:val="24"/>
      <w:lang w:eastAsia="zh-CN"/>
    </w:rPr>
  </w:style>
  <w:style w:type="character" w:customStyle="1" w:styleId="550">
    <w:name w:val="标题 2 Char Char"/>
    <w:autoRedefine/>
    <w:qFormat/>
    <w:uiPriority w:val="0"/>
    <w:rPr>
      <w:rFonts w:eastAsia="黑体"/>
      <w:kern w:val="2"/>
      <w:sz w:val="32"/>
      <w:lang w:val="en-US" w:eastAsia="zh-CN" w:bidi="ar-SA"/>
    </w:rPr>
  </w:style>
  <w:style w:type="character" w:customStyle="1" w:styleId="551">
    <w:name w:val="apple-style-span"/>
    <w:autoRedefine/>
    <w:qFormat/>
    <w:uiPriority w:val="0"/>
  </w:style>
  <w:style w:type="character" w:customStyle="1" w:styleId="552">
    <w:name w:val="正文文本 3 Char1"/>
    <w:autoRedefine/>
    <w:qFormat/>
    <w:uiPriority w:val="99"/>
    <w:rPr>
      <w:sz w:val="16"/>
      <w:szCs w:val="16"/>
    </w:rPr>
  </w:style>
  <w:style w:type="character" w:customStyle="1" w:styleId="553">
    <w:name w:val="text1"/>
    <w:autoRedefine/>
    <w:qFormat/>
    <w:uiPriority w:val="0"/>
    <w:rPr>
      <w:rFonts w:hint="default" w:ascii="Arial" w:hAnsi="Arial" w:eastAsia="宋体" w:cs="Arial"/>
      <w:color w:val="666666"/>
      <w:kern w:val="2"/>
      <w:sz w:val="22"/>
      <w:szCs w:val="22"/>
      <w:u w:val="none"/>
      <w:lang w:val="en-US" w:eastAsia="zh-CN" w:bidi="ar-SA"/>
    </w:rPr>
  </w:style>
  <w:style w:type="character" w:customStyle="1" w:styleId="554">
    <w:name w:val="标题 5 字符1"/>
    <w:autoRedefine/>
    <w:qFormat/>
    <w:uiPriority w:val="0"/>
    <w:rPr>
      <w:rFonts w:ascii="Cambria" w:hAnsi="Cambria"/>
      <w:color w:val="4F81BD"/>
      <w:lang w:eastAsia="zh-CN"/>
    </w:rPr>
  </w:style>
  <w:style w:type="paragraph" w:customStyle="1" w:styleId="555">
    <w:name w:val="正文文本8"/>
    <w:basedOn w:val="1"/>
    <w:autoRedefine/>
    <w:qFormat/>
    <w:uiPriority w:val="0"/>
    <w:pPr>
      <w:shd w:val="clear" w:color="auto" w:fill="FFFFFF"/>
      <w:spacing w:line="461" w:lineRule="exact"/>
      <w:jc w:val="left"/>
    </w:pPr>
    <w:rPr>
      <w:rFonts w:ascii="Tahoma" w:hAnsi="Tahoma" w:eastAsia="Tahoma" w:cs="Tahoma"/>
      <w:spacing w:val="30"/>
      <w:kern w:val="0"/>
      <w:sz w:val="23"/>
      <w:szCs w:val="23"/>
      <w:shd w:val="clear" w:color="auto" w:fill="FFFFFF"/>
      <w:lang w:eastAsia="en-US"/>
    </w:rPr>
  </w:style>
  <w:style w:type="character" w:customStyle="1" w:styleId="556">
    <w:name w:val="标题 8 字符1"/>
    <w:autoRedefine/>
    <w:qFormat/>
    <w:uiPriority w:val="0"/>
    <w:rPr>
      <w:rFonts w:ascii="Cambria" w:hAnsi="Cambria"/>
      <w:b/>
      <w:bCs/>
      <w:i/>
      <w:iCs/>
      <w:color w:val="9BBB59"/>
      <w:lang w:eastAsia="zh-CN"/>
    </w:rPr>
  </w:style>
  <w:style w:type="character" w:customStyle="1" w:styleId="557">
    <w:name w:val="脚注文本 Char1"/>
    <w:autoRedefine/>
    <w:qFormat/>
    <w:uiPriority w:val="99"/>
    <w:rPr>
      <w:sz w:val="18"/>
      <w:szCs w:val="18"/>
    </w:rPr>
  </w:style>
  <w:style w:type="character" w:customStyle="1" w:styleId="558">
    <w:name w:val="lemmatitleh11"/>
    <w:autoRedefine/>
    <w:qFormat/>
    <w:uiPriority w:val="0"/>
  </w:style>
  <w:style w:type="character" w:customStyle="1" w:styleId="559">
    <w:name w:val="标题 2XW Char2"/>
    <w:autoRedefine/>
    <w:semiHidden/>
    <w:qFormat/>
    <w:uiPriority w:val="9"/>
    <w:rPr>
      <w:rFonts w:ascii="Cambria" w:hAnsi="Cambria" w:eastAsia="宋体" w:cs="Times New Roman"/>
      <w:b/>
      <w:bCs/>
      <w:sz w:val="32"/>
      <w:szCs w:val="32"/>
    </w:rPr>
  </w:style>
  <w:style w:type="character" w:customStyle="1" w:styleId="560">
    <w:name w:val="tabtitle"/>
    <w:autoRedefine/>
    <w:qFormat/>
    <w:uiPriority w:val="0"/>
    <w:rPr>
      <w:b/>
      <w:color w:val="4371A0"/>
      <w:sz w:val="18"/>
      <w:szCs w:val="18"/>
      <w:bdr w:val="single" w:color="B3C8DB" w:sz="6" w:space="0"/>
    </w:rPr>
  </w:style>
  <w:style w:type="character" w:customStyle="1" w:styleId="561">
    <w:name w:val="题注 字符"/>
    <w:link w:val="17"/>
    <w:autoRedefine/>
    <w:qFormat/>
    <w:uiPriority w:val="0"/>
    <w:rPr>
      <w:rFonts w:ascii="Arial" w:hAnsi="Arial" w:eastAsia="黑体" w:cs="Arial"/>
      <w:kern w:val="2"/>
    </w:rPr>
  </w:style>
  <w:style w:type="character" w:customStyle="1" w:styleId="562">
    <w:name w:val="标题 4 字符1"/>
    <w:autoRedefine/>
    <w:qFormat/>
    <w:uiPriority w:val="0"/>
    <w:rPr>
      <w:rFonts w:ascii="Cambria" w:hAnsi="Cambria"/>
      <w:i/>
      <w:iCs/>
      <w:color w:val="4F81BD"/>
      <w:sz w:val="24"/>
      <w:szCs w:val="24"/>
      <w:lang w:eastAsia="zh-CN"/>
    </w:rPr>
  </w:style>
  <w:style w:type="character" w:customStyle="1" w:styleId="563">
    <w:name w:val="样式3-1 Char Char"/>
    <w:link w:val="564"/>
    <w:autoRedefine/>
    <w:qFormat/>
    <w:uiPriority w:val="99"/>
    <w:rPr>
      <w:rFonts w:ascii="宋体" w:hAnsi="宋体"/>
      <w:b/>
      <w:bCs/>
      <w:sz w:val="32"/>
      <w:szCs w:val="24"/>
    </w:rPr>
  </w:style>
  <w:style w:type="paragraph" w:customStyle="1" w:styleId="564">
    <w:name w:val="样式3-1"/>
    <w:basedOn w:val="1"/>
    <w:link w:val="563"/>
    <w:autoRedefine/>
    <w:qFormat/>
    <w:uiPriority w:val="99"/>
    <w:pPr>
      <w:adjustRightInd w:val="0"/>
      <w:snapToGrid w:val="0"/>
      <w:spacing w:before="156" w:beforeLines="50" w:line="360" w:lineRule="auto"/>
      <w:jc w:val="center"/>
      <w:outlineLvl w:val="2"/>
    </w:pPr>
    <w:rPr>
      <w:rFonts w:ascii="宋体" w:hAnsi="宋体"/>
      <w:b/>
      <w:bCs/>
      <w:kern w:val="0"/>
      <w:sz w:val="32"/>
      <w:szCs w:val="24"/>
    </w:rPr>
  </w:style>
  <w:style w:type="character" w:customStyle="1" w:styleId="565">
    <w:name w:val="tpc_content1"/>
    <w:autoRedefine/>
    <w:qFormat/>
    <w:uiPriority w:val="99"/>
    <w:rPr>
      <w:sz w:val="20"/>
      <w:szCs w:val="20"/>
    </w:rPr>
  </w:style>
  <w:style w:type="character" w:customStyle="1" w:styleId="566">
    <w:name w:val="tpc_title1"/>
    <w:autoRedefine/>
    <w:qFormat/>
    <w:uiPriority w:val="0"/>
    <w:rPr>
      <w:b/>
      <w:bCs/>
      <w:sz w:val="24"/>
      <w:szCs w:val="24"/>
    </w:rPr>
  </w:style>
  <w:style w:type="character" w:customStyle="1" w:styleId="567">
    <w:name w:val="样式 批注引用 + 绿色"/>
    <w:autoRedefine/>
    <w:qFormat/>
    <w:uiPriority w:val="0"/>
    <w:rPr>
      <w:rFonts w:ascii="Tahoma" w:hAnsi="Tahoma" w:eastAsia="宋体"/>
      <w:color w:val="FF0000"/>
      <w:kern w:val="2"/>
      <w:sz w:val="21"/>
      <w:szCs w:val="21"/>
      <w:lang w:val="en-US" w:eastAsia="zh-CN" w:bidi="ar-SA"/>
    </w:rPr>
  </w:style>
  <w:style w:type="character" w:customStyle="1" w:styleId="568">
    <w:name w:val="g1"/>
    <w:autoRedefine/>
    <w:qFormat/>
    <w:uiPriority w:val="0"/>
    <w:rPr>
      <w:color w:val="008000"/>
    </w:rPr>
  </w:style>
  <w:style w:type="character" w:customStyle="1" w:styleId="569">
    <w:name w:val="标题 字符1"/>
    <w:autoRedefine/>
    <w:qFormat/>
    <w:uiPriority w:val="0"/>
    <w:rPr>
      <w:rFonts w:ascii="Cambria" w:hAnsi="Cambria"/>
      <w:i/>
      <w:iCs/>
      <w:color w:val="243F60"/>
      <w:sz w:val="60"/>
      <w:szCs w:val="60"/>
      <w:lang w:eastAsia="zh-CN"/>
    </w:rPr>
  </w:style>
  <w:style w:type="character" w:customStyle="1" w:styleId="570">
    <w:name w:val="unnamed1"/>
    <w:autoRedefine/>
    <w:qFormat/>
    <w:uiPriority w:val="0"/>
    <w:rPr>
      <w:rFonts w:ascii="Tahoma" w:hAnsi="Tahoma" w:eastAsia="宋体"/>
      <w:kern w:val="2"/>
      <w:sz w:val="24"/>
      <w:lang w:val="en-US" w:eastAsia="zh-CN" w:bidi="ar-SA"/>
    </w:rPr>
  </w:style>
  <w:style w:type="character" w:customStyle="1" w:styleId="571">
    <w:name w:val="biaoti1"/>
    <w:autoRedefine/>
    <w:qFormat/>
    <w:uiPriority w:val="0"/>
    <w:rPr>
      <w:rFonts w:hint="eastAsia" w:ascii="宋体" w:hAnsi="宋体" w:eastAsia="宋体"/>
      <w:sz w:val="32"/>
      <w:szCs w:val="32"/>
      <w:u w:val="none"/>
    </w:rPr>
  </w:style>
  <w:style w:type="character" w:customStyle="1" w:styleId="572">
    <w:name w:val="无间隔 字符"/>
    <w:autoRedefine/>
    <w:qFormat/>
    <w:uiPriority w:val="99"/>
    <w:rPr>
      <w:rFonts w:ascii="Calibri" w:hAnsi="Calibri"/>
      <w:sz w:val="22"/>
      <w:szCs w:val="22"/>
    </w:rPr>
  </w:style>
  <w:style w:type="character" w:customStyle="1" w:styleId="573">
    <w:name w:val="Char Char18"/>
    <w:autoRedefine/>
    <w:qFormat/>
    <w:uiPriority w:val="0"/>
    <w:rPr>
      <w:rFonts w:ascii="Cambria" w:hAnsi="Cambria" w:eastAsia="宋体" w:cs="Times New Roman"/>
      <w:b/>
      <w:bCs/>
      <w:kern w:val="2"/>
      <w:sz w:val="32"/>
      <w:szCs w:val="32"/>
    </w:rPr>
  </w:style>
  <w:style w:type="character" w:customStyle="1" w:styleId="574">
    <w:name w:val="表格标题 Char"/>
    <w:link w:val="575"/>
    <w:autoRedefine/>
    <w:qFormat/>
    <w:uiPriority w:val="0"/>
    <w:rPr>
      <w:rFonts w:ascii="Calibri" w:hAnsi="Cambria" w:eastAsia="Calibri"/>
      <w:spacing w:val="5"/>
      <w:kern w:val="2"/>
      <w:sz w:val="24"/>
    </w:rPr>
  </w:style>
  <w:style w:type="paragraph" w:customStyle="1" w:styleId="575">
    <w:name w:val="表格标题"/>
    <w:basedOn w:val="1"/>
    <w:link w:val="574"/>
    <w:autoRedefine/>
    <w:qFormat/>
    <w:uiPriority w:val="0"/>
    <w:pPr>
      <w:spacing w:line="360" w:lineRule="auto"/>
      <w:ind w:firstLine="454"/>
      <w:jc w:val="center"/>
    </w:pPr>
    <w:rPr>
      <w:rFonts w:ascii="Calibri" w:hAnsi="Cambria" w:eastAsia="Calibri"/>
      <w:spacing w:val="5"/>
      <w:sz w:val="24"/>
    </w:rPr>
  </w:style>
  <w:style w:type="character" w:customStyle="1" w:styleId="576">
    <w:name w:val="正文缩进 Char2"/>
    <w:autoRedefine/>
    <w:qFormat/>
    <w:uiPriority w:val="0"/>
    <w:rPr>
      <w:rFonts w:ascii="MSung Light SC" w:hAnsi="MSung Light SC" w:eastAsia="MSung Light SC"/>
      <w:color w:val="000000"/>
      <w:kern w:val="2"/>
      <w:sz w:val="21"/>
      <w:szCs w:val="21"/>
      <w:lang w:val="en-US" w:eastAsia="zh-CN" w:bidi="ar-SA"/>
    </w:rPr>
  </w:style>
  <w:style w:type="character" w:customStyle="1" w:styleId="577">
    <w:name w:val="页脚 字符1"/>
    <w:autoRedefine/>
    <w:qFormat/>
    <w:uiPriority w:val="99"/>
    <w:rPr>
      <w:rFonts w:ascii="Calibri" w:hAnsi="Calibri"/>
      <w:sz w:val="18"/>
      <w:szCs w:val="18"/>
      <w:lang w:eastAsia="zh-CN"/>
    </w:rPr>
  </w:style>
  <w:style w:type="character" w:customStyle="1" w:styleId="578">
    <w:name w:val="引用 字符2"/>
    <w:basedOn w:val="71"/>
    <w:qFormat/>
    <w:uiPriority w:val="29"/>
    <w:rPr>
      <w:rFonts w:ascii="Calibri" w:hAnsi="Calibri"/>
      <w:i/>
      <w:iCs/>
      <w:color w:val="404040"/>
      <w:sz w:val="22"/>
      <w:szCs w:val="22"/>
      <w:lang w:eastAsia="zh-CN"/>
    </w:rPr>
  </w:style>
  <w:style w:type="character" w:customStyle="1" w:styleId="579">
    <w:name w:val="+正文 Char Char"/>
    <w:link w:val="580"/>
    <w:autoRedefine/>
    <w:qFormat/>
    <w:uiPriority w:val="0"/>
    <w:rPr>
      <w:sz w:val="24"/>
      <w:szCs w:val="28"/>
    </w:rPr>
  </w:style>
  <w:style w:type="paragraph" w:customStyle="1" w:styleId="580">
    <w:name w:val="+正文"/>
    <w:basedOn w:val="1"/>
    <w:link w:val="579"/>
    <w:autoRedefine/>
    <w:qFormat/>
    <w:uiPriority w:val="0"/>
    <w:pPr>
      <w:widowControl/>
      <w:spacing w:line="360" w:lineRule="auto"/>
      <w:ind w:firstLine="200" w:firstLineChars="200"/>
      <w:jc w:val="left"/>
    </w:pPr>
    <w:rPr>
      <w:kern w:val="0"/>
      <w:sz w:val="24"/>
      <w:szCs w:val="28"/>
    </w:rPr>
  </w:style>
  <w:style w:type="character" w:customStyle="1" w:styleId="581">
    <w:name w:val="prjtxt4"/>
    <w:basedOn w:val="71"/>
    <w:autoRedefine/>
    <w:qFormat/>
    <w:uiPriority w:val="0"/>
  </w:style>
  <w:style w:type="character" w:customStyle="1" w:styleId="582">
    <w:name w:val="正文首行缩进 Char"/>
    <w:link w:val="457"/>
    <w:autoRedefine/>
    <w:qFormat/>
    <w:uiPriority w:val="99"/>
    <w:rPr>
      <w:kern w:val="2"/>
      <w:sz w:val="21"/>
      <w:szCs w:val="24"/>
    </w:rPr>
  </w:style>
  <w:style w:type="character" w:customStyle="1" w:styleId="583">
    <w:name w:val="正文缩进 Char1"/>
    <w:autoRedefine/>
    <w:qFormat/>
    <w:uiPriority w:val="0"/>
    <w:rPr>
      <w:szCs w:val="24"/>
    </w:rPr>
  </w:style>
  <w:style w:type="character" w:customStyle="1" w:styleId="584">
    <w:name w:val="标题 9 字符1"/>
    <w:autoRedefine/>
    <w:qFormat/>
    <w:uiPriority w:val="0"/>
    <w:rPr>
      <w:rFonts w:ascii="Cambria" w:hAnsi="Cambria"/>
      <w:i/>
      <w:iCs/>
      <w:color w:val="9BBB59"/>
      <w:lang w:eastAsia="zh-CN"/>
    </w:rPr>
  </w:style>
  <w:style w:type="character" w:customStyle="1" w:styleId="585">
    <w:name w:val="正文文本 Char3"/>
    <w:autoRedefine/>
    <w:qFormat/>
    <w:uiPriority w:val="99"/>
    <w:rPr>
      <w:sz w:val="22"/>
      <w:szCs w:val="22"/>
    </w:rPr>
  </w:style>
  <w:style w:type="character" w:customStyle="1" w:styleId="586">
    <w:name w:val="标题 2 字符1"/>
    <w:autoRedefine/>
    <w:qFormat/>
    <w:uiPriority w:val="0"/>
    <w:rPr>
      <w:rFonts w:ascii="Cambria" w:hAnsi="Cambria"/>
      <w:color w:val="365F91"/>
      <w:sz w:val="24"/>
      <w:szCs w:val="24"/>
      <w:lang w:eastAsia="zh-CN"/>
    </w:rPr>
  </w:style>
  <w:style w:type="character" w:customStyle="1" w:styleId="587">
    <w:name w:val="无间隔 字符1"/>
    <w:link w:val="323"/>
    <w:autoRedefine/>
    <w:qFormat/>
    <w:uiPriority w:val="1"/>
    <w:rPr>
      <w:rFonts w:ascii="Calibri" w:hAnsi="Calibri"/>
      <w:kern w:val="2"/>
      <w:sz w:val="21"/>
      <w:szCs w:val="22"/>
    </w:rPr>
  </w:style>
  <w:style w:type="character" w:customStyle="1" w:styleId="588">
    <w:name w:val="right2"/>
    <w:basedOn w:val="71"/>
    <w:autoRedefine/>
    <w:qFormat/>
    <w:uiPriority w:val="0"/>
  </w:style>
  <w:style w:type="character" w:customStyle="1" w:styleId="589">
    <w:name w:val="单位 Char"/>
    <w:link w:val="590"/>
    <w:autoRedefine/>
    <w:qFormat/>
    <w:uiPriority w:val="0"/>
    <w:rPr>
      <w:rFonts w:ascii="Cambria" w:hAnsi="Cambria"/>
      <w:kern w:val="2"/>
      <w:sz w:val="21"/>
      <w:szCs w:val="24"/>
    </w:rPr>
  </w:style>
  <w:style w:type="paragraph" w:customStyle="1" w:styleId="590">
    <w:name w:val="单位"/>
    <w:next w:val="27"/>
    <w:link w:val="589"/>
    <w:autoRedefine/>
    <w:qFormat/>
    <w:uiPriority w:val="0"/>
    <w:pPr>
      <w:keepNext/>
      <w:adjustRightInd w:val="0"/>
      <w:snapToGrid w:val="0"/>
      <w:spacing w:line="360" w:lineRule="auto"/>
      <w:ind w:right="50" w:rightChars="50"/>
      <w:jc w:val="right"/>
    </w:pPr>
    <w:rPr>
      <w:rFonts w:ascii="Cambria" w:hAnsi="Cambria" w:eastAsia="宋体" w:cs="Times New Roman"/>
      <w:kern w:val="2"/>
      <w:sz w:val="21"/>
      <w:szCs w:val="24"/>
      <w:lang w:val="en-US" w:eastAsia="zh-CN" w:bidi="ar-SA"/>
    </w:rPr>
  </w:style>
  <w:style w:type="paragraph" w:customStyle="1" w:styleId="591">
    <w:name w:val="_Style 16"/>
    <w:basedOn w:val="1"/>
    <w:next w:val="36"/>
    <w:autoRedefine/>
    <w:qFormat/>
    <w:uiPriority w:val="0"/>
    <w:rPr>
      <w:rFonts w:ascii="宋体" w:hAnsi="Courier New"/>
      <w:sz w:val="24"/>
    </w:rPr>
  </w:style>
  <w:style w:type="paragraph" w:customStyle="1" w:styleId="592">
    <w:name w:val="样式4"/>
    <w:basedOn w:val="43"/>
    <w:autoRedefine/>
    <w:qFormat/>
    <w:uiPriority w:val="99"/>
    <w:pPr>
      <w:widowControl/>
      <w:pBdr>
        <w:bottom w:val="none" w:color="auto" w:sz="0" w:space="0"/>
      </w:pBdr>
      <w:tabs>
        <w:tab w:val="clear" w:pos="4153"/>
        <w:tab w:val="clear" w:pos="8306"/>
      </w:tabs>
      <w:autoSpaceDE w:val="0"/>
      <w:autoSpaceDN w:val="0"/>
      <w:adjustRightInd w:val="0"/>
      <w:snapToGrid/>
      <w:ind w:firstLine="360"/>
    </w:pPr>
    <w:rPr>
      <w:rFonts w:ascii="宋体" w:hAnsi="宋体" w:cs="宋体"/>
      <w:kern w:val="0"/>
      <w:sz w:val="28"/>
      <w:szCs w:val="24"/>
    </w:rPr>
  </w:style>
  <w:style w:type="paragraph" w:customStyle="1" w:styleId="593">
    <w:name w:val="目录 41"/>
    <w:basedOn w:val="1"/>
    <w:next w:val="1"/>
    <w:autoRedefine/>
    <w:qFormat/>
    <w:uiPriority w:val="39"/>
    <w:pPr>
      <w:widowControl/>
      <w:ind w:left="600"/>
      <w:jc w:val="left"/>
    </w:pPr>
    <w:rPr>
      <w:rFonts w:ascii="Calibri" w:hAnsi="Calibri"/>
      <w:kern w:val="0"/>
      <w:sz w:val="20"/>
    </w:rPr>
  </w:style>
  <w:style w:type="paragraph" w:customStyle="1" w:styleId="594">
    <w:name w:val="Char Char Char Char1"/>
    <w:basedOn w:val="1"/>
    <w:autoRedefine/>
    <w:qFormat/>
    <w:uiPriority w:val="0"/>
    <w:rPr>
      <w:rFonts w:ascii="Calibri" w:hAnsi="Calibri"/>
      <w:szCs w:val="24"/>
    </w:rPr>
  </w:style>
  <w:style w:type="paragraph" w:customStyle="1" w:styleId="595">
    <w:name w:val="样式 bszw + 首行缩进:  2 字符"/>
    <w:basedOn w:val="1"/>
    <w:autoRedefine/>
    <w:qFormat/>
    <w:uiPriority w:val="0"/>
    <w:pPr>
      <w:spacing w:line="360" w:lineRule="auto"/>
      <w:ind w:firstLine="420" w:firstLineChars="200"/>
    </w:pPr>
    <w:rPr>
      <w:rFonts w:ascii="Calibri" w:hAnsi="Calibri" w:eastAsia="楷体_GB2312" w:cs="宋体"/>
      <w:kern w:val="0"/>
      <w:sz w:val="24"/>
      <w:szCs w:val="24"/>
    </w:rPr>
  </w:style>
  <w:style w:type="paragraph" w:customStyle="1" w:styleId="596">
    <w:name w:val="样式 表格文字 + 首行缩进:  2 字符"/>
    <w:basedOn w:val="6"/>
    <w:autoRedefine/>
    <w:qFormat/>
    <w:uiPriority w:val="0"/>
    <w:pPr>
      <w:ind w:firstLine="0"/>
      <w:jc w:val="center"/>
    </w:pPr>
    <w:rPr>
      <w:rFonts w:ascii="宋体" w:hAnsi="Calibri" w:cs="宋体"/>
      <w:kern w:val="11"/>
      <w:sz w:val="24"/>
      <w:szCs w:val="24"/>
    </w:rPr>
  </w:style>
  <w:style w:type="paragraph" w:customStyle="1" w:styleId="597">
    <w:name w:val="二级条标题"/>
    <w:basedOn w:val="598"/>
    <w:next w:val="1"/>
    <w:autoRedefine/>
    <w:qFormat/>
    <w:uiPriority w:val="0"/>
    <w:pPr>
      <w:outlineLvl w:val="3"/>
    </w:pPr>
  </w:style>
  <w:style w:type="paragraph" w:customStyle="1" w:styleId="598">
    <w:name w:val="一级条标题"/>
    <w:next w:val="1"/>
    <w:autoRedefine/>
    <w:qFormat/>
    <w:uiPriority w:val="0"/>
    <w:pPr>
      <w:ind w:left="568"/>
      <w:outlineLvl w:val="2"/>
    </w:pPr>
    <w:rPr>
      <w:rFonts w:ascii="Calibri" w:hAnsi="Calibri" w:eastAsia="黑体" w:cs="Times New Roman"/>
      <w:sz w:val="21"/>
      <w:szCs w:val="22"/>
      <w:lang w:val="en-US" w:eastAsia="zh-CN" w:bidi="ar-SA"/>
    </w:rPr>
  </w:style>
  <w:style w:type="paragraph" w:customStyle="1" w:styleId="599">
    <w:name w:val="目录 71"/>
    <w:basedOn w:val="1"/>
    <w:next w:val="1"/>
    <w:autoRedefine/>
    <w:qFormat/>
    <w:uiPriority w:val="39"/>
    <w:pPr>
      <w:adjustRightInd w:val="0"/>
      <w:ind w:left="1440"/>
      <w:jc w:val="left"/>
      <w:textAlignment w:val="baseline"/>
    </w:pPr>
    <w:rPr>
      <w:rFonts w:ascii="Calibri" w:hAnsi="Calibri"/>
      <w:kern w:val="0"/>
      <w:sz w:val="18"/>
      <w:szCs w:val="18"/>
    </w:rPr>
  </w:style>
  <w:style w:type="paragraph" w:customStyle="1" w:styleId="600">
    <w:name w:val="目录 61"/>
    <w:basedOn w:val="1"/>
    <w:next w:val="1"/>
    <w:autoRedefine/>
    <w:qFormat/>
    <w:uiPriority w:val="39"/>
    <w:pPr>
      <w:adjustRightInd w:val="0"/>
      <w:ind w:left="1200"/>
      <w:jc w:val="left"/>
      <w:textAlignment w:val="baseline"/>
    </w:pPr>
    <w:rPr>
      <w:rFonts w:ascii="Calibri" w:hAnsi="Calibri"/>
      <w:kern w:val="0"/>
      <w:sz w:val="18"/>
      <w:szCs w:val="18"/>
    </w:rPr>
  </w:style>
  <w:style w:type="paragraph" w:customStyle="1" w:styleId="601">
    <w:name w:val="Char Char Char Char Char Char Char Char Char Char Char Char"/>
    <w:basedOn w:val="1"/>
    <w:autoRedefine/>
    <w:qFormat/>
    <w:uiPriority w:val="0"/>
    <w:pPr>
      <w:spacing w:line="240" w:lineRule="atLeast"/>
      <w:ind w:left="420" w:firstLine="420"/>
    </w:pPr>
    <w:rPr>
      <w:rFonts w:ascii="Calibri" w:hAnsi="Calibri"/>
      <w:kern w:val="0"/>
      <w:szCs w:val="21"/>
    </w:rPr>
  </w:style>
  <w:style w:type="paragraph" w:customStyle="1" w:styleId="602">
    <w:name w:val="unnamed11"/>
    <w:basedOn w:val="1"/>
    <w:autoRedefine/>
    <w:qFormat/>
    <w:uiPriority w:val="0"/>
    <w:pPr>
      <w:widowControl/>
      <w:spacing w:before="100" w:beforeAutospacing="1" w:after="100" w:afterAutospacing="1"/>
      <w:jc w:val="left"/>
    </w:pPr>
    <w:rPr>
      <w:rFonts w:ascii="宋体" w:hAnsi="宋体" w:eastAsia="楷体_GB2312"/>
      <w:kern w:val="0"/>
      <w:sz w:val="24"/>
      <w:szCs w:val="24"/>
    </w:rPr>
  </w:style>
  <w:style w:type="paragraph" w:customStyle="1" w:styleId="603">
    <w:name w:val="font12"/>
    <w:basedOn w:val="1"/>
    <w:autoRedefine/>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604">
    <w:name w:val="表格cacc"/>
    <w:basedOn w:val="1"/>
    <w:autoRedefine/>
    <w:qFormat/>
    <w:uiPriority w:val="0"/>
    <w:pPr>
      <w:spacing w:line="240" w:lineRule="atLeast"/>
      <w:jc w:val="left"/>
    </w:pPr>
    <w:rPr>
      <w:rFonts w:ascii="Calibri" w:hAnsi="Calibri"/>
      <w:szCs w:val="21"/>
    </w:rPr>
  </w:style>
  <w:style w:type="paragraph" w:customStyle="1" w:styleId="605">
    <w:name w:val="样式 样式 标题 1 + 黑体 + 居中 段前: 0 磅 段后: 0 磅"/>
    <w:basedOn w:val="1"/>
    <w:autoRedefine/>
    <w:qFormat/>
    <w:uiPriority w:val="0"/>
    <w:pPr>
      <w:keepNext/>
      <w:keepLines/>
      <w:autoSpaceDE w:val="0"/>
      <w:autoSpaceDN w:val="0"/>
      <w:adjustRightInd w:val="0"/>
      <w:spacing w:beforeLines="50" w:afterLines="50"/>
      <w:jc w:val="center"/>
      <w:outlineLvl w:val="0"/>
    </w:pPr>
    <w:rPr>
      <w:rFonts w:ascii="黑体" w:hAnsi="黑体" w:eastAsia="黑体" w:cs="宋体"/>
      <w:b/>
      <w:bCs/>
      <w:kern w:val="44"/>
      <w:sz w:val="32"/>
    </w:rPr>
  </w:style>
  <w:style w:type="paragraph" w:customStyle="1" w:styleId="606">
    <w:name w:val="样式3"/>
    <w:basedOn w:val="5"/>
    <w:link w:val="943"/>
    <w:autoRedefine/>
    <w:qFormat/>
    <w:uiPriority w:val="0"/>
    <w:pPr>
      <w:spacing w:before="260" w:after="260" w:line="412" w:lineRule="auto"/>
      <w:ind w:firstLine="0"/>
    </w:pPr>
    <w:rPr>
      <w:rFonts w:ascii="Times New Roman" w:eastAsia="Arial"/>
      <w:bCs/>
      <w:sz w:val="32"/>
      <w:szCs w:val="32"/>
    </w:rPr>
  </w:style>
  <w:style w:type="paragraph" w:customStyle="1" w:styleId="607">
    <w:name w:val="stitle"/>
    <w:basedOn w:val="1"/>
    <w:autoRedefine/>
    <w:qFormat/>
    <w:uiPriority w:val="0"/>
    <w:pPr>
      <w:widowControl/>
      <w:spacing w:before="100" w:beforeAutospacing="1" w:after="100" w:afterAutospacing="1"/>
      <w:jc w:val="left"/>
    </w:pPr>
    <w:rPr>
      <w:rFonts w:ascii="宋体" w:hAnsi="宋体" w:cs="宋体"/>
      <w:smallCaps/>
      <w:color w:val="000000"/>
      <w:kern w:val="0"/>
      <w:sz w:val="20"/>
    </w:rPr>
  </w:style>
  <w:style w:type="paragraph" w:customStyle="1" w:styleId="608">
    <w:name w:val="正文1111"/>
    <w:basedOn w:val="1"/>
    <w:next w:val="54"/>
    <w:autoRedefine/>
    <w:qFormat/>
    <w:uiPriority w:val="0"/>
    <w:pPr>
      <w:spacing w:line="360" w:lineRule="auto"/>
      <w:ind w:firstLine="200" w:firstLineChars="200"/>
    </w:pPr>
    <w:rPr>
      <w:rFonts w:ascii="Cambria" w:hAnsi="Cambria" w:cs="Cambria"/>
      <w:spacing w:val="10"/>
      <w:kern w:val="0"/>
      <w:sz w:val="24"/>
      <w:szCs w:val="24"/>
    </w:rPr>
  </w:style>
  <w:style w:type="paragraph" w:customStyle="1" w:styleId="609">
    <w:name w:val="Char6 Char Char Char_0"/>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610">
    <w:name w:val="tiao"/>
    <w:basedOn w:val="1"/>
    <w:autoRedefine/>
    <w:qFormat/>
    <w:uiPriority w:val="0"/>
    <w:pPr>
      <w:widowControl/>
      <w:shd w:val="clear" w:color="auto" w:fill="AFEEEE"/>
      <w:spacing w:before="100" w:beforeAutospacing="1" w:after="100" w:afterAutospacing="1"/>
      <w:jc w:val="left"/>
    </w:pPr>
    <w:rPr>
      <w:rFonts w:ascii="宋体" w:hAnsi="宋体" w:cs="宋体"/>
      <w:i/>
      <w:iCs/>
      <w:smallCaps/>
      <w:color w:val="6600CC"/>
      <w:kern w:val="0"/>
      <w:sz w:val="20"/>
    </w:rPr>
  </w:style>
  <w:style w:type="paragraph" w:customStyle="1" w:styleId="611">
    <w:name w:val="样式 标题 4 + 段前: 1 行"/>
    <w:basedOn w:val="7"/>
    <w:autoRedefine/>
    <w:qFormat/>
    <w:uiPriority w:val="0"/>
    <w:pPr>
      <w:adjustRightInd w:val="0"/>
      <w:snapToGrid w:val="0"/>
      <w:spacing w:beforeLines="100" w:after="0" w:line="240" w:lineRule="auto"/>
    </w:pPr>
    <w:rPr>
      <w:rFonts w:eastAsia="宋体" w:cs="宋体"/>
      <w:kern w:val="28"/>
      <w:szCs w:val="20"/>
    </w:rPr>
  </w:style>
  <w:style w:type="paragraph" w:customStyle="1" w:styleId="612">
    <w:name w:val="正文1_0"/>
    <w:autoRedefine/>
    <w:qFormat/>
    <w:uiPriority w:val="0"/>
    <w:pPr>
      <w:widowControl w:val="0"/>
      <w:jc w:val="both"/>
    </w:pPr>
    <w:rPr>
      <w:rFonts w:ascii="Calibri" w:hAnsi="Calibri" w:eastAsia="宋体" w:cs="Times New Roman"/>
      <w:kern w:val="2"/>
      <w:sz w:val="21"/>
      <w:lang w:val="en-US" w:eastAsia="zh-CN" w:bidi="ar-SA"/>
    </w:rPr>
  </w:style>
  <w:style w:type="paragraph" w:customStyle="1" w:styleId="613">
    <w:name w:val="前言、引言标题"/>
    <w:next w:val="1"/>
    <w:autoRedefine/>
    <w:qFormat/>
    <w:uiPriority w:val="0"/>
    <w:pPr>
      <w:shd w:val="clear" w:color="FFFFFF" w:fill="FFFFFF"/>
      <w:spacing w:before="640" w:after="560"/>
      <w:ind w:left="568"/>
      <w:jc w:val="center"/>
      <w:outlineLvl w:val="0"/>
    </w:pPr>
    <w:rPr>
      <w:rFonts w:ascii="黑体" w:hAnsi="Calibri" w:eastAsia="黑体" w:cs="Times New Roman"/>
      <w:sz w:val="32"/>
      <w:szCs w:val="22"/>
      <w:lang w:val="en-US" w:eastAsia="zh-CN" w:bidi="ar-SA"/>
    </w:rPr>
  </w:style>
  <w:style w:type="paragraph" w:customStyle="1" w:styleId="614">
    <w:name w:val="Char Char Char Char1 Char Char Char Char Char1 Char"/>
    <w:basedOn w:val="1"/>
    <w:autoRedefine/>
    <w:qFormat/>
    <w:uiPriority w:val="0"/>
    <w:pPr>
      <w:spacing w:line="240" w:lineRule="atLeast"/>
      <w:ind w:left="420" w:firstLine="420"/>
    </w:pPr>
    <w:rPr>
      <w:rFonts w:ascii="Calibri" w:hAnsi="Calibri"/>
      <w:kern w:val="0"/>
      <w:szCs w:val="21"/>
    </w:rPr>
  </w:style>
  <w:style w:type="paragraph" w:customStyle="1" w:styleId="615">
    <w:name w:val="reader-word-layer reader-word-s1-6"/>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16">
    <w:name w:val="样式 首行缩进:  2 字符 Char"/>
    <w:basedOn w:val="1"/>
    <w:autoRedefine/>
    <w:qFormat/>
    <w:uiPriority w:val="0"/>
    <w:pPr>
      <w:spacing w:before="120" w:after="120" w:line="348" w:lineRule="auto"/>
      <w:ind w:firstLine="200" w:firstLineChars="200"/>
    </w:pPr>
    <w:rPr>
      <w:rFonts w:ascii="Calibri" w:hAnsi="Calibri"/>
      <w:kern w:val="11"/>
      <w:sz w:val="24"/>
      <w:szCs w:val="28"/>
    </w:rPr>
  </w:style>
  <w:style w:type="paragraph" w:customStyle="1" w:styleId="617">
    <w:name w:val="样式 目录 3 + 左侧:  4 字符 首行缩进:  2 字符1"/>
    <w:basedOn w:val="35"/>
    <w:autoRedefine/>
    <w:qFormat/>
    <w:uiPriority w:val="0"/>
    <w:pPr>
      <w:tabs>
        <w:tab w:val="left" w:pos="2520"/>
        <w:tab w:val="right" w:leader="dot" w:pos="9060"/>
      </w:tabs>
      <w:ind w:left="960" w:firstLine="480" w:firstLineChars="200"/>
      <w:jc w:val="both"/>
    </w:pPr>
    <w:rPr>
      <w:rFonts w:ascii="Calibri" w:hAnsi="Calibri" w:cs="宋体"/>
      <w:kern w:val="28"/>
      <w:sz w:val="24"/>
      <w:szCs w:val="24"/>
    </w:rPr>
  </w:style>
  <w:style w:type="paragraph" w:customStyle="1" w:styleId="618">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619">
    <w:name w:val="Char3_0"/>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lang w:val="en-GB"/>
    </w:rPr>
  </w:style>
  <w:style w:type="paragraph" w:customStyle="1" w:styleId="620">
    <w:name w:val="4"/>
    <w:basedOn w:val="1"/>
    <w:next w:val="36"/>
    <w:link w:val="922"/>
    <w:autoRedefine/>
    <w:qFormat/>
    <w:uiPriority w:val="0"/>
    <w:rPr>
      <w:rFonts w:ascii="宋体" w:hAnsi="Courier New" w:eastAsia="楷体_GB2312"/>
    </w:rPr>
  </w:style>
  <w:style w:type="paragraph" w:customStyle="1" w:styleId="621">
    <w:name w:val="样式 样式 标题 3 + 居中 左侧:  3.06 厘米 首行缩进:  1.18 厘米 段前: 1.5 行 段后: 6 磅 .....1"/>
    <w:basedOn w:val="622"/>
    <w:autoRedefine/>
    <w:qFormat/>
    <w:uiPriority w:val="0"/>
    <w:pPr>
      <w:tabs>
        <w:tab w:val="left" w:pos="360"/>
        <w:tab w:val="left" w:pos="720"/>
      </w:tabs>
      <w:spacing w:beforeLines="0"/>
    </w:pPr>
  </w:style>
  <w:style w:type="paragraph" w:customStyle="1" w:styleId="622">
    <w:name w:val="样式 标题 3 + 居中 左侧:  3.06 厘米 首行缩进:  1.18 厘米 段前: 1.5 行 段后: 6 磅 ..."/>
    <w:basedOn w:val="5"/>
    <w:autoRedefine/>
    <w:qFormat/>
    <w:uiPriority w:val="0"/>
    <w:pPr>
      <w:tabs>
        <w:tab w:val="left" w:pos="360"/>
      </w:tabs>
      <w:adjustRightInd w:val="0"/>
      <w:snapToGrid w:val="0"/>
      <w:spacing w:before="260" w:beforeLines="150" w:after="120" w:line="413" w:lineRule="auto"/>
      <w:ind w:firstLine="0"/>
      <w:jc w:val="center"/>
    </w:pPr>
    <w:rPr>
      <w:rFonts w:ascii="Arial" w:hAnsi="Arial" w:cs="宋体"/>
      <w:bCs/>
      <w:kern w:val="28"/>
    </w:rPr>
  </w:style>
  <w:style w:type="paragraph" w:customStyle="1" w:styleId="623">
    <w:name w:val="reader-word-layer reader-word-s19-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24">
    <w:name w:val="正文1_0_0"/>
    <w:autoRedefine/>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625">
    <w:name w:val="表中文字－ld"/>
    <w:next w:val="1"/>
    <w:autoRedefine/>
    <w:qFormat/>
    <w:uiPriority w:val="0"/>
    <w:pPr>
      <w:widowControl w:val="0"/>
      <w:adjustRightInd w:val="0"/>
      <w:snapToGrid w:val="0"/>
      <w:spacing w:before="40" w:after="40"/>
      <w:jc w:val="center"/>
    </w:pPr>
    <w:rPr>
      <w:rFonts w:ascii="Cambria" w:hAnsi="Cambria" w:eastAsia="宋体" w:cs="方正综艺简体"/>
      <w:sz w:val="21"/>
      <w:szCs w:val="21"/>
      <w:lang w:val="en-US" w:eastAsia="zh-CN" w:bidi="ar-SA"/>
    </w:rPr>
  </w:style>
  <w:style w:type="paragraph" w:customStyle="1" w:styleId="626">
    <w:name w:val="geshi1"/>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27">
    <w:name w:val="p233"/>
    <w:basedOn w:val="1"/>
    <w:autoRedefine/>
    <w:qFormat/>
    <w:uiPriority w:val="0"/>
    <w:pPr>
      <w:widowControl/>
      <w:spacing w:line="480" w:lineRule="auto"/>
      <w:ind w:firstLine="422"/>
      <w:jc w:val="left"/>
    </w:pPr>
    <w:rPr>
      <w:rFonts w:ascii="宋体" w:hAnsi="宋体" w:cs="宋体"/>
      <w:kern w:val="0"/>
      <w:szCs w:val="21"/>
    </w:rPr>
  </w:style>
  <w:style w:type="paragraph" w:customStyle="1" w:styleId="628">
    <w:name w:val="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29">
    <w:name w:val="列出段落2"/>
    <w:basedOn w:val="1"/>
    <w:autoRedefine/>
    <w:unhideWhenUsed/>
    <w:qFormat/>
    <w:uiPriority w:val="34"/>
    <w:pPr>
      <w:widowControl/>
      <w:ind w:firstLine="420" w:firstLineChars="200"/>
      <w:jc w:val="left"/>
    </w:pPr>
    <w:rPr>
      <w:rFonts w:ascii="Calibri" w:hAnsi="Calibri"/>
      <w:kern w:val="0"/>
      <w:sz w:val="20"/>
    </w:rPr>
  </w:style>
  <w:style w:type="paragraph" w:customStyle="1" w:styleId="630">
    <w:name w:val="Char_0"/>
    <w:basedOn w:val="1"/>
    <w:autoRedefine/>
    <w:qFormat/>
    <w:uiPriority w:val="0"/>
    <w:rPr>
      <w:rFonts w:ascii="仿宋_GB2312" w:hAnsi="Calibri" w:eastAsia="仿宋_GB2312"/>
      <w:b/>
      <w:sz w:val="32"/>
      <w:szCs w:val="32"/>
    </w:rPr>
  </w:style>
  <w:style w:type="paragraph" w:customStyle="1" w:styleId="631">
    <w:name w:val="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32">
    <w:name w:val="目录 91"/>
    <w:basedOn w:val="1"/>
    <w:next w:val="1"/>
    <w:autoRedefine/>
    <w:qFormat/>
    <w:uiPriority w:val="39"/>
    <w:pPr>
      <w:tabs>
        <w:tab w:val="right" w:pos="8306"/>
      </w:tabs>
      <w:spacing w:before="156" w:beforeLines="50" w:line="300" w:lineRule="atLeast"/>
      <w:jc w:val="center"/>
    </w:pPr>
    <w:rPr>
      <w:rFonts w:ascii="宋体" w:hAnsi="宋体"/>
      <w:szCs w:val="24"/>
    </w:rPr>
  </w:style>
  <w:style w:type="paragraph" w:customStyle="1" w:styleId="633">
    <w:name w:val="Char Char Char Char Char Char Char Char Char Char Char Char Char Char Char Char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34">
    <w:name w:val="目录 81"/>
    <w:basedOn w:val="1"/>
    <w:next w:val="1"/>
    <w:autoRedefine/>
    <w:qFormat/>
    <w:uiPriority w:val="39"/>
    <w:pPr>
      <w:adjustRightInd w:val="0"/>
      <w:ind w:left="1680"/>
      <w:jc w:val="left"/>
      <w:textAlignment w:val="baseline"/>
    </w:pPr>
    <w:rPr>
      <w:rFonts w:ascii="Calibri" w:hAnsi="Calibri"/>
      <w:kern w:val="0"/>
      <w:sz w:val="18"/>
      <w:szCs w:val="18"/>
    </w:rPr>
  </w:style>
  <w:style w:type="paragraph" w:customStyle="1" w:styleId="635">
    <w:name w:val="表格内文字"/>
    <w:basedOn w:val="1"/>
    <w:autoRedefine/>
    <w:qFormat/>
    <w:uiPriority w:val="0"/>
    <w:pPr>
      <w:adjustRightInd w:val="0"/>
      <w:snapToGrid w:val="0"/>
      <w:spacing w:line="240" w:lineRule="atLeast"/>
      <w:jc w:val="center"/>
    </w:pPr>
    <w:rPr>
      <w:rFonts w:ascii="Calibri" w:hAnsi="Calibri"/>
      <w:kern w:val="28"/>
      <w:sz w:val="24"/>
    </w:rPr>
  </w:style>
  <w:style w:type="paragraph" w:customStyle="1" w:styleId="636">
    <w:name w:val="mtitle"/>
    <w:basedOn w:val="1"/>
    <w:autoRedefine/>
    <w:qFormat/>
    <w:uiPriority w:val="0"/>
    <w:pPr>
      <w:widowControl/>
      <w:spacing w:before="100" w:beforeAutospacing="1" w:after="100" w:afterAutospacing="1" w:line="336" w:lineRule="auto"/>
      <w:jc w:val="left"/>
    </w:pPr>
    <w:rPr>
      <w:rFonts w:ascii="宋体" w:hAnsi="宋体" w:cs="宋体"/>
      <w:b/>
      <w:bCs/>
      <w:smallCaps/>
      <w:color w:val="000000"/>
      <w:kern w:val="0"/>
      <w:sz w:val="20"/>
    </w:rPr>
  </w:style>
  <w:style w:type="paragraph" w:customStyle="1" w:styleId="637">
    <w:name w:val="样式 标题 3 + 居中 左侧:  0 厘米 首行缩进:  1.18 厘米 段前: 1.5 行 段后: 6 磅 行距:..."/>
    <w:basedOn w:val="5"/>
    <w:autoRedefine/>
    <w:qFormat/>
    <w:uiPriority w:val="0"/>
    <w:pPr>
      <w:tabs>
        <w:tab w:val="left" w:pos="360"/>
        <w:tab w:val="left" w:pos="720"/>
      </w:tabs>
      <w:adjustRightInd w:val="0"/>
      <w:snapToGrid w:val="0"/>
      <w:spacing w:before="260" w:beforeLines="150" w:after="120" w:line="413" w:lineRule="auto"/>
      <w:ind w:firstLine="0"/>
      <w:jc w:val="center"/>
    </w:pPr>
    <w:rPr>
      <w:rFonts w:ascii="Arial" w:hAnsi="Arial" w:cs="宋体"/>
      <w:bCs/>
      <w:kern w:val="28"/>
    </w:rPr>
  </w:style>
  <w:style w:type="paragraph" w:customStyle="1" w:styleId="638">
    <w:name w:val="CM99"/>
    <w:basedOn w:val="340"/>
    <w:next w:val="340"/>
    <w:autoRedefine/>
    <w:qFormat/>
    <w:uiPriority w:val="0"/>
    <w:pPr>
      <w:spacing w:after="443"/>
    </w:pPr>
    <w:rPr>
      <w:rFonts w:ascii="宋体" w:hAnsi="Times New Roman"/>
      <w:color w:val="auto"/>
    </w:rPr>
  </w:style>
  <w:style w:type="paragraph" w:customStyle="1" w:styleId="639">
    <w:name w:val="tiaoyin"/>
    <w:basedOn w:val="1"/>
    <w:autoRedefine/>
    <w:qFormat/>
    <w:uiPriority w:val="0"/>
    <w:pPr>
      <w:widowControl/>
      <w:spacing w:before="100" w:beforeAutospacing="1" w:after="100" w:afterAutospacing="1"/>
      <w:jc w:val="left"/>
    </w:pPr>
    <w:rPr>
      <w:rFonts w:ascii="宋体" w:hAnsi="宋体" w:cs="宋体"/>
      <w:smallCaps/>
      <w:color w:val="FF0000"/>
      <w:kern w:val="0"/>
      <w:sz w:val="20"/>
    </w:rPr>
  </w:style>
  <w:style w:type="paragraph" w:customStyle="1" w:styleId="640">
    <w:name w:val="CM44"/>
    <w:basedOn w:val="340"/>
    <w:next w:val="340"/>
    <w:autoRedefine/>
    <w:qFormat/>
    <w:uiPriority w:val="0"/>
    <w:pPr>
      <w:spacing w:line="440" w:lineRule="atLeast"/>
    </w:pPr>
    <w:rPr>
      <w:rFonts w:ascii="宋体" w:hAnsi="Times New Roman"/>
      <w:color w:val="auto"/>
    </w:rPr>
  </w:style>
  <w:style w:type="paragraph" w:customStyle="1" w:styleId="641">
    <w:name w:val="tiaonoa"/>
    <w:basedOn w:val="1"/>
    <w:autoRedefine/>
    <w:qFormat/>
    <w:uiPriority w:val="0"/>
    <w:pPr>
      <w:widowControl/>
      <w:spacing w:before="100" w:beforeAutospacing="1" w:after="100" w:afterAutospacing="1"/>
      <w:jc w:val="left"/>
    </w:pPr>
    <w:rPr>
      <w:rFonts w:ascii="宋体" w:hAnsi="宋体" w:cs="宋体"/>
      <w:b/>
      <w:bCs/>
      <w:smallCaps/>
      <w:color w:val="000000"/>
      <w:kern w:val="0"/>
      <w:sz w:val="18"/>
      <w:szCs w:val="18"/>
    </w:rPr>
  </w:style>
  <w:style w:type="paragraph" w:customStyle="1" w:styleId="642">
    <w:name w:val="pa-15"/>
    <w:basedOn w:val="1"/>
    <w:autoRedefine/>
    <w:qFormat/>
    <w:uiPriority w:val="0"/>
    <w:pPr>
      <w:widowControl/>
      <w:spacing w:line="320" w:lineRule="atLeast"/>
    </w:pPr>
    <w:rPr>
      <w:rFonts w:ascii="宋体" w:hAnsi="宋体" w:cs="宋体"/>
      <w:kern w:val="0"/>
      <w:sz w:val="24"/>
      <w:szCs w:val="24"/>
    </w:rPr>
  </w:style>
  <w:style w:type="paragraph" w:customStyle="1" w:styleId="643">
    <w:name w:val="Char Char Char Char_0"/>
    <w:basedOn w:val="1"/>
    <w:next w:val="1"/>
    <w:autoRedefine/>
    <w:qFormat/>
    <w:uiPriority w:val="0"/>
    <w:pPr>
      <w:widowControl/>
      <w:tabs>
        <w:tab w:val="left" w:pos="845"/>
      </w:tabs>
      <w:spacing w:before="156" w:beforeLines="50" w:after="312" w:afterLines="100" w:line="360" w:lineRule="auto"/>
      <w:ind w:left="1105" w:hanging="748"/>
      <w:jc w:val="center"/>
    </w:pPr>
    <w:rPr>
      <w:rFonts w:ascii="Calibri" w:hAnsi="Calibri"/>
      <w:kern w:val="0"/>
      <w:sz w:val="24"/>
      <w:szCs w:val="22"/>
    </w:rPr>
  </w:style>
  <w:style w:type="paragraph" w:customStyle="1" w:styleId="644">
    <w:name w:val="zhang"/>
    <w:basedOn w:val="1"/>
    <w:autoRedefine/>
    <w:qFormat/>
    <w:uiPriority w:val="0"/>
    <w:pPr>
      <w:widowControl/>
      <w:spacing w:before="100" w:beforeAutospacing="1" w:after="100" w:afterAutospacing="1"/>
      <w:jc w:val="left"/>
    </w:pPr>
    <w:rPr>
      <w:rFonts w:ascii="宋体" w:hAnsi="宋体" w:cs="宋体"/>
      <w:b/>
      <w:bCs/>
      <w:smallCaps/>
      <w:color w:val="000000"/>
      <w:kern w:val="0"/>
      <w:sz w:val="20"/>
    </w:rPr>
  </w:style>
  <w:style w:type="paragraph" w:customStyle="1" w:styleId="645">
    <w:name w:val="无间隔1"/>
    <w:link w:val="893"/>
    <w:autoRedefine/>
    <w:qFormat/>
    <w:uiPriority w:val="1"/>
    <w:pPr>
      <w:widowControl w:val="0"/>
      <w:snapToGrid w:val="0"/>
      <w:jc w:val="both"/>
    </w:pPr>
    <w:rPr>
      <w:rFonts w:ascii="MSung Light SC" w:hAnsi="MSung Light SC" w:eastAsia="宋体" w:cs="Cambria"/>
      <w:color w:val="000000"/>
      <w:kern w:val="2"/>
      <w:sz w:val="21"/>
      <w:szCs w:val="21"/>
      <w:lang w:val="en-US" w:eastAsia="zh-CN" w:bidi="ar-SA"/>
    </w:rPr>
  </w:style>
  <w:style w:type="paragraph" w:customStyle="1" w:styleId="646">
    <w:name w:val="p230"/>
    <w:basedOn w:val="1"/>
    <w:autoRedefine/>
    <w:qFormat/>
    <w:uiPriority w:val="0"/>
    <w:pPr>
      <w:widowControl/>
      <w:ind w:firstLine="1575"/>
      <w:jc w:val="left"/>
    </w:pPr>
    <w:rPr>
      <w:rFonts w:ascii="宋体" w:hAnsi="宋体" w:cs="宋体"/>
      <w:kern w:val="0"/>
      <w:szCs w:val="21"/>
    </w:rPr>
  </w:style>
  <w:style w:type="paragraph" w:customStyle="1" w:styleId="647">
    <w:name w:val="样式 标题 2"/>
    <w:basedOn w:val="1"/>
    <w:next w:val="5"/>
    <w:autoRedefine/>
    <w:qFormat/>
    <w:uiPriority w:val="0"/>
    <w:pPr>
      <w:snapToGrid w:val="0"/>
      <w:spacing w:line="360" w:lineRule="auto"/>
      <w:ind w:firstLine="200" w:firstLineChars="200"/>
    </w:pPr>
    <w:rPr>
      <w:rFonts w:ascii="Calibri" w:hAnsi="Calibri" w:eastAsia="仿宋_GB2312"/>
      <w:sz w:val="32"/>
      <w:szCs w:val="32"/>
    </w:rPr>
  </w:style>
  <w:style w:type="paragraph" w:customStyle="1" w:styleId="648">
    <w:name w:val="p14"/>
    <w:basedOn w:val="1"/>
    <w:autoRedefine/>
    <w:qFormat/>
    <w:uiPriority w:val="0"/>
    <w:pPr>
      <w:widowControl/>
      <w:spacing w:line="480" w:lineRule="auto"/>
      <w:jc w:val="left"/>
    </w:pPr>
    <w:rPr>
      <w:rFonts w:ascii="宋体" w:hAnsi="宋体" w:cs="宋体"/>
      <w:kern w:val="0"/>
      <w:szCs w:val="21"/>
    </w:rPr>
  </w:style>
  <w:style w:type="paragraph" w:customStyle="1" w:styleId="649">
    <w:name w:val="noindent"/>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50">
    <w:name w:val="Char Char Char Char Char Char Char Char Char Char Char"/>
    <w:autoRedefine/>
    <w:qFormat/>
    <w:uiPriority w:val="0"/>
    <w:pPr>
      <w:widowControl w:val="0"/>
      <w:spacing w:line="300" w:lineRule="auto"/>
      <w:ind w:firstLine="480" w:firstLineChars="200"/>
      <w:jc w:val="both"/>
    </w:pPr>
    <w:rPr>
      <w:rFonts w:ascii="Calibri" w:hAnsi="Calibri" w:eastAsia="宋体" w:cs="Times New Roman"/>
      <w:kern w:val="2"/>
      <w:sz w:val="21"/>
      <w:szCs w:val="24"/>
      <w:lang w:val="en-US" w:eastAsia="zh-CN" w:bidi="ar-SA"/>
    </w:rPr>
  </w:style>
  <w:style w:type="paragraph" w:customStyle="1" w:styleId="651">
    <w:name w:val="Char Char"/>
    <w:basedOn w:val="1"/>
    <w:autoRedefine/>
    <w:qFormat/>
    <w:uiPriority w:val="0"/>
    <w:rPr>
      <w:rFonts w:ascii="Tahoma" w:hAnsi="Tahoma" w:eastAsia="楷体_GB2312"/>
      <w:sz w:val="24"/>
    </w:rPr>
  </w:style>
  <w:style w:type="paragraph" w:customStyle="1" w:styleId="652">
    <w:name w:val="样式 首行缩进:  2 字符2"/>
    <w:basedOn w:val="1"/>
    <w:autoRedefine/>
    <w:qFormat/>
    <w:uiPriority w:val="0"/>
    <w:pPr>
      <w:spacing w:line="300" w:lineRule="auto"/>
      <w:ind w:firstLine="200" w:firstLineChars="200"/>
    </w:pPr>
    <w:rPr>
      <w:rFonts w:ascii="Calibri" w:hAnsi="Calibri" w:cs="宋体"/>
      <w:kern w:val="28"/>
      <w:sz w:val="24"/>
      <w:szCs w:val="24"/>
    </w:rPr>
  </w:style>
  <w:style w:type="paragraph" w:customStyle="1" w:styleId="653">
    <w:name w:val="reader-word-layer reader-word-s1-5"/>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654">
    <w:name w:val="Body Text(ch)"/>
    <w:basedOn w:val="1"/>
    <w:next w:val="25"/>
    <w:autoRedefine/>
    <w:qFormat/>
    <w:uiPriority w:val="0"/>
    <w:pPr>
      <w:spacing w:line="500" w:lineRule="exact"/>
      <w:jc w:val="center"/>
    </w:pPr>
    <w:rPr>
      <w:rFonts w:ascii="Calibri" w:hAnsi="Calibri" w:eastAsia="楷体_GB2312"/>
      <w:szCs w:val="24"/>
    </w:rPr>
  </w:style>
  <w:style w:type="paragraph" w:customStyle="1" w:styleId="655">
    <w:name w:val="_Style 27"/>
    <w:basedOn w:val="1"/>
    <w:next w:val="32"/>
    <w:autoRedefine/>
    <w:qFormat/>
    <w:uiPriority w:val="0"/>
    <w:pPr>
      <w:adjustRightInd w:val="0"/>
      <w:ind w:left="420" w:right="33"/>
      <w:jc w:val="left"/>
      <w:textAlignment w:val="baseline"/>
    </w:pPr>
    <w:rPr>
      <w:rFonts w:ascii="Calibri" w:hAnsi="Calibri"/>
      <w:kern w:val="0"/>
      <w:sz w:val="24"/>
    </w:rPr>
  </w:style>
  <w:style w:type="paragraph" w:customStyle="1" w:styleId="656">
    <w:name w:val="font10"/>
    <w:basedOn w:val="1"/>
    <w:autoRedefine/>
    <w:qFormat/>
    <w:uiPriority w:val="0"/>
    <w:pPr>
      <w:widowControl/>
      <w:spacing w:before="100" w:beforeAutospacing="1" w:after="100" w:afterAutospacing="1"/>
      <w:jc w:val="left"/>
    </w:pPr>
    <w:rPr>
      <w:rFonts w:ascii="Calibri" w:hAnsi="Calibri" w:eastAsia="楷体_GB2312"/>
      <w:kern w:val="0"/>
      <w:sz w:val="20"/>
    </w:rPr>
  </w:style>
  <w:style w:type="paragraph" w:customStyle="1" w:styleId="657">
    <w:name w:val="样式 正文段 + 段后: 0.5 行 首行缩进:  0 字符"/>
    <w:basedOn w:val="101"/>
    <w:autoRedefine/>
    <w:qFormat/>
    <w:uiPriority w:val="0"/>
    <w:pPr>
      <w:widowControl/>
      <w:spacing w:after="0" w:line="240" w:lineRule="auto"/>
      <w:ind w:firstLine="0"/>
    </w:pPr>
    <w:rPr>
      <w:rFonts w:ascii="Calibri" w:hAnsi="Calibri" w:eastAsia="楷体_GB2312" w:cs="宋体"/>
      <w:kern w:val="0"/>
    </w:rPr>
  </w:style>
  <w:style w:type="paragraph" w:customStyle="1" w:styleId="658">
    <w:name w:val="p17"/>
    <w:basedOn w:val="1"/>
    <w:autoRedefine/>
    <w:qFormat/>
    <w:uiPriority w:val="0"/>
    <w:pPr>
      <w:widowControl/>
    </w:pPr>
    <w:rPr>
      <w:rFonts w:ascii="Calibri" w:hAnsi="Calibri"/>
      <w:kern w:val="0"/>
      <w:szCs w:val="21"/>
    </w:rPr>
  </w:style>
  <w:style w:type="paragraph" w:customStyle="1" w:styleId="659">
    <w:name w:val="mnotes"/>
    <w:basedOn w:val="1"/>
    <w:autoRedefine/>
    <w:qFormat/>
    <w:uiPriority w:val="0"/>
    <w:pPr>
      <w:widowControl/>
      <w:shd w:val="clear" w:color="auto" w:fill="AFEEEE"/>
      <w:spacing w:before="100" w:beforeAutospacing="1" w:after="100" w:afterAutospacing="1" w:line="336" w:lineRule="auto"/>
      <w:jc w:val="left"/>
    </w:pPr>
    <w:rPr>
      <w:rFonts w:ascii="宋体" w:hAnsi="宋体" w:cs="宋体"/>
      <w:smallCaps/>
      <w:color w:val="008080"/>
      <w:kern w:val="0"/>
      <w:sz w:val="20"/>
    </w:rPr>
  </w:style>
  <w:style w:type="paragraph" w:customStyle="1" w:styleId="660">
    <w:name w:val="样式 样式 标题 3 + 居中 左侧:  0 厘米 首行缩进:  1.18 厘米 段前: 1.5 行 段后: 6 磅 行距:....."/>
    <w:basedOn w:val="637"/>
    <w:autoRedefine/>
    <w:qFormat/>
    <w:uiPriority w:val="0"/>
    <w:pPr>
      <w:spacing w:beforeLines="0"/>
    </w:pPr>
  </w:style>
  <w:style w:type="paragraph" w:customStyle="1" w:styleId="661">
    <w:name w:val="三级条标题"/>
    <w:basedOn w:val="597"/>
    <w:next w:val="1"/>
    <w:autoRedefine/>
    <w:qFormat/>
    <w:uiPriority w:val="0"/>
    <w:pPr>
      <w:outlineLvl w:val="4"/>
    </w:pPr>
  </w:style>
  <w:style w:type="paragraph" w:customStyle="1" w:styleId="662">
    <w:name w:val="章标题"/>
    <w:next w:val="1"/>
    <w:autoRedefine/>
    <w:qFormat/>
    <w:uiPriority w:val="0"/>
    <w:pPr>
      <w:spacing w:before="156" w:beforeLines="50" w:after="156" w:afterLines="50"/>
      <w:ind w:left="568"/>
      <w:jc w:val="both"/>
      <w:outlineLvl w:val="1"/>
    </w:pPr>
    <w:rPr>
      <w:rFonts w:ascii="黑体" w:hAnsi="Calibri" w:eastAsia="黑体" w:cs="Times New Roman"/>
      <w:sz w:val="21"/>
      <w:szCs w:val="22"/>
      <w:lang w:val="en-US" w:eastAsia="zh-CN" w:bidi="ar-SA"/>
    </w:rPr>
  </w:style>
  <w:style w:type="paragraph" w:customStyle="1" w:styleId="663">
    <w:name w:val="content"/>
    <w:basedOn w:val="1"/>
    <w:autoRedefine/>
    <w:qFormat/>
    <w:uiPriority w:val="0"/>
    <w:pPr>
      <w:widowControl/>
      <w:spacing w:before="100" w:beforeAutospacing="1" w:after="100" w:afterAutospacing="1" w:line="384" w:lineRule="auto"/>
      <w:jc w:val="left"/>
    </w:pPr>
    <w:rPr>
      <w:rFonts w:ascii="宋体" w:hAnsi="宋体" w:cs="宋体"/>
      <w:kern w:val="0"/>
      <w:sz w:val="18"/>
      <w:szCs w:val="18"/>
    </w:rPr>
  </w:style>
  <w:style w:type="paragraph" w:customStyle="1" w:styleId="664">
    <w:name w:val="CM91"/>
    <w:basedOn w:val="340"/>
    <w:next w:val="340"/>
    <w:autoRedefine/>
    <w:qFormat/>
    <w:uiPriority w:val="99"/>
    <w:pPr>
      <w:spacing w:after="160"/>
    </w:pPr>
    <w:rPr>
      <w:rFonts w:ascii="宋体" w:hAnsi="Times New Roman"/>
      <w:color w:val="auto"/>
    </w:rPr>
  </w:style>
  <w:style w:type="paragraph" w:customStyle="1" w:styleId="665">
    <w:name w:val="Char_1"/>
    <w:basedOn w:val="1"/>
    <w:autoRedefine/>
    <w:qFormat/>
    <w:uiPriority w:val="0"/>
    <w:pPr>
      <w:widowControl/>
      <w:spacing w:after="160" w:line="240" w:lineRule="exact"/>
      <w:ind w:firstLine="360"/>
      <w:jc w:val="left"/>
    </w:pPr>
    <w:rPr>
      <w:rFonts w:ascii="Verdana" w:hAnsi="Verdana" w:eastAsia="仿宋_GB2312"/>
      <w:kern w:val="0"/>
      <w:sz w:val="24"/>
      <w:lang w:eastAsia="en-US"/>
    </w:rPr>
  </w:style>
  <w:style w:type="paragraph" w:customStyle="1" w:styleId="666">
    <w:name w:val="font1"/>
    <w:basedOn w:val="1"/>
    <w:autoRedefine/>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667">
    <w:name w:val="font13"/>
    <w:basedOn w:val="1"/>
    <w:autoRedefine/>
    <w:qFormat/>
    <w:uiPriority w:val="0"/>
    <w:pPr>
      <w:widowControl/>
      <w:spacing w:before="100" w:beforeAutospacing="1" w:after="100" w:afterAutospacing="1"/>
      <w:jc w:val="left"/>
    </w:pPr>
    <w:rPr>
      <w:rFonts w:hint="eastAsia" w:ascii="宋体" w:hAnsi="宋体" w:eastAsia="楷体_GB2312"/>
      <w:kern w:val="0"/>
      <w:sz w:val="24"/>
      <w:szCs w:val="24"/>
    </w:rPr>
  </w:style>
  <w:style w:type="paragraph" w:customStyle="1" w:styleId="668">
    <w:name w:val="font0"/>
    <w:basedOn w:val="1"/>
    <w:autoRedefine/>
    <w:qFormat/>
    <w:uiPriority w:val="0"/>
    <w:pPr>
      <w:widowControl/>
      <w:spacing w:before="100" w:beforeAutospacing="1" w:after="100" w:afterAutospacing="1"/>
      <w:jc w:val="left"/>
    </w:pPr>
    <w:rPr>
      <w:rFonts w:hint="eastAsia" w:ascii="宋体" w:hAnsi="宋体" w:eastAsia="楷体_GB2312"/>
      <w:kern w:val="0"/>
      <w:sz w:val="24"/>
      <w:szCs w:val="24"/>
    </w:rPr>
  </w:style>
  <w:style w:type="character" w:customStyle="1" w:styleId="669">
    <w:name w:val="16"/>
    <w:autoRedefine/>
    <w:qFormat/>
    <w:uiPriority w:val="0"/>
    <w:rPr>
      <w:rFonts w:hint="default" w:ascii="Times New Roman" w:hAnsi="Times New Roman" w:cs="Times New Roman"/>
    </w:rPr>
  </w:style>
  <w:style w:type="character" w:customStyle="1" w:styleId="670">
    <w:name w:val="Body Text Indent Char"/>
    <w:autoRedefine/>
    <w:qFormat/>
    <w:locked/>
    <w:uiPriority w:val="0"/>
    <w:rPr>
      <w:rFonts w:ascii="Times New Roman" w:hAnsi="Times New Roman" w:eastAsia="楷体_GB2312" w:cs="Times New Roman"/>
      <w:sz w:val="24"/>
      <w:szCs w:val="24"/>
    </w:rPr>
  </w:style>
  <w:style w:type="character" w:customStyle="1" w:styleId="671">
    <w:name w:val="Heading 3 Char"/>
    <w:autoRedefine/>
    <w:qFormat/>
    <w:locked/>
    <w:uiPriority w:val="0"/>
    <w:rPr>
      <w:rFonts w:cs="Times New Roman"/>
      <w:b/>
      <w:bCs/>
      <w:sz w:val="32"/>
      <w:szCs w:val="32"/>
    </w:rPr>
  </w:style>
  <w:style w:type="character" w:customStyle="1" w:styleId="672">
    <w:name w:val="Footnote Text Char"/>
    <w:autoRedefine/>
    <w:qFormat/>
    <w:locked/>
    <w:uiPriority w:val="99"/>
    <w:rPr>
      <w:sz w:val="18"/>
    </w:rPr>
  </w:style>
  <w:style w:type="character" w:customStyle="1" w:styleId="673">
    <w:name w:val="Char Char14"/>
    <w:autoRedefine/>
    <w:qFormat/>
    <w:uiPriority w:val="0"/>
    <w:rPr>
      <w:rFonts w:eastAsia="宋体"/>
      <w:b/>
      <w:bCs/>
      <w:kern w:val="2"/>
      <w:sz w:val="32"/>
      <w:szCs w:val="32"/>
      <w:lang w:val="en-US" w:eastAsia="zh-CN" w:bidi="ar-SA"/>
    </w:rPr>
  </w:style>
  <w:style w:type="character" w:customStyle="1" w:styleId="674">
    <w:name w:val="Char Char17"/>
    <w:autoRedefine/>
    <w:qFormat/>
    <w:uiPriority w:val="0"/>
    <w:rPr>
      <w:rFonts w:ascii="Cambria" w:hAnsi="Cambria" w:eastAsia="宋体"/>
      <w:b/>
      <w:bCs/>
      <w:kern w:val="2"/>
      <w:sz w:val="32"/>
      <w:szCs w:val="32"/>
      <w:lang w:val="en-US" w:eastAsia="zh-CN" w:bidi="ar-SA"/>
    </w:rPr>
  </w:style>
  <w:style w:type="character" w:customStyle="1" w:styleId="675">
    <w:name w:val="H4 Char"/>
    <w:autoRedefine/>
    <w:qFormat/>
    <w:uiPriority w:val="0"/>
    <w:rPr>
      <w:rFonts w:ascii="Arial" w:hAnsi="Arial" w:eastAsia="黑体"/>
      <w:b/>
      <w:bCs/>
      <w:kern w:val="2"/>
      <w:sz w:val="28"/>
      <w:szCs w:val="28"/>
      <w:lang w:val="en-US" w:eastAsia="zh-CN" w:bidi="ar-SA"/>
    </w:rPr>
  </w:style>
  <w:style w:type="paragraph" w:customStyle="1" w:styleId="676">
    <w:name w:val="正文文本首行缩进1"/>
    <w:basedOn w:val="1"/>
    <w:autoRedefine/>
    <w:qFormat/>
    <w:uiPriority w:val="99"/>
    <w:pPr>
      <w:spacing w:line="312" w:lineRule="auto"/>
      <w:ind w:firstLine="420"/>
    </w:pPr>
    <w:rPr>
      <w:rFonts w:ascii="Calibri" w:hAnsi="Calibri"/>
      <w:kern w:val="0"/>
      <w:sz w:val="20"/>
    </w:rPr>
  </w:style>
  <w:style w:type="character" w:customStyle="1" w:styleId="677">
    <w:name w:val="样式3-1 Char"/>
    <w:autoRedefine/>
    <w:qFormat/>
    <w:uiPriority w:val="0"/>
    <w:rPr>
      <w:rFonts w:ascii="宋体" w:hAnsi="宋体"/>
      <w:b/>
      <w:bCs/>
      <w:kern w:val="2"/>
      <w:sz w:val="32"/>
      <w:szCs w:val="24"/>
    </w:rPr>
  </w:style>
  <w:style w:type="character" w:customStyle="1" w:styleId="678">
    <w:name w:val="副标题 Char3"/>
    <w:autoRedefine/>
    <w:qFormat/>
    <w:uiPriority w:val="11"/>
    <w:rPr>
      <w:rFonts w:ascii="Cambria" w:hAnsi="Cambria" w:eastAsia="宋体" w:cs="Times New Roman"/>
      <w:b/>
      <w:bCs/>
      <w:kern w:val="28"/>
      <w:sz w:val="32"/>
      <w:szCs w:val="32"/>
    </w:rPr>
  </w:style>
  <w:style w:type="character" w:customStyle="1" w:styleId="679">
    <w:name w:val="明显引用 Char3"/>
    <w:autoRedefine/>
    <w:qFormat/>
    <w:uiPriority w:val="30"/>
    <w:rPr>
      <w:b/>
      <w:bCs/>
      <w:i/>
      <w:iCs/>
      <w:color w:val="4F81BD"/>
      <w:kern w:val="2"/>
      <w:sz w:val="21"/>
      <w:szCs w:val="22"/>
    </w:rPr>
  </w:style>
  <w:style w:type="character" w:customStyle="1" w:styleId="680">
    <w:name w:val="BoldText"/>
    <w:autoRedefine/>
    <w:qFormat/>
    <w:uiPriority w:val="99"/>
    <w:rPr>
      <w:rFonts w:ascii="Times New Roman" w:hAnsi="Times New Roman" w:cs="Times New Roman"/>
      <w:b/>
      <w:bCs/>
    </w:rPr>
  </w:style>
  <w:style w:type="character" w:customStyle="1" w:styleId="681">
    <w:name w:val="日期 Char3"/>
    <w:autoRedefine/>
    <w:semiHidden/>
    <w:qFormat/>
    <w:uiPriority w:val="99"/>
    <w:rPr>
      <w:rFonts w:ascii="Calibri" w:hAnsi="Calibri" w:eastAsia="宋体" w:cs="Times New Roman"/>
    </w:rPr>
  </w:style>
  <w:style w:type="character" w:customStyle="1" w:styleId="682">
    <w:name w:val="不明显强调1_0"/>
    <w:autoRedefine/>
    <w:qFormat/>
    <w:uiPriority w:val="0"/>
    <w:rPr>
      <w:i/>
      <w:iCs/>
      <w:color w:val="808080"/>
    </w:rPr>
  </w:style>
  <w:style w:type="character" w:customStyle="1" w:styleId="683">
    <w:name w:val="Comment Subject Char1"/>
    <w:autoRedefine/>
    <w:semiHidden/>
    <w:qFormat/>
    <w:uiPriority w:val="99"/>
    <w:rPr>
      <w:rFonts w:ascii="Times New Roman" w:hAnsi="Times New Roman" w:cs="Times New Roman"/>
      <w:b/>
      <w:bCs/>
      <w:spacing w:val="4"/>
      <w:kern w:val="2"/>
      <w:sz w:val="24"/>
      <w:szCs w:val="24"/>
      <w:lang w:eastAsia="en-US"/>
    </w:rPr>
  </w:style>
  <w:style w:type="character" w:customStyle="1" w:styleId="684">
    <w:name w:val="浅色底纹 - 强调文字颜色 2 Char"/>
    <w:link w:val="685"/>
    <w:autoRedefine/>
    <w:qFormat/>
    <w:uiPriority w:val="0"/>
    <w:rPr>
      <w:b/>
      <w:bCs/>
      <w:i/>
      <w:iCs/>
      <w:color w:val="4F81BD"/>
    </w:rPr>
  </w:style>
  <w:style w:type="paragraph" w:customStyle="1" w:styleId="685">
    <w:name w:val="浅色底纹 - 强调文字颜色 21"/>
    <w:basedOn w:val="1"/>
    <w:next w:val="1"/>
    <w:link w:val="684"/>
    <w:autoRedefine/>
    <w:qFormat/>
    <w:uiPriority w:val="0"/>
    <w:pPr>
      <w:pBdr>
        <w:bottom w:val="single" w:color="4F81BD" w:sz="4" w:space="4"/>
      </w:pBdr>
      <w:spacing w:before="200" w:after="280"/>
      <w:ind w:left="936" w:right="936"/>
    </w:pPr>
    <w:rPr>
      <w:b/>
      <w:bCs/>
      <w:i/>
      <w:iCs/>
      <w:color w:val="4F81BD"/>
      <w:kern w:val="0"/>
      <w:sz w:val="20"/>
    </w:rPr>
  </w:style>
  <w:style w:type="character" w:customStyle="1" w:styleId="686">
    <w:name w:val="CODE"/>
    <w:autoRedefine/>
    <w:qFormat/>
    <w:uiPriority w:val="0"/>
    <w:rPr>
      <w:rFonts w:ascii="Courier New" w:hAnsi="Courier New"/>
      <w:sz w:val="20"/>
    </w:rPr>
  </w:style>
  <w:style w:type="character" w:customStyle="1" w:styleId="687">
    <w:name w:val="标题 2 Char1"/>
    <w:autoRedefine/>
    <w:qFormat/>
    <w:uiPriority w:val="0"/>
    <w:rPr>
      <w:rFonts w:ascii="Arial" w:hAnsi="Arial" w:eastAsia="黑体" w:cs="Times New Roman"/>
      <w:b/>
      <w:bCs/>
      <w:sz w:val="32"/>
      <w:szCs w:val="32"/>
    </w:rPr>
  </w:style>
  <w:style w:type="character" w:customStyle="1" w:styleId="688">
    <w:name w:val="Title Char"/>
    <w:autoRedefine/>
    <w:qFormat/>
    <w:locked/>
    <w:uiPriority w:val="99"/>
    <w:rPr>
      <w:rFonts w:ascii="Arial" w:hAnsi="Arial"/>
      <w:b/>
      <w:sz w:val="32"/>
    </w:rPr>
  </w:style>
  <w:style w:type="character" w:customStyle="1" w:styleId="689">
    <w:name w:val="HTML Preformatted Char1"/>
    <w:autoRedefine/>
    <w:semiHidden/>
    <w:qFormat/>
    <w:uiPriority w:val="99"/>
    <w:rPr>
      <w:rFonts w:ascii="Courier New" w:hAnsi="Courier New" w:cs="Courier New"/>
      <w:spacing w:val="4"/>
      <w:sz w:val="20"/>
      <w:szCs w:val="20"/>
      <w:lang w:eastAsia="en-US"/>
    </w:rPr>
  </w:style>
  <w:style w:type="character" w:customStyle="1" w:styleId="690">
    <w:name w:val="Body Text Char"/>
    <w:autoRedefine/>
    <w:qFormat/>
    <w:locked/>
    <w:uiPriority w:val="0"/>
    <w:rPr>
      <w:rFonts w:eastAsia="宋体"/>
      <w:sz w:val="24"/>
    </w:rPr>
  </w:style>
  <w:style w:type="character" w:customStyle="1" w:styleId="691">
    <w:name w:val="Comment Subject Char"/>
    <w:autoRedefine/>
    <w:qFormat/>
    <w:locked/>
    <w:uiPriority w:val="0"/>
    <w:rPr>
      <w:rFonts w:eastAsia="宋体"/>
      <w:b/>
      <w:sz w:val="24"/>
    </w:rPr>
  </w:style>
  <w:style w:type="character" w:customStyle="1" w:styleId="692">
    <w:name w:val="通用web正文1"/>
    <w:autoRedefine/>
    <w:qFormat/>
    <w:uiPriority w:val="99"/>
    <w:rPr>
      <w:rFonts w:ascii="宋体" w:hAnsi="宋体" w:eastAsia="宋体"/>
      <w:sz w:val="18"/>
    </w:rPr>
  </w:style>
  <w:style w:type="character" w:customStyle="1" w:styleId="693">
    <w:name w:val="样式2 Char Char"/>
    <w:link w:val="173"/>
    <w:autoRedefine/>
    <w:qFormat/>
    <w:uiPriority w:val="0"/>
    <w:rPr>
      <w:rFonts w:ascii="黑体" w:hAnsi="Arial" w:eastAsia="黑体"/>
      <w:b/>
      <w:bCs/>
      <w:sz w:val="24"/>
      <w:szCs w:val="30"/>
    </w:rPr>
  </w:style>
  <w:style w:type="character" w:customStyle="1" w:styleId="694">
    <w:name w:val="Body Text First Indent Char1"/>
    <w:autoRedefine/>
    <w:semiHidden/>
    <w:qFormat/>
    <w:uiPriority w:val="99"/>
    <w:rPr>
      <w:rFonts w:eastAsia="宋体" w:cs="Times New Roman"/>
      <w:sz w:val="24"/>
      <w:lang w:val="en-US" w:eastAsia="zh-CN" w:bidi="ar-SA"/>
    </w:rPr>
  </w:style>
  <w:style w:type="character" w:customStyle="1" w:styleId="695">
    <w:name w:val="不明显参考1_0"/>
    <w:autoRedefine/>
    <w:qFormat/>
    <w:uiPriority w:val="0"/>
    <w:rPr>
      <w:smallCaps/>
      <w:color w:val="C0504D"/>
      <w:u w:val="single"/>
    </w:rPr>
  </w:style>
  <w:style w:type="character" w:customStyle="1" w:styleId="696">
    <w:name w:val="正文文本缩进 2 Char2"/>
    <w:autoRedefine/>
    <w:semiHidden/>
    <w:qFormat/>
    <w:uiPriority w:val="99"/>
    <w:rPr>
      <w:rFonts w:ascii="Calibri" w:hAnsi="Calibri" w:eastAsia="宋体" w:cs="Times New Roman"/>
    </w:rPr>
  </w:style>
  <w:style w:type="character" w:customStyle="1" w:styleId="697">
    <w:name w:val="Comment"/>
    <w:autoRedefine/>
    <w:qFormat/>
    <w:uiPriority w:val="0"/>
    <w:rPr>
      <w:vanish/>
    </w:rPr>
  </w:style>
  <w:style w:type="character" w:customStyle="1" w:styleId="698">
    <w:name w:val="Definition"/>
    <w:autoRedefine/>
    <w:qFormat/>
    <w:uiPriority w:val="0"/>
    <w:rPr>
      <w:i/>
    </w:rPr>
  </w:style>
  <w:style w:type="character" w:customStyle="1" w:styleId="699">
    <w:name w:val="Title Header2 Char"/>
    <w:autoRedefine/>
    <w:qFormat/>
    <w:uiPriority w:val="0"/>
    <w:rPr>
      <w:rFonts w:ascii="Arial" w:hAnsi="Arial" w:eastAsia="黑体"/>
      <w:b/>
      <w:bCs/>
      <w:sz w:val="32"/>
      <w:szCs w:val="32"/>
    </w:rPr>
  </w:style>
  <w:style w:type="character" w:customStyle="1" w:styleId="700">
    <w:name w:val="Body Text First Indent 2 Char"/>
    <w:autoRedefine/>
    <w:qFormat/>
    <w:locked/>
    <w:uiPriority w:val="99"/>
    <w:rPr>
      <w:rFonts w:ascii="Times New Roman" w:hAnsi="Times New Roman" w:eastAsia="宋体" w:cs="Times New Roman"/>
      <w:sz w:val="24"/>
      <w:szCs w:val="24"/>
    </w:rPr>
  </w:style>
  <w:style w:type="character" w:customStyle="1" w:styleId="701">
    <w:name w:val="Plain Text Char"/>
    <w:autoRedefine/>
    <w:qFormat/>
    <w:locked/>
    <w:uiPriority w:val="0"/>
    <w:rPr>
      <w:rFonts w:ascii="宋体" w:hAnsi="Courier New"/>
    </w:rPr>
  </w:style>
  <w:style w:type="character" w:customStyle="1" w:styleId="702">
    <w:name w:val="书籍标题1_0"/>
    <w:autoRedefine/>
    <w:qFormat/>
    <w:uiPriority w:val="0"/>
    <w:rPr>
      <w:b/>
      <w:bCs/>
      <w:smallCaps/>
      <w:spacing w:val="5"/>
    </w:rPr>
  </w:style>
  <w:style w:type="character" w:customStyle="1" w:styleId="703">
    <w:name w:val="信息标题 Char1"/>
    <w:autoRedefine/>
    <w:qFormat/>
    <w:uiPriority w:val="99"/>
    <w:rPr>
      <w:rFonts w:ascii="Cambria" w:hAnsi="Cambria" w:eastAsia="宋体" w:cs="Times New Roman"/>
      <w:sz w:val="24"/>
      <w:szCs w:val="24"/>
      <w:shd w:val="pct20" w:color="auto" w:fill="auto"/>
    </w:rPr>
  </w:style>
  <w:style w:type="character" w:customStyle="1" w:styleId="704">
    <w:name w:val="样式1 Char Char"/>
    <w:autoRedefine/>
    <w:qFormat/>
    <w:uiPriority w:val="0"/>
    <w:rPr>
      <w:rFonts w:ascii="黑体" w:hAnsi="Arial" w:eastAsia="黑体"/>
      <w:b/>
      <w:bCs/>
      <w:sz w:val="24"/>
      <w:szCs w:val="30"/>
    </w:rPr>
  </w:style>
  <w:style w:type="character" w:customStyle="1" w:styleId="705">
    <w:name w:val="样式 样式 纯文本 + 楷体_GB2312 四号 浅蓝 首行缩进:  1.1 厘米 行距: 1.5 倍行距 + 首行缩进:  4... Char Char"/>
    <w:link w:val="706"/>
    <w:autoRedefine/>
    <w:qFormat/>
    <w:locked/>
    <w:uiPriority w:val="99"/>
    <w:rPr>
      <w:rFonts w:ascii="宋体"/>
      <w:sz w:val="30"/>
    </w:rPr>
  </w:style>
  <w:style w:type="paragraph" w:customStyle="1" w:styleId="706">
    <w:name w:val="样式 样式 纯文本 + 楷体_GB2312 四号 浅蓝 首行缩进:  1.1 厘米 行距: 1.5 倍行距 + 首行缩进:  4..."/>
    <w:basedOn w:val="1"/>
    <w:link w:val="705"/>
    <w:autoRedefine/>
    <w:qFormat/>
    <w:uiPriority w:val="99"/>
    <w:pPr>
      <w:spacing w:line="360" w:lineRule="auto"/>
      <w:ind w:firstLine="300" w:firstLineChars="100"/>
    </w:pPr>
    <w:rPr>
      <w:rFonts w:ascii="宋体"/>
      <w:kern w:val="0"/>
      <w:sz w:val="30"/>
    </w:rPr>
  </w:style>
  <w:style w:type="character" w:customStyle="1" w:styleId="707">
    <w:name w:val="Document Map Char"/>
    <w:autoRedefine/>
    <w:qFormat/>
    <w:locked/>
    <w:uiPriority w:val="0"/>
    <w:rPr>
      <w:rFonts w:eastAsia="宋体"/>
      <w:sz w:val="24"/>
      <w:shd w:val="clear" w:color="auto" w:fill="000080"/>
    </w:rPr>
  </w:style>
  <w:style w:type="character" w:customStyle="1" w:styleId="708">
    <w:name w:val="样式4-1 Char Char"/>
    <w:link w:val="709"/>
    <w:autoRedefine/>
    <w:qFormat/>
    <w:locked/>
    <w:uiPriority w:val="99"/>
    <w:rPr>
      <w:rFonts w:ascii="宋体"/>
      <w:b/>
      <w:sz w:val="21"/>
    </w:rPr>
  </w:style>
  <w:style w:type="paragraph" w:customStyle="1" w:styleId="709">
    <w:name w:val="样式4-1"/>
    <w:basedOn w:val="1"/>
    <w:link w:val="708"/>
    <w:autoRedefine/>
    <w:qFormat/>
    <w:uiPriority w:val="99"/>
    <w:pPr>
      <w:spacing w:line="360" w:lineRule="auto"/>
      <w:ind w:firstLine="420" w:firstLineChars="200"/>
      <w:outlineLvl w:val="3"/>
    </w:pPr>
    <w:rPr>
      <w:rFonts w:ascii="宋体"/>
      <w:b/>
      <w:kern w:val="0"/>
    </w:rPr>
  </w:style>
  <w:style w:type="character" w:customStyle="1" w:styleId="710">
    <w:name w:val="脚注文本 Char2"/>
    <w:autoRedefine/>
    <w:semiHidden/>
    <w:qFormat/>
    <w:uiPriority w:val="99"/>
    <w:rPr>
      <w:rFonts w:ascii="Calibri" w:hAnsi="Calibri" w:eastAsia="宋体" w:cs="Times New Roman"/>
      <w:sz w:val="18"/>
      <w:szCs w:val="18"/>
    </w:rPr>
  </w:style>
  <w:style w:type="character" w:customStyle="1" w:styleId="711">
    <w:name w:val="文档结构图 Char2"/>
    <w:autoRedefine/>
    <w:semiHidden/>
    <w:qFormat/>
    <w:uiPriority w:val="99"/>
    <w:rPr>
      <w:rFonts w:ascii="宋体"/>
      <w:kern w:val="2"/>
      <w:sz w:val="18"/>
      <w:szCs w:val="18"/>
    </w:rPr>
  </w:style>
  <w:style w:type="character" w:customStyle="1" w:styleId="712">
    <w:name w:val="Char Char5"/>
    <w:autoRedefine/>
    <w:qFormat/>
    <w:uiPriority w:val="99"/>
    <w:rPr>
      <w:rFonts w:eastAsia="宋体"/>
      <w:kern w:val="2"/>
      <w:sz w:val="24"/>
      <w:lang w:val="en-US" w:eastAsia="zh-CN"/>
    </w:rPr>
  </w:style>
  <w:style w:type="character" w:customStyle="1" w:styleId="713">
    <w:name w:val="Body Text Indent 3 Char1"/>
    <w:autoRedefine/>
    <w:semiHidden/>
    <w:qFormat/>
    <w:uiPriority w:val="99"/>
    <w:rPr>
      <w:rFonts w:ascii="Times New Roman" w:hAnsi="Times New Roman"/>
      <w:spacing w:val="4"/>
      <w:sz w:val="16"/>
      <w:szCs w:val="16"/>
      <w:lang w:eastAsia="en-US"/>
    </w:rPr>
  </w:style>
  <w:style w:type="character" w:customStyle="1" w:styleId="714">
    <w:name w:val="Char Char16"/>
    <w:autoRedefine/>
    <w:qFormat/>
    <w:uiPriority w:val="0"/>
    <w:rPr>
      <w:rFonts w:ascii="Calibri" w:hAnsi="Calibri" w:eastAsia="宋体"/>
      <w:b/>
      <w:bCs/>
      <w:kern w:val="2"/>
      <w:sz w:val="32"/>
      <w:szCs w:val="32"/>
      <w:lang w:val="en-US" w:eastAsia="zh-CN" w:bidi="ar-SA"/>
    </w:rPr>
  </w:style>
  <w:style w:type="character" w:customStyle="1" w:styleId="715">
    <w:name w:val="普通文字1 Char1"/>
    <w:autoRedefine/>
    <w:qFormat/>
    <w:uiPriority w:val="99"/>
    <w:rPr>
      <w:rFonts w:ascii="宋体" w:hAnsi="Courier New" w:eastAsia="宋体"/>
      <w:kern w:val="2"/>
      <w:sz w:val="21"/>
      <w:lang w:val="en-US" w:eastAsia="zh-CN"/>
    </w:rPr>
  </w:style>
  <w:style w:type="character" w:customStyle="1" w:styleId="716">
    <w:name w:val="HTML Markup"/>
    <w:autoRedefine/>
    <w:qFormat/>
    <w:uiPriority w:val="0"/>
    <w:rPr>
      <w:vanish/>
      <w:color w:val="FF0000"/>
    </w:rPr>
  </w:style>
  <w:style w:type="paragraph" w:customStyle="1" w:styleId="717">
    <w:name w:val="正文文本首行缩进 21"/>
    <w:basedOn w:val="26"/>
    <w:autoRedefine/>
    <w:qFormat/>
    <w:uiPriority w:val="0"/>
    <w:pPr>
      <w:widowControl/>
      <w:spacing w:after="120" w:line="240" w:lineRule="auto"/>
      <w:ind w:left="420" w:leftChars="200" w:firstLine="420" w:firstLineChars="200"/>
      <w:jc w:val="left"/>
    </w:pPr>
    <w:rPr>
      <w:rFonts w:ascii="Calibri" w:hAnsi="Calibri"/>
      <w:kern w:val="0"/>
      <w:sz w:val="22"/>
      <w:szCs w:val="22"/>
    </w:rPr>
  </w:style>
  <w:style w:type="character" w:customStyle="1" w:styleId="718">
    <w:name w:val="Document Map Char1"/>
    <w:autoRedefine/>
    <w:semiHidden/>
    <w:qFormat/>
    <w:uiPriority w:val="99"/>
    <w:rPr>
      <w:rFonts w:ascii="Times New Roman" w:hAnsi="Times New Roman"/>
      <w:spacing w:val="4"/>
      <w:sz w:val="16"/>
      <w:szCs w:val="16"/>
      <w:lang w:eastAsia="en-US"/>
    </w:rPr>
  </w:style>
  <w:style w:type="character" w:customStyle="1" w:styleId="719">
    <w:name w:val="CITE"/>
    <w:autoRedefine/>
    <w:qFormat/>
    <w:uiPriority w:val="0"/>
    <w:rPr>
      <w:i/>
    </w:rPr>
  </w:style>
  <w:style w:type="character" w:customStyle="1" w:styleId="720">
    <w:name w:val="纯文本 Char2"/>
    <w:autoRedefine/>
    <w:semiHidden/>
    <w:qFormat/>
    <w:uiPriority w:val="99"/>
    <w:rPr>
      <w:rFonts w:ascii="宋体" w:hAnsi="Courier New" w:eastAsia="宋体" w:cs="Courier New"/>
      <w:szCs w:val="21"/>
    </w:rPr>
  </w:style>
  <w:style w:type="character" w:customStyle="1" w:styleId="721">
    <w:name w:val="样式1 Char"/>
    <w:link w:val="170"/>
    <w:autoRedefine/>
    <w:qFormat/>
    <w:uiPriority w:val="0"/>
    <w:rPr>
      <w:rFonts w:ascii="黑体" w:hAnsi="Arial" w:eastAsia="黑体"/>
      <w:b/>
      <w:bCs/>
      <w:sz w:val="24"/>
      <w:szCs w:val="30"/>
    </w:rPr>
  </w:style>
  <w:style w:type="character" w:customStyle="1" w:styleId="722">
    <w:name w:val="江建权 Char1"/>
    <w:link w:val="723"/>
    <w:autoRedefine/>
    <w:qFormat/>
    <w:uiPriority w:val="0"/>
    <w:rPr>
      <w:sz w:val="24"/>
    </w:rPr>
  </w:style>
  <w:style w:type="paragraph" w:customStyle="1" w:styleId="723">
    <w:name w:val="江建权"/>
    <w:basedOn w:val="1"/>
    <w:link w:val="722"/>
    <w:autoRedefine/>
    <w:qFormat/>
    <w:uiPriority w:val="0"/>
    <w:pPr>
      <w:spacing w:line="360" w:lineRule="auto"/>
      <w:ind w:firstLine="200" w:firstLineChars="200"/>
    </w:pPr>
    <w:rPr>
      <w:kern w:val="0"/>
      <w:sz w:val="24"/>
    </w:rPr>
  </w:style>
  <w:style w:type="character" w:customStyle="1" w:styleId="724">
    <w:name w:val="Title Char1"/>
    <w:autoRedefine/>
    <w:qFormat/>
    <w:uiPriority w:val="10"/>
    <w:rPr>
      <w:rFonts w:ascii="Cambria" w:hAnsi="Cambria" w:cs="Times New Roman"/>
      <w:b/>
      <w:bCs/>
      <w:spacing w:val="4"/>
      <w:sz w:val="32"/>
      <w:szCs w:val="32"/>
      <w:lang w:eastAsia="en-US"/>
    </w:rPr>
  </w:style>
  <w:style w:type="character" w:customStyle="1" w:styleId="725">
    <w:name w:val="Sample"/>
    <w:autoRedefine/>
    <w:qFormat/>
    <w:uiPriority w:val="0"/>
    <w:rPr>
      <w:rFonts w:ascii="Courier New" w:hAnsi="Courier New"/>
    </w:rPr>
  </w:style>
  <w:style w:type="character" w:customStyle="1" w:styleId="726">
    <w:name w:val="明显强调1_0"/>
    <w:autoRedefine/>
    <w:qFormat/>
    <w:uiPriority w:val="0"/>
    <w:rPr>
      <w:b/>
      <w:bCs/>
      <w:i/>
      <w:iCs/>
      <w:color w:val="4F81BD"/>
    </w:rPr>
  </w:style>
  <w:style w:type="character" w:customStyle="1" w:styleId="727">
    <w:name w:val="正文文本缩进 3 Char2"/>
    <w:autoRedefine/>
    <w:semiHidden/>
    <w:qFormat/>
    <w:uiPriority w:val="99"/>
    <w:rPr>
      <w:rFonts w:ascii="Calibri" w:hAnsi="Calibri" w:eastAsia="宋体" w:cs="Times New Roman"/>
      <w:sz w:val="16"/>
      <w:szCs w:val="16"/>
    </w:rPr>
  </w:style>
  <w:style w:type="character" w:customStyle="1" w:styleId="728">
    <w:name w:val="Date Char"/>
    <w:autoRedefine/>
    <w:qFormat/>
    <w:locked/>
    <w:uiPriority w:val="0"/>
    <w:rPr>
      <w:sz w:val="24"/>
    </w:rPr>
  </w:style>
  <w:style w:type="character" w:customStyle="1" w:styleId="729">
    <w:name w:val="明显参考1_0"/>
    <w:autoRedefine/>
    <w:qFormat/>
    <w:uiPriority w:val="0"/>
    <w:rPr>
      <w:b/>
      <w:bCs/>
      <w:smallCaps/>
      <w:color w:val="C0504D"/>
      <w:spacing w:val="5"/>
      <w:u w:val="single"/>
    </w:rPr>
  </w:style>
  <w:style w:type="character" w:customStyle="1" w:styleId="730">
    <w:name w:val="Body Text Indent 2 Char"/>
    <w:autoRedefine/>
    <w:qFormat/>
    <w:locked/>
    <w:uiPriority w:val="0"/>
    <w:rPr>
      <w:sz w:val="24"/>
    </w:rPr>
  </w:style>
  <w:style w:type="character" w:customStyle="1" w:styleId="731">
    <w:name w:val="批注框文本 Char3"/>
    <w:autoRedefine/>
    <w:semiHidden/>
    <w:qFormat/>
    <w:uiPriority w:val="99"/>
    <w:rPr>
      <w:rFonts w:ascii="Calibri" w:hAnsi="Calibri" w:eastAsia="宋体" w:cs="Times New Roman"/>
      <w:sz w:val="18"/>
      <w:szCs w:val="18"/>
    </w:rPr>
  </w:style>
  <w:style w:type="character" w:customStyle="1" w:styleId="732">
    <w:name w:val="手改 Char Char"/>
    <w:autoRedefine/>
    <w:qFormat/>
    <w:uiPriority w:val="0"/>
    <w:rPr>
      <w:rFonts w:eastAsia="宋体"/>
      <w:kern w:val="2"/>
      <w:sz w:val="21"/>
      <w:szCs w:val="24"/>
      <w:lang w:val="en-US" w:eastAsia="zh-CN" w:bidi="ar-SA"/>
    </w:rPr>
  </w:style>
  <w:style w:type="character" w:customStyle="1" w:styleId="733">
    <w:name w:val="Body Text Indent 2 Char1"/>
    <w:autoRedefine/>
    <w:semiHidden/>
    <w:qFormat/>
    <w:uiPriority w:val="99"/>
    <w:rPr>
      <w:rFonts w:ascii="Times New Roman" w:hAnsi="Times New Roman"/>
      <w:spacing w:val="4"/>
      <w:sz w:val="24"/>
      <w:szCs w:val="24"/>
      <w:lang w:eastAsia="en-US"/>
    </w:rPr>
  </w:style>
  <w:style w:type="character" w:customStyle="1" w:styleId="734">
    <w:name w:val="Balloon Text Char"/>
    <w:autoRedefine/>
    <w:qFormat/>
    <w:locked/>
    <w:uiPriority w:val="0"/>
    <w:rPr>
      <w:sz w:val="18"/>
    </w:rPr>
  </w:style>
  <w:style w:type="character" w:customStyle="1" w:styleId="735">
    <w:name w:val="不明显参考1_0_0"/>
    <w:autoRedefine/>
    <w:qFormat/>
    <w:uiPriority w:val="0"/>
    <w:rPr>
      <w:smallCaps/>
      <w:color w:val="C0504D"/>
      <w:u w:val="single"/>
    </w:rPr>
  </w:style>
  <w:style w:type="character" w:customStyle="1" w:styleId="736">
    <w:name w:val="Body Text First Indent Char"/>
    <w:autoRedefine/>
    <w:qFormat/>
    <w:locked/>
    <w:uiPriority w:val="99"/>
    <w:rPr>
      <w:rFonts w:eastAsia="宋体" w:cs="Times New Roman"/>
      <w:sz w:val="24"/>
      <w:szCs w:val="24"/>
    </w:rPr>
  </w:style>
  <w:style w:type="character" w:customStyle="1" w:styleId="737">
    <w:name w:val="正文文本缩进 Char2"/>
    <w:autoRedefine/>
    <w:semiHidden/>
    <w:qFormat/>
    <w:uiPriority w:val="99"/>
    <w:rPr>
      <w:rFonts w:ascii="Calibri" w:hAnsi="Calibri" w:eastAsia="宋体" w:cs="Times New Roman"/>
    </w:rPr>
  </w:style>
  <w:style w:type="character" w:customStyle="1" w:styleId="738">
    <w:name w:val="正文文本 2 Char2"/>
    <w:autoRedefine/>
    <w:semiHidden/>
    <w:qFormat/>
    <w:uiPriority w:val="99"/>
    <w:rPr>
      <w:rFonts w:ascii="Calibri" w:hAnsi="Calibri" w:eastAsia="宋体" w:cs="Times New Roman"/>
    </w:rPr>
  </w:style>
  <w:style w:type="character" w:customStyle="1" w:styleId="739">
    <w:name w:val="标题 Char3"/>
    <w:autoRedefine/>
    <w:qFormat/>
    <w:uiPriority w:val="10"/>
    <w:rPr>
      <w:rFonts w:ascii="Cambria" w:hAnsi="Cambria" w:cs="Times New Roman"/>
      <w:b/>
      <w:bCs/>
      <w:kern w:val="2"/>
      <w:sz w:val="32"/>
      <w:szCs w:val="32"/>
    </w:rPr>
  </w:style>
  <w:style w:type="character" w:customStyle="1" w:styleId="740">
    <w:name w:val="Keyboard"/>
    <w:autoRedefine/>
    <w:qFormat/>
    <w:uiPriority w:val="0"/>
    <w:rPr>
      <w:rFonts w:ascii="Courier New" w:hAnsi="Courier New"/>
      <w:b/>
      <w:sz w:val="20"/>
    </w:rPr>
  </w:style>
  <w:style w:type="character" w:customStyle="1" w:styleId="741">
    <w:name w:val="Body Text 2 Char1"/>
    <w:autoRedefine/>
    <w:semiHidden/>
    <w:qFormat/>
    <w:uiPriority w:val="99"/>
    <w:rPr>
      <w:rFonts w:ascii="Times New Roman" w:hAnsi="Times New Roman"/>
      <w:spacing w:val="4"/>
      <w:sz w:val="24"/>
      <w:szCs w:val="24"/>
      <w:lang w:eastAsia="en-US"/>
    </w:rPr>
  </w:style>
  <w:style w:type="character" w:customStyle="1" w:styleId="742">
    <w:name w:val="文档结构图 Char3"/>
    <w:autoRedefine/>
    <w:semiHidden/>
    <w:qFormat/>
    <w:uiPriority w:val="99"/>
    <w:rPr>
      <w:rFonts w:ascii="宋体" w:hAnsi="Calibri" w:eastAsia="宋体" w:cs="Times New Roman"/>
      <w:sz w:val="18"/>
      <w:szCs w:val="18"/>
    </w:rPr>
  </w:style>
  <w:style w:type="character" w:customStyle="1" w:styleId="743">
    <w:name w:val="正文文本 3 Char2"/>
    <w:autoRedefine/>
    <w:semiHidden/>
    <w:qFormat/>
    <w:uiPriority w:val="99"/>
    <w:rPr>
      <w:rFonts w:ascii="Calibri" w:hAnsi="Calibri" w:eastAsia="宋体" w:cs="Times New Roman"/>
      <w:sz w:val="16"/>
      <w:szCs w:val="16"/>
    </w:rPr>
  </w:style>
  <w:style w:type="character" w:customStyle="1" w:styleId="744">
    <w:name w:val="Plain Text Char1"/>
    <w:autoRedefine/>
    <w:qFormat/>
    <w:uiPriority w:val="0"/>
    <w:rPr>
      <w:rFonts w:ascii="宋体" w:hAnsi="Courier New" w:cs="Courier New"/>
      <w:spacing w:val="4"/>
      <w:sz w:val="24"/>
      <w:szCs w:val="21"/>
      <w:lang w:eastAsia="en-US"/>
    </w:rPr>
  </w:style>
  <w:style w:type="character" w:customStyle="1" w:styleId="745">
    <w:name w:val="Body Text Char1"/>
    <w:autoRedefine/>
    <w:semiHidden/>
    <w:qFormat/>
    <w:uiPriority w:val="99"/>
    <w:rPr>
      <w:rFonts w:ascii="Times New Roman" w:hAnsi="Times New Roman"/>
      <w:spacing w:val="4"/>
      <w:sz w:val="24"/>
      <w:szCs w:val="24"/>
      <w:lang w:eastAsia="en-US"/>
    </w:rPr>
  </w:style>
  <w:style w:type="character" w:customStyle="1" w:styleId="746">
    <w:name w:val="彩色网格 - 强调文字颜色 1 Char"/>
    <w:link w:val="747"/>
    <w:autoRedefine/>
    <w:qFormat/>
    <w:uiPriority w:val="0"/>
    <w:rPr>
      <w:i/>
      <w:iCs/>
      <w:color w:val="000000"/>
    </w:rPr>
  </w:style>
  <w:style w:type="paragraph" w:customStyle="1" w:styleId="747">
    <w:name w:val="彩色网格 - 强调文字颜色 11"/>
    <w:basedOn w:val="1"/>
    <w:next w:val="1"/>
    <w:link w:val="746"/>
    <w:autoRedefine/>
    <w:qFormat/>
    <w:uiPriority w:val="0"/>
    <w:rPr>
      <w:i/>
      <w:iCs/>
      <w:color w:val="000000"/>
      <w:kern w:val="0"/>
      <w:sz w:val="20"/>
    </w:rPr>
  </w:style>
  <w:style w:type="character" w:customStyle="1" w:styleId="748">
    <w:name w:val="首行缩进:  3.06 字符 Char"/>
    <w:link w:val="749"/>
    <w:autoRedefine/>
    <w:qFormat/>
    <w:locked/>
    <w:uiPriority w:val="0"/>
  </w:style>
  <w:style w:type="paragraph" w:customStyle="1" w:styleId="749">
    <w:name w:val="正文 + 宋体"/>
    <w:basedOn w:val="1"/>
    <w:link w:val="748"/>
    <w:autoRedefine/>
    <w:qFormat/>
    <w:uiPriority w:val="0"/>
    <w:pPr>
      <w:widowControl/>
      <w:spacing w:line="324" w:lineRule="auto"/>
      <w:ind w:firstLine="480" w:firstLineChars="200"/>
      <w:jc w:val="left"/>
    </w:pPr>
    <w:rPr>
      <w:kern w:val="0"/>
      <w:sz w:val="20"/>
    </w:rPr>
  </w:style>
  <w:style w:type="character" w:customStyle="1" w:styleId="750">
    <w:name w:val="msobodytext"/>
    <w:autoRedefine/>
    <w:qFormat/>
    <w:uiPriority w:val="0"/>
    <w:rPr>
      <w:rFonts w:ascii="宋体" w:hAnsi="宋体"/>
      <w:spacing w:val="4"/>
      <w:sz w:val="24"/>
      <w:szCs w:val="24"/>
      <w:lang w:eastAsia="en-US"/>
    </w:rPr>
  </w:style>
  <w:style w:type="character" w:customStyle="1" w:styleId="751">
    <w:name w:val="Body Text 3 Char1"/>
    <w:autoRedefine/>
    <w:semiHidden/>
    <w:qFormat/>
    <w:uiPriority w:val="99"/>
    <w:rPr>
      <w:rFonts w:ascii="Times New Roman" w:hAnsi="Times New Roman"/>
      <w:spacing w:val="4"/>
      <w:sz w:val="16"/>
      <w:szCs w:val="16"/>
      <w:lang w:eastAsia="en-US"/>
    </w:rPr>
  </w:style>
  <w:style w:type="character" w:customStyle="1" w:styleId="752">
    <w:name w:val="Char Char Char Char Char"/>
    <w:link w:val="112"/>
    <w:autoRedefine/>
    <w:qFormat/>
    <w:uiPriority w:val="0"/>
    <w:rPr>
      <w:rFonts w:ascii="Verdana" w:hAnsi="Verdana" w:eastAsia="仿宋_GB2312"/>
      <w:sz w:val="24"/>
      <w:lang w:eastAsia="en-US"/>
    </w:rPr>
  </w:style>
  <w:style w:type="character" w:customStyle="1" w:styleId="753">
    <w:name w:val="Intense Emphasis1"/>
    <w:autoRedefine/>
    <w:qFormat/>
    <w:uiPriority w:val="0"/>
    <w:rPr>
      <w:b/>
      <w:i/>
      <w:color w:val="4F81BD"/>
    </w:rPr>
  </w:style>
  <w:style w:type="character" w:customStyle="1" w:styleId="754">
    <w:name w:val="Variable"/>
    <w:autoRedefine/>
    <w:qFormat/>
    <w:uiPriority w:val="0"/>
    <w:rPr>
      <w:i/>
    </w:rPr>
  </w:style>
  <w:style w:type="character" w:customStyle="1" w:styleId="755">
    <w:name w:val="Date Char1"/>
    <w:autoRedefine/>
    <w:semiHidden/>
    <w:qFormat/>
    <w:uiPriority w:val="99"/>
    <w:rPr>
      <w:rFonts w:ascii="Times New Roman" w:hAnsi="Times New Roman"/>
      <w:spacing w:val="4"/>
      <w:sz w:val="24"/>
      <w:szCs w:val="24"/>
      <w:lang w:eastAsia="en-US"/>
    </w:rPr>
  </w:style>
  <w:style w:type="character" w:customStyle="1" w:styleId="756">
    <w:name w:val="引用 Char3"/>
    <w:autoRedefine/>
    <w:qFormat/>
    <w:uiPriority w:val="29"/>
    <w:rPr>
      <w:i/>
      <w:iCs/>
      <w:color w:val="000000"/>
      <w:kern w:val="2"/>
      <w:sz w:val="21"/>
      <w:szCs w:val="22"/>
    </w:rPr>
  </w:style>
  <w:style w:type="character" w:customStyle="1" w:styleId="757">
    <w:name w:val="Body Text First Indent 2 Char1"/>
    <w:autoRedefine/>
    <w:semiHidden/>
    <w:qFormat/>
    <w:uiPriority w:val="99"/>
    <w:rPr>
      <w:rFonts w:ascii="Times New Roman" w:hAnsi="Times New Roman" w:eastAsia="宋体" w:cs="Times New Roman"/>
      <w:spacing w:val="4"/>
      <w:kern w:val="2"/>
      <w:sz w:val="24"/>
      <w:szCs w:val="24"/>
      <w:lang w:eastAsia="en-US"/>
    </w:rPr>
  </w:style>
  <w:style w:type="character" w:customStyle="1" w:styleId="758">
    <w:name w:val="样式 样式 样式 纯文本 + 楷体_GB2312 四号 浅蓝 首行缩进:  1.1 厘米 行距: 1.5 倍行距 + 首行缩进:... Char Char"/>
    <w:link w:val="759"/>
    <w:autoRedefine/>
    <w:qFormat/>
    <w:locked/>
    <w:uiPriority w:val="99"/>
    <w:rPr>
      <w:rFonts w:ascii="宋体"/>
      <w:sz w:val="30"/>
    </w:rPr>
  </w:style>
  <w:style w:type="paragraph" w:customStyle="1" w:styleId="759">
    <w:name w:val="样式 样式 样式 纯文本 + 楷体_GB2312 四号 浅蓝 首行缩进:  1.1 厘米 行距: 1.5 倍行距 + 首行缩进:..."/>
    <w:basedOn w:val="706"/>
    <w:link w:val="758"/>
    <w:autoRedefine/>
    <w:qFormat/>
    <w:uiPriority w:val="99"/>
    <w:pPr>
      <w:ind w:firstLine="607" w:firstLineChars="200"/>
      <w:jc w:val="left"/>
    </w:pPr>
  </w:style>
  <w:style w:type="character" w:customStyle="1" w:styleId="760">
    <w:name w:val="Body Text 3 Char"/>
    <w:autoRedefine/>
    <w:qFormat/>
    <w:locked/>
    <w:uiPriority w:val="99"/>
    <w:rPr>
      <w:rFonts w:ascii="宋体"/>
      <w:sz w:val="24"/>
    </w:rPr>
  </w:style>
  <w:style w:type="character" w:customStyle="1" w:styleId="761">
    <w:name w:val="HTML Preformatted Char"/>
    <w:autoRedefine/>
    <w:qFormat/>
    <w:locked/>
    <w:uiPriority w:val="99"/>
    <w:rPr>
      <w:rFonts w:ascii="宋体" w:eastAsia="宋体"/>
      <w:sz w:val="24"/>
    </w:rPr>
  </w:style>
  <w:style w:type="character" w:customStyle="1" w:styleId="762">
    <w:name w:val="Body Text Indent 3 Char"/>
    <w:autoRedefine/>
    <w:qFormat/>
    <w:locked/>
    <w:uiPriority w:val="0"/>
    <w:rPr>
      <w:sz w:val="16"/>
    </w:rPr>
  </w:style>
  <w:style w:type="character" w:customStyle="1" w:styleId="763">
    <w:name w:val="HTML 预设格式 Char2"/>
    <w:autoRedefine/>
    <w:semiHidden/>
    <w:qFormat/>
    <w:uiPriority w:val="99"/>
    <w:rPr>
      <w:rFonts w:ascii="Courier New" w:hAnsi="Courier New" w:eastAsia="宋体" w:cs="Courier New"/>
      <w:sz w:val="20"/>
      <w:szCs w:val="20"/>
    </w:rPr>
  </w:style>
  <w:style w:type="character" w:customStyle="1" w:styleId="764">
    <w:name w:val="Footnote Text Char1"/>
    <w:autoRedefine/>
    <w:semiHidden/>
    <w:qFormat/>
    <w:uiPriority w:val="99"/>
    <w:rPr>
      <w:rFonts w:ascii="Times New Roman" w:hAnsi="Times New Roman"/>
      <w:spacing w:val="4"/>
      <w:sz w:val="18"/>
      <w:szCs w:val="18"/>
      <w:lang w:eastAsia="en-US"/>
    </w:rPr>
  </w:style>
  <w:style w:type="character" w:customStyle="1" w:styleId="765">
    <w:name w:val="Char Char4"/>
    <w:autoRedefine/>
    <w:qFormat/>
    <w:uiPriority w:val="0"/>
    <w:rPr>
      <w:lang w:bidi="ar-SA"/>
    </w:rPr>
  </w:style>
  <w:style w:type="character" w:customStyle="1" w:styleId="766">
    <w:name w:val="Body Text 2 Char"/>
    <w:autoRedefine/>
    <w:qFormat/>
    <w:locked/>
    <w:uiPriority w:val="99"/>
    <w:rPr>
      <w:sz w:val="24"/>
    </w:rPr>
  </w:style>
  <w:style w:type="character" w:customStyle="1" w:styleId="767">
    <w:name w:val="正文文本 2 Char1"/>
    <w:autoRedefine/>
    <w:semiHidden/>
    <w:qFormat/>
    <w:uiPriority w:val="99"/>
    <w:rPr>
      <w:rFonts w:ascii="Calibri" w:hAnsi="Calibri" w:eastAsia="宋体" w:cs="Times New Roman"/>
    </w:rPr>
  </w:style>
  <w:style w:type="character" w:customStyle="1" w:styleId="768">
    <w:name w:val="Typewriter"/>
    <w:autoRedefine/>
    <w:qFormat/>
    <w:uiPriority w:val="0"/>
    <w:rPr>
      <w:rFonts w:ascii="Courier New" w:hAnsi="Courier New"/>
      <w:sz w:val="20"/>
    </w:rPr>
  </w:style>
  <w:style w:type="character" w:customStyle="1" w:styleId="769">
    <w:name w:val="Balloon Text Char1"/>
    <w:autoRedefine/>
    <w:semiHidden/>
    <w:qFormat/>
    <w:uiPriority w:val="99"/>
    <w:rPr>
      <w:rFonts w:ascii="Times New Roman" w:hAnsi="Times New Roman"/>
      <w:spacing w:val="4"/>
      <w:sz w:val="16"/>
      <w:szCs w:val="16"/>
      <w:lang w:eastAsia="en-US"/>
    </w:rPr>
  </w:style>
  <w:style w:type="character" w:customStyle="1" w:styleId="770">
    <w:name w:val="Normal Indent Char"/>
    <w:autoRedefine/>
    <w:qFormat/>
    <w:locked/>
    <w:uiPriority w:val="0"/>
    <w:rPr>
      <w:rFonts w:ascii="Times New Roman" w:hAnsi="Times New Roman" w:eastAsia="宋体"/>
      <w:sz w:val="20"/>
    </w:rPr>
  </w:style>
  <w:style w:type="character" w:customStyle="1" w:styleId="771">
    <w:name w:val="Intense Reference1"/>
    <w:autoRedefine/>
    <w:qFormat/>
    <w:uiPriority w:val="0"/>
    <w:rPr>
      <w:b/>
      <w:smallCaps/>
      <w:color w:val="auto"/>
      <w:spacing w:val="5"/>
      <w:u w:val="single"/>
    </w:rPr>
  </w:style>
  <w:style w:type="character" w:customStyle="1" w:styleId="772">
    <w:name w:val="help_intro1"/>
    <w:autoRedefine/>
    <w:qFormat/>
    <w:uiPriority w:val="0"/>
    <w:rPr>
      <w:rFonts w:cs="Times New Roman"/>
      <w:bdr w:val="dashed" w:color="auto" w:sz="6" w:space="0"/>
    </w:rPr>
  </w:style>
  <w:style w:type="character" w:customStyle="1" w:styleId="773">
    <w:name w:val="Heading 1 Char"/>
    <w:autoRedefine/>
    <w:qFormat/>
    <w:locked/>
    <w:uiPriority w:val="0"/>
    <w:rPr>
      <w:rFonts w:cs="Times New Roman"/>
      <w:sz w:val="44"/>
      <w:szCs w:val="44"/>
    </w:rPr>
  </w:style>
  <w:style w:type="character" w:customStyle="1" w:styleId="774">
    <w:name w:val="Book Title1"/>
    <w:autoRedefine/>
    <w:qFormat/>
    <w:uiPriority w:val="0"/>
    <w:rPr>
      <w:b/>
      <w:smallCaps/>
      <w:spacing w:val="5"/>
    </w:rPr>
  </w:style>
  <w:style w:type="character" w:customStyle="1" w:styleId="775">
    <w:name w:val="Header Char"/>
    <w:autoRedefine/>
    <w:qFormat/>
    <w:locked/>
    <w:uiPriority w:val="0"/>
    <w:rPr>
      <w:rFonts w:ascii="Times New Roman" w:hAnsi="Times New Roman" w:eastAsia="宋体" w:cs="Times New Roman"/>
      <w:sz w:val="18"/>
      <w:szCs w:val="18"/>
    </w:rPr>
  </w:style>
  <w:style w:type="character" w:customStyle="1" w:styleId="776">
    <w:name w:val="Heading 2 Char"/>
    <w:autoRedefine/>
    <w:qFormat/>
    <w:locked/>
    <w:uiPriority w:val="0"/>
    <w:rPr>
      <w:rFonts w:ascii="Arial" w:hAnsi="Arial" w:cs="Arial"/>
      <w:kern w:val="0"/>
      <w:sz w:val="44"/>
      <w:szCs w:val="44"/>
    </w:rPr>
  </w:style>
  <w:style w:type="character" w:customStyle="1" w:styleId="777">
    <w:name w:val="Subtle Reference1"/>
    <w:autoRedefine/>
    <w:qFormat/>
    <w:uiPriority w:val="0"/>
    <w:rPr>
      <w:smallCaps/>
      <w:color w:val="auto"/>
      <w:u w:val="single"/>
    </w:rPr>
  </w:style>
  <w:style w:type="character" w:customStyle="1" w:styleId="778">
    <w:name w:val="Heading 4 Char"/>
    <w:autoRedefine/>
    <w:qFormat/>
    <w:locked/>
    <w:uiPriority w:val="0"/>
    <w:rPr>
      <w:rFonts w:ascii="Arial" w:hAnsi="Arial" w:eastAsia="黑体" w:cs="Arial"/>
      <w:b/>
      <w:bCs/>
      <w:sz w:val="28"/>
      <w:szCs w:val="28"/>
    </w:rPr>
  </w:style>
  <w:style w:type="character" w:customStyle="1" w:styleId="779">
    <w:name w:val="Footer Char"/>
    <w:autoRedefine/>
    <w:qFormat/>
    <w:locked/>
    <w:uiPriority w:val="0"/>
    <w:rPr>
      <w:rFonts w:ascii="Times New Roman" w:hAnsi="Times New Roman" w:eastAsia="宋体" w:cs="Times New Roman"/>
      <w:sz w:val="18"/>
      <w:szCs w:val="18"/>
    </w:rPr>
  </w:style>
  <w:style w:type="character" w:customStyle="1" w:styleId="780">
    <w:name w:val="Heading 5 Char"/>
    <w:autoRedefine/>
    <w:qFormat/>
    <w:locked/>
    <w:uiPriority w:val="0"/>
    <w:rPr>
      <w:rFonts w:cs="Times New Roman"/>
      <w:b/>
      <w:bCs/>
      <w:sz w:val="28"/>
      <w:szCs w:val="28"/>
    </w:rPr>
  </w:style>
  <w:style w:type="character" w:customStyle="1" w:styleId="781">
    <w:name w:val="Subtle Emphasis1"/>
    <w:autoRedefine/>
    <w:qFormat/>
    <w:uiPriority w:val="0"/>
    <w:rPr>
      <w:i/>
      <w:color w:val="808080"/>
    </w:rPr>
  </w:style>
  <w:style w:type="character" w:customStyle="1" w:styleId="782">
    <w:name w:val="Heading 6 Char"/>
    <w:autoRedefine/>
    <w:qFormat/>
    <w:locked/>
    <w:uiPriority w:val="0"/>
    <w:rPr>
      <w:rFonts w:ascii="Arial" w:hAnsi="Arial" w:eastAsia="黑体" w:cs="Arial"/>
      <w:b/>
      <w:bCs/>
      <w:kern w:val="0"/>
      <w:sz w:val="24"/>
      <w:szCs w:val="24"/>
    </w:rPr>
  </w:style>
  <w:style w:type="paragraph" w:customStyle="1" w:styleId="783">
    <w:name w:val="p204"/>
    <w:basedOn w:val="1"/>
    <w:autoRedefine/>
    <w:qFormat/>
    <w:uiPriority w:val="0"/>
    <w:pPr>
      <w:widowControl/>
      <w:ind w:firstLine="418"/>
      <w:jc w:val="left"/>
    </w:pPr>
    <w:rPr>
      <w:rFonts w:ascii="仿宋" w:hAnsi="仿宋" w:eastAsia="仿宋" w:cs="宋体"/>
      <w:kern w:val="0"/>
      <w:szCs w:val="21"/>
    </w:rPr>
  </w:style>
  <w:style w:type="paragraph" w:customStyle="1" w:styleId="784">
    <w:name w:val="中等深浅网格 21"/>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85">
    <w:name w:val="信息标题 Char2"/>
    <w:autoRedefine/>
    <w:semiHidden/>
    <w:qFormat/>
    <w:uiPriority w:val="0"/>
    <w:rPr>
      <w:rFonts w:ascii="Cambria" w:hAnsi="Cambria" w:eastAsia="宋体" w:cs="Times New Roman"/>
      <w:sz w:val="24"/>
      <w:szCs w:val="24"/>
      <w:shd w:val="pct20" w:color="auto" w:fill="auto"/>
    </w:rPr>
  </w:style>
  <w:style w:type="paragraph" w:customStyle="1" w:styleId="786">
    <w:name w:val="自定样式2"/>
    <w:autoRedefine/>
    <w:qFormat/>
    <w:uiPriority w:val="0"/>
    <w:pPr>
      <w:spacing w:line="480" w:lineRule="auto"/>
      <w:jc w:val="center"/>
    </w:pPr>
    <w:rPr>
      <w:rFonts w:ascii="宋体" w:hAnsi="宋体" w:eastAsia="宋体" w:cs="Times New Roman"/>
      <w:b/>
      <w:bCs/>
      <w:kern w:val="2"/>
      <w:sz w:val="28"/>
      <w:szCs w:val="24"/>
      <w:lang w:val="en-US" w:eastAsia="zh-CN" w:bidi="ar-SA"/>
    </w:rPr>
  </w:style>
  <w:style w:type="paragraph" w:customStyle="1" w:styleId="787">
    <w:name w:val="Level 2"/>
    <w:basedOn w:val="1"/>
    <w:next w:val="1"/>
    <w:autoRedefine/>
    <w:qFormat/>
    <w:uiPriority w:val="99"/>
    <w:pPr>
      <w:widowControl/>
      <w:tabs>
        <w:tab w:val="left" w:pos="709"/>
      </w:tabs>
      <w:spacing w:after="210" w:line="264" w:lineRule="auto"/>
      <w:ind w:left="709" w:hanging="709"/>
      <w:outlineLvl w:val="1"/>
    </w:pPr>
    <w:rPr>
      <w:rFonts w:ascii="Arial" w:hAnsi="Arial" w:eastAsia="PMingLiU" w:cs="Arial"/>
      <w:kern w:val="28"/>
      <w:szCs w:val="21"/>
      <w:lang w:val="en-GB" w:eastAsia="en-US"/>
    </w:rPr>
  </w:style>
  <w:style w:type="paragraph" w:customStyle="1" w:styleId="788">
    <w:name w:val="p55"/>
    <w:basedOn w:val="1"/>
    <w:autoRedefine/>
    <w:qFormat/>
    <w:uiPriority w:val="0"/>
    <w:pPr>
      <w:widowControl/>
      <w:jc w:val="left"/>
    </w:pPr>
    <w:rPr>
      <w:rFonts w:ascii="宋体" w:hAnsi="宋体" w:cs="宋体"/>
      <w:kern w:val="0"/>
      <w:szCs w:val="21"/>
    </w:rPr>
  </w:style>
  <w:style w:type="paragraph" w:customStyle="1" w:styleId="789">
    <w:name w:val="列表段落1"/>
    <w:basedOn w:val="1"/>
    <w:autoRedefine/>
    <w:qFormat/>
    <w:uiPriority w:val="0"/>
    <w:pPr>
      <w:ind w:firstLine="420" w:firstLineChars="200"/>
    </w:pPr>
    <w:rPr>
      <w:szCs w:val="24"/>
    </w:rPr>
  </w:style>
  <w:style w:type="paragraph" w:customStyle="1" w:styleId="790">
    <w:name w:val="AONormal"/>
    <w:autoRedefine/>
    <w:qFormat/>
    <w:uiPriority w:val="0"/>
    <w:pPr>
      <w:spacing w:line="260" w:lineRule="atLeast"/>
      <w:jc w:val="both"/>
    </w:pPr>
    <w:rPr>
      <w:rFonts w:ascii="Times New Roman" w:hAnsi="Times New Roman" w:eastAsia="宋体" w:cs="Times New Roman"/>
      <w:sz w:val="22"/>
      <w:lang w:val="en-GB" w:eastAsia="en-US" w:bidi="ar-SA"/>
    </w:rPr>
  </w:style>
  <w:style w:type="paragraph" w:customStyle="1" w:styleId="791">
    <w:name w:val="消息标题标签"/>
    <w:basedOn w:val="61"/>
    <w:next w:val="61"/>
    <w:autoRedefine/>
    <w:qFormat/>
    <w:uiPriority w:val="0"/>
    <w:pPr>
      <w:spacing w:before="40" w:after="0"/>
      <w:ind w:left="0"/>
    </w:pPr>
    <w:rPr>
      <w:rFonts w:eastAsia="楷体_GB2312"/>
      <w:b/>
      <w:caps/>
      <w:spacing w:val="0"/>
      <w:position w:val="6"/>
      <w:sz w:val="21"/>
    </w:rPr>
  </w:style>
  <w:style w:type="paragraph" w:customStyle="1" w:styleId="792">
    <w:name w:val="CM56"/>
    <w:basedOn w:val="340"/>
    <w:next w:val="340"/>
    <w:autoRedefine/>
    <w:qFormat/>
    <w:uiPriority w:val="99"/>
    <w:rPr>
      <w:rFonts w:ascii="Times New Roman" w:hAnsi="Times New Roman"/>
      <w:color w:val="auto"/>
    </w:rPr>
  </w:style>
  <w:style w:type="paragraph" w:customStyle="1" w:styleId="793">
    <w:name w:val="彩色底纹 - 强调文字颜色 11"/>
    <w:autoRedefine/>
    <w:qFormat/>
    <w:uiPriority w:val="0"/>
    <w:rPr>
      <w:rFonts w:ascii="Times New Roman" w:hAnsi="Times New Roman" w:eastAsia="宋体" w:cs="Times New Roman"/>
      <w:kern w:val="2"/>
      <w:sz w:val="21"/>
      <w:szCs w:val="24"/>
      <w:lang w:val="en-US" w:eastAsia="zh-CN" w:bidi="ar-SA"/>
    </w:rPr>
  </w:style>
  <w:style w:type="paragraph" w:customStyle="1" w:styleId="794">
    <w:name w:val="CM5"/>
    <w:basedOn w:val="340"/>
    <w:next w:val="340"/>
    <w:autoRedefine/>
    <w:qFormat/>
    <w:uiPriority w:val="99"/>
    <w:pPr>
      <w:spacing w:line="180" w:lineRule="atLeast"/>
    </w:pPr>
    <w:rPr>
      <w:rFonts w:ascii="Times New Roman" w:hAnsi="Times New Roman"/>
      <w:color w:val="auto"/>
    </w:rPr>
  </w:style>
  <w:style w:type="paragraph" w:customStyle="1" w:styleId="795">
    <w:name w:val="列出段落11"/>
    <w:basedOn w:val="1"/>
    <w:autoRedefine/>
    <w:qFormat/>
    <w:uiPriority w:val="99"/>
    <w:pPr>
      <w:widowControl/>
      <w:ind w:firstLine="420" w:firstLineChars="200"/>
      <w:jc w:val="left"/>
    </w:pPr>
    <w:rPr>
      <w:rFonts w:ascii="Calibri" w:hAnsi="Calibri"/>
      <w:kern w:val="0"/>
      <w:sz w:val="20"/>
    </w:rPr>
  </w:style>
  <w:style w:type="paragraph" w:customStyle="1" w:styleId="796">
    <w:name w:val="CM3"/>
    <w:basedOn w:val="340"/>
    <w:next w:val="340"/>
    <w:autoRedefine/>
    <w:qFormat/>
    <w:uiPriority w:val="99"/>
    <w:rPr>
      <w:rFonts w:ascii="Times New Roman" w:hAnsi="Times New Roman"/>
      <w:color w:val="auto"/>
    </w:rPr>
  </w:style>
  <w:style w:type="paragraph" w:customStyle="1" w:styleId="797">
    <w:name w:val="Char Char Char1 Char"/>
    <w:basedOn w:val="1"/>
    <w:autoRedefine/>
    <w:qFormat/>
    <w:uiPriority w:val="0"/>
    <w:rPr>
      <w:szCs w:val="21"/>
    </w:rPr>
  </w:style>
  <w:style w:type="paragraph" w:customStyle="1" w:styleId="798">
    <w:name w:val="修订1_0"/>
    <w:autoRedefine/>
    <w:qFormat/>
    <w:uiPriority w:val="99"/>
    <w:rPr>
      <w:rFonts w:ascii="Times New Roman" w:hAnsi="Times New Roman" w:eastAsia="宋体" w:cs="Times New Roman"/>
      <w:kern w:val="2"/>
      <w:sz w:val="21"/>
      <w:szCs w:val="24"/>
      <w:lang w:val="en-US" w:eastAsia="zh-CN" w:bidi="ar-SA"/>
    </w:rPr>
  </w:style>
  <w:style w:type="paragraph" w:customStyle="1" w:styleId="799">
    <w:name w:val="List Paragraph1"/>
    <w:basedOn w:val="1"/>
    <w:autoRedefine/>
    <w:qFormat/>
    <w:uiPriority w:val="0"/>
    <w:pPr>
      <w:ind w:firstLine="420" w:firstLineChars="200"/>
    </w:pPr>
    <w:rPr>
      <w:rFonts w:ascii="Calibri" w:hAnsi="Calibri" w:cs="Calibri"/>
      <w:szCs w:val="21"/>
    </w:rPr>
  </w:style>
  <w:style w:type="paragraph" w:customStyle="1" w:styleId="800">
    <w:name w:val="Report Text"/>
    <w:autoRedefine/>
    <w:qFormat/>
    <w:uiPriority w:val="99"/>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801">
    <w:name w:val="p217"/>
    <w:basedOn w:val="1"/>
    <w:autoRedefine/>
    <w:qFormat/>
    <w:uiPriority w:val="0"/>
    <w:pPr>
      <w:widowControl/>
      <w:jc w:val="right"/>
    </w:pPr>
    <w:rPr>
      <w:rFonts w:ascii="宋体" w:hAnsi="宋体" w:cs="宋体"/>
      <w:kern w:val="0"/>
      <w:szCs w:val="21"/>
    </w:rPr>
  </w:style>
  <w:style w:type="paragraph" w:customStyle="1" w:styleId="802">
    <w:name w:val="正文文本 211"/>
    <w:basedOn w:val="1"/>
    <w:autoRedefine/>
    <w:qFormat/>
    <w:uiPriority w:val="0"/>
    <w:pPr>
      <w:adjustRightInd w:val="0"/>
      <w:spacing w:line="520" w:lineRule="atLeast"/>
      <w:ind w:firstLine="570"/>
      <w:textAlignment w:val="baseline"/>
    </w:pPr>
    <w:rPr>
      <w:rFonts w:ascii="仿宋_GB2312" w:eastAsia="仿宋_GB2312"/>
      <w:sz w:val="28"/>
    </w:rPr>
  </w:style>
  <w:style w:type="paragraph" w:customStyle="1" w:styleId="803">
    <w:name w:val="Char Char Char Char Char Char Char Char Char Char Char Char Char Char Char Char Char Char Char Char Char Char"/>
    <w:basedOn w:val="1"/>
    <w:autoRedefine/>
    <w:qFormat/>
    <w:uiPriority w:val="99"/>
    <w:pPr>
      <w:widowControl/>
      <w:spacing w:after="160" w:line="240" w:lineRule="exact"/>
      <w:jc w:val="left"/>
    </w:pPr>
    <w:rPr>
      <w:rFonts w:ascii="Verdana" w:hAnsi="Verdana" w:eastAsia="仿宋_GB2312"/>
      <w:kern w:val="0"/>
      <w:sz w:val="24"/>
      <w:lang w:eastAsia="en-US"/>
    </w:rPr>
  </w:style>
  <w:style w:type="paragraph" w:customStyle="1" w:styleId="804">
    <w:name w:val="正文文本 21"/>
    <w:basedOn w:val="1"/>
    <w:autoRedefine/>
    <w:qFormat/>
    <w:uiPriority w:val="0"/>
    <w:pPr>
      <w:adjustRightInd w:val="0"/>
      <w:spacing w:line="520" w:lineRule="atLeast"/>
      <w:ind w:firstLine="570"/>
      <w:textAlignment w:val="baseline"/>
    </w:pPr>
    <w:rPr>
      <w:rFonts w:ascii="仿宋_GB2312" w:eastAsia="仿宋_GB2312"/>
      <w:sz w:val="28"/>
    </w:rPr>
  </w:style>
  <w:style w:type="paragraph" w:customStyle="1" w:styleId="805">
    <w:name w:val="Revision1"/>
    <w:autoRedefine/>
    <w:qFormat/>
    <w:uiPriority w:val="0"/>
    <w:rPr>
      <w:rFonts w:ascii="Times New Roman" w:hAnsi="Times New Roman" w:eastAsia="宋体" w:cs="Times New Roman"/>
      <w:kern w:val="2"/>
      <w:sz w:val="21"/>
      <w:szCs w:val="24"/>
      <w:lang w:val="en-US" w:eastAsia="zh-CN" w:bidi="ar-SA"/>
    </w:rPr>
  </w:style>
  <w:style w:type="paragraph" w:customStyle="1" w:styleId="806">
    <w:name w:val="hangju1"/>
    <w:basedOn w:val="1"/>
    <w:autoRedefine/>
    <w:qFormat/>
    <w:uiPriority w:val="0"/>
    <w:pPr>
      <w:widowControl/>
      <w:spacing w:before="100" w:beforeAutospacing="1" w:after="100" w:afterAutospacing="1" w:line="340" w:lineRule="atLeast"/>
      <w:jc w:val="left"/>
    </w:pPr>
    <w:rPr>
      <w:kern w:val="0"/>
      <w:sz w:val="18"/>
      <w:szCs w:val="18"/>
    </w:rPr>
  </w:style>
  <w:style w:type="paragraph" w:customStyle="1" w:styleId="807">
    <w:name w:val="TOC 标题1_0"/>
    <w:basedOn w:val="3"/>
    <w:next w:val="1"/>
    <w:autoRedefine/>
    <w:qFormat/>
    <w:uiPriority w:val="39"/>
    <w:pPr>
      <w:widowControl/>
      <w:spacing w:before="480" w:after="0" w:line="276" w:lineRule="auto"/>
      <w:jc w:val="left"/>
      <w:outlineLvl w:val="9"/>
    </w:pPr>
    <w:rPr>
      <w:rFonts w:ascii="Cambria" w:hAnsi="Cambria"/>
      <w:bCs/>
      <w:color w:val="365F91"/>
      <w:spacing w:val="0"/>
      <w:kern w:val="0"/>
      <w:sz w:val="28"/>
      <w:szCs w:val="28"/>
    </w:rPr>
  </w:style>
  <w:style w:type="paragraph" w:customStyle="1" w:styleId="808">
    <w:name w:val="p37"/>
    <w:basedOn w:val="1"/>
    <w:autoRedefine/>
    <w:qFormat/>
    <w:uiPriority w:val="0"/>
    <w:pPr>
      <w:widowControl/>
      <w:jc w:val="left"/>
    </w:pPr>
    <w:rPr>
      <w:rFonts w:ascii="宋体" w:hAnsi="宋体" w:cs="宋体"/>
      <w:kern w:val="0"/>
      <w:szCs w:val="21"/>
    </w:rPr>
  </w:style>
  <w:style w:type="paragraph" w:customStyle="1" w:styleId="809">
    <w:name w:val="Agreement Section"/>
    <w:basedOn w:val="1"/>
    <w:autoRedefine/>
    <w:qFormat/>
    <w:uiPriority w:val="99"/>
    <w:pPr>
      <w:spacing w:line="460" w:lineRule="exact"/>
      <w:ind w:left="360" w:hanging="360"/>
      <w:jc w:val="left"/>
    </w:pPr>
    <w:rPr>
      <w:rFonts w:ascii="黑体" w:hAnsi="微软雅黑" w:eastAsia="黑体" w:cs="宋体"/>
      <w:color w:val="000000"/>
      <w:kern w:val="0"/>
      <w:szCs w:val="21"/>
    </w:rPr>
  </w:style>
  <w:style w:type="paragraph" w:customStyle="1" w:styleId="810">
    <w:name w:val="p132"/>
    <w:basedOn w:val="1"/>
    <w:autoRedefine/>
    <w:qFormat/>
    <w:uiPriority w:val="0"/>
    <w:pPr>
      <w:widowControl/>
      <w:jc w:val="center"/>
    </w:pPr>
    <w:rPr>
      <w:rFonts w:ascii="黑体" w:hAnsi="黑体" w:eastAsia="黑体" w:cs="宋体"/>
      <w:kern w:val="0"/>
      <w:sz w:val="28"/>
      <w:szCs w:val="28"/>
    </w:rPr>
  </w:style>
  <w:style w:type="paragraph" w:customStyle="1" w:styleId="811">
    <w:name w:val="9css2"/>
    <w:basedOn w:val="1"/>
    <w:autoRedefine/>
    <w:qFormat/>
    <w:uiPriority w:val="0"/>
    <w:pPr>
      <w:widowControl/>
      <w:spacing w:before="100" w:beforeAutospacing="1" w:after="100" w:afterAutospacing="1" w:line="268" w:lineRule="atLeast"/>
      <w:jc w:val="left"/>
    </w:pPr>
    <w:rPr>
      <w:rFonts w:hint="eastAsia" w:ascii="宋体" w:hAnsi="宋体"/>
      <w:color w:val="000000"/>
      <w:kern w:val="0"/>
      <w:sz w:val="20"/>
    </w:rPr>
  </w:style>
  <w:style w:type="paragraph" w:customStyle="1" w:styleId="812">
    <w:name w:val="普通(网站)1"/>
    <w:basedOn w:val="1"/>
    <w:autoRedefine/>
    <w:qFormat/>
    <w:uiPriority w:val="99"/>
    <w:pPr>
      <w:widowControl/>
      <w:spacing w:before="100" w:beforeAutospacing="1" w:after="100" w:afterAutospacing="1"/>
      <w:jc w:val="left"/>
    </w:pPr>
    <w:rPr>
      <w:rFonts w:ascii="宋体" w:hAnsi="宋体"/>
      <w:sz w:val="24"/>
    </w:rPr>
  </w:style>
  <w:style w:type="paragraph" w:customStyle="1" w:styleId="813">
    <w:name w:val="z-Top of Form"/>
    <w:next w:val="1"/>
    <w:autoRedefine/>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814">
    <w:name w:val="附件"/>
    <w:basedOn w:val="1"/>
    <w:autoRedefine/>
    <w:qFormat/>
    <w:uiPriority w:val="0"/>
    <w:pPr>
      <w:ind w:left="280" w:hanging="280" w:hangingChars="100"/>
      <w:jc w:val="left"/>
    </w:pPr>
    <w:rPr>
      <w:rFonts w:hint="eastAsia" w:ascii="宋体" w:hAnsi="宋体"/>
      <w:szCs w:val="24"/>
    </w:rPr>
  </w:style>
  <w:style w:type="paragraph" w:customStyle="1" w:styleId="815">
    <w:name w:val="Char Char Char Char Char Char Char Char Char Char11"/>
    <w:basedOn w:val="1"/>
    <w:autoRedefine/>
    <w:qFormat/>
    <w:uiPriority w:val="0"/>
    <w:pPr>
      <w:tabs>
        <w:tab w:val="left" w:pos="425"/>
      </w:tabs>
      <w:ind w:left="425" w:hanging="425"/>
    </w:pPr>
    <w:rPr>
      <w:rFonts w:ascii="Arial" w:hAnsi="Arial" w:eastAsia="黑体" w:cs="Arial"/>
      <w:b/>
      <w:bCs/>
      <w:sz w:val="32"/>
      <w:szCs w:val="32"/>
    </w:rPr>
  </w:style>
  <w:style w:type="paragraph" w:customStyle="1" w:styleId="816">
    <w:name w:val="正文文本 22"/>
    <w:basedOn w:val="1"/>
    <w:autoRedefine/>
    <w:qFormat/>
    <w:uiPriority w:val="0"/>
    <w:pPr>
      <w:adjustRightInd w:val="0"/>
      <w:spacing w:line="520" w:lineRule="atLeast"/>
      <w:ind w:firstLine="570"/>
      <w:textAlignment w:val="baseline"/>
    </w:pPr>
    <w:rPr>
      <w:rFonts w:ascii="仿宋_GB2312" w:eastAsia="仿宋_GB2312"/>
      <w:sz w:val="28"/>
    </w:rPr>
  </w:style>
  <w:style w:type="paragraph" w:customStyle="1" w:styleId="817">
    <w:name w:val="CM57"/>
    <w:basedOn w:val="340"/>
    <w:next w:val="340"/>
    <w:autoRedefine/>
    <w:qFormat/>
    <w:uiPriority w:val="99"/>
    <w:rPr>
      <w:rFonts w:ascii="Times New Roman" w:hAnsi="Times New Roman"/>
      <w:color w:val="auto"/>
    </w:rPr>
  </w:style>
  <w:style w:type="paragraph" w:customStyle="1" w:styleId="818">
    <w:name w:val="表正文"/>
    <w:basedOn w:val="1"/>
    <w:next w:val="36"/>
    <w:autoRedefine/>
    <w:qFormat/>
    <w:uiPriority w:val="0"/>
    <w:pPr>
      <w:spacing w:line="400" w:lineRule="exact"/>
      <w:ind w:firstLine="480" w:firstLineChars="200"/>
    </w:pPr>
    <w:rPr>
      <w:rFonts w:ascii="宋体" w:hAnsi="Courier New"/>
      <w:sz w:val="24"/>
    </w:rPr>
  </w:style>
  <w:style w:type="paragraph" w:customStyle="1" w:styleId="819">
    <w:name w:val="Biao00"/>
    <w:autoRedefine/>
    <w:qFormat/>
    <w:uiPriority w:val="0"/>
    <w:pPr>
      <w:widowControl w:val="0"/>
      <w:spacing w:line="0" w:lineRule="atLeast"/>
      <w:jc w:val="center"/>
    </w:pPr>
    <w:rPr>
      <w:rFonts w:ascii="Arial" w:hAnsi="Arial" w:eastAsia="仿宋_GB2312" w:cs="Times New Roman"/>
      <w:bCs/>
      <w:w w:val="90"/>
      <w:kern w:val="18"/>
      <w:sz w:val="24"/>
      <w:szCs w:val="24"/>
      <w:lang w:val="en-US" w:eastAsia="zh-CN" w:bidi="ar-SA"/>
    </w:rPr>
  </w:style>
  <w:style w:type="paragraph" w:customStyle="1" w:styleId="820">
    <w:name w:val="标题 21"/>
    <w:basedOn w:val="1"/>
    <w:autoRedefine/>
    <w:qFormat/>
    <w:uiPriority w:val="1"/>
    <w:pPr>
      <w:spacing w:line="269" w:lineRule="exact"/>
      <w:ind w:left="628" w:hanging="477"/>
      <w:outlineLvl w:val="2"/>
    </w:pPr>
    <w:rPr>
      <w:b/>
      <w:bCs/>
      <w:szCs w:val="21"/>
    </w:rPr>
  </w:style>
  <w:style w:type="paragraph" w:customStyle="1" w:styleId="821">
    <w:name w:val="CM2"/>
    <w:basedOn w:val="340"/>
    <w:next w:val="340"/>
    <w:autoRedefine/>
    <w:qFormat/>
    <w:uiPriority w:val="99"/>
    <w:pPr>
      <w:spacing w:line="188" w:lineRule="atLeast"/>
    </w:pPr>
    <w:rPr>
      <w:rFonts w:ascii="Times New Roman" w:hAnsi="Times New Roman"/>
      <w:color w:val="auto"/>
    </w:rPr>
  </w:style>
  <w:style w:type="paragraph" w:customStyle="1" w:styleId="822">
    <w:name w:val="AOHead4"/>
    <w:basedOn w:val="1"/>
    <w:next w:val="1"/>
    <w:autoRedefine/>
    <w:qFormat/>
    <w:uiPriority w:val="0"/>
    <w:pPr>
      <w:widowControl/>
      <w:spacing w:before="240" w:line="260" w:lineRule="atLeast"/>
      <w:outlineLvl w:val="3"/>
    </w:pPr>
    <w:rPr>
      <w:kern w:val="0"/>
      <w:sz w:val="22"/>
      <w:lang w:val="en-GB" w:eastAsia="en-US"/>
    </w:rPr>
  </w:style>
  <w:style w:type="paragraph" w:customStyle="1" w:styleId="823">
    <w:name w:val="列出段落12"/>
    <w:basedOn w:val="1"/>
    <w:autoRedefine/>
    <w:qFormat/>
    <w:uiPriority w:val="99"/>
    <w:pPr>
      <w:ind w:firstLine="420" w:firstLineChars="200"/>
    </w:pPr>
    <w:rPr>
      <w:rFonts w:ascii="Calibri" w:hAnsi="Calibri"/>
      <w:szCs w:val="22"/>
    </w:rPr>
  </w:style>
  <w:style w:type="paragraph" w:customStyle="1" w:styleId="824">
    <w:name w:val="文档标签"/>
    <w:next w:val="1"/>
    <w:autoRedefine/>
    <w:qFormat/>
    <w:uiPriority w:val="0"/>
    <w:pPr>
      <w:pBdr>
        <w:top w:val="double" w:color="auto" w:sz="6" w:space="8"/>
        <w:bottom w:val="double" w:color="auto"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825">
    <w:name w:val="自定样式1"/>
    <w:autoRedefine/>
    <w:qFormat/>
    <w:uiPriority w:val="0"/>
    <w:pPr>
      <w:spacing w:line="360" w:lineRule="auto"/>
      <w:jc w:val="center"/>
    </w:pPr>
    <w:rPr>
      <w:rFonts w:ascii="宋体" w:hAnsi="宋体" w:eastAsia="宋体" w:cs="Times New Roman"/>
      <w:b/>
      <w:bCs/>
      <w:kern w:val="2"/>
      <w:sz w:val="32"/>
      <w:szCs w:val="32"/>
      <w:lang w:val="en-US" w:eastAsia="zh-CN" w:bidi="ar-SA"/>
    </w:rPr>
  </w:style>
  <w:style w:type="paragraph" w:customStyle="1" w:styleId="826">
    <w:name w:val="AODocTxt"/>
    <w:basedOn w:val="1"/>
    <w:autoRedefine/>
    <w:qFormat/>
    <w:uiPriority w:val="0"/>
    <w:pPr>
      <w:widowControl/>
      <w:tabs>
        <w:tab w:val="left" w:pos="432"/>
      </w:tabs>
      <w:spacing w:before="240" w:line="260" w:lineRule="atLeast"/>
      <w:ind w:left="432" w:hanging="432"/>
    </w:pPr>
    <w:rPr>
      <w:kern w:val="0"/>
      <w:sz w:val="22"/>
      <w:lang w:val="en-GB" w:eastAsia="en-US"/>
    </w:rPr>
  </w:style>
  <w:style w:type="paragraph" w:customStyle="1" w:styleId="827">
    <w:name w:val="Char Char Char Char Char Char Char Char Char Char111"/>
    <w:basedOn w:val="1"/>
    <w:autoRedefine/>
    <w:qFormat/>
    <w:uiPriority w:val="0"/>
    <w:pPr>
      <w:tabs>
        <w:tab w:val="left" w:pos="425"/>
      </w:tabs>
      <w:ind w:left="425" w:hanging="425"/>
    </w:pPr>
    <w:rPr>
      <w:rFonts w:ascii="Arial" w:hAnsi="Arial" w:eastAsia="黑体" w:cs="宋体"/>
      <w:b/>
      <w:bCs/>
      <w:sz w:val="32"/>
      <w:szCs w:val="32"/>
    </w:rPr>
  </w:style>
  <w:style w:type="paragraph" w:customStyle="1" w:styleId="828">
    <w:name w:val="TOC Heading1"/>
    <w:basedOn w:val="3"/>
    <w:next w:val="1"/>
    <w:autoRedefine/>
    <w:qFormat/>
    <w:uiPriority w:val="0"/>
    <w:pPr>
      <w:tabs>
        <w:tab w:val="left" w:pos="432"/>
      </w:tabs>
      <w:spacing w:before="340" w:after="330" w:line="576" w:lineRule="auto"/>
      <w:jc w:val="both"/>
      <w:outlineLvl w:val="9"/>
    </w:pPr>
    <w:rPr>
      <w:rFonts w:ascii="Calibri" w:hAnsi="Calibri" w:cs="Calibri"/>
      <w:bCs/>
      <w:spacing w:val="0"/>
      <w:sz w:val="44"/>
      <w:szCs w:val="44"/>
    </w:rPr>
  </w:style>
  <w:style w:type="paragraph" w:customStyle="1" w:styleId="829">
    <w:name w:val="公司名称"/>
    <w:basedOn w:val="25"/>
    <w:autoRedefine/>
    <w:qFormat/>
    <w:uiPriority w:val="0"/>
    <w:pPr>
      <w:keepLines/>
      <w:widowControl/>
      <w:wordWrap w:val="0"/>
      <w:topLinePunct/>
      <w:spacing w:after="80" w:line="240" w:lineRule="atLeast"/>
      <w:jc w:val="center"/>
    </w:pPr>
    <w:rPr>
      <w:rFonts w:ascii="Garamond" w:hAnsi="Garamond" w:eastAsia="隶书"/>
      <w:bCs w:val="0"/>
      <w:caps/>
      <w:color w:val="auto"/>
      <w:spacing w:val="75"/>
      <w:kern w:val="0"/>
      <w:sz w:val="32"/>
    </w:rPr>
  </w:style>
  <w:style w:type="paragraph" w:customStyle="1" w:styleId="830">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831">
    <w:name w:val="自定样式3"/>
    <w:autoRedefine/>
    <w:qFormat/>
    <w:uiPriority w:val="0"/>
    <w:pPr>
      <w:jc w:val="center"/>
    </w:pPr>
    <w:rPr>
      <w:rFonts w:ascii="宋体" w:hAnsi="宋体" w:eastAsia="宋体" w:cs="Times New Roman"/>
      <w:b/>
      <w:bCs/>
      <w:kern w:val="2"/>
      <w:sz w:val="24"/>
      <w:szCs w:val="24"/>
      <w:lang w:val="en-US" w:eastAsia="zh-CN" w:bidi="ar-SA"/>
    </w:rPr>
  </w:style>
  <w:style w:type="paragraph" w:customStyle="1" w:styleId="832">
    <w:name w:val="CM60"/>
    <w:basedOn w:val="340"/>
    <w:next w:val="340"/>
    <w:autoRedefine/>
    <w:qFormat/>
    <w:uiPriority w:val="99"/>
    <w:rPr>
      <w:rFonts w:ascii="Times New Roman" w:hAnsi="Times New Roman"/>
      <w:color w:val="auto"/>
    </w:rPr>
  </w:style>
  <w:style w:type="paragraph" w:customStyle="1" w:styleId="833">
    <w:name w:val="CM95"/>
    <w:basedOn w:val="1"/>
    <w:next w:val="1"/>
    <w:autoRedefine/>
    <w:qFormat/>
    <w:uiPriority w:val="99"/>
    <w:pPr>
      <w:autoSpaceDE w:val="0"/>
      <w:autoSpaceDN w:val="0"/>
      <w:adjustRightInd w:val="0"/>
      <w:spacing w:after="115"/>
      <w:jc w:val="left"/>
    </w:pPr>
    <w:rPr>
      <w:rFonts w:ascii="宋体"/>
      <w:kern w:val="0"/>
      <w:sz w:val="24"/>
    </w:rPr>
  </w:style>
  <w:style w:type="paragraph" w:customStyle="1" w:styleId="834">
    <w:name w:val="juzhong"/>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835">
    <w:name w:val="No Spacing1"/>
    <w:autoRedefine/>
    <w:qFormat/>
    <w:uiPriority w:val="0"/>
    <w:pPr>
      <w:widowControl w:val="0"/>
      <w:jc w:val="both"/>
    </w:pPr>
    <w:rPr>
      <w:rFonts w:ascii="Calibri" w:hAnsi="Calibri" w:eastAsia="宋体" w:cs="Calibri"/>
      <w:kern w:val="2"/>
      <w:sz w:val="21"/>
      <w:szCs w:val="21"/>
      <w:lang w:val="en-US" w:eastAsia="zh-CN" w:bidi="ar-SA"/>
    </w:rPr>
  </w:style>
  <w:style w:type="paragraph" w:customStyle="1" w:styleId="836">
    <w:name w:val="AOHead2"/>
    <w:basedOn w:val="1"/>
    <w:next w:val="1"/>
    <w:autoRedefine/>
    <w:qFormat/>
    <w:uiPriority w:val="0"/>
    <w:pPr>
      <w:keepNext/>
      <w:widowControl/>
      <w:spacing w:before="300" w:after="100" w:afterAutospacing="1" w:line="400" w:lineRule="exact"/>
      <w:outlineLvl w:val="1"/>
    </w:pPr>
    <w:rPr>
      <w:rFonts w:ascii="黑体" w:hAnsi="宋体" w:eastAsia="黑体"/>
      <w:b/>
      <w:bCs/>
      <w:color w:val="0000FF"/>
      <w:kern w:val="28"/>
      <w:sz w:val="28"/>
      <w:lang w:val="en-GB"/>
    </w:rPr>
  </w:style>
  <w:style w:type="paragraph" w:customStyle="1" w:styleId="837">
    <w:name w:val="AOHead3"/>
    <w:basedOn w:val="1"/>
    <w:next w:val="1"/>
    <w:autoRedefine/>
    <w:qFormat/>
    <w:uiPriority w:val="0"/>
    <w:pPr>
      <w:widowControl/>
      <w:snapToGrid w:val="0"/>
      <w:spacing w:line="360" w:lineRule="auto"/>
      <w:ind w:left="1260" w:leftChars="600"/>
      <w:outlineLvl w:val="2"/>
    </w:pPr>
    <w:rPr>
      <w:rFonts w:ascii="宋体" w:hAnsi="宋体"/>
      <w:color w:val="0000FF"/>
      <w:kern w:val="0"/>
      <w:sz w:val="24"/>
    </w:rPr>
  </w:style>
  <w:style w:type="paragraph" w:customStyle="1" w:styleId="838">
    <w:name w:val="z-Bottom of Form"/>
    <w:next w:val="1"/>
    <w:autoRedefine/>
    <w:qFormat/>
    <w:uiPriority w:val="0"/>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839">
    <w:name w:val="CM37"/>
    <w:basedOn w:val="340"/>
    <w:next w:val="340"/>
    <w:autoRedefine/>
    <w:qFormat/>
    <w:uiPriority w:val="99"/>
    <w:rPr>
      <w:rFonts w:ascii="Times New Roman" w:hAnsi="Times New Roman"/>
      <w:color w:val="auto"/>
    </w:rPr>
  </w:style>
  <w:style w:type="paragraph" w:customStyle="1" w:styleId="840">
    <w:name w:val="附表"/>
    <w:basedOn w:val="1"/>
    <w:autoRedefine/>
    <w:qFormat/>
    <w:uiPriority w:val="0"/>
    <w:pPr>
      <w:adjustRightInd w:val="0"/>
      <w:snapToGrid w:val="0"/>
    </w:pPr>
    <w:rPr>
      <w:rFonts w:ascii="黑体" w:eastAsia="黑体"/>
      <w:szCs w:val="24"/>
    </w:rPr>
  </w:style>
  <w:style w:type="paragraph" w:customStyle="1" w:styleId="841">
    <w:name w:val="Table of Contents"/>
    <w:basedOn w:val="65"/>
    <w:autoRedefine/>
    <w:qFormat/>
    <w:uiPriority w:val="0"/>
    <w:pPr>
      <w:widowControl/>
      <w:adjustRightInd/>
      <w:spacing w:before="240" w:after="480" w:line="240" w:lineRule="auto"/>
      <w:textAlignment w:val="auto"/>
    </w:pPr>
    <w:rPr>
      <w:rFonts w:ascii="B Frutiger Bold" w:hAnsi="B Frutiger Bold"/>
      <w:sz w:val="24"/>
      <w:lang w:val="en-AU"/>
    </w:rPr>
  </w:style>
  <w:style w:type="paragraph" w:customStyle="1" w:styleId="842">
    <w:name w:val="注释"/>
    <w:basedOn w:val="26"/>
    <w:autoRedefine/>
    <w:qFormat/>
    <w:uiPriority w:val="0"/>
    <w:pPr>
      <w:spacing w:beforeLines="100" w:afterLines="100" w:line="240" w:lineRule="auto"/>
      <w:ind w:firstLine="0"/>
      <w:jc w:val="center"/>
    </w:pPr>
    <w:rPr>
      <w:rFonts w:ascii="仿宋_GB2312" w:eastAsia="仿宋_GB2312"/>
      <w:sz w:val="36"/>
      <w:szCs w:val="24"/>
    </w:rPr>
  </w:style>
  <w:style w:type="paragraph" w:customStyle="1" w:styleId="843">
    <w:name w:val="首消息标题"/>
    <w:basedOn w:val="61"/>
    <w:next w:val="61"/>
    <w:autoRedefine/>
    <w:qFormat/>
    <w:uiPriority w:val="0"/>
  </w:style>
  <w:style w:type="paragraph" w:customStyle="1" w:styleId="844">
    <w:name w:val="尾消息标题"/>
    <w:basedOn w:val="61"/>
    <w:next w:val="25"/>
    <w:autoRedefine/>
    <w:qFormat/>
    <w:uiPriority w:val="0"/>
    <w:pPr>
      <w:pBdr>
        <w:top w:val="double" w:color="auto" w:sz="6" w:space="18"/>
        <w:bottom w:val="double" w:color="auto" w:sz="6" w:space="18"/>
        <w:between w:val="single" w:color="auto" w:sz="6" w:space="18"/>
      </w:pBdr>
      <w:tabs>
        <w:tab w:val="left" w:pos="1279"/>
        <w:tab w:val="left" w:pos="2940"/>
        <w:tab w:val="left" w:pos="5100"/>
        <w:tab w:val="right" w:pos="8640"/>
      </w:tabs>
      <w:spacing w:before="13"/>
      <w:ind w:left="0"/>
    </w:pPr>
  </w:style>
  <w:style w:type="paragraph" w:customStyle="1" w:styleId="845">
    <w:name w:val="CM7"/>
    <w:basedOn w:val="340"/>
    <w:next w:val="340"/>
    <w:autoRedefine/>
    <w:qFormat/>
    <w:uiPriority w:val="99"/>
    <w:pPr>
      <w:spacing w:line="191" w:lineRule="atLeast"/>
    </w:pPr>
    <w:rPr>
      <w:rFonts w:ascii="Times New Roman" w:hAnsi="Times New Roman"/>
      <w:color w:val="auto"/>
    </w:rPr>
  </w:style>
  <w:style w:type="paragraph" w:customStyle="1" w:styleId="846">
    <w:name w:val="Char Char Char Char Char Char Char Char Char Char Char Char Char Char Char Char Char Char Char"/>
    <w:basedOn w:val="1"/>
    <w:autoRedefine/>
    <w:qFormat/>
    <w:uiPriority w:val="0"/>
    <w:pPr>
      <w:widowControl/>
      <w:overflowPunct w:val="0"/>
      <w:autoSpaceDE w:val="0"/>
      <w:autoSpaceDN w:val="0"/>
      <w:adjustRightInd w:val="0"/>
      <w:jc w:val="left"/>
      <w:textAlignment w:val="baseline"/>
    </w:pPr>
    <w:rPr>
      <w:rFonts w:ascii="Tahoma" w:hAnsi="Tahoma"/>
      <w:kern w:val="0"/>
      <w:sz w:val="24"/>
      <w:lang w:val="en-GB"/>
    </w:rPr>
  </w:style>
  <w:style w:type="paragraph" w:customStyle="1" w:styleId="847">
    <w:name w:val="注1"/>
    <w:basedOn w:val="1"/>
    <w:autoRedefine/>
    <w:qFormat/>
    <w:uiPriority w:val="0"/>
    <w:pPr>
      <w:spacing w:line="360" w:lineRule="auto"/>
      <w:ind w:left="400" w:leftChars="200" w:hanging="200" w:hangingChars="200"/>
    </w:pPr>
    <w:rPr>
      <w:rFonts w:ascii="宋体"/>
      <w:b/>
      <w:szCs w:val="24"/>
    </w:rPr>
  </w:style>
  <w:style w:type="paragraph" w:customStyle="1" w:styleId="848">
    <w:name w:val="Normal_4_0"/>
    <w:autoRedefine/>
    <w:qFormat/>
    <w:uiPriority w:val="0"/>
    <w:pPr>
      <w:widowControl w:val="0"/>
      <w:jc w:val="both"/>
    </w:pPr>
    <w:rPr>
      <w:rFonts w:ascii="Times New Roman" w:hAnsi="Times New Roman" w:eastAsia="宋体" w:cs="Times New Roman"/>
      <w:lang w:val="en-US" w:eastAsia="zh-CN" w:bidi="ar-SA"/>
    </w:rPr>
  </w:style>
  <w:style w:type="character" w:customStyle="1" w:styleId="849">
    <w:name w:val="refer-count"/>
    <w:basedOn w:val="71"/>
    <w:autoRedefine/>
    <w:qFormat/>
    <w:uiPriority w:val="0"/>
  </w:style>
  <w:style w:type="character" w:customStyle="1" w:styleId="850">
    <w:name w:val="样式1 字符"/>
    <w:autoRedefine/>
    <w:qFormat/>
    <w:uiPriority w:val="0"/>
    <w:rPr>
      <w:rFonts w:ascii="Calibri" w:hAnsi="Calibri" w:eastAsia="宋体" w:cs="Times New Roman"/>
      <w:b/>
      <w:kern w:val="44"/>
      <w:sz w:val="30"/>
      <w:szCs w:val="22"/>
    </w:rPr>
  </w:style>
  <w:style w:type="character" w:customStyle="1" w:styleId="851">
    <w:name w:val="search-in-page-highlight-item"/>
    <w:basedOn w:val="71"/>
    <w:autoRedefine/>
    <w:qFormat/>
    <w:uiPriority w:val="0"/>
  </w:style>
  <w:style w:type="character" w:customStyle="1" w:styleId="852">
    <w:name w:val="law-parenthese"/>
    <w:basedOn w:val="71"/>
    <w:autoRedefine/>
    <w:qFormat/>
    <w:uiPriority w:val="0"/>
  </w:style>
  <w:style w:type="character" w:customStyle="1" w:styleId="853">
    <w:name w:val="search-in-page-highlight-wrapper"/>
    <w:basedOn w:val="71"/>
    <w:autoRedefine/>
    <w:qFormat/>
    <w:uiPriority w:val="0"/>
  </w:style>
  <w:style w:type="paragraph" w:customStyle="1" w:styleId="854">
    <w:name w:val="专用标题2"/>
    <w:basedOn w:val="4"/>
    <w:next w:val="1"/>
    <w:autoRedefine/>
    <w:qFormat/>
    <w:uiPriority w:val="0"/>
    <w:pPr>
      <w:keepNext w:val="0"/>
      <w:keepLines w:val="0"/>
      <w:widowControl/>
      <w:tabs>
        <w:tab w:val="left" w:pos="993"/>
      </w:tabs>
      <w:adjustRightInd w:val="0"/>
      <w:snapToGrid w:val="0"/>
      <w:spacing w:after="120" w:afterLines="50" w:line="360" w:lineRule="auto"/>
      <w:jc w:val="both"/>
    </w:pPr>
    <w:rPr>
      <w:rFonts w:ascii="宋体" w:hAnsi="宋体" w:cs="Times"/>
      <w:sz w:val="28"/>
    </w:rPr>
  </w:style>
  <w:style w:type="paragraph" w:customStyle="1" w:styleId="855">
    <w:name w:val="通用标题4"/>
    <w:next w:val="1"/>
    <w:autoRedefine/>
    <w:qFormat/>
    <w:uiPriority w:val="0"/>
    <w:pPr>
      <w:numPr>
        <w:ilvl w:val="2"/>
        <w:numId w:val="3"/>
      </w:numPr>
      <w:tabs>
        <w:tab w:val="left" w:pos="851"/>
      </w:tabs>
      <w:adjustRightInd w:val="0"/>
      <w:snapToGrid w:val="0"/>
      <w:spacing w:after="120" w:afterLines="50" w:line="360" w:lineRule="auto"/>
      <w:jc w:val="both"/>
      <w:outlineLvl w:val="3"/>
    </w:pPr>
    <w:rPr>
      <w:rFonts w:ascii="宋体" w:hAnsi="宋体" w:eastAsia="宋体" w:cs="Times New Roman"/>
      <w:kern w:val="2"/>
      <w:sz w:val="24"/>
      <w:szCs w:val="21"/>
      <w:lang w:val="en-US" w:eastAsia="zh-CN" w:bidi="ar-SA"/>
    </w:rPr>
  </w:style>
  <w:style w:type="paragraph" w:customStyle="1" w:styleId="856">
    <w:name w:val="缩进2中"/>
    <w:autoRedefine/>
    <w:qFormat/>
    <w:uiPriority w:val="0"/>
    <w:pPr>
      <w:ind w:left="708" w:leftChars="295"/>
      <w:jc w:val="both"/>
    </w:pPr>
    <w:rPr>
      <w:rFonts w:ascii="Times" w:hAnsi="Times" w:eastAsia="宋体" w:cs="Times New Roman"/>
      <w:kern w:val="2"/>
      <w:sz w:val="24"/>
      <w:szCs w:val="22"/>
      <w:lang w:val="en-US" w:eastAsia="zh-CN" w:bidi="ar-SA"/>
    </w:rPr>
  </w:style>
  <w:style w:type="paragraph" w:customStyle="1" w:styleId="857">
    <w:name w:val="Title 5"/>
    <w:next w:val="858"/>
    <w:autoRedefine/>
    <w:qFormat/>
    <w:uiPriority w:val="0"/>
    <w:pPr>
      <w:numPr>
        <w:ilvl w:val="0"/>
        <w:numId w:val="4"/>
      </w:numPr>
      <w:ind w:left="1701" w:hanging="426"/>
      <w:jc w:val="both"/>
    </w:pPr>
    <w:rPr>
      <w:rFonts w:ascii="Times New Roman" w:hAnsi="Times New Roman" w:eastAsia="宋体" w:cs="Times New Roman"/>
      <w:kern w:val="2"/>
      <w:sz w:val="24"/>
      <w:szCs w:val="24"/>
      <w:lang w:val="en-US" w:eastAsia="zh-CN" w:bidi="ar-SA"/>
    </w:rPr>
  </w:style>
  <w:style w:type="paragraph" w:customStyle="1" w:styleId="858">
    <w:name w:val="Title 5 Chinese"/>
    <w:autoRedefine/>
    <w:qFormat/>
    <w:uiPriority w:val="0"/>
    <w:pPr>
      <w:ind w:left="1701"/>
    </w:pPr>
    <w:rPr>
      <w:rFonts w:ascii="Times New Roman" w:hAnsi="Times New Roman" w:eastAsia="宋体" w:cs="Times New Roman"/>
      <w:kern w:val="2"/>
      <w:sz w:val="24"/>
      <w:szCs w:val="24"/>
      <w:lang w:val="en-US" w:eastAsia="zh-CN" w:bidi="ar-SA"/>
    </w:rPr>
  </w:style>
  <w:style w:type="paragraph" w:customStyle="1" w:styleId="859">
    <w:name w:val="通用标题7"/>
    <w:basedOn w:val="1"/>
    <w:autoRedefine/>
    <w:qFormat/>
    <w:uiPriority w:val="0"/>
    <w:pPr>
      <w:widowControl/>
      <w:numPr>
        <w:ilvl w:val="5"/>
        <w:numId w:val="5"/>
      </w:numPr>
      <w:wordWrap w:val="0"/>
      <w:topLinePunct/>
      <w:adjustRightInd w:val="0"/>
      <w:snapToGrid w:val="0"/>
      <w:spacing w:after="120" w:afterLines="50" w:line="360" w:lineRule="auto"/>
      <w:ind w:firstLine="200" w:firstLineChars="200"/>
    </w:pPr>
    <w:rPr>
      <w:rFonts w:ascii="宋体" w:hAnsi="宋体"/>
      <w:kern w:val="0"/>
      <w:sz w:val="24"/>
    </w:rPr>
  </w:style>
  <w:style w:type="paragraph" w:customStyle="1" w:styleId="860">
    <w:name w:val="样式8"/>
    <w:basedOn w:val="1"/>
    <w:autoRedefine/>
    <w:qFormat/>
    <w:uiPriority w:val="0"/>
    <w:pPr>
      <w:widowControl/>
      <w:wordWrap w:val="0"/>
      <w:topLinePunct/>
      <w:autoSpaceDE w:val="0"/>
      <w:autoSpaceDN w:val="0"/>
      <w:adjustRightInd w:val="0"/>
      <w:ind w:left="1274" w:leftChars="531" w:firstLine="2"/>
    </w:pPr>
    <w:rPr>
      <w:rFonts w:ascii="宋体" w:hAnsi="宋体"/>
      <w:bCs/>
      <w:kern w:val="0"/>
      <w:sz w:val="24"/>
    </w:rPr>
  </w:style>
  <w:style w:type="paragraph" w:customStyle="1" w:styleId="861">
    <w:name w:val="附件标题"/>
    <w:basedOn w:val="4"/>
    <w:next w:val="1"/>
    <w:autoRedefine/>
    <w:qFormat/>
    <w:uiPriority w:val="0"/>
    <w:pPr>
      <w:widowControl/>
      <w:numPr>
        <w:ilvl w:val="0"/>
        <w:numId w:val="6"/>
      </w:numPr>
      <w:tabs>
        <w:tab w:val="left" w:pos="1134"/>
      </w:tabs>
      <w:wordWrap w:val="0"/>
      <w:topLinePunct/>
      <w:adjustRightInd w:val="0"/>
      <w:snapToGrid w:val="0"/>
      <w:spacing w:after="120" w:afterLines="50" w:line="360" w:lineRule="auto"/>
    </w:pPr>
    <w:rPr>
      <w:rFonts w:ascii="黑体" w:hAnsi="黑体" w:eastAsia="黑体"/>
      <w:szCs w:val="30"/>
    </w:rPr>
  </w:style>
  <w:style w:type="paragraph" w:customStyle="1" w:styleId="862">
    <w:name w:val="through-content"/>
    <w:basedOn w:val="1"/>
    <w:autoRedefine/>
    <w:qFormat/>
    <w:uiPriority w:val="0"/>
    <w:pPr>
      <w:widowControl/>
      <w:wordWrap w:val="0"/>
      <w:topLinePunct/>
      <w:spacing w:before="100" w:beforeAutospacing="1" w:after="100" w:afterAutospacing="1"/>
      <w:jc w:val="left"/>
    </w:pPr>
    <w:rPr>
      <w:rFonts w:ascii="宋体" w:hAnsi="宋体" w:cs="宋体"/>
      <w:kern w:val="0"/>
      <w:sz w:val="24"/>
    </w:rPr>
  </w:style>
  <w:style w:type="paragraph" w:customStyle="1" w:styleId="863">
    <w:name w:val="List ALPHA CAPS 1"/>
    <w:basedOn w:val="1"/>
    <w:next w:val="25"/>
    <w:autoRedefine/>
    <w:qFormat/>
    <w:uiPriority w:val="0"/>
    <w:pPr>
      <w:widowControl/>
      <w:numPr>
        <w:ilvl w:val="0"/>
        <w:numId w:val="7"/>
      </w:numPr>
      <w:tabs>
        <w:tab w:val="left" w:pos="22"/>
      </w:tabs>
      <w:wordWrap w:val="0"/>
      <w:topLinePunct/>
      <w:adjustRightInd w:val="0"/>
      <w:snapToGrid w:val="0"/>
      <w:spacing w:after="200" w:afterLines="50" w:line="288" w:lineRule="auto"/>
      <w:ind w:firstLine="200" w:firstLineChars="200"/>
    </w:pPr>
    <w:rPr>
      <w:rFonts w:ascii="CG Times" w:hAnsi="CG Times"/>
      <w:kern w:val="0"/>
      <w:sz w:val="22"/>
      <w:lang w:val="en-GB"/>
    </w:rPr>
  </w:style>
  <w:style w:type="paragraph" w:customStyle="1" w:styleId="864">
    <w:name w:val="专用标题4"/>
    <w:basedOn w:val="7"/>
    <w:next w:val="1"/>
    <w:autoRedefine/>
    <w:qFormat/>
    <w:uiPriority w:val="0"/>
    <w:pPr>
      <w:widowControl/>
      <w:numPr>
        <w:ilvl w:val="2"/>
        <w:numId w:val="8"/>
      </w:numPr>
      <w:adjustRightInd w:val="0"/>
      <w:snapToGrid w:val="0"/>
      <w:spacing w:before="0" w:after="0" w:line="240" w:lineRule="auto"/>
      <w:jc w:val="left"/>
    </w:pPr>
    <w:rPr>
      <w:rFonts w:eastAsia="宋体"/>
      <w:b w:val="0"/>
      <w:bCs w:val="0"/>
      <w:szCs w:val="22"/>
    </w:rPr>
  </w:style>
  <w:style w:type="paragraph" w:customStyle="1" w:styleId="865">
    <w:name w:val="LIST ALPHA CAPS 2"/>
    <w:basedOn w:val="1"/>
    <w:next w:val="58"/>
    <w:autoRedefine/>
    <w:qFormat/>
    <w:uiPriority w:val="0"/>
    <w:pPr>
      <w:widowControl/>
      <w:numPr>
        <w:ilvl w:val="1"/>
        <w:numId w:val="7"/>
      </w:numPr>
      <w:tabs>
        <w:tab w:val="left" w:pos="50"/>
      </w:tabs>
      <w:wordWrap w:val="0"/>
      <w:topLinePunct/>
      <w:adjustRightInd w:val="0"/>
      <w:snapToGrid w:val="0"/>
      <w:spacing w:after="200" w:afterLines="50" w:line="288" w:lineRule="auto"/>
      <w:ind w:firstLine="200" w:firstLineChars="200"/>
    </w:pPr>
    <w:rPr>
      <w:rFonts w:ascii="CG Times" w:hAnsi="CG Times"/>
      <w:kern w:val="0"/>
      <w:sz w:val="22"/>
      <w:lang w:val="en-GB"/>
    </w:rPr>
  </w:style>
  <w:style w:type="paragraph" w:customStyle="1" w:styleId="866">
    <w:name w:val="Title 4 Chinese"/>
    <w:autoRedefine/>
    <w:qFormat/>
    <w:uiPriority w:val="0"/>
    <w:pPr>
      <w:ind w:left="1276"/>
    </w:pPr>
    <w:rPr>
      <w:rFonts w:ascii="Times New Roman" w:hAnsi="Times New Roman" w:eastAsia="宋体" w:cs="Times New Roman"/>
      <w:kern w:val="2"/>
      <w:sz w:val="24"/>
      <w:szCs w:val="24"/>
      <w:lang w:val="en-US" w:eastAsia="zh-CN" w:bidi="ar-SA"/>
    </w:rPr>
  </w:style>
  <w:style w:type="paragraph" w:customStyle="1" w:styleId="867">
    <w:name w:val="Title 4"/>
    <w:next w:val="866"/>
    <w:autoRedefine/>
    <w:qFormat/>
    <w:uiPriority w:val="0"/>
    <w:pPr>
      <w:numPr>
        <w:ilvl w:val="0"/>
        <w:numId w:val="9"/>
      </w:numPr>
      <w:ind w:left="1276" w:hanging="562"/>
      <w:jc w:val="both"/>
    </w:pPr>
    <w:rPr>
      <w:rFonts w:ascii="Times New Roman" w:hAnsi="Times New Roman" w:eastAsia="宋体" w:cs="Times New Roman"/>
      <w:kern w:val="2"/>
      <w:sz w:val="24"/>
      <w:szCs w:val="24"/>
      <w:lang w:val="en-US" w:eastAsia="zh-CN" w:bidi="ar-SA"/>
    </w:rPr>
  </w:style>
  <w:style w:type="paragraph" w:customStyle="1" w:styleId="868">
    <w:name w:val="通用标题6"/>
    <w:basedOn w:val="1"/>
    <w:autoRedefine/>
    <w:qFormat/>
    <w:uiPriority w:val="0"/>
    <w:pPr>
      <w:widowControl/>
      <w:numPr>
        <w:ilvl w:val="4"/>
        <w:numId w:val="3"/>
      </w:numPr>
      <w:tabs>
        <w:tab w:val="left" w:pos="993"/>
      </w:tabs>
      <w:adjustRightInd w:val="0"/>
      <w:snapToGrid w:val="0"/>
      <w:spacing w:after="120" w:afterLines="50" w:line="360" w:lineRule="auto"/>
    </w:pPr>
    <w:rPr>
      <w:rFonts w:ascii="宋体" w:hAnsi="宋体"/>
      <w:kern w:val="0"/>
      <w:sz w:val="24"/>
    </w:rPr>
  </w:style>
  <w:style w:type="paragraph" w:customStyle="1" w:styleId="869">
    <w:name w:val="协议书标题2"/>
    <w:basedOn w:val="4"/>
    <w:next w:val="1"/>
    <w:autoRedefine/>
    <w:qFormat/>
    <w:uiPriority w:val="0"/>
    <w:pPr>
      <w:keepNext w:val="0"/>
      <w:keepLines w:val="0"/>
      <w:widowControl/>
      <w:numPr>
        <w:ilvl w:val="0"/>
        <w:numId w:val="10"/>
      </w:numPr>
      <w:tabs>
        <w:tab w:val="left" w:pos="567"/>
      </w:tabs>
      <w:wordWrap w:val="0"/>
      <w:topLinePunct/>
      <w:adjustRightInd w:val="0"/>
      <w:snapToGrid w:val="0"/>
      <w:spacing w:after="120" w:afterLines="50" w:line="360" w:lineRule="auto"/>
      <w:jc w:val="left"/>
    </w:pPr>
    <w:rPr>
      <w:rFonts w:ascii="宋体" w:hAnsi="宋体"/>
      <w:sz w:val="24"/>
    </w:rPr>
  </w:style>
  <w:style w:type="paragraph" w:customStyle="1" w:styleId="870">
    <w:name w:val="table"/>
    <w:autoRedefin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871">
    <w:name w:val="专用标题3"/>
    <w:basedOn w:val="5"/>
    <w:autoRedefine/>
    <w:qFormat/>
    <w:uiPriority w:val="0"/>
    <w:pPr>
      <w:widowControl/>
      <w:numPr>
        <w:ilvl w:val="1"/>
        <w:numId w:val="8"/>
      </w:numPr>
      <w:wordWrap w:val="0"/>
      <w:topLinePunct/>
      <w:adjustRightInd w:val="0"/>
      <w:snapToGrid w:val="0"/>
      <w:spacing w:before="0" w:after="120" w:afterLines="50" w:line="360" w:lineRule="auto"/>
      <w:jc w:val="left"/>
    </w:pPr>
    <w:rPr>
      <w:rFonts w:hAnsi="宋体"/>
      <w:kern w:val="0"/>
    </w:rPr>
  </w:style>
  <w:style w:type="paragraph" w:customStyle="1" w:styleId="872">
    <w:name w:val="通用标题5"/>
    <w:autoRedefine/>
    <w:qFormat/>
    <w:uiPriority w:val="0"/>
    <w:pPr>
      <w:widowControl w:val="0"/>
      <w:numPr>
        <w:ilvl w:val="3"/>
        <w:numId w:val="3"/>
      </w:numPr>
      <w:tabs>
        <w:tab w:val="left" w:pos="1134"/>
      </w:tabs>
      <w:autoSpaceDE w:val="0"/>
      <w:autoSpaceDN w:val="0"/>
      <w:adjustRightInd w:val="0"/>
      <w:snapToGrid w:val="0"/>
      <w:spacing w:after="120" w:afterLines="50" w:line="360" w:lineRule="auto"/>
      <w:jc w:val="both"/>
    </w:pPr>
    <w:rPr>
      <w:rFonts w:ascii="宋体" w:hAnsi="宋体" w:eastAsia="宋体" w:cs="Times New Roman"/>
      <w:kern w:val="2"/>
      <w:sz w:val="24"/>
      <w:szCs w:val="21"/>
      <w:lang w:val="en-US" w:eastAsia="zh-CN" w:bidi="ar-SA"/>
    </w:rPr>
  </w:style>
  <w:style w:type="paragraph" w:customStyle="1" w:styleId="873">
    <w:name w:val="LIST ALPHA CAPS 3"/>
    <w:basedOn w:val="1"/>
    <w:next w:val="23"/>
    <w:autoRedefine/>
    <w:qFormat/>
    <w:uiPriority w:val="0"/>
    <w:pPr>
      <w:widowControl/>
      <w:numPr>
        <w:ilvl w:val="2"/>
        <w:numId w:val="7"/>
      </w:numPr>
      <w:tabs>
        <w:tab w:val="left" w:pos="68"/>
      </w:tabs>
      <w:wordWrap w:val="0"/>
      <w:topLinePunct/>
      <w:adjustRightInd w:val="0"/>
      <w:snapToGrid w:val="0"/>
      <w:spacing w:after="200" w:afterLines="50" w:line="288" w:lineRule="auto"/>
      <w:ind w:firstLine="200" w:firstLineChars="200"/>
    </w:pPr>
    <w:rPr>
      <w:rFonts w:ascii="CG Times" w:hAnsi="CG Times"/>
      <w:kern w:val="0"/>
      <w:sz w:val="22"/>
      <w:lang w:val="en-GB"/>
    </w:rPr>
  </w:style>
  <w:style w:type="paragraph" w:customStyle="1" w:styleId="874">
    <w:name w:val="通用标题2"/>
    <w:basedOn w:val="4"/>
    <w:next w:val="1"/>
    <w:autoRedefine/>
    <w:qFormat/>
    <w:uiPriority w:val="0"/>
    <w:pPr>
      <w:keepNext w:val="0"/>
      <w:keepLines w:val="0"/>
      <w:widowControl/>
      <w:numPr>
        <w:ilvl w:val="0"/>
        <w:numId w:val="5"/>
      </w:numPr>
      <w:tabs>
        <w:tab w:val="left" w:pos="993"/>
      </w:tabs>
      <w:wordWrap w:val="0"/>
      <w:topLinePunct/>
      <w:adjustRightInd w:val="0"/>
      <w:snapToGrid w:val="0"/>
      <w:spacing w:after="120" w:afterLines="50" w:line="360" w:lineRule="auto"/>
      <w:jc w:val="both"/>
    </w:pPr>
    <w:rPr>
      <w:rFonts w:ascii="黑体" w:hAnsi="黑体" w:eastAsia="黑体"/>
      <w:sz w:val="28"/>
    </w:rPr>
  </w:style>
  <w:style w:type="paragraph" w:customStyle="1" w:styleId="875">
    <w:name w:val="Main Title"/>
    <w:next w:val="1"/>
    <w:autoRedefine/>
    <w:qFormat/>
    <w:uiPriority w:val="0"/>
    <w:pPr>
      <w:adjustRightInd w:val="0"/>
      <w:snapToGrid w:val="0"/>
      <w:spacing w:after="120" w:afterLines="50" w:line="360" w:lineRule="auto"/>
      <w:jc w:val="center"/>
    </w:pPr>
    <w:rPr>
      <w:rFonts w:ascii="黑体" w:hAnsi="黑体" w:eastAsia="黑体" w:cs="Times New Roman"/>
      <w:b/>
      <w:kern w:val="2"/>
      <w:sz w:val="36"/>
      <w:szCs w:val="22"/>
      <w:lang w:val="zh-CN" w:eastAsia="zh-CN" w:bidi="ar-SA"/>
    </w:rPr>
  </w:style>
  <w:style w:type="paragraph" w:customStyle="1" w:styleId="876">
    <w:name w:val="附件标题1"/>
    <w:next w:val="1"/>
    <w:autoRedefine/>
    <w:qFormat/>
    <w:uiPriority w:val="0"/>
    <w:pPr>
      <w:numPr>
        <w:ilvl w:val="0"/>
        <w:numId w:val="11"/>
      </w:numPr>
      <w:tabs>
        <w:tab w:val="left" w:pos="567"/>
      </w:tabs>
      <w:adjustRightInd w:val="0"/>
      <w:snapToGrid w:val="0"/>
      <w:spacing w:after="120" w:afterLines="50" w:line="312" w:lineRule="auto"/>
    </w:pPr>
    <w:rPr>
      <w:rFonts w:ascii="黑体" w:hAnsi="黑体" w:eastAsia="黑体" w:cs="Times New Roman"/>
      <w:b/>
      <w:kern w:val="2"/>
      <w:sz w:val="24"/>
      <w:szCs w:val="24"/>
      <w:lang w:val="en-US" w:eastAsia="zh-CN" w:bidi="ar-SA"/>
    </w:rPr>
  </w:style>
  <w:style w:type="paragraph" w:customStyle="1" w:styleId="877">
    <w:name w:val="通用标题3"/>
    <w:next w:val="1"/>
    <w:autoRedefine/>
    <w:qFormat/>
    <w:uiPriority w:val="0"/>
    <w:pPr>
      <w:widowControl w:val="0"/>
      <w:numPr>
        <w:ilvl w:val="1"/>
        <w:numId w:val="3"/>
      </w:numPr>
      <w:tabs>
        <w:tab w:val="left" w:pos="851"/>
      </w:tabs>
      <w:adjustRightInd w:val="0"/>
      <w:snapToGrid w:val="0"/>
      <w:spacing w:after="120" w:afterLines="50" w:line="360" w:lineRule="auto"/>
      <w:jc w:val="both"/>
      <w:outlineLvl w:val="2"/>
    </w:pPr>
    <w:rPr>
      <w:rFonts w:ascii="黑体" w:hAnsi="黑体" w:eastAsia="黑体" w:cs="Times New Roman"/>
      <w:b/>
      <w:kern w:val="2"/>
      <w:sz w:val="24"/>
      <w:szCs w:val="24"/>
      <w:lang w:val="en-US" w:eastAsia="zh-CN" w:bidi="ar-SA"/>
    </w:rPr>
  </w:style>
  <w:style w:type="table" w:customStyle="1" w:styleId="878">
    <w:name w:val="网格型11"/>
    <w:basedOn w:val="67"/>
    <w:autoRedefine/>
    <w:qFormat/>
    <w:uiPriority w:val="0"/>
    <w:rPr>
      <w:rFonts w:eastAsia="Times New Roman"/>
      <w:kern w:val="2"/>
      <w:sz w:val="21"/>
      <w:szCs w:val="21"/>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79">
    <w:name w:val="TableGrid"/>
    <w:autoRedefine/>
    <w:qFormat/>
    <w:uiPriority w:val="0"/>
    <w:rPr>
      <w:lang w:eastAsia="en-US"/>
    </w:rPr>
    <w:tblPr>
      <w:tblCellMar>
        <w:top w:w="0" w:type="dxa"/>
        <w:left w:w="0" w:type="dxa"/>
        <w:bottom w:w="0" w:type="dxa"/>
        <w:right w:w="0" w:type="dxa"/>
      </w:tblCellMar>
    </w:tblPr>
  </w:style>
  <w:style w:type="character" w:customStyle="1" w:styleId="880">
    <w:name w:val="未处理的提及4"/>
    <w:basedOn w:val="71"/>
    <w:autoRedefine/>
    <w:semiHidden/>
    <w:unhideWhenUsed/>
    <w:qFormat/>
    <w:uiPriority w:val="99"/>
    <w:rPr>
      <w:color w:val="605E5C"/>
      <w:shd w:val="clear" w:color="auto" w:fill="E1DFDD"/>
    </w:rPr>
  </w:style>
  <w:style w:type="character" w:customStyle="1" w:styleId="881">
    <w:name w:val="未处理的提及5"/>
    <w:basedOn w:val="71"/>
    <w:autoRedefine/>
    <w:semiHidden/>
    <w:unhideWhenUsed/>
    <w:qFormat/>
    <w:uiPriority w:val="99"/>
    <w:rPr>
      <w:color w:val="605E5C"/>
      <w:shd w:val="clear" w:color="auto" w:fill="E1DFDD"/>
    </w:rPr>
  </w:style>
  <w:style w:type="character" w:customStyle="1" w:styleId="882">
    <w:name w:val="已访问的超链接2"/>
    <w:autoRedefine/>
    <w:unhideWhenUsed/>
    <w:qFormat/>
    <w:uiPriority w:val="0"/>
    <w:rPr>
      <w:color w:val="800080"/>
      <w:u w:val="single"/>
    </w:rPr>
  </w:style>
  <w:style w:type="character" w:customStyle="1" w:styleId="883">
    <w:name w:val="日期 Char_0"/>
    <w:link w:val="884"/>
    <w:autoRedefine/>
    <w:qFormat/>
    <w:uiPriority w:val="0"/>
    <w:rPr>
      <w:kern w:val="2"/>
      <w:sz w:val="21"/>
      <w:szCs w:val="24"/>
    </w:rPr>
  </w:style>
  <w:style w:type="paragraph" w:customStyle="1" w:styleId="884">
    <w:name w:val="日期1"/>
    <w:link w:val="883"/>
    <w:autoRedefine/>
    <w:qFormat/>
    <w:uiPriority w:val="0"/>
    <w:pPr>
      <w:widowControl w:val="0"/>
      <w:ind w:left="100" w:leftChars="2500"/>
      <w:jc w:val="both"/>
    </w:pPr>
    <w:rPr>
      <w:rFonts w:ascii="Times New Roman" w:hAnsi="Times New Roman" w:eastAsia="宋体" w:cs="Times New Roman"/>
      <w:kern w:val="2"/>
      <w:sz w:val="21"/>
      <w:szCs w:val="24"/>
      <w:lang w:val="en-US" w:eastAsia="zh-CN" w:bidi="ar-SA"/>
    </w:rPr>
  </w:style>
  <w:style w:type="character" w:customStyle="1" w:styleId="885">
    <w:name w:val="A标题2 Char1"/>
    <w:autoRedefine/>
    <w:qFormat/>
    <w:uiPriority w:val="0"/>
    <w:rPr>
      <w:rFonts w:ascii="Arial" w:hAnsi="Arial" w:eastAsia="黑体"/>
      <w:b/>
      <w:bCs/>
      <w:sz w:val="32"/>
      <w:szCs w:val="32"/>
      <w:lang w:val="zh-CN" w:eastAsia="zh-CN"/>
    </w:rPr>
  </w:style>
  <w:style w:type="character" w:customStyle="1" w:styleId="886">
    <w:name w:val="Char Char2_0"/>
    <w:autoRedefine/>
    <w:qFormat/>
    <w:uiPriority w:val="0"/>
    <w:rPr>
      <w:rFonts w:ascii="宋体" w:hAnsi="Courier New" w:eastAsia="宋体"/>
      <w:kern w:val="2"/>
      <w:sz w:val="21"/>
      <w:lang w:val="en-US" w:eastAsia="zh-CN" w:bidi="ar-SA"/>
    </w:rPr>
  </w:style>
  <w:style w:type="character" w:customStyle="1" w:styleId="887">
    <w:name w:val="标题 3 Char1"/>
    <w:autoRedefine/>
    <w:qFormat/>
    <w:uiPriority w:val="0"/>
    <w:rPr>
      <w:rFonts w:ascii="Times New Roman" w:hAnsi="Times New Roman" w:eastAsia="宋体" w:cs="Times New Roman"/>
      <w:b/>
      <w:bCs/>
      <w:sz w:val="32"/>
      <w:szCs w:val="32"/>
    </w:rPr>
  </w:style>
  <w:style w:type="character" w:customStyle="1" w:styleId="888">
    <w:name w:val="表一 Char"/>
    <w:autoRedefine/>
    <w:qFormat/>
    <w:uiPriority w:val="0"/>
    <w:rPr>
      <w:rFonts w:ascii="Times New Roman" w:hAnsi="Times New Roman" w:eastAsia="宋体" w:cs="宋体"/>
      <w:snapToGrid w:val="0"/>
      <w:kern w:val="0"/>
      <w:sz w:val="24"/>
      <w:szCs w:val="24"/>
    </w:rPr>
  </w:style>
  <w:style w:type="character" w:customStyle="1" w:styleId="889">
    <w:name w:val="Char Char_0"/>
    <w:autoRedefine/>
    <w:qFormat/>
    <w:uiPriority w:val="0"/>
    <w:rPr>
      <w:rFonts w:ascii="宋体" w:hAnsi="Courier New" w:eastAsia="宋体"/>
      <w:color w:val="000000"/>
      <w:kern w:val="2"/>
      <w:sz w:val="21"/>
      <w:lang w:val="en-US" w:eastAsia="zh-CN" w:bidi="ar-SA"/>
    </w:rPr>
  </w:style>
  <w:style w:type="character" w:customStyle="1" w:styleId="890">
    <w:name w:val="正文1 Char"/>
    <w:autoRedefine/>
    <w:qFormat/>
    <w:uiPriority w:val="0"/>
    <w:rPr>
      <w:kern w:val="2"/>
      <w:sz w:val="21"/>
      <w:szCs w:val="21"/>
      <w:lang w:val="en-US" w:eastAsia="zh-CN" w:bidi="ar-SA"/>
    </w:rPr>
  </w:style>
  <w:style w:type="character" w:customStyle="1" w:styleId="891">
    <w:name w:val="正文WG Char"/>
    <w:link w:val="892"/>
    <w:autoRedefine/>
    <w:qFormat/>
    <w:uiPriority w:val="0"/>
    <w:rPr>
      <w:kern w:val="2"/>
      <w:sz w:val="24"/>
      <w:lang w:val="zh-CN"/>
    </w:rPr>
  </w:style>
  <w:style w:type="paragraph" w:customStyle="1" w:styleId="892">
    <w:name w:val="正文WG"/>
    <w:basedOn w:val="1"/>
    <w:link w:val="891"/>
    <w:autoRedefine/>
    <w:qFormat/>
    <w:uiPriority w:val="0"/>
    <w:pPr>
      <w:widowControl/>
      <w:spacing w:line="360" w:lineRule="auto"/>
      <w:ind w:right="278" w:rightChars="116" w:firstLine="480" w:firstLineChars="200"/>
      <w:jc w:val="left"/>
    </w:pPr>
    <w:rPr>
      <w:sz w:val="24"/>
      <w:lang w:val="zh-CN"/>
    </w:rPr>
  </w:style>
  <w:style w:type="character" w:customStyle="1" w:styleId="893">
    <w:name w:val="无间隔 Char"/>
    <w:link w:val="645"/>
    <w:autoRedefine/>
    <w:qFormat/>
    <w:uiPriority w:val="1"/>
    <w:rPr>
      <w:rFonts w:ascii="MSung Light SC" w:hAnsi="MSung Light SC" w:cs="Cambria"/>
      <w:color w:val="000000"/>
      <w:kern w:val="2"/>
      <w:sz w:val="21"/>
      <w:szCs w:val="21"/>
    </w:rPr>
  </w:style>
  <w:style w:type="character" w:customStyle="1" w:styleId="894">
    <w:name w:val="标题 3XW Char1"/>
    <w:autoRedefine/>
    <w:qFormat/>
    <w:uiPriority w:val="0"/>
    <w:rPr>
      <w:rFonts w:eastAsia="宋体"/>
      <w:b/>
      <w:bCs/>
      <w:kern w:val="2"/>
      <w:sz w:val="32"/>
      <w:szCs w:val="32"/>
      <w:lang w:val="en-US" w:eastAsia="zh-CN" w:bidi="ar-SA"/>
    </w:rPr>
  </w:style>
  <w:style w:type="character" w:customStyle="1" w:styleId="895">
    <w:name w:val="标题 3 Char1 Char Char Char"/>
    <w:autoRedefine/>
    <w:qFormat/>
    <w:uiPriority w:val="0"/>
    <w:rPr>
      <w:rFonts w:eastAsia="宋体"/>
      <w:b/>
      <w:bCs/>
      <w:kern w:val="2"/>
      <w:sz w:val="32"/>
      <w:szCs w:val="32"/>
      <w:lang w:val="en-US" w:eastAsia="zh-CN" w:bidi="ar-SA"/>
    </w:rPr>
  </w:style>
  <w:style w:type="character" w:customStyle="1" w:styleId="896">
    <w:name w:val="首行缩进 Char1"/>
    <w:autoRedefine/>
    <w:qFormat/>
    <w:uiPriority w:val="0"/>
    <w:rPr>
      <w:rFonts w:eastAsia="宋体"/>
      <w:kern w:val="2"/>
      <w:sz w:val="21"/>
      <w:lang w:val="en-US" w:eastAsia="zh-CN" w:bidi="ar-SA"/>
    </w:rPr>
  </w:style>
  <w:style w:type="character" w:customStyle="1" w:styleId="897">
    <w:name w:val="Char Char1_0"/>
    <w:autoRedefine/>
    <w:qFormat/>
    <w:uiPriority w:val="0"/>
    <w:rPr>
      <w:rFonts w:eastAsia="宋体"/>
      <w:b/>
      <w:bCs/>
      <w:kern w:val="2"/>
      <w:sz w:val="32"/>
      <w:szCs w:val="32"/>
      <w:lang w:val="en-US" w:eastAsia="zh-CN" w:bidi="ar-SA"/>
    </w:rPr>
  </w:style>
  <w:style w:type="character" w:customStyle="1" w:styleId="898">
    <w:name w:val="样式 四号"/>
    <w:autoRedefine/>
    <w:qFormat/>
    <w:uiPriority w:val="0"/>
    <w:rPr>
      <w:rFonts w:ascii="Times New Roman" w:hAnsi="Times New Roman" w:eastAsia="宋体"/>
      <w:sz w:val="24"/>
    </w:rPr>
  </w:style>
  <w:style w:type="character" w:customStyle="1" w:styleId="899">
    <w:name w:val="样式 正文+ 宋体 + 首行缩进:  2 字符 段前: 1 行 Char"/>
    <w:link w:val="900"/>
    <w:autoRedefine/>
    <w:qFormat/>
    <w:uiPriority w:val="0"/>
    <w:rPr>
      <w:rFonts w:ascii="宋体" w:hAnsi="宋体" w:cs="宋体"/>
      <w:bCs/>
      <w:sz w:val="24"/>
      <w:szCs w:val="24"/>
    </w:rPr>
  </w:style>
  <w:style w:type="paragraph" w:customStyle="1" w:styleId="900">
    <w:name w:val="样式 正文+ 宋体 + 首行缩进:  2 字符 段前: 1 行"/>
    <w:basedOn w:val="1"/>
    <w:link w:val="899"/>
    <w:autoRedefine/>
    <w:qFormat/>
    <w:uiPriority w:val="0"/>
    <w:pPr>
      <w:ind w:right="26" w:firstLine="480" w:firstLineChars="200"/>
    </w:pPr>
    <w:rPr>
      <w:rFonts w:ascii="宋体" w:hAnsi="宋体" w:cs="宋体"/>
      <w:bCs/>
      <w:kern w:val="0"/>
      <w:sz w:val="24"/>
      <w:szCs w:val="24"/>
    </w:rPr>
  </w:style>
  <w:style w:type="paragraph" w:customStyle="1" w:styleId="901">
    <w:name w:val="_Style 256"/>
    <w:autoRedefine/>
    <w:qFormat/>
    <w:uiPriority w:val="0"/>
    <w:rPr>
      <w:rFonts w:ascii="Times New Roman" w:hAnsi="Times New Roman" w:eastAsia="宋体" w:cs="Times New Roman"/>
      <w:lang w:val="en-US" w:eastAsia="zh-CN" w:bidi="ar-SA"/>
    </w:rPr>
  </w:style>
  <w:style w:type="paragraph" w:customStyle="1" w:styleId="902">
    <w:name w:val="文"/>
    <w:basedOn w:val="36"/>
    <w:autoRedefine/>
    <w:semiHidden/>
    <w:qFormat/>
    <w:uiPriority w:val="0"/>
    <w:pPr>
      <w:tabs>
        <w:tab w:val="left" w:pos="1134"/>
      </w:tabs>
      <w:spacing w:before="20" w:after="20" w:line="300" w:lineRule="auto"/>
      <w:ind w:left="1134"/>
      <w:jc w:val="center"/>
    </w:pPr>
    <w:rPr>
      <w:rFonts w:ascii="Arial" w:hAnsi="Arial"/>
      <w:b/>
      <w:color w:val="000000"/>
      <w:lang w:val="zh-CN"/>
    </w:rPr>
  </w:style>
  <w:style w:type="paragraph" w:customStyle="1" w:styleId="903">
    <w:name w:val="段"/>
    <w:basedOn w:val="1"/>
    <w:link w:val="937"/>
    <w:autoRedefine/>
    <w:qFormat/>
    <w:uiPriority w:val="0"/>
    <w:pPr>
      <w:tabs>
        <w:tab w:val="left" w:pos="4860"/>
      </w:tabs>
      <w:overflowPunct w:val="0"/>
      <w:autoSpaceDE w:val="0"/>
      <w:autoSpaceDN w:val="0"/>
      <w:adjustRightInd w:val="0"/>
      <w:spacing w:line="360" w:lineRule="auto"/>
      <w:ind w:firstLine="560" w:firstLineChars="200"/>
      <w:textAlignment w:val="baseline"/>
    </w:pPr>
    <w:rPr>
      <w:rFonts w:ascii="宋体" w:hAnsi="宋体"/>
      <w:kern w:val="0"/>
      <w:sz w:val="28"/>
    </w:rPr>
  </w:style>
  <w:style w:type="paragraph" w:customStyle="1" w:styleId="904">
    <w:name w:val="Char1_0"/>
    <w:basedOn w:val="1"/>
    <w:autoRedefine/>
    <w:qFormat/>
    <w:uiPriority w:val="0"/>
    <w:pPr>
      <w:pageBreakBefore/>
      <w:spacing w:line="360" w:lineRule="auto"/>
    </w:pPr>
    <w:rPr>
      <w:sz w:val="28"/>
    </w:rPr>
  </w:style>
  <w:style w:type="paragraph" w:customStyle="1" w:styleId="905">
    <w:name w:val="Char1_1"/>
    <w:basedOn w:val="1"/>
    <w:autoRedefine/>
    <w:qFormat/>
    <w:uiPriority w:val="0"/>
    <w:pPr>
      <w:pageBreakBefore/>
      <w:spacing w:line="360" w:lineRule="auto"/>
    </w:pPr>
    <w:rPr>
      <w:sz w:val="28"/>
      <w:szCs w:val="24"/>
    </w:rPr>
  </w:style>
  <w:style w:type="paragraph" w:customStyle="1" w:styleId="906">
    <w:name w:val="样式 样式 首行缩进:  2 字符1 + 首行缩进:  2 字符"/>
    <w:basedOn w:val="1"/>
    <w:autoRedefine/>
    <w:qFormat/>
    <w:uiPriority w:val="0"/>
    <w:pPr>
      <w:ind w:firstLine="200" w:firstLineChars="200"/>
    </w:pPr>
    <w:rPr>
      <w:rFonts w:cs="宋体"/>
      <w:kern w:val="0"/>
      <w:sz w:val="28"/>
    </w:rPr>
  </w:style>
  <w:style w:type="paragraph" w:customStyle="1" w:styleId="907">
    <w:name w:val="正文CL"/>
    <w:basedOn w:val="1"/>
    <w:autoRedefine/>
    <w:qFormat/>
    <w:uiPriority w:val="0"/>
    <w:pPr>
      <w:widowControl/>
      <w:spacing w:after="200" w:line="360" w:lineRule="auto"/>
      <w:ind w:firstLine="200" w:firstLineChars="200"/>
      <w:jc w:val="left"/>
    </w:pPr>
    <w:rPr>
      <w:rFonts w:ascii="Cambria" w:hAnsi="Cambria"/>
      <w:kern w:val="0"/>
      <w:sz w:val="24"/>
      <w:szCs w:val="22"/>
      <w:lang w:eastAsia="en-US" w:bidi="en-US"/>
    </w:rPr>
  </w:style>
  <w:style w:type="paragraph" w:customStyle="1" w:styleId="908">
    <w:name w:val="Char Char Char_0"/>
    <w:basedOn w:val="1"/>
    <w:autoRedefine/>
    <w:qFormat/>
    <w:uiPriority w:val="0"/>
  </w:style>
  <w:style w:type="paragraph" w:customStyle="1" w:styleId="909">
    <w:name w:val="4级标题"/>
    <w:basedOn w:val="1"/>
    <w:autoRedefine/>
    <w:qFormat/>
    <w:uiPriority w:val="0"/>
    <w:pPr>
      <w:spacing w:line="312" w:lineRule="auto"/>
      <w:ind w:firstLine="200" w:firstLineChars="200"/>
    </w:pPr>
    <w:rPr>
      <w:sz w:val="18"/>
      <w:szCs w:val="18"/>
    </w:rPr>
  </w:style>
  <w:style w:type="paragraph" w:customStyle="1" w:styleId="910">
    <w:name w:val="Char Char Char Char Char Char Char_0"/>
    <w:basedOn w:val="1"/>
    <w:autoRedefine/>
    <w:qFormat/>
    <w:uiPriority w:val="0"/>
    <w:pPr>
      <w:jc w:val="left"/>
    </w:pPr>
    <w:rPr>
      <w:rFonts w:ascii="宋体" w:hAnsi="宋体" w:cs="宋体"/>
      <w:kern w:val="0"/>
      <w:sz w:val="24"/>
      <w:szCs w:val="24"/>
    </w:rPr>
  </w:style>
  <w:style w:type="paragraph" w:customStyle="1" w:styleId="911">
    <w:name w:val="Char Char Char Char Char Char Char Char Char Char_0"/>
    <w:basedOn w:val="1"/>
    <w:autoRedefine/>
    <w:qFormat/>
    <w:uiPriority w:val="0"/>
    <w:pPr>
      <w:snapToGrid w:val="0"/>
      <w:spacing w:line="360" w:lineRule="auto"/>
      <w:ind w:firstLine="200" w:firstLineChars="200"/>
    </w:pPr>
    <w:rPr>
      <w:rFonts w:eastAsia="仿宋_GB2312"/>
      <w:sz w:val="24"/>
      <w:szCs w:val="24"/>
    </w:rPr>
  </w:style>
  <w:style w:type="paragraph" w:customStyle="1" w:styleId="912">
    <w:name w:val="修订6"/>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913">
    <w:name w:val="p23"/>
    <w:basedOn w:val="1"/>
    <w:autoRedefine/>
    <w:qFormat/>
    <w:uiPriority w:val="0"/>
    <w:pPr>
      <w:widowControl/>
      <w:spacing w:line="480" w:lineRule="auto"/>
      <w:jc w:val="left"/>
    </w:pPr>
    <w:rPr>
      <w:rFonts w:ascii="宋体" w:hAnsi="宋体" w:cs="宋体"/>
      <w:kern w:val="0"/>
      <w:sz w:val="24"/>
      <w:szCs w:val="24"/>
    </w:rPr>
  </w:style>
  <w:style w:type="character" w:customStyle="1" w:styleId="914">
    <w:name w:val="样式 样式 6 + 首行缩进:  2 字符6 + 仿宋_GB2312 小三 Char"/>
    <w:link w:val="915"/>
    <w:autoRedefine/>
    <w:qFormat/>
    <w:uiPriority w:val="0"/>
    <w:rPr>
      <w:rFonts w:ascii="仿宋_GB2312" w:hAnsi="仿宋_GB2312" w:eastAsia="仿宋_GB2312"/>
      <w:sz w:val="30"/>
      <w:szCs w:val="30"/>
    </w:rPr>
  </w:style>
  <w:style w:type="paragraph" w:customStyle="1" w:styleId="915">
    <w:name w:val="样式 样式 6 + 首行缩进:  2 字符6 + 仿宋_GB2312 小三"/>
    <w:basedOn w:val="1"/>
    <w:link w:val="914"/>
    <w:autoRedefine/>
    <w:qFormat/>
    <w:uiPriority w:val="0"/>
    <w:pPr>
      <w:tabs>
        <w:tab w:val="left" w:pos="0"/>
      </w:tabs>
      <w:suppressAutoHyphens/>
      <w:topLinePunct/>
      <w:autoSpaceDN w:val="0"/>
      <w:adjustRightInd w:val="0"/>
      <w:snapToGrid w:val="0"/>
      <w:spacing w:line="560" w:lineRule="exact"/>
      <w:ind w:firstLine="600" w:firstLineChars="200"/>
      <w:textAlignment w:val="top"/>
    </w:pPr>
    <w:rPr>
      <w:rFonts w:ascii="仿宋_GB2312" w:hAnsi="仿宋_GB2312" w:eastAsia="仿宋_GB2312"/>
      <w:kern w:val="0"/>
      <w:sz w:val="30"/>
      <w:szCs w:val="30"/>
    </w:rPr>
  </w:style>
  <w:style w:type="character" w:customStyle="1" w:styleId="916">
    <w:name w:val="style41"/>
    <w:autoRedefine/>
    <w:qFormat/>
    <w:uiPriority w:val="0"/>
    <w:rPr>
      <w:color w:val="000000"/>
      <w:sz w:val="20"/>
      <w:szCs w:val="20"/>
    </w:rPr>
  </w:style>
  <w:style w:type="character" w:customStyle="1" w:styleId="917">
    <w:name w:val="z1 Char Char"/>
    <w:autoRedefine/>
    <w:qFormat/>
    <w:uiPriority w:val="0"/>
    <w:rPr>
      <w:rFonts w:eastAsia="仿宋_GB2312"/>
      <w:kern w:val="2"/>
      <w:sz w:val="28"/>
      <w:szCs w:val="28"/>
      <w:lang w:val="en-US" w:eastAsia="zh-CN" w:bidi="ar-SA"/>
    </w:rPr>
  </w:style>
  <w:style w:type="character" w:customStyle="1" w:styleId="918">
    <w:name w:val="textindent"/>
    <w:basedOn w:val="71"/>
    <w:autoRedefine/>
    <w:qFormat/>
    <w:uiPriority w:val="0"/>
  </w:style>
  <w:style w:type="character" w:customStyle="1" w:styleId="919">
    <w:name w:val="111111111正文 Char"/>
    <w:link w:val="920"/>
    <w:autoRedefine/>
    <w:qFormat/>
    <w:locked/>
    <w:uiPriority w:val="99"/>
    <w:rPr>
      <w:sz w:val="24"/>
      <w:szCs w:val="24"/>
    </w:rPr>
  </w:style>
  <w:style w:type="paragraph" w:customStyle="1" w:styleId="920">
    <w:name w:val="111111111正文"/>
    <w:basedOn w:val="1"/>
    <w:link w:val="919"/>
    <w:autoRedefine/>
    <w:qFormat/>
    <w:uiPriority w:val="99"/>
    <w:pPr>
      <w:spacing w:line="500" w:lineRule="exact"/>
      <w:ind w:firstLine="480" w:firstLineChars="200"/>
    </w:pPr>
    <w:rPr>
      <w:kern w:val="0"/>
      <w:sz w:val="24"/>
      <w:szCs w:val="24"/>
    </w:rPr>
  </w:style>
  <w:style w:type="character" w:customStyle="1" w:styleId="921">
    <w:name w:val="rsdesckey1"/>
    <w:autoRedefine/>
    <w:qFormat/>
    <w:uiPriority w:val="0"/>
    <w:rPr>
      <w:color w:val="FF0000"/>
    </w:rPr>
  </w:style>
  <w:style w:type="character" w:customStyle="1" w:styleId="922">
    <w:name w:val="4 Char"/>
    <w:link w:val="620"/>
    <w:autoRedefine/>
    <w:qFormat/>
    <w:uiPriority w:val="0"/>
    <w:rPr>
      <w:rFonts w:ascii="宋体" w:hAnsi="Courier New" w:eastAsia="楷体_GB2312"/>
      <w:kern w:val="2"/>
      <w:sz w:val="21"/>
    </w:rPr>
  </w:style>
  <w:style w:type="character" w:customStyle="1" w:styleId="923">
    <w:name w:val="正文（首行缩进两字） Char Char"/>
    <w:autoRedefine/>
    <w:qFormat/>
    <w:uiPriority w:val="0"/>
    <w:rPr>
      <w:rFonts w:eastAsia="宋体"/>
      <w:spacing w:val="14"/>
      <w:kern w:val="2"/>
      <w:sz w:val="28"/>
      <w:szCs w:val="28"/>
      <w:lang w:val="en-US" w:eastAsia="zh-CN" w:bidi="ar-SA"/>
    </w:rPr>
  </w:style>
  <w:style w:type="character" w:customStyle="1" w:styleId="924">
    <w:name w:val="样式3 Char Char"/>
    <w:autoRedefine/>
    <w:qFormat/>
    <w:uiPriority w:val="0"/>
  </w:style>
  <w:style w:type="character" w:customStyle="1" w:styleId="925">
    <w:name w:val="样式 节 + Times New Roman Char Char Char Char"/>
    <w:autoRedefine/>
    <w:qFormat/>
    <w:uiPriority w:val="0"/>
    <w:rPr>
      <w:rFonts w:eastAsia="黑体"/>
      <w:kern w:val="2"/>
      <w:sz w:val="30"/>
      <w:szCs w:val="30"/>
      <w:lang w:val="en-US" w:eastAsia="zh-CN" w:bidi="ar-SA"/>
    </w:rPr>
  </w:style>
  <w:style w:type="character" w:customStyle="1" w:styleId="926">
    <w:name w:val="4 Char Char"/>
    <w:autoRedefine/>
    <w:qFormat/>
    <w:uiPriority w:val="0"/>
    <w:rPr>
      <w:rFonts w:eastAsia="仿宋_GB2312"/>
      <w:b/>
      <w:kern w:val="2"/>
      <w:sz w:val="28"/>
      <w:szCs w:val="28"/>
      <w:lang w:val="en-US" w:eastAsia="zh-CN" w:bidi="ar-SA"/>
    </w:rPr>
  </w:style>
  <w:style w:type="character" w:customStyle="1" w:styleId="927">
    <w:name w:val="Char Char6"/>
    <w:autoRedefine/>
    <w:qFormat/>
    <w:uiPriority w:val="0"/>
    <w:rPr>
      <w:rFonts w:eastAsia="宋体"/>
      <w:b/>
      <w:bCs/>
      <w:kern w:val="2"/>
      <w:sz w:val="32"/>
      <w:szCs w:val="32"/>
      <w:lang w:val="en-US" w:eastAsia="zh-CN" w:bidi="ar-SA"/>
    </w:rPr>
  </w:style>
  <w:style w:type="character" w:customStyle="1" w:styleId="928">
    <w:name w:val="正文（） Char Char"/>
    <w:link w:val="929"/>
    <w:autoRedefine/>
    <w:qFormat/>
    <w:uiPriority w:val="0"/>
    <w:rPr>
      <w:rFonts w:ascii="宋体" w:hAnsi="宋体"/>
      <w:color w:val="0000FF"/>
      <w:sz w:val="24"/>
      <w:szCs w:val="24"/>
    </w:rPr>
  </w:style>
  <w:style w:type="paragraph" w:customStyle="1" w:styleId="929">
    <w:name w:val="正文（）"/>
    <w:basedOn w:val="1"/>
    <w:link w:val="928"/>
    <w:autoRedefine/>
    <w:qFormat/>
    <w:uiPriority w:val="0"/>
    <w:pPr>
      <w:adjustRightInd w:val="0"/>
      <w:snapToGrid w:val="0"/>
      <w:spacing w:line="520" w:lineRule="exact"/>
      <w:ind w:firstLine="200" w:firstLineChars="200"/>
    </w:pPr>
    <w:rPr>
      <w:rFonts w:ascii="宋体" w:hAnsi="宋体"/>
      <w:color w:val="0000FF"/>
      <w:kern w:val="0"/>
      <w:sz w:val="24"/>
      <w:szCs w:val="24"/>
    </w:rPr>
  </w:style>
  <w:style w:type="character" w:customStyle="1" w:styleId="930">
    <w:name w:val="宣威务德 Char"/>
    <w:link w:val="931"/>
    <w:autoRedefine/>
    <w:qFormat/>
    <w:locked/>
    <w:uiPriority w:val="99"/>
    <w:rPr>
      <w:rFonts w:ascii="宋体" w:hAnsi="宋体"/>
      <w:spacing w:val="10"/>
      <w:sz w:val="28"/>
      <w:szCs w:val="28"/>
    </w:rPr>
  </w:style>
  <w:style w:type="paragraph" w:customStyle="1" w:styleId="931">
    <w:name w:val="宣威务德"/>
    <w:basedOn w:val="26"/>
    <w:link w:val="930"/>
    <w:autoRedefine/>
    <w:qFormat/>
    <w:uiPriority w:val="99"/>
    <w:pPr>
      <w:spacing w:line="500" w:lineRule="exact"/>
      <w:ind w:firstLine="200" w:firstLineChars="200"/>
    </w:pPr>
    <w:rPr>
      <w:rFonts w:ascii="宋体" w:hAnsi="宋体"/>
      <w:spacing w:val="10"/>
      <w:kern w:val="0"/>
      <w:sz w:val="28"/>
      <w:szCs w:val="28"/>
    </w:rPr>
  </w:style>
  <w:style w:type="character" w:customStyle="1" w:styleId="932">
    <w:name w:val="样式2 Char"/>
    <w:basedOn w:val="129"/>
    <w:autoRedefine/>
    <w:qFormat/>
    <w:uiPriority w:val="0"/>
    <w:rPr>
      <w:rFonts w:ascii="黑体" w:hAnsi="Arial" w:eastAsia="黑体"/>
      <w:b/>
      <w:bCs/>
      <w:kern w:val="2"/>
      <w:sz w:val="24"/>
      <w:szCs w:val="30"/>
      <w:lang w:val="zh-CN" w:eastAsia="zh-CN"/>
    </w:rPr>
  </w:style>
  <w:style w:type="character" w:customStyle="1" w:styleId="933">
    <w:name w:val="样式 项 + Times New Roman Char Char Char Char"/>
    <w:autoRedefine/>
    <w:qFormat/>
    <w:uiPriority w:val="0"/>
    <w:rPr>
      <w:rFonts w:eastAsia="黑体"/>
      <w:kern w:val="2"/>
      <w:sz w:val="28"/>
      <w:szCs w:val="28"/>
      <w:lang w:val="en-US" w:eastAsia="zh-CN" w:bidi="ar-SA"/>
    </w:rPr>
  </w:style>
  <w:style w:type="character" w:customStyle="1" w:styleId="934">
    <w:name w:val="z1 Char"/>
    <w:link w:val="935"/>
    <w:autoRedefine/>
    <w:qFormat/>
    <w:uiPriority w:val="0"/>
    <w:rPr>
      <w:rFonts w:eastAsia="仿宋_GB2312"/>
      <w:sz w:val="28"/>
      <w:szCs w:val="28"/>
    </w:rPr>
  </w:style>
  <w:style w:type="paragraph" w:customStyle="1" w:styleId="935">
    <w:name w:val="z1"/>
    <w:basedOn w:val="1"/>
    <w:link w:val="934"/>
    <w:autoRedefine/>
    <w:qFormat/>
    <w:uiPriority w:val="0"/>
    <w:pPr>
      <w:spacing w:line="520" w:lineRule="exact"/>
      <w:ind w:firstLine="560" w:firstLineChars="200"/>
    </w:pPr>
    <w:rPr>
      <w:rFonts w:eastAsia="仿宋_GB2312"/>
      <w:kern w:val="0"/>
      <w:sz w:val="28"/>
      <w:szCs w:val="28"/>
    </w:rPr>
  </w:style>
  <w:style w:type="character" w:customStyle="1" w:styleId="936">
    <w:name w:val="defaultfont1"/>
    <w:basedOn w:val="71"/>
    <w:autoRedefine/>
    <w:qFormat/>
    <w:uiPriority w:val="0"/>
  </w:style>
  <w:style w:type="character" w:customStyle="1" w:styleId="937">
    <w:name w:val="段 Char Char"/>
    <w:link w:val="903"/>
    <w:autoRedefine/>
    <w:qFormat/>
    <w:uiPriority w:val="0"/>
    <w:rPr>
      <w:rFonts w:ascii="宋体" w:hAnsi="宋体"/>
      <w:sz w:val="28"/>
    </w:rPr>
  </w:style>
  <w:style w:type="character" w:customStyle="1" w:styleId="938">
    <w:name w:val="text2"/>
    <w:basedOn w:val="71"/>
    <w:autoRedefine/>
    <w:qFormat/>
    <w:uiPriority w:val="0"/>
  </w:style>
  <w:style w:type="character" w:customStyle="1" w:styleId="939">
    <w:name w:val="font41"/>
    <w:autoRedefine/>
    <w:qFormat/>
    <w:uiPriority w:val="0"/>
    <w:rPr>
      <w:color w:val="000000"/>
      <w:sz w:val="18"/>
      <w:szCs w:val="18"/>
      <w:u w:val="none"/>
    </w:rPr>
  </w:style>
  <w:style w:type="character" w:customStyle="1" w:styleId="940">
    <w:name w:val="样式 3 + 仿宋_GB2312 段后: 0.5 行 Char Char"/>
    <w:link w:val="941"/>
    <w:autoRedefine/>
    <w:qFormat/>
    <w:uiPriority w:val="0"/>
    <w:rPr>
      <w:rFonts w:ascii="楷体_GB2312" w:hAnsi="宋体" w:eastAsia="楷体_GB2312" w:cs="宋体"/>
      <w:bCs/>
      <w:sz w:val="28"/>
      <w:szCs w:val="28"/>
      <w:lang w:bidi="en-US"/>
    </w:rPr>
  </w:style>
  <w:style w:type="paragraph" w:customStyle="1" w:styleId="941">
    <w:name w:val="样式 3 + 仿宋_GB2312 段后: 0.5 行"/>
    <w:basedOn w:val="1"/>
    <w:link w:val="940"/>
    <w:autoRedefine/>
    <w:qFormat/>
    <w:uiPriority w:val="0"/>
    <w:pPr>
      <w:suppressAutoHyphens/>
      <w:adjustRightInd w:val="0"/>
      <w:snapToGrid w:val="0"/>
      <w:ind w:firstLine="587" w:firstLineChars="200"/>
      <w:jc w:val="left"/>
      <w:outlineLvl w:val="2"/>
    </w:pPr>
    <w:rPr>
      <w:rFonts w:ascii="楷体_GB2312" w:hAnsi="宋体" w:eastAsia="楷体_GB2312" w:cs="宋体"/>
      <w:bCs/>
      <w:kern w:val="0"/>
      <w:sz w:val="28"/>
      <w:szCs w:val="28"/>
      <w:lang w:bidi="en-US"/>
    </w:rPr>
  </w:style>
  <w:style w:type="character" w:customStyle="1" w:styleId="942">
    <w:name w:val="style9"/>
    <w:basedOn w:val="71"/>
    <w:autoRedefine/>
    <w:qFormat/>
    <w:uiPriority w:val="0"/>
  </w:style>
  <w:style w:type="character" w:customStyle="1" w:styleId="943">
    <w:name w:val="样式3 Char"/>
    <w:link w:val="606"/>
    <w:autoRedefine/>
    <w:qFormat/>
    <w:uiPriority w:val="0"/>
    <w:rPr>
      <w:rFonts w:eastAsia="Arial"/>
      <w:b/>
      <w:bCs/>
      <w:kern w:val="2"/>
      <w:sz w:val="32"/>
      <w:szCs w:val="32"/>
    </w:rPr>
  </w:style>
  <w:style w:type="character" w:customStyle="1" w:styleId="944">
    <w:name w:val="节 Char2"/>
    <w:link w:val="945"/>
    <w:autoRedefine/>
    <w:qFormat/>
    <w:uiPriority w:val="0"/>
    <w:rPr>
      <w:rFonts w:ascii="宋体" w:hAnsi="宋体"/>
      <w:b/>
      <w:sz w:val="28"/>
      <w:szCs w:val="28"/>
    </w:rPr>
  </w:style>
  <w:style w:type="paragraph" w:customStyle="1" w:styleId="945">
    <w:name w:val="节"/>
    <w:basedOn w:val="38"/>
    <w:link w:val="944"/>
    <w:autoRedefine/>
    <w:qFormat/>
    <w:uiPriority w:val="0"/>
    <w:pPr>
      <w:spacing w:before="120" w:line="360" w:lineRule="auto"/>
      <w:ind w:left="0" w:leftChars="0"/>
      <w:jc w:val="left"/>
      <w:outlineLvl w:val="1"/>
    </w:pPr>
    <w:rPr>
      <w:rFonts w:ascii="宋体" w:hAnsi="宋体" w:eastAsia="宋体"/>
      <w:b/>
      <w:kern w:val="0"/>
      <w:sz w:val="28"/>
      <w:szCs w:val="28"/>
    </w:rPr>
  </w:style>
  <w:style w:type="character" w:customStyle="1" w:styleId="946">
    <w:name w:val="正文（wql） Char"/>
    <w:link w:val="947"/>
    <w:autoRedefine/>
    <w:qFormat/>
    <w:uiPriority w:val="0"/>
    <w:rPr>
      <w:rFonts w:ascii="宋体" w:hAnsi="宋体"/>
      <w:color w:val="0000FF"/>
      <w:sz w:val="24"/>
      <w:szCs w:val="24"/>
    </w:rPr>
  </w:style>
  <w:style w:type="paragraph" w:customStyle="1" w:styleId="947">
    <w:name w:val="正文（wql）"/>
    <w:basedOn w:val="1"/>
    <w:link w:val="946"/>
    <w:autoRedefine/>
    <w:qFormat/>
    <w:uiPriority w:val="0"/>
    <w:pPr>
      <w:adjustRightInd w:val="0"/>
      <w:snapToGrid w:val="0"/>
      <w:spacing w:line="520" w:lineRule="exact"/>
      <w:ind w:firstLine="200" w:firstLineChars="200"/>
    </w:pPr>
    <w:rPr>
      <w:rFonts w:ascii="宋体" w:hAnsi="宋体"/>
      <w:color w:val="0000FF"/>
      <w:kern w:val="0"/>
      <w:sz w:val="24"/>
      <w:szCs w:val="24"/>
    </w:rPr>
  </w:style>
  <w:style w:type="paragraph" w:customStyle="1" w:styleId="948">
    <w:name w:val="Char Char1 Char Char Char Char Char Char Char Char Char Char Char Char Char Char Char Char Char Char Char"/>
    <w:basedOn w:val="1"/>
    <w:autoRedefine/>
    <w:qFormat/>
    <w:uiPriority w:val="0"/>
    <w:pPr>
      <w:widowControl/>
      <w:jc w:val="left"/>
    </w:pPr>
    <w:rPr>
      <w:rFonts w:ascii="宋体" w:hAnsi="宋体" w:cs="宋体"/>
      <w:color w:val="000000"/>
      <w:kern w:val="0"/>
      <w:sz w:val="24"/>
      <w:szCs w:val="24"/>
    </w:rPr>
  </w:style>
  <w:style w:type="paragraph" w:customStyle="1" w:styleId="949">
    <w:name w:val="Char Char Char Char Char Char Char Char Char Char Char Char Char Char Char Char Char Char Char Char Char Char Char Char Char"/>
    <w:basedOn w:val="1"/>
    <w:autoRedefine/>
    <w:qFormat/>
    <w:uiPriority w:val="0"/>
    <w:rPr>
      <w:szCs w:val="24"/>
    </w:rPr>
  </w:style>
  <w:style w:type="paragraph" w:customStyle="1" w:styleId="950">
    <w:name w:val="Char Char2 Char Char Char Char1"/>
    <w:basedOn w:val="1"/>
    <w:autoRedefine/>
    <w:qFormat/>
    <w:uiPriority w:val="0"/>
    <w:rPr>
      <w:rFonts w:eastAsia="仿宋_GB2312"/>
      <w:sz w:val="28"/>
      <w:szCs w:val="21"/>
    </w:rPr>
  </w:style>
  <w:style w:type="paragraph" w:customStyle="1" w:styleId="951">
    <w:name w:val="Table1 + Before:  12 pt"/>
    <w:basedOn w:val="1"/>
    <w:autoRedefine/>
    <w:qFormat/>
    <w:uiPriority w:val="0"/>
    <w:pPr>
      <w:snapToGrid w:val="0"/>
      <w:spacing w:before="240" w:after="120" w:afterLines="50" w:line="324" w:lineRule="auto"/>
      <w:ind w:right="-21" w:rightChars="-10" w:firstLine="480" w:firstLineChars="200"/>
      <w:jc w:val="center"/>
    </w:pPr>
    <w:rPr>
      <w:rFonts w:ascii="Palatino Linotype" w:hAnsi="Palatino Linotype" w:eastAsia="华文中宋"/>
      <w:sz w:val="24"/>
      <w:szCs w:val="24"/>
    </w:rPr>
  </w:style>
  <w:style w:type="paragraph" w:customStyle="1" w:styleId="952">
    <w:name w:val="段落1 Char Char"/>
    <w:basedOn w:val="1"/>
    <w:autoRedefine/>
    <w:qFormat/>
    <w:uiPriority w:val="0"/>
    <w:pPr>
      <w:adjustRightInd w:val="0"/>
      <w:snapToGrid w:val="0"/>
      <w:spacing w:line="500" w:lineRule="exact"/>
      <w:ind w:firstLine="680" w:firstLineChars="200"/>
    </w:pPr>
    <w:rPr>
      <w:rFonts w:ascii="宋体"/>
      <w:snapToGrid w:val="0"/>
      <w:spacing w:val="30"/>
      <w:kern w:val="0"/>
      <w:sz w:val="28"/>
    </w:rPr>
  </w:style>
  <w:style w:type="paragraph" w:customStyle="1" w:styleId="953">
    <w:name w:val="Char Char2 Char Char Char Char"/>
    <w:basedOn w:val="1"/>
    <w:autoRedefine/>
    <w:qFormat/>
    <w:uiPriority w:val="0"/>
    <w:rPr>
      <w:rFonts w:eastAsia="仿宋_GB2312"/>
      <w:sz w:val="28"/>
      <w:szCs w:val="21"/>
    </w:rPr>
  </w:style>
  <w:style w:type="paragraph" w:customStyle="1" w:styleId="954">
    <w:name w:val="defaultfont"/>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955">
    <w:name w:val="content5"/>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956">
    <w:name w:val="段落1"/>
    <w:basedOn w:val="1"/>
    <w:autoRedefine/>
    <w:qFormat/>
    <w:uiPriority w:val="0"/>
    <w:pPr>
      <w:adjustRightInd w:val="0"/>
      <w:snapToGrid w:val="0"/>
      <w:spacing w:line="500" w:lineRule="exact"/>
      <w:ind w:firstLine="200" w:firstLineChars="200"/>
      <w:textAlignment w:val="baseline"/>
    </w:pPr>
    <w:rPr>
      <w:rFonts w:ascii="仿宋_GB2312" w:eastAsia="仿宋_GB2312"/>
      <w:spacing w:val="30"/>
      <w:kern w:val="0"/>
      <w:sz w:val="28"/>
    </w:rPr>
  </w:style>
  <w:style w:type="paragraph" w:customStyle="1" w:styleId="957">
    <w:name w:val="默认段落字体 Para Char Char Char Char Char Char Char Char Char1 Char Char Char Char Char Char Char Char Char Char"/>
    <w:basedOn w:val="1"/>
    <w:autoRedefine/>
    <w:qFormat/>
    <w:uiPriority w:val="0"/>
    <w:pPr>
      <w:snapToGrid w:val="0"/>
      <w:spacing w:line="360" w:lineRule="auto"/>
      <w:ind w:firstLine="200" w:firstLineChars="200"/>
    </w:pPr>
    <w:rPr>
      <w:szCs w:val="24"/>
    </w:rPr>
  </w:style>
  <w:style w:type="paragraph" w:customStyle="1" w:styleId="958">
    <w:name w:val="Char1 Char Char Char Char Char Char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959">
    <w:name w:val="样式 段落1 + 蓝色 首行缩进:  2 字符 行距: 单倍行距2"/>
    <w:basedOn w:val="1"/>
    <w:autoRedefine/>
    <w:qFormat/>
    <w:uiPriority w:val="0"/>
    <w:pPr>
      <w:adjustRightInd w:val="0"/>
      <w:snapToGrid w:val="0"/>
      <w:spacing w:line="500" w:lineRule="exact"/>
      <w:ind w:firstLine="588" w:firstLineChars="200"/>
      <w:textAlignment w:val="baseline"/>
    </w:pPr>
    <w:rPr>
      <w:rFonts w:eastAsia="仿宋_GB2312" w:cs="宋体"/>
      <w:snapToGrid w:val="0"/>
      <w:color w:val="000000"/>
      <w:spacing w:val="7"/>
      <w:kern w:val="0"/>
      <w:sz w:val="28"/>
      <w:szCs w:val="28"/>
    </w:rPr>
  </w:style>
  <w:style w:type="paragraph" w:customStyle="1" w:styleId="960">
    <w:name w:val="样式 样式 仿宋_GB2312 四号 行距: 单倍行距 + 黑色"/>
    <w:basedOn w:val="1"/>
    <w:autoRedefine/>
    <w:qFormat/>
    <w:uiPriority w:val="0"/>
    <w:pPr>
      <w:adjustRightInd w:val="0"/>
      <w:ind w:firstLine="640" w:firstLineChars="200"/>
      <w:textAlignment w:val="baseline"/>
    </w:pPr>
    <w:rPr>
      <w:rFonts w:ascii="仿宋_GB2312" w:hAnsi="宋体" w:eastAsia="仿宋_GB2312" w:cs="宋体"/>
      <w:color w:val="000000"/>
      <w:spacing w:val="20"/>
      <w:sz w:val="28"/>
    </w:rPr>
  </w:style>
  <w:style w:type="paragraph" w:customStyle="1" w:styleId="961">
    <w:name w:val="项"/>
    <w:basedOn w:val="1"/>
    <w:autoRedefine/>
    <w:qFormat/>
    <w:uiPriority w:val="0"/>
    <w:pPr>
      <w:spacing w:before="120" w:line="360" w:lineRule="auto"/>
      <w:outlineLvl w:val="2"/>
    </w:pPr>
    <w:rPr>
      <w:rFonts w:ascii="宋体" w:hAnsi="宋体"/>
      <w:color w:val="000000"/>
      <w:sz w:val="28"/>
      <w:szCs w:val="28"/>
    </w:rPr>
  </w:style>
  <w:style w:type="paragraph" w:customStyle="1" w:styleId="962">
    <w:name w:val="Normal + 华文中宋"/>
    <w:basedOn w:val="1"/>
    <w:autoRedefine/>
    <w:qFormat/>
    <w:uiPriority w:val="0"/>
    <w:pPr>
      <w:snapToGrid w:val="0"/>
      <w:spacing w:line="300" w:lineRule="auto"/>
      <w:ind w:right="-21" w:rightChars="-10" w:firstLine="480" w:firstLineChars="200"/>
    </w:pPr>
    <w:rPr>
      <w:rFonts w:ascii="Palatino Linotype" w:hAnsi="Palatino Linotype"/>
      <w:sz w:val="24"/>
      <w:szCs w:val="24"/>
    </w:rPr>
  </w:style>
  <w:style w:type="paragraph" w:customStyle="1" w:styleId="963">
    <w:name w:val="xl66"/>
    <w:basedOn w:val="1"/>
    <w:autoRedefine/>
    <w:qFormat/>
    <w:uiPriority w:val="0"/>
    <w:pPr>
      <w:widowControl/>
      <w:spacing w:before="100" w:beforeAutospacing="1" w:after="100" w:afterAutospacing="1"/>
      <w:jc w:val="center"/>
    </w:pPr>
    <w:rPr>
      <w:kern w:val="0"/>
      <w:sz w:val="18"/>
      <w:szCs w:val="18"/>
    </w:rPr>
  </w:style>
  <w:style w:type="paragraph" w:customStyle="1" w:styleId="964">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18"/>
      <w:szCs w:val="18"/>
    </w:rPr>
  </w:style>
  <w:style w:type="paragraph" w:customStyle="1" w:styleId="965">
    <w:name w:val="xl68"/>
    <w:basedOn w:val="1"/>
    <w:autoRedefine/>
    <w:qFormat/>
    <w:uiPriority w:val="0"/>
    <w:pPr>
      <w:widowControl/>
      <w:spacing w:before="100" w:beforeAutospacing="1" w:after="100" w:afterAutospacing="1"/>
      <w:jc w:val="left"/>
    </w:pPr>
    <w:rPr>
      <w:b/>
      <w:bCs/>
      <w:kern w:val="0"/>
      <w:sz w:val="18"/>
      <w:szCs w:val="18"/>
    </w:rPr>
  </w:style>
  <w:style w:type="paragraph" w:customStyle="1" w:styleId="966">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8"/>
      <w:szCs w:val="18"/>
    </w:rPr>
  </w:style>
  <w:style w:type="paragraph" w:customStyle="1" w:styleId="967">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968">
    <w:name w:val="新建正文"/>
    <w:basedOn w:val="1"/>
    <w:autoRedefine/>
    <w:qFormat/>
    <w:uiPriority w:val="0"/>
    <w:pPr>
      <w:spacing w:beforeLines="50" w:afterLines="50" w:line="520" w:lineRule="exact"/>
      <w:ind w:firstLine="200" w:firstLineChars="200"/>
    </w:pPr>
    <w:rPr>
      <w:sz w:val="28"/>
      <w:szCs w:val="28"/>
    </w:rPr>
  </w:style>
  <w:style w:type="paragraph" w:customStyle="1" w:styleId="969">
    <w:name w:val="纯文本1"/>
    <w:basedOn w:val="1"/>
    <w:next w:val="1"/>
    <w:autoRedefine/>
    <w:qFormat/>
    <w:uiPriority w:val="0"/>
    <w:pPr>
      <w:widowControl/>
    </w:pPr>
    <w:rPr>
      <w:rFonts w:ascii="宋体"/>
      <w:color w:val="000000"/>
    </w:rPr>
  </w:style>
  <w:style w:type="paragraph" w:customStyle="1" w:styleId="970">
    <w:name w:val="正文宋体"/>
    <w:basedOn w:val="1"/>
    <w:link w:val="971"/>
    <w:autoRedefine/>
    <w:qFormat/>
    <w:uiPriority w:val="0"/>
    <w:pPr>
      <w:spacing w:line="460" w:lineRule="exact"/>
      <w:ind w:firstLine="200" w:firstLineChars="200"/>
    </w:pPr>
    <w:rPr>
      <w:rFonts w:ascii="宋体" w:hAnsi="宋体"/>
      <w:snapToGrid w:val="0"/>
      <w:sz w:val="28"/>
      <w:szCs w:val="24"/>
    </w:rPr>
  </w:style>
  <w:style w:type="character" w:customStyle="1" w:styleId="971">
    <w:name w:val="正文宋体 Char"/>
    <w:link w:val="970"/>
    <w:autoRedefine/>
    <w:qFormat/>
    <w:uiPriority w:val="0"/>
    <w:rPr>
      <w:rFonts w:ascii="宋体" w:hAnsi="宋体"/>
      <w:snapToGrid w:val="0"/>
      <w:kern w:val="2"/>
      <w:sz w:val="28"/>
      <w:szCs w:val="24"/>
    </w:rPr>
  </w:style>
  <w:style w:type="character" w:customStyle="1" w:styleId="972">
    <w:name w:val="表题 Char Char"/>
    <w:link w:val="973"/>
    <w:autoRedefine/>
    <w:qFormat/>
    <w:uiPriority w:val="0"/>
    <w:rPr>
      <w:rFonts w:ascii="黑体" w:hAnsi="Arial" w:eastAsia="黑体"/>
      <w:b/>
      <w:kern w:val="28"/>
      <w:sz w:val="24"/>
    </w:rPr>
  </w:style>
  <w:style w:type="paragraph" w:customStyle="1" w:styleId="973">
    <w:name w:val="表题"/>
    <w:basedOn w:val="1"/>
    <w:next w:val="250"/>
    <w:link w:val="972"/>
    <w:autoRedefine/>
    <w:qFormat/>
    <w:uiPriority w:val="0"/>
    <w:pPr>
      <w:keepNext/>
      <w:keepLines/>
      <w:spacing w:before="60"/>
      <w:jc w:val="center"/>
    </w:pPr>
    <w:rPr>
      <w:rFonts w:ascii="黑体" w:hAnsi="Arial" w:eastAsia="黑体"/>
      <w:b/>
      <w:kern w:val="28"/>
      <w:sz w:val="24"/>
    </w:rPr>
  </w:style>
  <w:style w:type="character" w:customStyle="1" w:styleId="974">
    <w:name w:val="表格 Char"/>
    <w:link w:val="250"/>
    <w:autoRedefine/>
    <w:qFormat/>
    <w:uiPriority w:val="0"/>
    <w:rPr>
      <w:rFonts w:ascii="华文细黑" w:hAnsi="华文细黑"/>
      <w:sz w:val="21"/>
    </w:rPr>
  </w:style>
  <w:style w:type="character" w:customStyle="1" w:styleId="975">
    <w:name w:val="内容 Char"/>
    <w:link w:val="976"/>
    <w:autoRedefine/>
    <w:qFormat/>
    <w:uiPriority w:val="0"/>
    <w:rPr>
      <w:rFonts w:ascii="宋体" w:hAnsi="宋体"/>
      <w:sz w:val="24"/>
    </w:rPr>
  </w:style>
  <w:style w:type="paragraph" w:customStyle="1" w:styleId="976">
    <w:name w:val="内容"/>
    <w:basedOn w:val="36"/>
    <w:link w:val="975"/>
    <w:autoRedefine/>
    <w:qFormat/>
    <w:uiPriority w:val="0"/>
    <w:pPr>
      <w:snapToGrid w:val="0"/>
      <w:spacing w:line="560" w:lineRule="exact"/>
      <w:ind w:firstLine="200" w:firstLineChars="200"/>
    </w:pPr>
    <w:rPr>
      <w:rFonts w:hAnsi="宋体"/>
      <w:kern w:val="0"/>
      <w:sz w:val="24"/>
    </w:rPr>
  </w:style>
  <w:style w:type="character" w:customStyle="1" w:styleId="977">
    <w:name w:val="正文4 Char"/>
    <w:autoRedefine/>
    <w:qFormat/>
    <w:uiPriority w:val="0"/>
    <w:rPr>
      <w:rFonts w:ascii="宋体" w:hAnsi="宋体" w:eastAsia="宋体" w:cs="宋体"/>
      <w:kern w:val="2"/>
      <w:sz w:val="28"/>
      <w:lang w:val="en-US" w:eastAsia="zh-CN" w:bidi="ar-SA"/>
    </w:rPr>
  </w:style>
  <w:style w:type="character" w:customStyle="1" w:styleId="978">
    <w:name w:val="表格序号 Char"/>
    <w:link w:val="979"/>
    <w:autoRedefine/>
    <w:qFormat/>
    <w:uiPriority w:val="0"/>
    <w:rPr>
      <w:rFonts w:ascii="仿宋_GB2312" w:hAnsi="宋体" w:eastAsia="仿宋_GB2312"/>
      <w:szCs w:val="21"/>
    </w:rPr>
  </w:style>
  <w:style w:type="paragraph" w:customStyle="1" w:styleId="979">
    <w:name w:val="表格序号"/>
    <w:basedOn w:val="1"/>
    <w:link w:val="978"/>
    <w:autoRedefine/>
    <w:qFormat/>
    <w:uiPriority w:val="0"/>
    <w:pPr>
      <w:keepNext/>
      <w:keepLines/>
      <w:widowControl/>
      <w:tabs>
        <w:tab w:val="left" w:pos="2880"/>
      </w:tabs>
      <w:spacing w:line="200" w:lineRule="exact"/>
      <w:jc w:val="left"/>
    </w:pPr>
    <w:rPr>
      <w:rFonts w:ascii="仿宋_GB2312" w:hAnsi="宋体" w:eastAsia="仿宋_GB2312"/>
      <w:kern w:val="0"/>
      <w:sz w:val="20"/>
      <w:szCs w:val="21"/>
    </w:rPr>
  </w:style>
  <w:style w:type="character" w:customStyle="1" w:styleId="980">
    <w:name w:val="标题 2 Char Char1"/>
    <w:autoRedefine/>
    <w:qFormat/>
    <w:uiPriority w:val="0"/>
    <w:rPr>
      <w:rFonts w:ascii="仿宋_GB2312" w:hAnsi="Calibri" w:eastAsia="华文中宋"/>
      <w:b/>
      <w:color w:val="00FF00"/>
      <w:kern w:val="2"/>
      <w:sz w:val="32"/>
      <w:szCs w:val="30"/>
      <w:lang w:val="en-US" w:eastAsia="zh-CN" w:bidi="ar-SA"/>
    </w:rPr>
  </w:style>
  <w:style w:type="paragraph" w:customStyle="1" w:styleId="981">
    <w:name w:val="_Style 37"/>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982">
    <w:name w:val="样式 样式 样式 标题 2 + 段前: 0.5 行 + 段前: 0.5 行 + 段前: 0.5 行"/>
    <w:basedOn w:val="1"/>
    <w:autoRedefine/>
    <w:qFormat/>
    <w:uiPriority w:val="0"/>
    <w:pPr>
      <w:keepNext/>
      <w:keepLines/>
      <w:snapToGrid w:val="0"/>
      <w:spacing w:before="50" w:beforeLines="50"/>
      <w:jc w:val="left"/>
      <w:outlineLvl w:val="1"/>
    </w:pPr>
    <w:rPr>
      <w:rFonts w:ascii="Arial" w:hAnsi="Arial" w:cs="宋体"/>
      <w:b/>
      <w:bCs/>
      <w:sz w:val="28"/>
    </w:rPr>
  </w:style>
  <w:style w:type="paragraph" w:customStyle="1" w:styleId="983">
    <w:name w:val="文本框横式"/>
    <w:basedOn w:val="25"/>
    <w:autoRedefine/>
    <w:qFormat/>
    <w:uiPriority w:val="0"/>
    <w:pPr>
      <w:wordWrap w:val="0"/>
      <w:topLinePunct/>
      <w:spacing w:line="320" w:lineRule="exact"/>
      <w:jc w:val="center"/>
    </w:pPr>
    <w:rPr>
      <w:rFonts w:ascii="Times New Roman" w:hAnsi="Times New Roman"/>
      <w:bCs w:val="0"/>
      <w:color w:val="auto"/>
    </w:rPr>
  </w:style>
  <w:style w:type="character" w:customStyle="1" w:styleId="984">
    <w:name w:val="未处理的提及6"/>
    <w:basedOn w:val="71"/>
    <w:autoRedefine/>
    <w:semiHidden/>
    <w:unhideWhenUsed/>
    <w:qFormat/>
    <w:uiPriority w:val="99"/>
    <w:rPr>
      <w:color w:val="605E5C"/>
      <w:shd w:val="clear" w:color="auto" w:fill="E1DFDD"/>
    </w:rPr>
  </w:style>
  <w:style w:type="table" w:customStyle="1" w:styleId="985">
    <w:name w:val="网格型21"/>
    <w:basedOn w:val="6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86">
    <w:name w:val="正文_1_0"/>
    <w:autoRedefine/>
    <w:qFormat/>
    <w:uiPriority w:val="0"/>
    <w:pPr>
      <w:widowControl w:val="0"/>
      <w:jc w:val="both"/>
    </w:pPr>
    <w:rPr>
      <w:rFonts w:ascii="Times New Roman" w:hAnsi="Times New Roman" w:eastAsia="宋体" w:cs="Times New Roman"/>
      <w:lang w:val="en-US" w:eastAsia="zh-CN" w:bidi="ar-SA"/>
    </w:rPr>
  </w:style>
  <w:style w:type="paragraph" w:customStyle="1" w:styleId="987">
    <w:name w:val="Normal_0_0"/>
    <w:autoRedefine/>
    <w:qFormat/>
    <w:uiPriority w:val="0"/>
    <w:pPr>
      <w:widowControl w:val="0"/>
      <w:jc w:val="both"/>
    </w:pPr>
    <w:rPr>
      <w:rFonts w:ascii="Times New Roman" w:hAnsi="Times New Roman" w:eastAsia="宋体" w:cs="Times New Roman"/>
      <w:lang w:val="en-US" w:eastAsia="zh-CN" w:bidi="ar-SA"/>
    </w:rPr>
  </w:style>
  <w:style w:type="paragraph" w:customStyle="1" w:styleId="988">
    <w:name w:val="Heading 3_0"/>
    <w:basedOn w:val="162"/>
    <w:next w:val="162"/>
    <w:autoRedefine/>
    <w:qFormat/>
    <w:uiPriority w:val="0"/>
    <w:pPr>
      <w:keepNext/>
      <w:keepLines/>
      <w:widowControl/>
      <w:spacing w:before="260" w:after="260" w:line="416" w:lineRule="auto"/>
      <w:jc w:val="left"/>
      <w:outlineLvl w:val="2"/>
    </w:pPr>
    <w:rPr>
      <w:rFonts w:ascii="Times New Roman" w:hAnsi="Times New Roman"/>
      <w:b/>
      <w:bCs/>
      <w:sz w:val="32"/>
      <w:szCs w:val="32"/>
    </w:rPr>
  </w:style>
  <w:style w:type="paragraph" w:customStyle="1" w:styleId="989">
    <w:name w:val="Normal_0_0_0"/>
    <w:autoRedefine/>
    <w:qFormat/>
    <w:uiPriority w:val="0"/>
    <w:rPr>
      <w:rFonts w:ascii="Times New Roman" w:hAnsi="Times New Roman" w:eastAsia="Times New Roman" w:cs="Times New Roman"/>
      <w:lang w:val="en-US" w:eastAsia="zh-CN" w:bidi="ar-SA"/>
    </w:rPr>
  </w:style>
  <w:style w:type="paragraph" w:customStyle="1" w:styleId="990">
    <w:name w:val="标4"/>
    <w:basedOn w:val="1"/>
    <w:autoRedefine/>
    <w:qFormat/>
    <w:uiPriority w:val="0"/>
    <w:pPr>
      <w:adjustRightInd w:val="0"/>
      <w:spacing w:before="240" w:after="360" w:line="240" w:lineRule="exact"/>
      <w:outlineLvl w:val="3"/>
    </w:pPr>
    <w:rPr>
      <w:rFonts w:ascii="Arial" w:hAnsi="Arial" w:cs="Arial"/>
      <w:b/>
      <w:bCs/>
      <w:kern w:val="24"/>
    </w:rPr>
  </w:style>
  <w:style w:type="paragraph" w:customStyle="1" w:styleId="991">
    <w:name w:val="Body text|1"/>
    <w:basedOn w:val="1"/>
    <w:autoRedefine/>
    <w:qFormat/>
    <w:uiPriority w:val="0"/>
    <w:pPr>
      <w:spacing w:line="420" w:lineRule="auto"/>
      <w:ind w:firstLine="400"/>
    </w:pPr>
    <w:rPr>
      <w:rFonts w:ascii="宋体" w:hAnsi="宋体" w:cs="宋体"/>
      <w:sz w:val="22"/>
      <w:szCs w:val="22"/>
      <w:lang w:val="zh-TW" w:eastAsia="zh-TW" w:bidi="zh-TW"/>
    </w:rPr>
  </w:style>
  <w:style w:type="paragraph" w:customStyle="1" w:styleId="992">
    <w:name w:val="正文_4"/>
    <w:next w:val="27"/>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3">
    <w:name w:val="正文（标准）"/>
    <w:basedOn w:val="1"/>
    <w:next w:val="1"/>
    <w:semiHidden/>
    <w:qFormat/>
    <w:uiPriority w:val="0"/>
    <w:pPr>
      <w:spacing w:line="560" w:lineRule="exact"/>
      <w:ind w:firstLine="525"/>
    </w:pPr>
    <w:rPr>
      <w:rFonts w:ascii="宋体" w:hAnsi="宋体" w:eastAsia="仿宋_GB2312" w:cs="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numbering" Target="numbering.xml"/><Relationship Id="rId22" Type="http://schemas.openxmlformats.org/officeDocument/2006/relationships/image" Target="media/image6.wmf"/><Relationship Id="rId21" Type="http://schemas.openxmlformats.org/officeDocument/2006/relationships/oleObject" Target="embeddings/oleObject5.bin"/><Relationship Id="rId20" Type="http://schemas.openxmlformats.org/officeDocument/2006/relationships/image" Target="media/image5.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4.wmf"/><Relationship Id="rId17" Type="http://schemas.openxmlformats.org/officeDocument/2006/relationships/oleObject" Target="embeddings/oleObject3.bin"/><Relationship Id="rId16" Type="http://schemas.openxmlformats.org/officeDocument/2006/relationships/image" Target="media/image3.wmf"/><Relationship Id="rId15" Type="http://schemas.openxmlformats.org/officeDocument/2006/relationships/oleObject" Target="embeddings/oleObject2.bin"/><Relationship Id="rId14" Type="http://schemas.openxmlformats.org/officeDocument/2006/relationships/image" Target="media/image2.w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64bc8b32-9994-499d-9c13-0e1af9ea1665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33AAD917</paraID>
      <start>93</start>
      <end>94</end>
      <status>ignored</status>
      <modifiedWord/>
      <trackRevisions>false</trackRevisions>
    </reviewItem>
    <reviewItem>
      <errorID>fba7ee4e-9d53-4f5d-82ae-3a59f5d673c2</errorID>
      <errorWord>-</errorWord>
      <group>L1_Format</group>
      <groupName>格式问题</groupName>
      <ability>L2_HalfPunc_CN</ability>
      <abilityName>全半角问题</abilityName>
      <candidateList>
        <item>－</item>
      </candidateList>
      <explain>文本全半角错误。</explain>
      <paraID>33AAD917</paraID>
      <start>101</start>
      <end>102</end>
      <status>ignored</status>
      <modifiedWord/>
      <trackRevisions>false</trackRevisions>
    </reviewItem>
    <reviewItem>
      <errorID>473928d1-af4f-43a5-8c08-59ad6f1c6726</errorID>
      <errorWord>-</errorWord>
      <group>L1_Format</group>
      <groupName>格式问题</groupName>
      <ability>L2_HalfPunc_CN</ability>
      <abilityName>全半角问题</abilityName>
      <candidateList>
        <item>－</item>
      </candidateList>
      <explain>文本全半角错误。</explain>
      <paraID>33AAD917</paraID>
      <start>106</start>
      <end>107</end>
      <status>ignored</status>
      <modifiedWord/>
      <trackRevisions>false</trackRevisions>
    </reviewItem>
    <reviewItem>
      <errorID>d40f6116-4bd8-4c4e-a7ac-1433628d5cd6</errorID>
      <errorWord>-</errorWord>
      <group>L1_Format</group>
      <groupName>格式问题</groupName>
      <ability>L2_HalfPunc_CN</ability>
      <abilityName>全半角问题</abilityName>
      <candidateList>
        <item>－</item>
      </candidateList>
      <explain>文本全半角错误。</explain>
      <paraID>33AAD917</paraID>
      <start>113</start>
      <end>114</end>
      <status>ignored</status>
      <modifiedWord/>
      <trackRevisions>false</trackRevisions>
    </reviewItem>
    <reviewItem>
      <errorID>4a936a93-8d5d-47c0-b5dc-8e73ddf4f32e</errorID>
      <errorWord>-</errorWord>
      <group>L1_Format</group>
      <groupName>格式问题</groupName>
      <ability>L2_HalfPunc_CN</ability>
      <abilityName>全半角问题</abilityName>
      <candidateList>
        <item>－</item>
      </candidateList>
      <explain>文本全半角错误。</explain>
      <paraID>33AAD917</paraID>
      <start>119</start>
      <end>120</end>
      <status>ignored</status>
      <modifiedWord/>
      <trackRevisions>false</trackRevisions>
    </reviewItem>
    <reviewItem>
      <errorID>00a33c78-809c-428b-a2ee-134945346800</errorID>
      <errorWord>。</errorWord>
      <group>L1_Punc</group>
      <groupName>标点问题</groupName>
      <ability>L2_Punc_CN</ability>
      <abilityName>标点符号问题</abilityName>
      <candidateList/>
      <explain/>
      <paraID>63E1645F</paraID>
      <start>10</start>
      <end>11</end>
      <status>ignored</status>
      <modifiedWord/>
      <trackRevisions>false</trackRevisions>
    </reviewItem>
    <reviewItem>
      <errorID>2cd18309-eef1-4d88-81f8-f25bbcaea4a0</errorID>
      <errorWord>(</errorWord>
      <group>L1_Format</group>
      <groupName>格式问题</groupName>
      <ability>L2_HalfPunc_CN</ability>
      <abilityName>全半角问题</abilityName>
      <candidateList>
        <item>（</item>
      </candidateList>
      <explain>文本全半角错误。</explain>
      <paraID>428FA9A9</paraID>
      <start>0</start>
      <end>1</end>
      <status>modified</status>
      <modifiedWord>（</modifiedWord>
      <trackRevisions>false</trackRevisions>
    </reviewItem>
    <reviewItem>
      <errorID>51447480-a7f3-4af1-8256-5ea8e695da46</errorID>
      <errorWord>(</errorWord>
      <group>L1_Format</group>
      <groupName>格式问题</groupName>
      <ability>L2_HalfPunc_CN</ability>
      <abilityName>全半角问题</abilityName>
      <candidateList>
        <item>（</item>
      </candidateList>
      <explain>文本全半角错误。</explain>
      <paraID> ADFA8BC</paraID>
      <start>0</start>
      <end>1</end>
      <status>modified</status>
      <modifiedWord>（</modifiedWord>
      <trackRevisions>false</trackRevisions>
    </reviewItem>
    <reviewItem>
      <errorID>84df90c0-8771-4bfb-a137-526352fdcd0e</errorID>
      <errorWord>送达送达</errorWord>
      <group>L1_Word</group>
      <groupName>字词问题</groupName>
      <ability>L2_Typo</ability>
      <abilityName>字词错误</abilityName>
      <candidateList>
        <item>送达</item>
      </candidateList>
      <explain/>
      <paraID>783C3925</paraID>
      <start>22</start>
      <end>24</end>
      <status>modified</status>
      <modifiedWord>送达</modifiedWord>
      <trackRevisions>false</trackRevisions>
    </reviewItem>
    <reviewItem>
      <errorID>eb12be3d-fef3-4f2a-bf84-b2c59c6faf19</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71564411</paraID>
      <start>28</start>
      <end>35</end>
      <status>ignored</status>
      <modifiedWord/>
      <trackRevisions>false</trackRevisions>
    </reviewItem>
    <reviewItem>
      <errorID>fcba232a-f324-460c-b232-979663893256</errorID>
      <errorWord>运入</errorWord>
      <group>L1_Word</group>
      <groupName>字词问题</groupName>
      <ability>L2_Typo</ability>
      <abilityName>字词错误</abilityName>
      <candidateList>
        <item>进入</item>
      </candidateList>
      <explain/>
      <paraID>3F2B6080</paraID>
      <start>3</start>
      <end>5</end>
      <status>ignored</status>
      <modifiedWord/>
      <trackRevisions>false</trackRevisions>
    </reviewItem>
    <reviewItem>
      <errorID>326fd7ce-70ce-4ed6-a572-daca38d7d06b</errorID>
      <errorWord>款</errorWord>
      <group>L1_Word</group>
      <groupName>字词问题</groupName>
      <ability>L2_Typo</ability>
      <abilityName>字词错误</abilityName>
      <candidateList>
        <item>款中</item>
      </candidateList>
      <explain/>
      <paraID>7F0DA002</paraID>
      <start>62</start>
      <end>63</end>
      <status>ignored</status>
      <modifiedWord/>
      <trackRevisions>false</trackRevisions>
    </reviewItem>
    <reviewItem>
      <errorID>09b6807d-f80a-48dc-ac8d-51b45397cf14</errorID>
      <errorWord>款</errorWord>
      <group>L1_Word</group>
      <groupName>字词问题</groupName>
      <ability>L2_Typo</ability>
      <abilityName>字词错误</abilityName>
      <candidateList>
        <item>款中</item>
      </candidateList>
      <explain/>
      <paraID>5BBD4451</paraID>
      <start>39</start>
      <end>40</end>
      <status>ignored</status>
      <modifiedWord/>
      <trackRevisions>false</trackRevisions>
    </reviewItem>
    <reviewItem>
      <errorID>a7c1cdb7-92b2-46b7-86fb-66e689f4a1f6</errorID>
      <errorWord>款</errorWord>
      <group>L1_Word</group>
      <groupName>字词问题</groupName>
      <ability>L2_Typo</ability>
      <abilityName>字词错误</abilityName>
      <candidateList>
        <item>款中</item>
      </candidateList>
      <explain/>
      <paraID>5584F6A7</paraID>
      <start>181</start>
      <end>182</end>
      <status>ignored</status>
      <modifiedWord/>
      <trackRevisions>false</trackRevisions>
    </reviewItem>
    <reviewItem>
      <errorID>683ce122-0d17-4461-80d9-a37b73e9815c</errorID>
      <errorWord>：/。</errorWord>
      <group>L1_Punc</group>
      <groupName>标点问题</groupName>
      <ability>L2_Punc_CN</ability>
      <abilityName>标点符号问题</abilityName>
      <candidateList>
        <item>：</item>
      </candidateList>
      <explain/>
      <paraID>31312816</paraID>
      <start>25</start>
      <end>28</end>
      <status>ignored</status>
      <modifiedWord/>
      <trackRevisions>false</trackRevisions>
    </reviewItem>
    <reviewItem>
      <errorID>d81b3712-30c8-4ef7-8583-3ee23d485202</errorID>
      <errorWord>：/。</errorWord>
      <group>L1_Punc</group>
      <groupName>标点问题</groupName>
      <ability>L2_Punc_CN</ability>
      <abilityName>标点符号问题</abilityName>
      <candidateList>
        <item>：</item>
      </candidateList>
      <explain/>
      <paraID>45DBB3C0</paraID>
      <start>14</start>
      <end>17</end>
      <status>ignored</status>
      <modifiedWord/>
      <trackRevisions>false</trackRevisions>
    </reviewItem>
    <reviewItem>
      <errorID>6883c8d5-27ce-4268-8c76-827d4761d123</errorID>
      <errorWord>：/。</errorWord>
      <group>L1_Punc</group>
      <groupName>标点问题</groupName>
      <ability>L2_Punc_CN</ability>
      <abilityName>标点符号问题</abilityName>
      <candidateList>
        <item>：</item>
      </candidateList>
      <explain/>
      <paraID>1A61C8C8</paraID>
      <start>13</start>
      <end>16</end>
      <status>ignored</status>
      <modifiedWord/>
      <trackRevisions>false</trackRevisions>
    </reviewItem>
    <reviewItem>
      <errorID>9073844d-8f3d-4d32-9ebd-ec8ba9ec1c01</errorID>
      <errorWord>：/；</errorWord>
      <group>L1_Punc</group>
      <groupName>标点问题</groupName>
      <ability>L2_Punc_CN</ability>
      <abilityName>标点符号问题</abilityName>
      <candidateList>
        <item>：</item>
      </candidateList>
      <explain/>
      <paraID> 2945E41</paraID>
      <start>21</start>
      <end>24</end>
      <status>ignored</status>
      <modifiedWord/>
      <trackRevisions>false</trackRevisions>
    </reviewItem>
    <reviewItem>
      <errorID>ef59d238-ae7d-43e9-b36e-e127e4d1b2e0</errorID>
      <errorWord>：/；</errorWord>
      <group>L1_Punc</group>
      <groupName>标点问题</groupName>
      <ability>L2_Punc_CN</ability>
      <abilityName>标点符号问题</abilityName>
      <candidateList>
        <item>：</item>
      </candidateList>
      <explain/>
      <paraID>10F087CF</paraID>
      <start>15</start>
      <end>18</end>
      <status>ignored</status>
      <modifiedWord/>
      <trackRevisions>false</trackRevisions>
    </reviewItem>
    <reviewItem>
      <errorID>6a6d8082-8eac-4826-821d-487a17e7438e</errorID>
      <errorWord>：/。</errorWord>
      <group>L1_Punc</group>
      <groupName>标点问题</groupName>
      <ability>L2_Punc_CN</ability>
      <abilityName>标点符号问题</abilityName>
      <candidateList>
        <item>：</item>
      </candidateList>
      <explain/>
      <paraID>7696B969</paraID>
      <start>15</start>
      <end>18</end>
      <status>ignored</status>
      <modifiedWord/>
      <trackRevisions>false</trackRevisions>
    </reviewItem>
    <reviewItem>
      <errorID>b0f1f8cc-d19c-42bc-8ecf-a51cee08522d</errorID>
      <errorWord>：/。</errorWord>
      <group>L1_Punc</group>
      <groupName>标点问题</groupName>
      <ability>L2_Punc_CN</ability>
      <abilityName>标点符号问题</abilityName>
      <candidateList>
        <item>：</item>
      </candidateList>
      <explain/>
      <paraID> F53DE3E</paraID>
      <start>26</start>
      <end>29</end>
      <status>ignored</status>
      <modifiedWord/>
      <trackRevisions>false</trackRevisions>
    </reviewItem>
    <reviewItem>
      <errorID>66ed3701-cb00-457a-8630-8abfa518d8ce</errorID>
      <errorWord>：</errorWord>
      <group>L1_Word</group>
      <groupName>字词问题</groupName>
      <ability>L2_Typo</ability>
      <abilityName>字词错误</abilityName>
      <candidateList>
        <item>：以</item>
      </candidateList>
      <explain/>
      <paraID> 64A6388</paraID>
      <start>17</start>
      <end>18</end>
      <status>ignored</status>
      <modifiedWord/>
      <trackRevisions>false</trackRevisions>
    </reviewItem>
    <reviewItem>
      <errorID>1553c9b1-8e9c-481b-9ca4-eb231e859541</errorID>
      <errorWord>使用</errorWord>
      <group>L1_Word</group>
      <groupName>字词问题</groupName>
      <ability>L2_Typo</ability>
      <abilityName>字词错误</abilityName>
      <candidateList>
        <item>适用</item>
      </candidateList>
      <explain/>
      <paraID>6A8A5B53</paraID>
      <start>25</start>
      <end>27</end>
      <status>ignored</status>
      <modifiedWord/>
      <trackRevisions>false</trackRevisions>
    </reviewItem>
    <reviewItem>
      <errorID>7bfcc33a-595e-4181-bd8e-a59696a74d58</errorID>
      <errorWord>/。</errorWord>
      <group>L1_Punc</group>
      <groupName>标点问题</groupName>
      <ability>L2_Punc_CN</ability>
      <abilityName>标点符号问题</abilityName>
      <candidateList>
        <item>/</item>
      </candidateList>
      <explain/>
      <paraID>31720E45</paraID>
      <start>18</start>
      <end>20</end>
      <status>ignored</status>
      <modifiedWord/>
      <trackRevisions>false</trackRevisions>
    </reviewItem>
    <reviewItem>
      <errorID>aab64141-27ae-400d-b222-69d03c8e2b9e</errorID>
      <errorWord>：/。</errorWord>
      <group>L1_Punc</group>
      <groupName>标点问题</groupName>
      <ability>L2_Punc_CN</ability>
      <abilityName>标点符号问题</abilityName>
      <candidateList>
        <item>：</item>
      </candidateList>
      <explain/>
      <paraID>7F9A3E0F</paraID>
      <start>11</start>
      <end>14</end>
      <status>ignored</status>
      <modifiedWord/>
      <trackRevisions>false</trackRevisions>
    </reviewItem>
    <reviewItem>
      <errorID>65d20c66-8f6a-4daf-a028-826042fb919f</errorID>
      <errorWord>：/。</errorWord>
      <group>L1_Punc</group>
      <groupName>标点问题</groupName>
      <ability>L2_Punc_CN</ability>
      <abilityName>标点符号问题</abilityName>
      <candidateList>
        <item>：</item>
      </candidateList>
      <explain/>
      <paraID>5B4BD336</paraID>
      <start>12</start>
      <end>15</end>
      <status>ignored</status>
      <modifiedWord/>
      <trackRevisions>false</trackRevisions>
    </reviewItem>
    <reviewItem>
      <errorID>e48b8496-8419-4fdb-a8b0-276f848dafab</errorID>
      <errorWord>：/。</errorWord>
      <group>L1_Punc</group>
      <groupName>标点问题</groupName>
      <ability>L2_Punc_CN</ability>
      <abilityName>标点符号问题</abilityName>
      <candidateList>
        <item>：</item>
      </candidateList>
      <explain/>
      <paraID>2A3C82C0</paraID>
      <start>13</start>
      <end>16</end>
      <status>ignored</status>
      <modifiedWord/>
      <trackRevisions>false</trackRevisions>
    </reviewItem>
    <reviewItem>
      <errorID>c5cccedf-dafd-4cb1-a995-7507ff946046</errorID>
      <errorWord>：/。</errorWord>
      <group>L1_Punc</group>
      <groupName>标点问题</groupName>
      <ability>L2_Punc_CN</ability>
      <abilityName>标点符号问题</abilityName>
      <candidateList>
        <item>：</item>
      </candidateList>
      <explain/>
      <paraID>2B2D1D86</paraID>
      <start>13</start>
      <end>16</end>
      <status>ignored</status>
      <modifiedWord/>
      <trackRevisions>false</trackRevisions>
    </reviewItem>
    <reviewItem>
      <errorID>2eafe76c-de3c-404d-a455-646f21ceb2ee</errorID>
      <errorWord>，/。</errorWord>
      <group>L1_Punc</group>
      <groupName>标点问题</groupName>
      <ability>L2_Punc_CN</ability>
      <abilityName>标点符号问题</abilityName>
      <candidateList>
        <item>，</item>
      </candidateList>
      <explain/>
      <paraID>13FD3CDA</paraID>
      <start>18</start>
      <end>21</end>
      <status>ignored</status>
      <modifiedWord/>
      <trackRevisions>false</trackRevisions>
    </reviewItem>
    <reviewItem>
      <errorID>7d2799f7-7e2d-4dc4-b2a6-02c5033066d5</errorID>
      <errorWord>法》《建设工程安全</errorWord>
      <group>L1_Word</group>
      <groupName>字词问题</groupName>
      <ability>L2_Typo</ability>
      <abilityName>字词错误</abilityName>
      <candidateList>
        <item>法》和《建设工程安全</item>
      </candidateList>
      <explain/>
      <paraID>47F8EEB9</paraID>
      <start>46</start>
      <end>55</end>
      <status>ignored</status>
      <modifiedWord/>
      <trackRevisions>false</trackRevisions>
    </reviewItem>
    <reviewItem>
      <errorID>bd8bbcca-74fe-4a90-8280-b2754ce36eb9</errorID>
      <errorWord>：/。</errorWord>
      <group>L1_Punc</group>
      <groupName>标点问题</groupName>
      <ability>L2_Punc_CN</ability>
      <abilityName>标点符号问题</abilityName>
      <candidateList>
        <item>：</item>
      </candidateList>
      <explain/>
      <paraID>7675BE70</paraID>
      <start>23</start>
      <end>26</end>
      <status>ignored</status>
      <modifiedWord/>
      <trackRevisions>false</trackRevisions>
    </reviewItem>
    <reviewItem>
      <errorID>82c69e1e-ab5f-4e5d-8a88-a2e1627284d3</errorID>
      <errorWord>：/。</errorWord>
      <group>L1_Punc</group>
      <groupName>标点问题</groupName>
      <ability>L2_Punc_CN</ability>
      <abilityName>标点符号问题</abilityName>
      <candidateList>
        <item>：</item>
      </candidateList>
      <explain/>
      <paraID>27D402DB</paraID>
      <start>15</start>
      <end>18</end>
      <status>ignored</status>
      <modifiedWord/>
      <trackRevisions>false</trackRevisions>
    </reviewItem>
    <reviewItem>
      <errorID>d27f175d-cb3b-40b9-9760-80c27dcc620f</errorID>
      <errorWord>：/。</errorWord>
      <group>L1_Punc</group>
      <groupName>标点问题</groupName>
      <ability>L2_Punc_CN</ability>
      <abilityName>标点符号问题</abilityName>
      <candidateList>
        <item>：</item>
      </candidateList>
      <explain/>
      <paraID> ABA0F18</paraID>
      <start>11</start>
      <end>14</end>
      <status>ignored</status>
      <modifiedWord/>
      <trackRevisions>false</trackRevisions>
    </reviewItem>
    <reviewItem>
      <errorID>b6d291bb-ff7c-488d-8486-bf8023468cd1</errorID>
      <errorWord>金</errorWord>
      <group>L1_Word</group>
      <groupName>字词问题</groupName>
      <ability>L2_Typo</ability>
      <abilityName>字词错误</abilityName>
      <candidateList>
        <item>金额</item>
      </candidateList>
      <explain/>
      <paraID>75E070CD</paraID>
      <start>197</start>
      <end>198</end>
      <status>ignored</status>
      <modifiedWord/>
      <trackRevisions>false</trackRevisions>
    </reviewItem>
    <reviewItem>
      <errorID>dda25699-b185-4c9f-a7a6-8fe2fbe5f21a</errorID>
      <errorWord>：/。</errorWord>
      <group>L1_Punc</group>
      <groupName>标点问题</groupName>
      <ability>L2_Punc_CN</ability>
      <abilityName>标点符号问题</abilityName>
      <candidateList>
        <item>：</item>
      </candidateList>
      <explain/>
      <paraID>2DEBDE1D</paraID>
      <start>9</start>
      <end>12</end>
      <status>ignored</status>
      <modifiedWord/>
      <trackRevisions>false</trackRevisions>
    </reviewItem>
    <reviewItem>
      <errorID>40c9e804-5ef5-49e5-be74-70da39999b03</errorID>
      <errorWord>：/。</errorWord>
      <group>L1_Punc</group>
      <groupName>标点问题</groupName>
      <ability>L2_Punc_CN</ability>
      <abilityName>标点符号问题</abilityName>
      <candidateList>
        <item>：</item>
      </candidateList>
      <explain/>
      <paraID>4CB4D2FB</paraID>
      <start>9</start>
      <end>12</end>
      <status>ignored</status>
      <modifiedWord/>
      <trackRevisions>false</trackRevisions>
    </reviewItem>
    <reviewItem>
      <errorID>3b6c3065-c2ee-4652-950b-084f85eace46</errorID>
      <errorWord>：/。</errorWord>
      <group>L1_Punc</group>
      <groupName>标点问题</groupName>
      <ability>L2_Punc_CN</ability>
      <abilityName>标点符号问题</abilityName>
      <candidateList>
        <item>：</item>
      </candidateList>
      <explain/>
      <paraID>500EB5DC</paraID>
      <start>15</start>
      <end>18</end>
      <status>ignored</status>
      <modifiedWord/>
      <trackRevisions>false</trackRevisions>
    </reviewItem>
    <reviewItem>
      <errorID>63b0f590-1ab8-4d3d-a923-1e7077fdf76f</errorID>
      <errorWord>：/。</errorWord>
      <group>L1_Punc</group>
      <groupName>标点问题</groupName>
      <ability>L2_Punc_CN</ability>
      <abilityName>标点符号问题</abilityName>
      <candidateList>
        <item>：</item>
      </candidateList>
      <explain/>
      <paraID>5F63881F</paraID>
      <start>8</start>
      <end>11</end>
      <status>ignored</status>
      <modifiedWord/>
      <trackRevisions>false</trackRevisions>
    </reviewItem>
    <reviewItem>
      <errorID>1db51a43-3cc3-472b-a4c9-cca8a6d7ad25</errorID>
      <errorWord>：/。</errorWord>
      <group>L1_Punc</group>
      <groupName>标点问题</groupName>
      <ability>L2_Punc_CN</ability>
      <abilityName>标点符号问题</abilityName>
      <candidateList>
        <item>：</item>
      </candidateList>
      <explain/>
      <paraID>61337952</paraID>
      <start>13</start>
      <end>16</end>
      <status>ignored</status>
      <modifiedWord/>
      <trackRevisions>false</trackRevisions>
    </reviewItem>
    <reviewItem>
      <errorID>34bd6508-1410-449b-be24-49ab0f7b3a63</errorID>
      <errorWord>：/。</errorWord>
      <group>L1_Punc</group>
      <groupName>标点问题</groupName>
      <ability>L2_Punc_CN</ability>
      <abilityName>标点符号问题</abilityName>
      <candidateList>
        <item>：</item>
      </candidateList>
      <explain/>
      <paraID> EC221C6</paraID>
      <start>9</start>
      <end>12</end>
      <status>ignored</status>
      <modifiedWord/>
      <trackRevisions>false</trackRevisions>
    </reviewItem>
    <reviewItem>
      <errorID>601ca5e9-1e25-4120-88b5-40b1c3fb927f</errorID>
      <errorWord>：/。</errorWord>
      <group>L1_Punc</group>
      <groupName>标点问题</groupName>
      <ability>L2_Punc_CN</ability>
      <abilityName>标点符号问题</abilityName>
      <candidateList>
        <item>：</item>
      </candidateList>
      <explain/>
      <paraID>18EE654B</paraID>
      <start>11</start>
      <end>14</end>
      <status>ignored</status>
      <modifiedWord/>
      <trackRevisions>false</trackRevisions>
    </reviewItem>
    <reviewItem>
      <errorID>98dc0a9d-f14b-4fa5-8747-4a8775ff9b04</errorID>
      <errorWord>：/。</errorWord>
      <group>L1_Punc</group>
      <groupName>标点问题</groupName>
      <ability>L2_Punc_CN</ability>
      <abilityName>标点符号问题</abilityName>
      <candidateList>
        <item>：</item>
      </candidateList>
      <explain/>
      <paraID> CB0A2A0</paraID>
      <start>51</start>
      <end>54</end>
      <status>ignored</status>
      <modifiedWord/>
      <trackRevisions>false</trackRevisions>
    </reviewItem>
    <reviewItem>
      <errorID>0d928506-b590-4de8-83aa-919c9aca29ef</errorID>
      <errorWord>：/。</errorWord>
      <group>L1_Punc</group>
      <groupName>标点问题</groupName>
      <ability>L2_Punc_CN</ability>
      <abilityName>标点符号问题</abilityName>
      <candidateList>
        <item>：</item>
      </candidateList>
      <explain/>
      <paraID>253D12D1</paraID>
      <start>14</start>
      <end>17</end>
      <status>ignored</status>
      <modifiedWord/>
      <trackRevisions>false</trackRevisions>
    </reviewItem>
    <reviewItem>
      <errorID>067ee26e-d638-447e-bf1e-22046bc974ec</errorID>
      <errorWord>：/。</errorWord>
      <group>L1_Punc</group>
      <groupName>标点问题</groupName>
      <ability>L2_Punc_CN</ability>
      <abilityName>标点符号问题</abilityName>
      <candidateList>
        <item>：</item>
      </candidateList>
      <explain/>
      <paraID>7EA69A40</paraID>
      <start>19</start>
      <end>22</end>
      <status>ignored</status>
      <modifiedWord/>
      <trackRevisions>false</trackRevisions>
    </reviewItem>
    <reviewItem>
      <errorID>631f8a1a-6455-4c24-9f0e-ee15d2b56631</errorID>
      <errorWord>：/。</errorWord>
      <group>L1_Punc</group>
      <groupName>标点问题</groupName>
      <ability>L2_Punc_CN</ability>
      <abilityName>标点符号问题</abilityName>
      <candidateList>
        <item>：</item>
      </candidateList>
      <explain/>
      <paraID>587879DE</paraID>
      <start>23</start>
      <end>26</end>
      <status>ignored</status>
      <modifiedWord/>
      <trackRevisions>false</trackRevisions>
    </reviewItem>
    <reviewItem>
      <errorID>16c9b1d6-dc18-4968-a819-81d8091dbca2</errorID>
      <errorWord>：/。</errorWord>
      <group>L1_Punc</group>
      <groupName>标点问题</groupName>
      <ability>L2_Punc_CN</ability>
      <abilityName>标点符号问题</abilityName>
      <candidateList>
        <item>：</item>
      </candidateList>
      <explain/>
      <paraID>5E46F73A</paraID>
      <start>19</start>
      <end>22</end>
      <status>ignored</status>
      <modifiedWord/>
      <trackRevisions>false</trackRevisions>
    </reviewItem>
    <reviewItem>
      <errorID>2e267291-26d9-46ce-98de-d55b7d3f3458</errorID>
      <errorWord>：/。</errorWord>
      <group>L1_Punc</group>
      <groupName>标点问题</groupName>
      <ability>L2_Punc_CN</ability>
      <abilityName>标点符号问题</abilityName>
      <candidateList>
        <item>：</item>
      </candidateList>
      <explain/>
      <paraID>59077C81</paraID>
      <start>17</start>
      <end>20</end>
      <status>ignored</status>
      <modifiedWord/>
      <trackRevisions>false</trackRevisions>
    </reviewItem>
    <reviewItem>
      <errorID>e689e4b8-6d54-4aff-ba0c-b9feadcc9c2b</errorID>
      <errorWord>：/。</errorWord>
      <group>L1_Punc</group>
      <groupName>标点问题</groupName>
      <ability>L2_Punc_CN</ability>
      <abilityName>标点符号问题</abilityName>
      <candidateList>
        <item>：</item>
      </candidateList>
      <explain/>
      <paraID> F403B9B</paraID>
      <start>22</start>
      <end>25</end>
      <status>ignored</status>
      <modifiedWord/>
      <trackRevisions>false</trackRevisions>
    </reviewItem>
    <reviewItem>
      <errorID>1b1665f7-30e8-4fac-8c4d-377a951edefd</errorID>
      <errorWord>：/。</errorWord>
      <group>L1_Punc</group>
      <groupName>标点问题</groupName>
      <ability>L2_Punc_CN</ability>
      <abilityName>标点符号问题</abilityName>
      <candidateList>
        <item>：</item>
      </candidateList>
      <explain/>
      <paraID> FE65534</paraID>
      <start>34</start>
      <end>37</end>
      <status>ignored</status>
      <modifiedWord/>
      <trackRevisions>false</trackRevisions>
    </reviewItem>
    <reviewItem>
      <errorID>539cc70f-13c3-4b91-8f46-5fd1d0d5e9f8</errorID>
      <errorWord>：/。</errorWord>
      <group>L1_Punc</group>
      <groupName>标点问题</groupName>
      <ability>L2_Punc_CN</ability>
      <abilityName>标点符号问题</abilityName>
      <candidateList>
        <item>：</item>
      </candidateList>
      <explain/>
      <paraID>1744B164</paraID>
      <start>13</start>
      <end>16</end>
      <status>ignored</status>
      <modifiedWord/>
      <trackRevisions>false</trackRevisions>
    </reviewItem>
    <reviewItem>
      <errorID>b47d1d8e-aa9f-4008-9515-5c7695180f7a</errorID>
      <errorWord>包</errorWord>
      <group>L1_Word</group>
      <groupName>字词问题</groupName>
      <ability>L2_Typo</ability>
      <abilityName>字词错误</abilityName>
      <candidateList>
        <item>包人</item>
      </candidateList>
      <explain/>
      <paraID> C245EB2</paraID>
      <start>3</start>
      <end>5</end>
      <status>modified</status>
      <modifiedWord>包人</modifiedWord>
      <trackRevisions>false</trackRevisions>
    </reviewItem>
    <reviewItem>
      <errorID>3463dae5-5a32-4368-8b8b-651b43c0406f</errorID>
      <errorWord>：/。</errorWord>
      <group>L1_Punc</group>
      <groupName>标点问题</groupName>
      <ability>L2_Punc_CN</ability>
      <abilityName>标点符号问题</abilityName>
      <candidateList>
        <item>：</item>
      </candidateList>
      <explain/>
      <paraID>69E305DB</paraID>
      <start>30</start>
      <end>33</end>
      <status>ignored</status>
      <modifiedWord/>
      <trackRevisions>false</trackRevisions>
    </reviewItem>
    <reviewItem>
      <errorID>f1648689-8b8f-4169-8f83-fa40d1bf1ec1</errorID>
      <errorWord>：/。</errorWord>
      <group>L1_Punc</group>
      <groupName>标点问题</groupName>
      <ability>L2_Punc_CN</ability>
      <abilityName>标点符号问题</abilityName>
      <candidateList>
        <item>：</item>
      </candidateList>
      <explain/>
      <paraID>2BCD4E1A</paraID>
      <start>11</start>
      <end>14</end>
      <status>ignored</status>
      <modifiedWord/>
      <trackRevisions>false</trackRevisions>
    </reviewItem>
    <reviewItem>
      <errorID>00cf6bb8-ce8e-48ac-8d05-3c1e6c012aa8</errorID>
      <errorWord>：/。</errorWord>
      <group>L1_Punc</group>
      <groupName>标点问题</groupName>
      <ability>L2_Punc_CN</ability>
      <abilityName>标点符号问题</abilityName>
      <candidateList>
        <item>：</item>
      </candidateList>
      <explain/>
      <paraID>1B072EF8</paraID>
      <start>10</start>
      <end>13</end>
      <status>ignored</status>
      <modifiedWord/>
      <trackRevisions>false</trackRevisions>
    </reviewItem>
    <reviewItem>
      <errorID>a8206aca-dbfd-4cca-ae26-da10045ac54e</errorID>
      <errorWord>：/。</errorWord>
      <group>L1_Punc</group>
      <groupName>标点问题</groupName>
      <ability>L2_Punc_CN</ability>
      <abilityName>标点符号问题</abilityName>
      <candidateList>
        <item>：</item>
      </candidateList>
      <explain/>
      <paraID> CF49F7C</paraID>
      <start>15</start>
      <end>18</end>
      <status>ignored</status>
      <modifiedWord/>
      <trackRevisions>false</trackRevisions>
    </reviewItem>
    <reviewItem>
      <errorID>b16dc27b-cac1-4dfb-98d5-6a91607643f1</errorID>
      <errorWord>：/。</errorWord>
      <group>L1_Punc</group>
      <groupName>标点问题</groupName>
      <ability>L2_Punc_CN</ability>
      <abilityName>标点符号问题</abilityName>
      <candidateList>
        <item>：</item>
      </candidateList>
      <explain/>
      <paraID>2644CBD8</paraID>
      <start>7</start>
      <end>10</end>
      <status>ignored</status>
      <modifiedWord/>
      <trackRevisions>false</trackRevisions>
    </reviewItem>
    <reviewItem>
      <errorID>86a9cf1f-dbb8-4814-9544-ebb48cbe2220</errorID>
      <errorWord>：/。</errorWord>
      <group>L1_Punc</group>
      <groupName>标点问题</groupName>
      <ability>L2_Punc_CN</ability>
      <abilityName>标点符号问题</abilityName>
      <candidateList>
        <item>：</item>
      </candidateList>
      <explain/>
      <paraID>1BF5BF96</paraID>
      <start>12</start>
      <end>15</end>
      <status>ignored</status>
      <modifiedWord/>
      <trackRevisions>false</trackRevisions>
    </reviewItem>
    <reviewItem>
      <errorID>4380ee48-3b55-4659-9bcc-c8b473ca40bc</errorID>
      <errorWord>装璜和</errorWord>
      <group>L1_Word</group>
      <groupName>字词问题</groupName>
      <ability>L2_Variant</ability>
      <abilityName>异形词</abilityName>
      <candidateList>
        <item>装潢和</item>
      </candidateList>
      <explain>词汇[装璜和]的规范词形写作[装潢和]。</explain>
      <paraID>5CFA37EF</paraID>
      <start>45</start>
      <end>48</end>
      <status>ignored</status>
      <modifiedWord/>
      <trackRevisions>false</trackRevisions>
    </reviewItem>
    <reviewItem>
      <errorID>24fd340c-f128-4386-bc58-44ac93ef86bd</errorID>
      <errorWord>定</errorWord>
      <group>L1_Word</group>
      <groupName>字词问题</groupName>
      <ability>L2_Typo</ability>
      <abilityName>字词错误</abilityName>
      <candidateList>
        <item>定以</item>
      </candidateList>
      <explain/>
      <paraID>5CFA37EF</paraID>
      <start>86</start>
      <end>87</end>
      <status>ignored</status>
      <modifiedWord/>
      <trackRevisions>false</trackRevisions>
    </reviewItem>
    <reviewItem>
      <errorID>a7f37c8e-b225-4ca6-8069-8edd7269e8b7</errorID>
      <errorWord>。</errorWord>
      <group>L1_Punc</group>
      <groupName>标点问题</groupName>
      <ability>L2_Punc_CN</ability>
      <abilityName>标点符号问题</abilityName>
      <candidateList/>
      <explain/>
      <paraID>51A2882B</paraID>
      <start>0</start>
      <end>1</end>
      <status>ignored</status>
      <modifiedWord/>
      <trackRevisions>false</trackRevisions>
    </reviewItem>
    <reviewItem>
      <errorID>28e6d266-2127-49d1-bd0b-12146ff1b5d2</errorID>
      <errorWord>（</errorWord>
      <group>L1_Punc</group>
      <groupName>标点问题</groupName>
      <ability>L2_Punc_CN</ability>
      <abilityName>标点符号问题</abilityName>
      <candidateList/>
      <explain>同一形式括号套用。</explain>
      <paraID>43F54459</paraID>
      <start>65</start>
      <end>66</end>
      <status>ignored</status>
      <modifiedWord/>
      <trackRevisions>false</trackRevisions>
    </reviewItem>
    <reviewItem>
      <errorID>5d64a253-9661-4885-9bde-e52854dcf03b</errorID>
      <errorWord>）</errorWord>
      <group>L1_Punc</group>
      <groupName>标点问题</groupName>
      <ability>L2_Punc_CN</ability>
      <abilityName>标点符号问题</abilityName>
      <candidateList/>
      <explain>同一形式括号套用。</explain>
      <paraID>43F54459</paraID>
      <start>77</start>
      <end>78</end>
      <status>ignored</status>
      <modifiedWord/>
      <trackRevisions>false</trackRevisions>
    </reviewItem>
    <reviewItem>
      <errorID>f2c24f57-d1e4-4c8f-8a4d-01a34aaf8c57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C671B24</paraID>
      <start>48</start>
      <end>49</end>
      <status>ignored</status>
      <modifiedWord/>
      <trackRevisions>false</trackRevisions>
    </reviewItem>
    <reviewItem>
      <errorID>b209228f-b6f2-44ae-9e3f-041ee2970163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72AAD09C</paraID>
      <start>48</start>
      <end>49</end>
      <status>ignored</status>
      <modifiedWord/>
      <trackRevisions>false</trackRevisions>
    </reviewItem>
    <reviewItem>
      <errorID>49bcea4b-39b2-43d3-9928-5b38be4e8dc6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39808FA4</paraID>
      <start>33</start>
      <end>34</end>
      <status>ignored</status>
      <modifiedWord/>
      <trackRevisions>false</trackRevisions>
    </reviewItem>
  </reviewItems>
  <config/>
</contractReview>
</file>

<file path=customXml/itemProps1.xml><?xml version="1.0" encoding="utf-8"?>
<ds:datastoreItem xmlns:ds="http://schemas.openxmlformats.org/officeDocument/2006/customXml" ds:itemID="{2df5ba9e-8eb7-4175-b07c-7f571623ee3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140</Pages>
  <Words>3366</Words>
  <Characters>3826</Characters>
  <Lines>754</Lines>
  <Paragraphs>212</Paragraphs>
  <TotalTime>2</TotalTime>
  <ScaleCrop>false</ScaleCrop>
  <LinksUpToDate>false</LinksUpToDate>
  <CharactersWithSpaces>3886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2025-06-25T17:53:00Z</dcterms:created>
  <dc:creator>云南铭漾</dc:creator>
  <cp:lastModifiedBy>Administrator</cp:lastModifiedBy>
  <cp:lastPrinted>2023-04-18T10:53:00Z</cp:lastPrinted>
  <dcterms:modified xsi:type="dcterms:W3CDTF">2026-07-25T10:27:17Z</dcterms:modified>
  <dc:title>昆明市呈贡区教育体育局</dc:title>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D70858F2AD97447889E21510B94A6E6E_13</vt:lpwstr>
  </property>
  <property fmtid="{D5CDD505-2E9C-101B-9397-08002B2CF9AE}" pid="4" name="KSOTemplateDocerSaveRecord">
    <vt:lpwstr>eyJoZGlkIjoiNjc3Mzk1ODA5YjUxMzg4YzczMmY5ZmVlMjZjODIwNWUiLCJ1c2VySWQiOiI1NjMyOTA1MDMifQ==</vt:lpwstr>
  </property>
</Properties>
</file>