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677F3">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1755CC6A">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07930E2A">
      <w:pPr>
        <w:adjustRightInd w:val="0"/>
        <w:snapToGrid w:val="0"/>
        <w:jc w:val="center"/>
        <w:rPr>
          <w:rFonts w:hint="eastAsia" w:ascii="宋体" w:hAnsi="宋体" w:eastAsia="宋体" w:cs="Times New Roman"/>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601FB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436CBB5E">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55DBBC12">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16E140B9">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4CDD365E">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4B5AE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63339CFC">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49A1ECB0">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有机碳分析仪</w:t>
            </w:r>
          </w:p>
        </w:tc>
        <w:tc>
          <w:tcPr>
            <w:tcW w:w="1329" w:type="dxa"/>
            <w:noWrap w:val="0"/>
            <w:vAlign w:val="center"/>
          </w:tcPr>
          <w:p w14:paraId="63DAD059">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44401241">
            <w:pPr>
              <w:jc w:val="center"/>
              <w:rPr>
                <w:rFonts w:hint="eastAsia" w:ascii="宋体" w:hAnsi="Bookman Old Style" w:eastAsia="宋体" w:cs="Times New Roman"/>
                <w:sz w:val="24"/>
              </w:rPr>
            </w:pPr>
            <w:r>
              <w:rPr>
                <w:rFonts w:hint="eastAsia" w:ascii="宋体" w:hAnsi="Bookman Old Style" w:eastAsia="宋体" w:cs="Times New Roman"/>
                <w:sz w:val="24"/>
              </w:rPr>
              <w:t>否</w:t>
            </w:r>
          </w:p>
        </w:tc>
      </w:tr>
    </w:tbl>
    <w:p w14:paraId="3A6C3351">
      <w:pPr>
        <w:adjustRightInd w:val="0"/>
        <w:snapToGrid w:val="0"/>
        <w:jc w:val="center"/>
        <w:rPr>
          <w:rFonts w:hint="eastAsia" w:ascii="宋体" w:hAnsi="宋体" w:eastAsia="宋体" w:cs="Times New Roman"/>
          <w:b/>
          <w:sz w:val="30"/>
          <w:szCs w:val="30"/>
        </w:rPr>
      </w:pPr>
    </w:p>
    <w:p w14:paraId="61F81E3B">
      <w:pPr>
        <w:adjustRightInd w:val="0"/>
        <w:snapToGrid w:val="0"/>
        <w:jc w:val="center"/>
        <w:rPr>
          <w:rFonts w:hint="eastAsia" w:ascii="宋体" w:hAnsi="宋体" w:eastAsia="宋体" w:cs="Times New Roman"/>
          <w:b/>
          <w:sz w:val="30"/>
          <w:szCs w:val="30"/>
        </w:rPr>
      </w:pPr>
    </w:p>
    <w:p w14:paraId="35CA4BBC">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121F7323">
      <w:pPr>
        <w:adjustRightInd w:val="0"/>
        <w:snapToGrid w:val="0"/>
        <w:rPr>
          <w:rFonts w:hint="eastAsia" w:ascii="宋体" w:hAnsi="宋体" w:eastAsia="宋体" w:cs="Times New Roman"/>
          <w:szCs w:val="21"/>
        </w:rPr>
      </w:pPr>
    </w:p>
    <w:p w14:paraId="4F4181F4">
      <w:pPr>
        <w:adjustRightInd w:val="0"/>
        <w:snapToGrid w:val="0"/>
        <w:rPr>
          <w:rFonts w:hint="eastAsia" w:ascii="宋体" w:hAnsi="宋体" w:eastAsia="宋体" w:cs="Times New Roman"/>
          <w:szCs w:val="21"/>
        </w:rPr>
      </w:pPr>
    </w:p>
    <w:p w14:paraId="7C615A94">
      <w:pPr>
        <w:adjustRightInd w:val="0"/>
        <w:snapToGrid w:val="0"/>
        <w:rPr>
          <w:rFonts w:hint="eastAsia" w:ascii="宋体" w:hAnsi="宋体" w:eastAsia="宋体" w:cs="Times New Roman"/>
          <w:szCs w:val="21"/>
        </w:rPr>
      </w:pPr>
    </w:p>
    <w:p w14:paraId="4855B508">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1FB7C505">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6A23EC8C">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5B113F02">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0C6BD42">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1FC15143">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9E310C7">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4F15480B">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4E026B75">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057334A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74D609E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22DEB5AC">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5C730F97">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0C2A7AFF">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1F4917B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71E87F7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7EA2779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1BE8006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0BD41D2E">
      <w:pPr>
        <w:rPr>
          <w:rFonts w:hint="eastAsia" w:ascii="Times New Roman" w:hAnsi="Times New Roman" w:eastAsia="黑体" w:cs="Times New Roman"/>
          <w:b/>
          <w:bCs/>
          <w:kern w:val="44"/>
          <w:sz w:val="24"/>
        </w:rPr>
      </w:pPr>
    </w:p>
    <w:p w14:paraId="59F40629">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2797AAA0">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312075D4">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23E5C16C">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5CE65F3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58D02CA9">
      <w:pPr>
        <w:pStyle w:val="2"/>
        <w:spacing w:line="360" w:lineRule="auto"/>
        <w:ind w:left="410" w:hanging="410" w:hangingChars="170"/>
        <w:rPr>
          <w:rFonts w:hint="eastAsia" w:hAnsi="宋体" w:eastAsia="宋体" w:cs="Times New Roman"/>
          <w:b/>
          <w:sz w:val="24"/>
          <w:szCs w:val="24"/>
        </w:rPr>
      </w:pPr>
    </w:p>
    <w:p w14:paraId="2E453E65">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w:t>
      </w:r>
      <w:r>
        <w:rPr>
          <w:rFonts w:hint="eastAsia" w:ascii="宋体" w:hAnsi="宋体" w:eastAsia="宋体" w:cs="仿宋"/>
          <w:b/>
          <w:bCs/>
          <w:sz w:val="24"/>
        </w:rPr>
        <w:t>*</w:t>
      </w:r>
      <w:r>
        <w:rPr>
          <w:rFonts w:hint="eastAsia" w:ascii="Times New Roman" w:hAnsi="Times New Roman" w:eastAsia="宋体" w:cs="Times New Roman"/>
          <w:b/>
          <w:bCs/>
          <w:sz w:val="24"/>
        </w:rPr>
        <w:t>”号技术条款的为实质性要求，不满足其投标将视为无效投标被拒绝。</w:t>
      </w:r>
    </w:p>
    <w:p w14:paraId="4A10E2BF">
      <w:pPr>
        <w:adjustRightInd w:val="0"/>
        <w:snapToGrid w:val="0"/>
        <w:spacing w:line="360" w:lineRule="auto"/>
        <w:rPr>
          <w:rFonts w:hint="eastAsia" w:ascii="宋体" w:hAnsi="宋体" w:eastAsia="宋体" w:cs="Times New Roman"/>
          <w:b/>
          <w:sz w:val="24"/>
        </w:rPr>
      </w:pPr>
    </w:p>
    <w:p w14:paraId="40326164">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77E12537">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0"/>
        <w:gridCol w:w="1605"/>
        <w:gridCol w:w="1842"/>
        <w:gridCol w:w="3649"/>
      </w:tblGrid>
      <w:tr w14:paraId="4945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179" w:type="pct"/>
            <w:tcBorders>
              <w:top w:val="single" w:color="auto" w:sz="4" w:space="0"/>
            </w:tcBorders>
            <w:noWrap w:val="0"/>
            <w:vAlign w:val="center"/>
          </w:tcPr>
          <w:p w14:paraId="6A3C2124">
            <w:pPr>
              <w:pStyle w:val="3"/>
              <w:spacing w:beforeAutospacing="0" w:afterAutospacing="0"/>
              <w:jc w:val="center"/>
              <w:rPr>
                <w:rFonts w:hint="eastAsia" w:ascii="宋体" w:hAnsi="宋体" w:eastAsia="宋体"/>
              </w:rPr>
            </w:pPr>
            <w:r>
              <w:rPr>
                <w:rFonts w:hint="eastAsia" w:ascii="宋体" w:hAnsi="宋体" w:eastAsia="宋体"/>
              </w:rPr>
              <w:t>货物</w:t>
            </w:r>
            <w:r>
              <w:rPr>
                <w:rFonts w:ascii="宋体" w:hAnsi="宋体" w:eastAsia="宋体"/>
              </w:rPr>
              <w:t>名称</w:t>
            </w:r>
          </w:p>
        </w:tc>
        <w:tc>
          <w:tcPr>
            <w:tcW w:w="3821" w:type="pct"/>
            <w:gridSpan w:val="3"/>
            <w:tcBorders>
              <w:top w:val="single" w:color="auto" w:sz="4" w:space="0"/>
            </w:tcBorders>
            <w:noWrap w:val="0"/>
            <w:vAlign w:val="center"/>
          </w:tcPr>
          <w:p w14:paraId="11C2A0A0">
            <w:pPr>
              <w:jc w:val="center"/>
              <w:rPr>
                <w:rFonts w:ascii="宋体" w:hAnsi="宋体" w:eastAsia="宋体" w:cs="Times New Roman"/>
                <w:sz w:val="24"/>
              </w:rPr>
            </w:pPr>
            <w:r>
              <w:rPr>
                <w:rFonts w:ascii="宋体" w:hAnsi="宋体" w:eastAsia="宋体" w:cs="Times New Roman"/>
                <w:sz w:val="24"/>
              </w:rPr>
              <w:t>有机碳分析仪</w:t>
            </w:r>
          </w:p>
        </w:tc>
      </w:tr>
      <w:tr w14:paraId="6158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1179" w:type="pct"/>
            <w:tcBorders>
              <w:top w:val="single" w:color="auto" w:sz="4" w:space="0"/>
            </w:tcBorders>
            <w:noWrap w:val="0"/>
            <w:vAlign w:val="center"/>
          </w:tcPr>
          <w:p w14:paraId="407DABE1">
            <w:pPr>
              <w:jc w:val="center"/>
              <w:rPr>
                <w:rFonts w:ascii="宋体" w:hAnsi="宋体" w:eastAsia="宋体" w:cs="Times New Roman"/>
                <w:sz w:val="24"/>
              </w:rPr>
            </w:pPr>
            <w:r>
              <w:rPr>
                <w:rFonts w:ascii="宋体" w:hAnsi="宋体" w:eastAsia="宋体" w:cs="Times New Roman"/>
                <w:sz w:val="24"/>
              </w:rPr>
              <w:t>项目需求与用途</w:t>
            </w:r>
          </w:p>
        </w:tc>
        <w:tc>
          <w:tcPr>
            <w:tcW w:w="3821" w:type="pct"/>
            <w:gridSpan w:val="3"/>
            <w:tcBorders>
              <w:top w:val="single" w:color="auto" w:sz="4" w:space="0"/>
            </w:tcBorders>
            <w:noWrap w:val="0"/>
            <w:vAlign w:val="top"/>
          </w:tcPr>
          <w:p w14:paraId="508F6BC6">
            <w:pPr>
              <w:spacing w:before="156" w:beforeLines="50"/>
              <w:rPr>
                <w:rFonts w:hint="eastAsia" w:ascii="宋体" w:hAnsi="宋体" w:eastAsia="宋体" w:cs="Times New Roman"/>
                <w:sz w:val="24"/>
              </w:rPr>
            </w:pPr>
            <w:r>
              <w:rPr>
                <w:rFonts w:hint="eastAsia" w:ascii="宋体" w:hAnsi="宋体" w:eastAsia="宋体" w:cs="Times New Roman"/>
                <w:sz w:val="24"/>
              </w:rPr>
              <w:t>（一）干旱区土壤碳库与碳循环研究。通过测定不同土地利用类型（荒漠、绿洲耕地、草原、盐碱地）土壤的 TC、TOC、TIC 含量，计算 TOC/TIC 比值，区分有机碳与无机碳在土壤碳库中的贡献占比，揭示干旱区土壤碳库的空间分布特征。</w:t>
            </w:r>
          </w:p>
          <w:p w14:paraId="7884DE92">
            <w:pPr>
              <w:spacing w:before="156" w:beforeLines="50"/>
              <w:rPr>
                <w:rFonts w:hint="eastAsia" w:ascii="宋体" w:hAnsi="宋体" w:eastAsia="宋体" w:cs="Times New Roman"/>
                <w:sz w:val="24"/>
              </w:rPr>
            </w:pPr>
            <w:r>
              <w:rPr>
                <w:rFonts w:hint="eastAsia" w:ascii="宋体" w:hAnsi="宋体" w:eastAsia="宋体" w:cs="Times New Roman"/>
                <w:sz w:val="24"/>
              </w:rPr>
              <w:t>结合土壤剖面分层（0-20cm、20-50cm、50-100cm）检测，分析 TC、TOC、TIC 的垂直迁移规律，评估土地利用变化（如荒漠开垦为耕地）对土壤有机碳封存、无机碳累积的影响，为干旱区土壤碳汇潜力评估提供数据支撑。</w:t>
            </w:r>
          </w:p>
          <w:p w14:paraId="0C4F9E65">
            <w:pPr>
              <w:spacing w:before="156" w:beforeLines="50"/>
              <w:rPr>
                <w:rFonts w:hint="eastAsia" w:ascii="宋体" w:hAnsi="宋体" w:eastAsia="宋体" w:cs="Times New Roman"/>
                <w:sz w:val="24"/>
              </w:rPr>
            </w:pPr>
            <w:r>
              <w:rPr>
                <w:rFonts w:hint="eastAsia" w:ascii="宋体" w:hAnsi="宋体" w:eastAsia="宋体" w:cs="Times New Roman"/>
                <w:sz w:val="24"/>
              </w:rPr>
              <w:t>（二）干旱区水资源碳污染与生态风险评估。针对干旱区地表水（河流、湖泊）、地下水样本，测定 TC、TOC、NPOC、TIC 含量：NPOC 反映水体中溶解性有机碳（DOC）水平，可评估农业面源污染（如化肥流失）、工业废水排放对水体有机碳的影响；TIC 含量可判断水体碳酸盐缓冲能力，结合 TOC 数据预警水体富营养化风险（如 TOC 过高导致藻类大量繁殖）。研究水循环过程（降水 - 地表径流 - 地下水补给）中 TC、TOC、TIC 的迁移转化规律，为干旱区水资源保护（如饮用水源地筛选）、水污染治理提供科学依据。</w:t>
            </w:r>
          </w:p>
          <w:p w14:paraId="55362FAA">
            <w:pPr>
              <w:spacing w:before="156" w:beforeLines="50"/>
              <w:rPr>
                <w:rFonts w:ascii="宋体" w:hAnsi="宋体" w:eastAsia="宋体" w:cs="Times New Roman"/>
                <w:sz w:val="24"/>
              </w:rPr>
            </w:pPr>
            <w:r>
              <w:rPr>
                <w:rFonts w:hint="eastAsia" w:ascii="宋体" w:hAnsi="宋体" w:eastAsia="宋体" w:cs="Times New Roman"/>
                <w:sz w:val="24"/>
              </w:rPr>
              <w:t>（三）干旱区植物碳积累与生态修复效果监测。检测干旱区典型植物（梭梭、胡杨、沙棘）残体、枯落物的 TC、TOC 含量，分析植物在生长周期中有机碳的积累与分解速率，揭示植物对干旱环境的碳代谢适应机制（如干旱胁迫下植物 TOC 积累是否降低）。在生态修复工程区域（如退牧还草、盐碱地改良），定期采集土壤、植被样本，监测 TC、TOC、TIC 的动态变化：通过 TOC 含量提升幅度、TOC/TIC 比值变化，量化修复工程对土壤肥力（有机碳增加）、生态系统碳循环改善的效果，为修复方案优化（如植被配置调整）提供数据支持。</w:t>
            </w:r>
          </w:p>
          <w:p w14:paraId="3DC60810">
            <w:pPr>
              <w:spacing w:before="156" w:beforeLines="50"/>
              <w:rPr>
                <w:rFonts w:ascii="宋体" w:hAnsi="宋体" w:eastAsia="宋体" w:cs="Times New Roman"/>
                <w:sz w:val="24"/>
              </w:rPr>
            </w:pPr>
            <w:r>
              <w:rPr>
                <w:rFonts w:hint="eastAsia" w:ascii="宋体" w:hAnsi="宋体" w:eastAsia="宋体" w:cs="Times New Roman"/>
                <w:sz w:val="24"/>
              </w:rPr>
              <w:t>（四）干旱区沉积物碳库与环境演变研究。测定干旱区湖泊、河流沉积物的 TC、TOC、TIC 含量，结合 NPOC 数据区分沉积物中有机碳的来源（陆源植物残体 vs 水生生物遗体），重建不同历史时期（通过沉积物年代测定）干旱区气候环境变化（如湿润期 vs 干旱期）对沉积物碳库的影响，为干旱区生态系统演变预测提供参考。</w:t>
            </w:r>
          </w:p>
        </w:tc>
      </w:tr>
      <w:tr w14:paraId="50D4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3C7BD1E1">
            <w:pPr>
              <w:jc w:val="center"/>
              <w:rPr>
                <w:rFonts w:ascii="宋体" w:hAnsi="宋体" w:eastAsia="宋体" w:cs="Times New Roman"/>
                <w:sz w:val="24"/>
              </w:rPr>
            </w:pPr>
            <w:r>
              <w:rPr>
                <w:rFonts w:ascii="宋体" w:hAnsi="宋体" w:eastAsia="宋体" w:cs="Times New Roman"/>
                <w:sz w:val="24"/>
              </w:rPr>
              <w:t>预算金额（万元）</w:t>
            </w:r>
          </w:p>
        </w:tc>
        <w:tc>
          <w:tcPr>
            <w:tcW w:w="3821" w:type="pct"/>
            <w:gridSpan w:val="3"/>
            <w:noWrap w:val="0"/>
            <w:vAlign w:val="center"/>
          </w:tcPr>
          <w:p w14:paraId="0E1C5463">
            <w:pPr>
              <w:jc w:val="center"/>
              <w:rPr>
                <w:rFonts w:ascii="宋体" w:hAnsi="宋体" w:eastAsia="宋体" w:cs="Times New Roman"/>
                <w:sz w:val="24"/>
              </w:rPr>
            </w:pPr>
            <w:r>
              <w:rPr>
                <w:rFonts w:ascii="宋体" w:hAnsi="宋体" w:eastAsia="宋体" w:cs="Times New Roman"/>
                <w:sz w:val="24"/>
              </w:rPr>
              <w:t>¥</w:t>
            </w:r>
            <w:r>
              <w:rPr>
                <w:rFonts w:hint="eastAsia" w:ascii="宋体" w:hAnsi="宋体" w:eastAsia="宋体" w:cs="Times New Roman"/>
                <w:sz w:val="24"/>
                <w:u w:val="single"/>
              </w:rPr>
              <w:t>39.52</w:t>
            </w:r>
            <w:r>
              <w:rPr>
                <w:rFonts w:ascii="宋体" w:hAnsi="宋体" w:eastAsia="宋体" w:cs="Times New Roman"/>
                <w:sz w:val="24"/>
                <w:u w:val="single"/>
              </w:rPr>
              <w:t xml:space="preserve"> </w:t>
            </w:r>
            <w:r>
              <w:rPr>
                <w:rFonts w:ascii="宋体" w:hAnsi="宋体" w:eastAsia="宋体" w:cs="Times New Roman"/>
                <w:sz w:val="24"/>
              </w:rPr>
              <w:t>万元</w:t>
            </w:r>
          </w:p>
        </w:tc>
      </w:tr>
      <w:tr w14:paraId="2E37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43698E9A">
            <w:pPr>
              <w:jc w:val="center"/>
              <w:rPr>
                <w:rFonts w:ascii="宋体" w:hAnsi="宋体" w:eastAsia="宋体" w:cs="Times New Roman"/>
                <w:sz w:val="24"/>
              </w:rPr>
            </w:pPr>
            <w:r>
              <w:rPr>
                <w:rFonts w:ascii="宋体" w:hAnsi="宋体" w:eastAsia="宋体" w:cs="Times New Roman"/>
                <w:sz w:val="24"/>
              </w:rPr>
              <w:t>采购数量</w:t>
            </w:r>
          </w:p>
        </w:tc>
        <w:tc>
          <w:tcPr>
            <w:tcW w:w="864" w:type="pct"/>
            <w:noWrap w:val="0"/>
            <w:vAlign w:val="center"/>
          </w:tcPr>
          <w:p w14:paraId="0526BD8A">
            <w:pPr>
              <w:jc w:val="center"/>
              <w:rPr>
                <w:rFonts w:ascii="宋体" w:hAnsi="宋体" w:eastAsia="宋体" w:cs="Times New Roman"/>
                <w:sz w:val="24"/>
              </w:rPr>
            </w:pPr>
            <w:r>
              <w:rPr>
                <w:rFonts w:hint="eastAsia" w:ascii="宋体" w:hAnsi="宋体" w:eastAsia="宋体" w:cs="Times New Roman"/>
                <w:sz w:val="24"/>
              </w:rPr>
              <w:t>1套</w:t>
            </w:r>
          </w:p>
        </w:tc>
        <w:tc>
          <w:tcPr>
            <w:tcW w:w="992" w:type="pct"/>
            <w:noWrap w:val="0"/>
            <w:vAlign w:val="center"/>
          </w:tcPr>
          <w:p w14:paraId="28B5AB70">
            <w:pPr>
              <w:jc w:val="center"/>
              <w:rPr>
                <w:rFonts w:ascii="宋体" w:hAnsi="宋体" w:eastAsia="宋体" w:cs="Times New Roman"/>
                <w:sz w:val="24"/>
              </w:rPr>
            </w:pPr>
            <w:r>
              <w:rPr>
                <w:rFonts w:ascii="宋体" w:hAnsi="宋体" w:eastAsia="宋体" w:cs="Times New Roman"/>
                <w:sz w:val="24"/>
              </w:rPr>
              <w:t>交货期</w:t>
            </w:r>
          </w:p>
        </w:tc>
        <w:tc>
          <w:tcPr>
            <w:tcW w:w="1965" w:type="pct"/>
            <w:noWrap w:val="0"/>
            <w:vAlign w:val="center"/>
          </w:tcPr>
          <w:p w14:paraId="5993930D">
            <w:pPr>
              <w:jc w:val="center"/>
              <w:rPr>
                <w:rFonts w:ascii="宋体" w:hAnsi="宋体" w:eastAsia="宋体" w:cs="Times New Roman"/>
                <w:sz w:val="24"/>
              </w:rPr>
            </w:pPr>
            <w:r>
              <w:rPr>
                <w:rFonts w:ascii="宋体" w:hAnsi="宋体" w:eastAsia="宋体" w:cs="Times New Roman"/>
                <w:sz w:val="24"/>
              </w:rPr>
              <w:t>招标完成，合同签订后</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1</w:t>
            </w:r>
            <w:r>
              <w:rPr>
                <w:rFonts w:ascii="宋体" w:hAnsi="宋体" w:eastAsia="宋体" w:cs="Times New Roman"/>
                <w:sz w:val="24"/>
                <w:u w:val="single"/>
              </w:rPr>
              <w:t xml:space="preserve"> </w:t>
            </w:r>
            <w:r>
              <w:rPr>
                <w:rFonts w:ascii="宋体" w:hAnsi="宋体" w:eastAsia="宋体" w:cs="Times New Roman"/>
                <w:sz w:val="24"/>
              </w:rPr>
              <w:t>个月</w:t>
            </w:r>
          </w:p>
        </w:tc>
      </w:tr>
      <w:tr w14:paraId="7B3E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trPr>
        <w:tc>
          <w:tcPr>
            <w:tcW w:w="1179" w:type="pct"/>
            <w:tcBorders>
              <w:right w:val="single" w:color="auto" w:sz="4" w:space="0"/>
            </w:tcBorders>
            <w:noWrap w:val="0"/>
            <w:vAlign w:val="center"/>
          </w:tcPr>
          <w:p w14:paraId="703A08BC">
            <w:pPr>
              <w:jc w:val="center"/>
              <w:rPr>
                <w:rFonts w:ascii="宋体" w:hAnsi="宋体" w:eastAsia="宋体" w:cs="Times New Roman"/>
                <w:sz w:val="24"/>
              </w:rPr>
            </w:pPr>
            <w:r>
              <w:rPr>
                <w:rFonts w:ascii="宋体" w:hAnsi="宋体" w:eastAsia="宋体" w:cs="Times New Roman"/>
                <w:sz w:val="24"/>
              </w:rPr>
              <w:t>拟采购项目的</w:t>
            </w:r>
          </w:p>
          <w:p w14:paraId="708B1C98">
            <w:pPr>
              <w:jc w:val="center"/>
              <w:rPr>
                <w:rFonts w:ascii="宋体" w:hAnsi="宋体" w:eastAsia="宋体" w:cs="Times New Roman"/>
                <w:sz w:val="24"/>
              </w:rPr>
            </w:pPr>
            <w:r>
              <w:rPr>
                <w:rFonts w:ascii="宋体" w:hAnsi="宋体" w:eastAsia="宋体" w:cs="Times New Roman"/>
                <w:sz w:val="24"/>
              </w:rPr>
              <w:t>配置要求</w:t>
            </w:r>
          </w:p>
        </w:tc>
        <w:tc>
          <w:tcPr>
            <w:tcW w:w="3821" w:type="pct"/>
            <w:gridSpan w:val="3"/>
            <w:tcBorders>
              <w:top w:val="single" w:color="auto" w:sz="4" w:space="0"/>
              <w:left w:val="single" w:color="auto" w:sz="4" w:space="0"/>
              <w:right w:val="single" w:color="auto" w:sz="4" w:space="0"/>
            </w:tcBorders>
            <w:noWrap w:val="0"/>
            <w:vAlign w:val="top"/>
          </w:tcPr>
          <w:p w14:paraId="3B33B1D6">
            <w:pPr>
              <w:rPr>
                <w:rFonts w:ascii="宋体" w:hAnsi="宋体" w:eastAsia="宋体" w:cs="Times New Roman"/>
                <w:sz w:val="24"/>
              </w:rPr>
            </w:pPr>
            <w:r>
              <w:rPr>
                <w:rFonts w:hint="eastAsia" w:ascii="宋体" w:hAnsi="宋体" w:eastAsia="宋体" w:cs="仿宋"/>
                <w:sz w:val="24"/>
              </w:rPr>
              <w:t>必测指标：总碳（TC）、总无机碳（TIC）、非挥发性有机碳（NPOC）、总有机碳（TOC，支持 TC-TIC 差减法与 NPOC 直接测定双模式），适配干旱区土壤、水体、植物枯落物、沉积物等多介质样本。检出限：针对干旱区低 TOC 样本（如荒漠土壤、贫营养水体），TOC≤0.1mg/L（液态样本）、≤0.01%（固态样本）；TIC≤0.5mg/L（液态）、≤0.1%（固态）；TC 检出限与 TOC 一致，确保低浓度样本检测准确性。支持固态（土壤、沉积物、植物残体）、液态（地表水、地下水、土壤浸提液）样本检测，固态样本单次进样量 5-200mg，液态样本 50-500μL，可处理高盐（含盐量≤25%）、高碳酸盐（TIC 占比≤60%）样本（如干旱区盐碱土），避免基质干扰。配备 TIC 预处理模块（酸解 - 吹扫系统），可高效去除土壤、沉积物中的碳酸盐，确保 TOC 测定不受 TIC 干扰（如荒漠土壤中碳酸钙对有机碳检测的影响）。</w:t>
            </w:r>
          </w:p>
        </w:tc>
      </w:tr>
      <w:tr w14:paraId="7CD33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exact"/>
        </w:trPr>
        <w:tc>
          <w:tcPr>
            <w:tcW w:w="1179" w:type="pct"/>
            <w:vMerge w:val="restart"/>
            <w:tcBorders>
              <w:top w:val="single" w:color="auto" w:sz="4" w:space="0"/>
              <w:left w:val="single" w:color="auto" w:sz="4" w:space="0"/>
              <w:bottom w:val="single" w:color="auto" w:sz="4" w:space="0"/>
              <w:right w:val="single" w:color="auto" w:sz="4" w:space="0"/>
            </w:tcBorders>
            <w:noWrap w:val="0"/>
            <w:vAlign w:val="center"/>
          </w:tcPr>
          <w:p w14:paraId="31736AD4">
            <w:pPr>
              <w:jc w:val="center"/>
              <w:rPr>
                <w:rFonts w:ascii="宋体" w:hAnsi="宋体" w:eastAsia="宋体" w:cs="Times New Roman"/>
                <w:sz w:val="24"/>
              </w:rPr>
            </w:pPr>
            <w:r>
              <w:rPr>
                <w:rFonts w:ascii="宋体" w:hAnsi="宋体" w:eastAsia="宋体" w:cs="Times New Roman"/>
                <w:sz w:val="24"/>
              </w:rPr>
              <w:t>拟采购项目的</w:t>
            </w:r>
          </w:p>
          <w:p w14:paraId="3F978140">
            <w:pPr>
              <w:jc w:val="center"/>
              <w:rPr>
                <w:rFonts w:ascii="宋体" w:hAnsi="宋体" w:eastAsia="宋体" w:cs="Times New Roman"/>
                <w:sz w:val="24"/>
              </w:rPr>
            </w:pPr>
            <w:r>
              <w:rPr>
                <w:rFonts w:ascii="宋体" w:hAnsi="宋体" w:eastAsia="宋体" w:cs="Times New Roman"/>
                <w:sz w:val="24"/>
              </w:rPr>
              <w:t>技术指标</w:t>
            </w:r>
          </w:p>
        </w:tc>
        <w:tc>
          <w:tcPr>
            <w:tcW w:w="3821" w:type="pct"/>
            <w:gridSpan w:val="3"/>
            <w:tcBorders>
              <w:top w:val="single" w:color="auto" w:sz="4" w:space="0"/>
              <w:left w:val="single" w:color="auto" w:sz="4" w:space="0"/>
              <w:bottom w:val="nil"/>
              <w:right w:val="single" w:color="auto" w:sz="4" w:space="0"/>
            </w:tcBorders>
            <w:noWrap w:val="0"/>
            <w:vAlign w:val="top"/>
          </w:tcPr>
          <w:p w14:paraId="3C1A866E">
            <w:pPr>
              <w:pStyle w:val="3"/>
              <w:spacing w:beforeAutospacing="0" w:afterAutospacing="0"/>
              <w:jc w:val="both"/>
              <w:rPr>
                <w:rFonts w:ascii="宋体" w:hAnsi="宋体" w:eastAsia="宋体"/>
              </w:rPr>
            </w:pPr>
          </w:p>
        </w:tc>
      </w:tr>
      <w:tr w14:paraId="3CEA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79" w:type="pct"/>
            <w:vMerge w:val="continue"/>
            <w:tcBorders>
              <w:top w:val="single" w:color="auto" w:sz="4" w:space="0"/>
              <w:left w:val="single" w:color="auto" w:sz="4" w:space="0"/>
              <w:bottom w:val="single" w:color="auto" w:sz="4" w:space="0"/>
              <w:right w:val="single" w:color="auto" w:sz="4" w:space="0"/>
            </w:tcBorders>
            <w:noWrap w:val="0"/>
            <w:vAlign w:val="center"/>
          </w:tcPr>
          <w:p w14:paraId="501AD7D9">
            <w:pPr>
              <w:pStyle w:val="3"/>
              <w:spacing w:beforeAutospacing="0" w:afterAutospacing="0"/>
              <w:jc w:val="both"/>
              <w:rPr>
                <w:rFonts w:ascii="宋体" w:hAnsi="宋体" w:eastAsia="宋体"/>
              </w:rPr>
            </w:pPr>
          </w:p>
        </w:tc>
        <w:tc>
          <w:tcPr>
            <w:tcW w:w="3821" w:type="pct"/>
            <w:gridSpan w:val="3"/>
            <w:tcBorders>
              <w:top w:val="nil"/>
              <w:left w:val="single" w:color="auto" w:sz="4" w:space="0"/>
              <w:bottom w:val="single" w:color="auto" w:sz="4" w:space="0"/>
              <w:right w:val="single" w:color="auto" w:sz="4" w:space="0"/>
            </w:tcBorders>
            <w:noWrap w:val="0"/>
            <w:vAlign w:val="top"/>
          </w:tcPr>
          <w:p w14:paraId="505B6A31">
            <w:pPr>
              <w:rPr>
                <w:rFonts w:hint="eastAsia" w:ascii="宋体" w:hAnsi="宋体" w:eastAsia="宋体" w:cs="仿宋"/>
                <w:sz w:val="24"/>
              </w:rPr>
            </w:pPr>
            <w:r>
              <w:rPr>
                <w:rFonts w:hint="eastAsia" w:ascii="宋体" w:hAnsi="宋体" w:eastAsia="宋体" w:cs="仿宋"/>
                <w:sz w:val="24"/>
              </w:rPr>
              <w:t>1、主机技术参数要求：</w:t>
            </w:r>
          </w:p>
          <w:p w14:paraId="763FC500">
            <w:pPr>
              <w:ind w:firstLine="480" w:firstLineChars="200"/>
              <w:rPr>
                <w:rFonts w:hint="eastAsia" w:ascii="宋体" w:hAnsi="宋体" w:eastAsia="宋体" w:cs="仿宋"/>
                <w:sz w:val="24"/>
              </w:rPr>
            </w:pPr>
            <w:r>
              <w:rPr>
                <w:rFonts w:hint="eastAsia" w:ascii="宋体" w:hAnsi="宋体" w:eastAsia="宋体" w:cs="仿宋"/>
                <w:sz w:val="24"/>
              </w:rPr>
              <w:t>1.1、操作方式：电脑联机控制</w:t>
            </w:r>
          </w:p>
          <w:p w14:paraId="315F0B46">
            <w:pPr>
              <w:ind w:firstLine="480" w:firstLineChars="200"/>
              <w:rPr>
                <w:rFonts w:hint="eastAsia" w:ascii="宋体" w:hAnsi="宋体" w:eastAsia="宋体" w:cs="仿宋"/>
                <w:sz w:val="24"/>
              </w:rPr>
            </w:pPr>
            <w:r>
              <w:rPr>
                <w:rFonts w:hint="eastAsia" w:ascii="宋体" w:hAnsi="宋体" w:eastAsia="宋体" w:cs="仿宋"/>
                <w:sz w:val="24"/>
              </w:rPr>
              <w:t>1.2、应用样品：水样、固体</w:t>
            </w:r>
          </w:p>
          <w:p w14:paraId="18C1802D">
            <w:pPr>
              <w:ind w:firstLine="480" w:firstLineChars="200"/>
              <w:rPr>
                <w:rFonts w:hint="eastAsia" w:ascii="宋体" w:hAnsi="宋体" w:eastAsia="宋体" w:cs="仿宋"/>
                <w:sz w:val="24"/>
              </w:rPr>
            </w:pPr>
            <w:r>
              <w:rPr>
                <w:rFonts w:hint="eastAsia" w:ascii="宋体" w:hAnsi="宋体" w:eastAsia="宋体" w:cs="仿宋"/>
                <w:sz w:val="24"/>
              </w:rPr>
              <w:t>1.3、检测项目：TC、TIC、NPOC、TOC</w:t>
            </w:r>
          </w:p>
          <w:p w14:paraId="50814455">
            <w:pPr>
              <w:ind w:firstLine="480" w:firstLineChars="200"/>
              <w:rPr>
                <w:rFonts w:hint="eastAsia" w:ascii="宋体" w:hAnsi="宋体" w:eastAsia="宋体" w:cs="仿宋"/>
                <w:sz w:val="24"/>
              </w:rPr>
            </w:pPr>
            <w:r>
              <w:rPr>
                <w:rFonts w:hint="eastAsia" w:ascii="宋体" w:hAnsi="宋体" w:eastAsia="宋体" w:cs="仿宋"/>
                <w:sz w:val="24"/>
              </w:rPr>
              <w:t>#1.4、TC消解原理：高温催化氧化及紫外过硫酸盐可切换</w:t>
            </w:r>
          </w:p>
          <w:p w14:paraId="77BE49EF">
            <w:pPr>
              <w:ind w:firstLine="480" w:firstLineChars="200"/>
              <w:rPr>
                <w:rFonts w:hint="eastAsia" w:ascii="宋体" w:hAnsi="宋体" w:eastAsia="宋体" w:cs="仿宋"/>
                <w:sz w:val="24"/>
              </w:rPr>
            </w:pPr>
            <w:r>
              <w:rPr>
                <w:rFonts w:hint="eastAsia" w:ascii="宋体" w:hAnsi="宋体" w:eastAsia="宋体" w:cs="仿宋"/>
                <w:sz w:val="24"/>
              </w:rPr>
              <w:t>1.5、燃烧温度：690-1000℃可调</w:t>
            </w:r>
          </w:p>
          <w:p w14:paraId="3794A843">
            <w:pPr>
              <w:ind w:firstLine="480" w:firstLineChars="200"/>
              <w:rPr>
                <w:rFonts w:hint="eastAsia" w:ascii="宋体" w:hAnsi="宋体" w:eastAsia="宋体" w:cs="仿宋"/>
                <w:sz w:val="24"/>
              </w:rPr>
            </w:pPr>
            <w:r>
              <w:rPr>
                <w:rFonts w:hint="eastAsia" w:ascii="宋体" w:hAnsi="宋体" w:eastAsia="宋体" w:cs="仿宋"/>
                <w:sz w:val="24"/>
              </w:rPr>
              <w:t>1.6、催化剂：铂金催化剂或氧化铈</w:t>
            </w:r>
          </w:p>
          <w:p w14:paraId="1105CAE6">
            <w:pPr>
              <w:ind w:firstLine="480" w:firstLineChars="200"/>
              <w:rPr>
                <w:rFonts w:hint="eastAsia" w:ascii="宋体" w:hAnsi="宋体" w:eastAsia="宋体" w:cs="仿宋"/>
                <w:sz w:val="24"/>
              </w:rPr>
            </w:pPr>
            <w:r>
              <w:rPr>
                <w:rFonts w:hint="eastAsia" w:ascii="宋体" w:hAnsi="宋体" w:eastAsia="宋体" w:cs="仿宋"/>
                <w:sz w:val="24"/>
              </w:rPr>
              <w:t>1.7、检测器：高性能NDIR</w:t>
            </w:r>
          </w:p>
          <w:p w14:paraId="79550005">
            <w:pPr>
              <w:ind w:firstLine="480" w:firstLineChars="200"/>
              <w:rPr>
                <w:rFonts w:hint="eastAsia" w:ascii="宋体" w:hAnsi="宋体" w:eastAsia="宋体" w:cs="仿宋"/>
                <w:sz w:val="24"/>
              </w:rPr>
            </w:pPr>
            <w:r>
              <w:rPr>
                <w:rFonts w:hint="eastAsia" w:ascii="宋体" w:hAnsi="宋体" w:eastAsia="宋体" w:cs="仿宋"/>
                <w:sz w:val="24"/>
              </w:rPr>
              <w:t>#1.8、测量范围：TOC：0-30000mg/l</w:t>
            </w:r>
          </w:p>
          <w:p w14:paraId="69A49CC1">
            <w:pPr>
              <w:ind w:firstLine="480" w:firstLineChars="200"/>
              <w:rPr>
                <w:rFonts w:hint="eastAsia" w:ascii="宋体" w:hAnsi="宋体" w:eastAsia="宋体" w:cs="仿宋"/>
                <w:sz w:val="24"/>
              </w:rPr>
            </w:pPr>
            <w:r>
              <w:rPr>
                <w:rFonts w:hint="eastAsia" w:ascii="宋体" w:hAnsi="宋体" w:eastAsia="宋体" w:cs="仿宋"/>
                <w:sz w:val="24"/>
              </w:rPr>
              <w:t>1.9、液体进样量：100-5000ul</w:t>
            </w:r>
          </w:p>
          <w:p w14:paraId="04C78F89">
            <w:pPr>
              <w:ind w:firstLine="480" w:firstLineChars="200"/>
              <w:rPr>
                <w:rFonts w:hint="eastAsia" w:ascii="宋体" w:hAnsi="宋体" w:eastAsia="宋体" w:cs="仿宋"/>
                <w:sz w:val="24"/>
              </w:rPr>
            </w:pPr>
            <w:r>
              <w:rPr>
                <w:rFonts w:ascii="宋体" w:hAnsi="宋体" w:eastAsia="宋体" w:cs="仿宋"/>
                <w:sz w:val="24"/>
              </w:rPr>
              <w:t>1.10</w:t>
            </w:r>
            <w:r>
              <w:rPr>
                <w:rFonts w:hint="eastAsia" w:ascii="宋体" w:hAnsi="宋体" w:eastAsia="宋体" w:cs="仿宋"/>
                <w:sz w:val="24"/>
              </w:rPr>
              <w:t>固体进样量：0-200</w:t>
            </w:r>
            <w:r>
              <w:rPr>
                <w:rFonts w:ascii="宋体" w:hAnsi="宋体" w:eastAsia="宋体" w:cs="仿宋"/>
                <w:sz w:val="24"/>
              </w:rPr>
              <w:t>mg</w:t>
            </w:r>
          </w:p>
          <w:p w14:paraId="001E0F04">
            <w:pPr>
              <w:ind w:firstLine="480" w:firstLineChars="200"/>
              <w:rPr>
                <w:rFonts w:hint="eastAsia" w:ascii="宋体" w:hAnsi="宋体" w:eastAsia="宋体" w:cs="仿宋"/>
                <w:sz w:val="24"/>
              </w:rPr>
            </w:pPr>
            <w:r>
              <w:rPr>
                <w:rFonts w:hint="eastAsia" w:ascii="Times New Roman" w:hAnsi="Times New Roman" w:eastAsia="宋体" w:cs="仿宋"/>
                <w:sz w:val="24"/>
                <w:szCs w:val="21"/>
              </w:rPr>
              <w:t>#</w:t>
            </w:r>
            <w:r>
              <w:rPr>
                <w:rFonts w:ascii="宋体" w:hAnsi="宋体" w:eastAsia="宋体" w:cs="仿宋"/>
                <w:sz w:val="24"/>
              </w:rPr>
              <w:t>1.1</w:t>
            </w:r>
            <w:r>
              <w:rPr>
                <w:rFonts w:hint="eastAsia" w:ascii="宋体" w:hAnsi="宋体" w:eastAsia="宋体" w:cs="仿宋"/>
                <w:sz w:val="24"/>
              </w:rPr>
              <w:t>1最低检出限：小于</w:t>
            </w:r>
            <w:r>
              <w:rPr>
                <w:rFonts w:ascii="宋体" w:hAnsi="宋体" w:eastAsia="宋体" w:cs="仿宋"/>
                <w:sz w:val="24"/>
              </w:rPr>
              <w:t>20ppb</w:t>
            </w:r>
          </w:p>
          <w:p w14:paraId="55891B33">
            <w:pPr>
              <w:ind w:firstLine="480" w:firstLineChars="200"/>
              <w:rPr>
                <w:rFonts w:hint="eastAsia" w:ascii="宋体" w:hAnsi="宋体" w:eastAsia="宋体" w:cs="仿宋"/>
                <w:sz w:val="24"/>
              </w:rPr>
            </w:pPr>
            <w:r>
              <w:rPr>
                <w:rFonts w:hint="eastAsia" w:ascii="宋体" w:hAnsi="宋体" w:eastAsia="宋体" w:cs="仿宋"/>
                <w:sz w:val="24"/>
              </w:rPr>
              <w:t>1.12、重复性：3%</w:t>
            </w:r>
          </w:p>
          <w:p w14:paraId="5520F71D">
            <w:pPr>
              <w:ind w:firstLine="480" w:firstLineChars="200"/>
              <w:rPr>
                <w:rFonts w:hint="eastAsia" w:ascii="宋体" w:hAnsi="宋体" w:eastAsia="宋体" w:cs="仿宋"/>
                <w:sz w:val="24"/>
              </w:rPr>
            </w:pPr>
            <w:r>
              <w:rPr>
                <w:rFonts w:hint="eastAsia" w:ascii="宋体" w:hAnsi="宋体" w:eastAsia="宋体" w:cs="仿宋"/>
                <w:sz w:val="24"/>
              </w:rPr>
              <w:t>#1.13、检测精度：5%</w:t>
            </w:r>
          </w:p>
          <w:p w14:paraId="42DBAC78">
            <w:pPr>
              <w:ind w:firstLine="480" w:firstLineChars="200"/>
              <w:rPr>
                <w:rFonts w:hint="eastAsia" w:ascii="宋体" w:hAnsi="宋体" w:eastAsia="宋体" w:cs="仿宋"/>
                <w:sz w:val="24"/>
              </w:rPr>
            </w:pPr>
            <w:r>
              <w:rPr>
                <w:rFonts w:hint="eastAsia" w:ascii="宋体" w:hAnsi="宋体" w:eastAsia="宋体" w:cs="仿宋"/>
                <w:sz w:val="24"/>
              </w:rPr>
              <w:t>1.14、氧气耗氧量：小于150ml/min</w:t>
            </w:r>
          </w:p>
          <w:p w14:paraId="5303E453">
            <w:pPr>
              <w:ind w:firstLine="480" w:firstLineChars="200"/>
              <w:rPr>
                <w:rFonts w:hint="eastAsia" w:ascii="宋体" w:hAnsi="宋体" w:eastAsia="宋体" w:cs="仿宋"/>
                <w:sz w:val="24"/>
              </w:rPr>
            </w:pPr>
            <w:r>
              <w:rPr>
                <w:rFonts w:hint="eastAsia" w:ascii="宋体" w:hAnsi="宋体" w:eastAsia="宋体" w:cs="仿宋"/>
                <w:sz w:val="24"/>
              </w:rPr>
              <w:t>1.15、进样泵：采用注射泵进样，精度高，重复性好，可根据样品测量列表控制不同的进样量</w:t>
            </w:r>
          </w:p>
          <w:p w14:paraId="562B1705">
            <w:pPr>
              <w:ind w:firstLine="480" w:firstLineChars="200"/>
              <w:rPr>
                <w:rFonts w:hint="eastAsia" w:ascii="宋体" w:hAnsi="宋体" w:eastAsia="宋体" w:cs="仿宋"/>
                <w:sz w:val="24"/>
              </w:rPr>
            </w:pPr>
            <w:r>
              <w:rPr>
                <w:rFonts w:hint="eastAsia" w:ascii="宋体" w:hAnsi="宋体" w:eastAsia="宋体" w:cs="仿宋"/>
                <w:sz w:val="24"/>
              </w:rPr>
              <w:t>#1.16、固体自动进样器位数：24位</w:t>
            </w:r>
          </w:p>
          <w:p w14:paraId="74E5C716">
            <w:pPr>
              <w:ind w:firstLine="480" w:firstLineChars="200"/>
              <w:rPr>
                <w:rFonts w:hint="eastAsia" w:ascii="宋体" w:hAnsi="宋体" w:eastAsia="宋体" w:cs="仿宋"/>
                <w:sz w:val="24"/>
              </w:rPr>
            </w:pPr>
            <w:r>
              <w:rPr>
                <w:rFonts w:hint="eastAsia" w:ascii="宋体" w:hAnsi="宋体" w:eastAsia="宋体" w:cs="仿宋"/>
                <w:sz w:val="24"/>
              </w:rPr>
              <w:t>1.17、固体检测时间：</w:t>
            </w:r>
            <w:r>
              <w:rPr>
                <w:rFonts w:ascii="宋体" w:hAnsi="宋体" w:eastAsia="宋体" w:cs="仿宋"/>
                <w:sz w:val="24"/>
              </w:rPr>
              <w:t>&lt;</w:t>
            </w:r>
            <w:r>
              <w:rPr>
                <w:rFonts w:hint="eastAsia" w:ascii="宋体" w:hAnsi="宋体" w:eastAsia="宋体" w:cs="仿宋"/>
                <w:sz w:val="24"/>
              </w:rPr>
              <w:t>11</w:t>
            </w:r>
            <w:r>
              <w:rPr>
                <w:rFonts w:ascii="宋体" w:hAnsi="宋体" w:eastAsia="宋体" w:cs="仿宋"/>
                <w:sz w:val="24"/>
              </w:rPr>
              <w:t>min</w:t>
            </w:r>
          </w:p>
          <w:p w14:paraId="24735AE0">
            <w:pPr>
              <w:ind w:firstLine="480" w:firstLineChars="200"/>
              <w:rPr>
                <w:rFonts w:hint="eastAsia" w:ascii="宋体" w:hAnsi="宋体" w:eastAsia="宋体" w:cs="仿宋"/>
                <w:sz w:val="24"/>
              </w:rPr>
            </w:pPr>
            <w:r>
              <w:rPr>
                <w:rFonts w:hint="eastAsia" w:ascii="宋体" w:hAnsi="宋体" w:eastAsia="宋体" w:cs="仿宋"/>
                <w:sz w:val="24"/>
              </w:rPr>
              <w:t>1.18、固体燃烧采用横向燃烧炉进样，维护简单</w:t>
            </w:r>
          </w:p>
          <w:p w14:paraId="6E525CA7">
            <w:pPr>
              <w:ind w:firstLine="480" w:firstLineChars="200"/>
              <w:rPr>
                <w:rFonts w:hint="eastAsia" w:ascii="宋体" w:hAnsi="宋体" w:eastAsia="宋体" w:cs="仿宋"/>
                <w:sz w:val="24"/>
              </w:rPr>
            </w:pPr>
            <w:r>
              <w:rPr>
                <w:rFonts w:hint="eastAsia" w:ascii="宋体" w:hAnsi="宋体" w:eastAsia="宋体" w:cs="仿宋"/>
                <w:sz w:val="24"/>
              </w:rPr>
              <w:t>1.19、液体燃烧炉前置，更加方便使用和维护</w:t>
            </w:r>
          </w:p>
          <w:p w14:paraId="77EF39A5">
            <w:pPr>
              <w:ind w:firstLine="480" w:firstLineChars="200"/>
              <w:rPr>
                <w:rFonts w:hint="eastAsia" w:ascii="宋体" w:hAnsi="宋体" w:eastAsia="宋体" w:cs="仿宋"/>
                <w:sz w:val="24"/>
              </w:rPr>
            </w:pPr>
            <w:r>
              <w:rPr>
                <w:rFonts w:hint="eastAsia" w:ascii="宋体" w:hAnsi="宋体" w:eastAsia="宋体" w:cs="仿宋"/>
                <w:sz w:val="24"/>
              </w:rPr>
              <w:t>1.20、长管程拔插式除卤素器，去除卤素对检测器的影响，无需手动装填除卤素剂</w:t>
            </w:r>
          </w:p>
          <w:p w14:paraId="2B447F08">
            <w:pPr>
              <w:ind w:firstLine="480" w:firstLineChars="200"/>
              <w:rPr>
                <w:rFonts w:hint="eastAsia" w:ascii="宋体" w:hAnsi="宋体" w:eastAsia="宋体" w:cs="仿宋"/>
                <w:sz w:val="24"/>
              </w:rPr>
            </w:pPr>
            <w:r>
              <w:rPr>
                <w:rFonts w:hint="eastAsia" w:ascii="宋体" w:hAnsi="宋体" w:eastAsia="宋体" w:cs="仿宋"/>
                <w:sz w:val="24"/>
              </w:rPr>
              <w:t>1.</w:t>
            </w:r>
            <w:r>
              <w:rPr>
                <w:rFonts w:ascii="宋体" w:hAnsi="宋体" w:eastAsia="宋体" w:cs="仿宋"/>
                <w:sz w:val="24"/>
              </w:rPr>
              <w:t>2</w:t>
            </w:r>
            <w:r>
              <w:rPr>
                <w:rFonts w:hint="eastAsia" w:ascii="宋体" w:hAnsi="宋体" w:eastAsia="宋体" w:cs="仿宋"/>
                <w:sz w:val="24"/>
              </w:rPr>
              <w:t>1、采用Nafion管有效进行水汽隔离，无需普通脱水膜</w:t>
            </w:r>
          </w:p>
          <w:p w14:paraId="3090223D">
            <w:pPr>
              <w:ind w:firstLine="480" w:firstLineChars="200"/>
              <w:rPr>
                <w:rFonts w:hint="eastAsia" w:ascii="宋体" w:hAnsi="宋体" w:eastAsia="宋体" w:cs="仿宋"/>
                <w:sz w:val="24"/>
              </w:rPr>
            </w:pPr>
            <w:r>
              <w:rPr>
                <w:rFonts w:hint="eastAsia" w:ascii="宋体" w:hAnsi="宋体" w:eastAsia="宋体" w:cs="仿宋"/>
                <w:sz w:val="24"/>
              </w:rPr>
              <w:t>#1.22、可拓展总氮检测</w:t>
            </w:r>
          </w:p>
          <w:p w14:paraId="6B99BA3F">
            <w:pPr>
              <w:rPr>
                <w:rFonts w:hint="eastAsia" w:ascii="宋体" w:hAnsi="宋体" w:eastAsia="宋体" w:cs="仿宋"/>
                <w:sz w:val="24"/>
              </w:rPr>
            </w:pPr>
            <w:r>
              <w:rPr>
                <w:rFonts w:hint="eastAsia" w:ascii="宋体" w:hAnsi="宋体" w:eastAsia="宋体" w:cs="仿宋"/>
                <w:sz w:val="24"/>
              </w:rPr>
              <w:t>2、软件要求：</w:t>
            </w:r>
          </w:p>
          <w:p w14:paraId="12615D68">
            <w:pPr>
              <w:ind w:firstLine="480" w:firstLineChars="200"/>
              <w:rPr>
                <w:rFonts w:hint="eastAsia" w:ascii="宋体" w:hAnsi="宋体" w:eastAsia="宋体" w:cs="仿宋"/>
                <w:sz w:val="24"/>
              </w:rPr>
            </w:pPr>
            <w:r>
              <w:rPr>
                <w:rFonts w:hint="eastAsia" w:ascii="宋体" w:hAnsi="宋体" w:eastAsia="宋体" w:cs="仿宋"/>
                <w:sz w:val="24"/>
              </w:rPr>
              <w:t>2.1、具有分级权限管理、审计追踪功能</w:t>
            </w:r>
          </w:p>
          <w:p w14:paraId="596E8F3C">
            <w:pPr>
              <w:ind w:firstLine="480" w:firstLineChars="200"/>
              <w:rPr>
                <w:rFonts w:hint="eastAsia" w:ascii="宋体" w:hAnsi="宋体" w:eastAsia="宋体" w:cs="仿宋"/>
                <w:sz w:val="24"/>
              </w:rPr>
            </w:pPr>
            <w:r>
              <w:rPr>
                <w:rFonts w:hint="eastAsia" w:ascii="宋体" w:hAnsi="宋体" w:eastAsia="宋体" w:cs="仿宋"/>
                <w:sz w:val="24"/>
              </w:rPr>
              <w:t>2.2、软件可同时显示实时积分曲线和测量结果，数据测量一目了然，设备工作状态实时查看</w:t>
            </w:r>
          </w:p>
          <w:p w14:paraId="5A490CA0">
            <w:pPr>
              <w:ind w:firstLine="480" w:firstLineChars="200"/>
              <w:rPr>
                <w:rFonts w:hint="eastAsia" w:ascii="宋体" w:hAnsi="宋体" w:eastAsia="宋体" w:cs="仿宋"/>
                <w:sz w:val="24"/>
              </w:rPr>
            </w:pPr>
            <w:r>
              <w:rPr>
                <w:rFonts w:hint="eastAsia" w:ascii="宋体" w:hAnsi="宋体" w:eastAsia="宋体" w:cs="仿宋"/>
                <w:sz w:val="24"/>
              </w:rPr>
              <w:t>2.3、多种进样方式设置，可以选择离线/自动进样器/在线装置/稀释模块</w:t>
            </w:r>
          </w:p>
          <w:p w14:paraId="796D1F01">
            <w:pPr>
              <w:ind w:firstLine="480" w:firstLineChars="200"/>
              <w:rPr>
                <w:rFonts w:hint="eastAsia" w:ascii="宋体" w:hAnsi="宋体" w:eastAsia="宋体" w:cs="仿宋"/>
                <w:sz w:val="24"/>
              </w:rPr>
            </w:pPr>
            <w:r>
              <w:rPr>
                <w:rFonts w:hint="eastAsia" w:ascii="宋体" w:hAnsi="宋体" w:eastAsia="宋体" w:cs="仿宋"/>
                <w:sz w:val="24"/>
              </w:rPr>
              <w:t xml:space="preserve">2.4、多种测量类型选择，具有样品测量、单点校准、线性校准-等体积、 </w:t>
            </w:r>
          </w:p>
          <w:p w14:paraId="166B23F1">
            <w:pPr>
              <w:ind w:firstLine="480" w:firstLineChars="200"/>
              <w:rPr>
                <w:rFonts w:hint="eastAsia" w:ascii="宋体" w:hAnsi="宋体" w:eastAsia="宋体" w:cs="仿宋"/>
                <w:sz w:val="24"/>
              </w:rPr>
            </w:pPr>
            <w:r>
              <w:rPr>
                <w:rFonts w:hint="eastAsia" w:ascii="宋体" w:hAnsi="宋体" w:eastAsia="宋体" w:cs="仿宋"/>
                <w:sz w:val="24"/>
              </w:rPr>
              <w:t>线性校准-分体积</w:t>
            </w:r>
          </w:p>
          <w:p w14:paraId="46D8FE01">
            <w:pPr>
              <w:ind w:firstLine="480" w:firstLineChars="200"/>
              <w:rPr>
                <w:rFonts w:hint="eastAsia" w:ascii="宋体" w:hAnsi="宋体" w:eastAsia="宋体" w:cs="仿宋"/>
                <w:sz w:val="24"/>
              </w:rPr>
            </w:pPr>
            <w:r>
              <w:rPr>
                <w:rFonts w:hint="eastAsia" w:ascii="宋体" w:hAnsi="宋体" w:eastAsia="宋体" w:cs="仿宋"/>
                <w:sz w:val="24"/>
              </w:rPr>
              <w:t>2.4、数据查询功能可根据数据测量起始和结束时间快速查找并计算平均测量结果</w:t>
            </w:r>
          </w:p>
          <w:p w14:paraId="388D5451">
            <w:pPr>
              <w:ind w:firstLine="480" w:firstLineChars="200"/>
              <w:rPr>
                <w:rFonts w:hint="eastAsia" w:ascii="宋体" w:hAnsi="宋体" w:eastAsia="宋体" w:cs="仿宋"/>
                <w:sz w:val="24"/>
              </w:rPr>
            </w:pPr>
            <w:r>
              <w:rPr>
                <w:rFonts w:hint="eastAsia" w:ascii="宋体" w:hAnsi="宋体" w:eastAsia="宋体" w:cs="仿宋"/>
                <w:sz w:val="24"/>
              </w:rPr>
              <w:t>2.5、数据支持多格式导出，支持excl、PDF等</w:t>
            </w:r>
          </w:p>
          <w:p w14:paraId="5B154DB1">
            <w:pPr>
              <w:rPr>
                <w:rFonts w:hint="eastAsia" w:ascii="宋体" w:hAnsi="宋体" w:eastAsia="宋体" w:cs="仿宋"/>
                <w:sz w:val="24"/>
              </w:rPr>
            </w:pPr>
            <w:r>
              <w:rPr>
                <w:rFonts w:hint="eastAsia" w:ascii="宋体" w:hAnsi="宋体" w:eastAsia="宋体" w:cs="仿宋"/>
                <w:sz w:val="24"/>
              </w:rPr>
              <w:t>#3、配置要求：</w:t>
            </w:r>
          </w:p>
          <w:p w14:paraId="726F69AA">
            <w:pPr>
              <w:ind w:firstLine="480" w:firstLineChars="200"/>
              <w:rPr>
                <w:rFonts w:hint="eastAsia" w:ascii="宋体" w:hAnsi="宋体" w:eastAsia="宋体" w:cs="仿宋"/>
                <w:sz w:val="24"/>
              </w:rPr>
            </w:pPr>
            <w:r>
              <w:rPr>
                <w:rFonts w:hint="eastAsia" w:ascii="宋体" w:hAnsi="宋体" w:eastAsia="宋体" w:cs="仿宋"/>
                <w:sz w:val="24"/>
              </w:rPr>
              <w:t>3.1、总有机碳分析仪主机：1台</w:t>
            </w:r>
          </w:p>
          <w:p w14:paraId="7C77212D">
            <w:pPr>
              <w:ind w:firstLine="480" w:firstLineChars="200"/>
              <w:rPr>
                <w:rFonts w:hint="eastAsia" w:ascii="宋体" w:hAnsi="宋体" w:eastAsia="宋体" w:cs="仿宋"/>
                <w:sz w:val="24"/>
              </w:rPr>
            </w:pPr>
            <w:r>
              <w:rPr>
                <w:rFonts w:hint="eastAsia" w:ascii="宋体" w:hAnsi="宋体" w:eastAsia="宋体" w:cs="仿宋"/>
                <w:sz w:val="24"/>
              </w:rPr>
              <w:t>3.2、固体燃烧进样模块：1套</w:t>
            </w:r>
          </w:p>
          <w:p w14:paraId="2C659111">
            <w:pPr>
              <w:ind w:firstLine="480" w:firstLineChars="200"/>
              <w:rPr>
                <w:rFonts w:hint="eastAsia" w:ascii="宋体" w:hAnsi="宋体" w:eastAsia="宋体" w:cs="仿宋"/>
                <w:sz w:val="24"/>
              </w:rPr>
            </w:pPr>
            <w:r>
              <w:rPr>
                <w:rFonts w:hint="eastAsia" w:ascii="宋体" w:hAnsi="宋体" w:eastAsia="宋体" w:cs="仿宋"/>
                <w:sz w:val="24"/>
              </w:rPr>
              <w:t>3.3、40位固体自动进样器1套</w:t>
            </w:r>
          </w:p>
          <w:p w14:paraId="432607A9">
            <w:pPr>
              <w:ind w:firstLine="480" w:firstLineChars="200"/>
              <w:rPr>
                <w:rFonts w:hint="eastAsia" w:ascii="宋体" w:hAnsi="宋体" w:eastAsia="宋体" w:cs="仿宋"/>
                <w:sz w:val="24"/>
              </w:rPr>
            </w:pPr>
            <w:r>
              <w:rPr>
                <w:rFonts w:hint="eastAsia" w:ascii="宋体" w:hAnsi="宋体" w:eastAsia="宋体" w:cs="仿宋"/>
                <w:sz w:val="24"/>
              </w:rPr>
              <w:t>3.4、</w:t>
            </w:r>
            <w:r>
              <w:rPr>
                <w:rFonts w:ascii="宋体" w:hAnsi="宋体" w:eastAsia="宋体" w:cs="仿宋"/>
                <w:sz w:val="24"/>
              </w:rPr>
              <w:t>24</w:t>
            </w:r>
            <w:r>
              <w:rPr>
                <w:rFonts w:hint="eastAsia" w:ascii="宋体" w:hAnsi="宋体" w:eastAsia="宋体" w:cs="仿宋"/>
                <w:sz w:val="24"/>
              </w:rPr>
              <w:t>位液体自动进样器</w:t>
            </w:r>
            <w:r>
              <w:rPr>
                <w:rFonts w:ascii="宋体" w:hAnsi="宋体" w:eastAsia="宋体" w:cs="仿宋"/>
                <w:sz w:val="24"/>
              </w:rPr>
              <w:t>1</w:t>
            </w:r>
            <w:r>
              <w:rPr>
                <w:rFonts w:hint="eastAsia" w:ascii="宋体" w:hAnsi="宋体" w:eastAsia="宋体" w:cs="仿宋"/>
                <w:sz w:val="24"/>
              </w:rPr>
              <w:t>套</w:t>
            </w:r>
          </w:p>
          <w:p w14:paraId="52715A63">
            <w:pPr>
              <w:ind w:firstLine="480" w:firstLineChars="200"/>
              <w:rPr>
                <w:rFonts w:hint="eastAsia" w:ascii="宋体" w:hAnsi="宋体" w:eastAsia="宋体" w:cs="仿宋"/>
                <w:sz w:val="24"/>
              </w:rPr>
            </w:pPr>
            <w:r>
              <w:rPr>
                <w:rFonts w:hint="eastAsia" w:ascii="宋体" w:hAnsi="宋体" w:eastAsia="宋体" w:cs="仿宋"/>
                <w:sz w:val="24"/>
              </w:rPr>
              <w:t>3.5、原装操作软件：1套</w:t>
            </w:r>
          </w:p>
          <w:p w14:paraId="62AF5FC8">
            <w:pPr>
              <w:ind w:firstLine="480" w:firstLineChars="200"/>
              <w:rPr>
                <w:rFonts w:ascii="宋体" w:hAnsi="宋体" w:eastAsia="宋体" w:cs="仿宋"/>
                <w:sz w:val="24"/>
              </w:rPr>
            </w:pPr>
            <w:r>
              <w:rPr>
                <w:rFonts w:hint="eastAsia" w:ascii="宋体" w:hAnsi="宋体" w:eastAsia="宋体" w:cs="仿宋"/>
                <w:sz w:val="24"/>
              </w:rPr>
              <w:t>3.6、减压阀：1套</w:t>
            </w:r>
          </w:p>
          <w:p w14:paraId="62BCAE65">
            <w:pPr>
              <w:ind w:firstLine="480" w:firstLineChars="200"/>
              <w:rPr>
                <w:rFonts w:hint="eastAsia" w:ascii="宋体" w:hAnsi="宋体" w:eastAsia="宋体" w:cs="仿宋"/>
                <w:sz w:val="24"/>
              </w:rPr>
            </w:pPr>
            <w:r>
              <w:rPr>
                <w:rFonts w:ascii="宋体" w:hAnsi="宋体" w:eastAsia="宋体" w:cs="仿宋"/>
                <w:sz w:val="24"/>
              </w:rPr>
              <w:t>3.</w:t>
            </w:r>
            <w:r>
              <w:rPr>
                <w:rFonts w:hint="eastAsia" w:ascii="宋体" w:hAnsi="宋体" w:eastAsia="宋体" w:cs="仿宋"/>
                <w:sz w:val="24"/>
              </w:rPr>
              <w:t>7、常用消耗品包：1个</w:t>
            </w:r>
          </w:p>
          <w:p w14:paraId="658ABDCA">
            <w:pPr>
              <w:ind w:firstLine="480" w:firstLineChars="200"/>
              <w:rPr>
                <w:rFonts w:ascii="宋体" w:hAnsi="宋体" w:eastAsia="宋体" w:cs="仿宋"/>
                <w:sz w:val="24"/>
              </w:rPr>
            </w:pPr>
            <w:r>
              <w:rPr>
                <w:rFonts w:hint="eastAsia" w:ascii="宋体" w:hAnsi="宋体" w:eastAsia="宋体" w:cs="仿宋"/>
                <w:sz w:val="24"/>
              </w:rPr>
              <w:t>3.8、终端数据显示处理工作站</w:t>
            </w:r>
          </w:p>
        </w:tc>
      </w:tr>
      <w:tr w14:paraId="7AEE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trPr>
        <w:tc>
          <w:tcPr>
            <w:tcW w:w="1179" w:type="pct"/>
            <w:tcBorders>
              <w:top w:val="single" w:color="auto" w:sz="4" w:space="0"/>
              <w:right w:val="single" w:color="auto" w:sz="4" w:space="0"/>
            </w:tcBorders>
            <w:noWrap w:val="0"/>
            <w:vAlign w:val="center"/>
          </w:tcPr>
          <w:p w14:paraId="58C4479A">
            <w:pPr>
              <w:jc w:val="center"/>
              <w:rPr>
                <w:rFonts w:ascii="宋体" w:hAnsi="宋体" w:eastAsia="宋体" w:cs="Times New Roman"/>
                <w:sz w:val="24"/>
              </w:rPr>
            </w:pPr>
            <w:r>
              <w:rPr>
                <w:rFonts w:ascii="宋体" w:hAnsi="宋体" w:eastAsia="宋体" w:cs="Times New Roman"/>
                <w:sz w:val="24"/>
              </w:rPr>
              <w:t>服务需求</w:t>
            </w:r>
          </w:p>
        </w:tc>
        <w:tc>
          <w:tcPr>
            <w:tcW w:w="3821" w:type="pct"/>
            <w:gridSpan w:val="3"/>
            <w:tcBorders>
              <w:top w:val="single" w:color="auto" w:sz="4" w:space="0"/>
              <w:left w:val="single" w:color="auto" w:sz="4" w:space="0"/>
              <w:right w:val="single" w:color="auto" w:sz="4" w:space="0"/>
            </w:tcBorders>
            <w:noWrap w:val="0"/>
            <w:vAlign w:val="top"/>
          </w:tcPr>
          <w:p w14:paraId="421C90F1">
            <w:pPr>
              <w:autoSpaceDE w:val="0"/>
              <w:autoSpaceDN w:val="0"/>
              <w:adjustRightInd w:val="0"/>
              <w:snapToGrid w:val="0"/>
              <w:spacing w:before="62" w:beforeLines="20"/>
              <w:rPr>
                <w:rFonts w:hint="eastAsia" w:ascii="宋体" w:hAnsi="宋体" w:eastAsia="宋体" w:cs="Times New Roman"/>
                <w:sz w:val="24"/>
              </w:rPr>
            </w:pPr>
            <w:r>
              <w:rPr>
                <w:rFonts w:hint="eastAsia" w:ascii="宋体" w:hAnsi="宋体" w:eastAsia="宋体" w:cs="Times New Roman"/>
                <w:sz w:val="24"/>
              </w:rPr>
              <w:t xml:space="preserve">1、供应商免费安排工程师上门安装、调试，免费为用户进行操作及维护培训。 </w:t>
            </w:r>
          </w:p>
          <w:p w14:paraId="5DEE2960">
            <w:pPr>
              <w:autoSpaceDE w:val="0"/>
              <w:autoSpaceDN w:val="0"/>
              <w:adjustRightInd w:val="0"/>
              <w:snapToGrid w:val="0"/>
              <w:spacing w:before="62" w:beforeLines="20"/>
              <w:rPr>
                <w:rFonts w:hint="eastAsia" w:ascii="宋体" w:hAnsi="宋体" w:eastAsia="宋体" w:cs="Times New Roman"/>
                <w:sz w:val="24"/>
              </w:rPr>
            </w:pPr>
            <w:r>
              <w:rPr>
                <w:rFonts w:hint="eastAsia" w:ascii="宋体" w:hAnsi="宋体" w:eastAsia="宋体" w:cs="Times New Roman"/>
                <w:sz w:val="24"/>
              </w:rPr>
              <w:t>2、质保期  1  年，质保期内免费维修或更换部件，维修2次仍无法正常使用应整体更换。质保期后，供应商以优惠价格负责后续维修保养，提供全周期技术支持。</w:t>
            </w:r>
          </w:p>
          <w:p w14:paraId="0CF0EDD5">
            <w:pPr>
              <w:autoSpaceDE w:val="0"/>
              <w:autoSpaceDN w:val="0"/>
              <w:adjustRightInd w:val="0"/>
              <w:snapToGrid w:val="0"/>
              <w:rPr>
                <w:rFonts w:ascii="宋体" w:hAnsi="宋体" w:eastAsia="宋体" w:cs="Times New Roman"/>
                <w:sz w:val="24"/>
              </w:rPr>
            </w:pPr>
            <w:r>
              <w:rPr>
                <w:rFonts w:hint="eastAsia" w:ascii="宋体" w:hAnsi="宋体" w:eastAsia="宋体" w:cs="Times New Roman"/>
                <w:sz w:val="24"/>
              </w:rPr>
              <w:t>3、供应商应在接到售后服务要求后4小时内响应、24小时内安排技术人员解决或提供解决方案。出现重大紧急故障，应在接到通知后48小时内赶赴现场排除故障。</w:t>
            </w:r>
          </w:p>
        </w:tc>
      </w:tr>
      <w:tr w14:paraId="46AF5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79" w:type="pct"/>
            <w:noWrap w:val="0"/>
            <w:vAlign w:val="center"/>
          </w:tcPr>
          <w:p w14:paraId="10E23065">
            <w:pPr>
              <w:jc w:val="center"/>
              <w:rPr>
                <w:rFonts w:ascii="宋体" w:hAnsi="宋体" w:eastAsia="宋体" w:cs="Times New Roman"/>
                <w:sz w:val="24"/>
              </w:rPr>
            </w:pPr>
            <w:r>
              <w:rPr>
                <w:rFonts w:ascii="宋体" w:hAnsi="宋体" w:eastAsia="宋体" w:cs="Times New Roman"/>
                <w:sz w:val="24"/>
              </w:rPr>
              <w:t>其他说明事项</w:t>
            </w:r>
          </w:p>
        </w:tc>
        <w:tc>
          <w:tcPr>
            <w:tcW w:w="3821" w:type="pct"/>
            <w:gridSpan w:val="3"/>
            <w:tcBorders>
              <w:top w:val="single" w:color="auto" w:sz="4" w:space="0"/>
            </w:tcBorders>
            <w:noWrap w:val="0"/>
            <w:vAlign w:val="center"/>
          </w:tcPr>
          <w:p w14:paraId="616DD0B0">
            <w:pPr>
              <w:jc w:val="center"/>
              <w:rPr>
                <w:rFonts w:hint="eastAsia" w:ascii="宋体" w:hAnsi="宋体" w:eastAsia="宋体" w:cs="Times New Roman"/>
                <w:kern w:val="0"/>
                <w:sz w:val="24"/>
                <w:lang w:bidi="ar"/>
              </w:rPr>
            </w:pPr>
            <w:r>
              <w:rPr>
                <w:rFonts w:hint="eastAsia" w:ascii="宋体" w:hAnsi="宋体" w:eastAsia="宋体" w:cs="Times New Roman"/>
                <w:kern w:val="0"/>
                <w:sz w:val="24"/>
                <w:lang w:bidi="ar"/>
              </w:rPr>
              <w:t>甲方收到全部货物并技术验收合格后凭发票于30日内全额付款。</w:t>
            </w:r>
          </w:p>
        </w:tc>
      </w:tr>
    </w:tbl>
    <w:p w14:paraId="2F00D646">
      <w:pPr>
        <w:widowControl/>
        <w:spacing w:line="360" w:lineRule="atLeast"/>
        <w:rPr>
          <w:rFonts w:hint="eastAsia" w:ascii="宋体" w:hAnsi="宋体" w:eastAsia="宋体" w:cs="Times New Roman"/>
          <w:b/>
          <w:sz w:val="30"/>
          <w:szCs w:val="30"/>
        </w:rPr>
      </w:pPr>
    </w:p>
    <w:p w14:paraId="333FB88A">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036A1"/>
    <w:rsid w:val="5EA03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paragraph" w:styleId="3">
    <w:name w:val="Normal (Web)"/>
    <w:qFormat/>
    <w:uiPriority w:val="99"/>
    <w:pPr>
      <w:widowControl/>
      <w:spacing w:before="100" w:beforeAutospacing="1" w:after="100" w:afterAutospacing="1"/>
      <w:jc w:val="left"/>
    </w:pPr>
    <w:rPr>
      <w:rFonts w:ascii="Arial Unicode MS" w:hAnsi="Arial Unicode MS" w:eastAsia="Arial Unicode MS" w:cs="Arial Unicode MS"/>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2025-11-28T10:33:00Z</dcterms:created>
  <dc:creator>顾嘉宁</dc:creator>
  <cp:lastModifiedBy>顾嘉宁</cp:lastModifiedBy>
  <dcterms:modified xsi:type="dcterms:W3CDTF">2025-11-28T10:33:23Z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8564A8D7628D4046ACDB3EED96DA0506_11</vt:lpwstr>
  </property>
  <property fmtid="{D5CDD505-2E9C-101B-9397-08002B2CF9AE}" pid="4" name="KSOTemplateDocerSaveRecord">
    <vt:lpwstr>eyJoZGlkIjoiZjUyMjZiYjQwOTljOWFlMTY1NjA4M2M4Nzk1M2ZiZTAiLCJ1c2VySWQiOiIxNjYzMDExNDYwIn0=</vt:lpwstr>
  </property>
</Properties>
</file>