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ADF88">
      <w:pPr>
        <w:pStyle w:val="2"/>
        <w:spacing w:before="0" w:after="0" w:line="720" w:lineRule="auto"/>
        <w:jc w:val="center"/>
        <w:rPr>
          <w:rFonts w:hint="eastAsia" w:ascii="宋体" w:hAnsi="宋体" w:eastAsia="宋体"/>
          <w:color w:val="auto"/>
          <w:highlight w:val="none"/>
          <w:lang w:eastAsia="zh-CN"/>
        </w:rPr>
      </w:pPr>
      <w:r>
        <w:rPr>
          <w:rFonts w:hint="eastAsia" w:ascii="宋体" w:hAnsi="宋体"/>
          <w:color w:val="auto"/>
          <w:highlight w:val="none"/>
          <w:lang w:eastAsia="zh-CN"/>
        </w:rPr>
        <w:t>招标内容及要求</w:t>
      </w:r>
    </w:p>
    <w:p w14:paraId="70491C3C">
      <w:pPr>
        <w:rPr>
          <w:rFonts w:hint="eastAsia" w:ascii="宋体" w:hAnsi="宋体"/>
          <w:color w:val="auto"/>
          <w:sz w:val="24"/>
          <w:szCs w:val="24"/>
          <w:highlight w:val="none"/>
        </w:rPr>
      </w:pPr>
    </w:p>
    <w:p w14:paraId="3614DEE9">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一、采购标的需实现的功能或者目标，以及为落实政府采购政策需满足的要求；</w:t>
      </w:r>
    </w:p>
    <w:p w14:paraId="7377D120">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满足医院医疗设备的</w:t>
      </w:r>
      <w:r>
        <w:rPr>
          <w:rFonts w:hint="eastAsia" w:ascii="宋体" w:hAnsi="宋体" w:cs="宋体"/>
          <w:color w:val="auto"/>
          <w:sz w:val="24"/>
          <w:szCs w:val="24"/>
          <w:highlight w:val="none"/>
          <w:lang w:val="en-US" w:eastAsia="zh-CN"/>
        </w:rPr>
        <w:t>使用</w:t>
      </w:r>
      <w:r>
        <w:rPr>
          <w:rFonts w:hint="eastAsia" w:ascii="宋体" w:hAnsi="宋体" w:cs="宋体"/>
          <w:color w:val="auto"/>
          <w:sz w:val="24"/>
          <w:szCs w:val="24"/>
          <w:highlight w:val="none"/>
        </w:rPr>
        <w:t>需求。落实政府采购政策需满足的要求：本项目执行政府采购促进中小企业发展、支持监狱企业、促进残疾人就业、强制采购和优先采购节能、环保产品、鼓励采用优先采购等政府采购政策</w:t>
      </w:r>
      <w:r>
        <w:rPr>
          <w:rFonts w:hint="eastAsia" w:ascii="宋体" w:hAnsi="宋体" w:eastAsia="宋体" w:cs="宋体"/>
          <w:color w:val="auto"/>
          <w:sz w:val="24"/>
          <w:szCs w:val="24"/>
          <w:highlight w:val="none"/>
        </w:rPr>
        <w:t>。</w:t>
      </w:r>
    </w:p>
    <w:p w14:paraId="1C8FF19A">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二、采购标的需执行的国家相关标准、行业标准、地方标准或者其他标准、规范；</w:t>
      </w:r>
    </w:p>
    <w:p w14:paraId="3EF1A537">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投标人所提供设备必须是成熟的、稳定的产品，提供的产品符合国家的相关标准及要求。 </w:t>
      </w:r>
    </w:p>
    <w:p w14:paraId="0E432E7D">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三、采购标的需满足的质量、安全、技术规格、物理特性等要求；</w:t>
      </w:r>
    </w:p>
    <w:p w14:paraId="649FD743">
      <w:pPr>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符合国家医疗器械相关标准，</w:t>
      </w:r>
      <w:r>
        <w:rPr>
          <w:rFonts w:hint="eastAsia" w:ascii="宋体" w:hAnsi="宋体" w:cs="宋体"/>
          <w:color w:val="auto"/>
          <w:sz w:val="24"/>
          <w:szCs w:val="24"/>
          <w:highlight w:val="none"/>
          <w:lang w:val="en-US" w:eastAsia="zh-CN"/>
        </w:rPr>
        <w:t>按</w:t>
      </w:r>
      <w:r>
        <w:rPr>
          <w:rFonts w:hint="eastAsia" w:ascii="宋体" w:hAnsi="宋体" w:eastAsia="宋体" w:cs="宋体"/>
          <w:color w:val="auto"/>
          <w:sz w:val="24"/>
          <w:szCs w:val="24"/>
          <w:highlight w:val="none"/>
        </w:rPr>
        <w:t>技术规格</w:t>
      </w:r>
      <w:r>
        <w:rPr>
          <w:rFonts w:hint="eastAsia" w:ascii="宋体" w:hAnsi="宋体" w:eastAsia="宋体" w:cs="宋体"/>
          <w:color w:val="auto"/>
          <w:sz w:val="24"/>
          <w:szCs w:val="24"/>
          <w:highlight w:val="none"/>
          <w:lang w:val="en-US" w:eastAsia="zh-CN"/>
        </w:rPr>
        <w:t>及要求执行</w:t>
      </w:r>
      <w:r>
        <w:rPr>
          <w:rFonts w:hint="eastAsia" w:ascii="宋体" w:hAnsi="宋体" w:eastAsia="宋体" w:cs="宋体"/>
          <w:color w:val="auto"/>
          <w:sz w:val="24"/>
          <w:szCs w:val="24"/>
          <w:highlight w:val="none"/>
          <w:lang w:eastAsia="zh-CN"/>
        </w:rPr>
        <w:t>。</w:t>
      </w:r>
    </w:p>
    <w:p w14:paraId="674CDDF3">
      <w:pPr>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四、采购标的的数量、采购项目交付或者实施的时间和地点； </w:t>
      </w:r>
    </w:p>
    <w:p w14:paraId="2E052802">
      <w:pPr>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（一）技术参数、</w:t>
      </w:r>
      <w:r>
        <w:rPr>
          <w:rFonts w:hint="eastAsia" w:ascii="宋体" w:hAnsi="宋体" w:eastAsia="宋体" w:cs="宋体"/>
          <w:color w:val="auto"/>
          <w:sz w:val="24"/>
          <w:szCs w:val="24"/>
          <w:highlight w:val="none"/>
          <w:vertAlign w:val="baseline"/>
          <w:lang w:eastAsia="zh-CN"/>
        </w:rPr>
        <w:t>配置要求</w:t>
      </w:r>
      <w:r>
        <w:rPr>
          <w:rFonts w:hint="eastAsia" w:ascii="宋体" w:hAnsi="宋体" w:eastAsia="宋体" w:cs="宋体"/>
          <w:color w:val="auto"/>
          <w:sz w:val="24"/>
          <w:szCs w:val="24"/>
          <w:highlight w:val="none"/>
          <w:vertAlign w:val="baseline"/>
          <w:lang w:val="en-US" w:eastAsia="zh-CN"/>
        </w:rPr>
        <w:t>、</w:t>
      </w:r>
      <w:r>
        <w:rPr>
          <w:rFonts w:hint="eastAsia" w:ascii="宋体" w:hAnsi="宋体" w:eastAsia="宋体" w:cs="宋体"/>
          <w:color w:val="auto"/>
          <w:sz w:val="24"/>
          <w:szCs w:val="24"/>
          <w:highlight w:val="none"/>
          <w:vertAlign w:val="baseline"/>
          <w:lang w:eastAsia="zh-CN"/>
        </w:rPr>
        <w:t>设备限价、质保期</w:t>
      </w:r>
      <w:r>
        <w:rPr>
          <w:rFonts w:hint="eastAsia" w:ascii="宋体" w:hAnsi="宋体" w:eastAsia="宋体" w:cs="宋体"/>
          <w:color w:val="auto"/>
          <w:sz w:val="24"/>
          <w:szCs w:val="24"/>
          <w:highlight w:val="none"/>
          <w:vertAlign w:val="baseline"/>
          <w:lang w:val="en-US" w:eastAsia="zh-CN"/>
        </w:rPr>
        <w:t>明细</w:t>
      </w:r>
      <w:r>
        <w:rPr>
          <w:rFonts w:hint="eastAsia" w:ascii="宋体" w:hAnsi="宋体" w:eastAsia="宋体" w:cs="宋体"/>
          <w:b/>
          <w:bCs/>
          <w:color w:val="auto"/>
          <w:sz w:val="24"/>
          <w:szCs w:val="24"/>
          <w:highlight w:val="none"/>
          <w:vertAlign w:val="baseline"/>
          <w:lang w:val="en-US" w:eastAsia="zh-CN"/>
        </w:rPr>
        <w:t>(</w:t>
      </w:r>
      <w:r>
        <w:rPr>
          <w:rFonts w:hint="eastAsia"/>
          <w:b/>
          <w:bCs/>
          <w:color w:val="auto"/>
          <w:sz w:val="24"/>
          <w:highlight w:val="none"/>
        </w:rPr>
        <w:t>注：</w:t>
      </w:r>
      <w:r>
        <w:rPr>
          <w:rFonts w:hint="eastAsia"/>
          <w:b/>
          <w:bCs/>
          <w:color w:val="auto"/>
          <w:sz w:val="24"/>
          <w:highlight w:val="none"/>
          <w:lang w:eastAsia="zh-CN"/>
        </w:rPr>
        <w:t>仪器</w:t>
      </w:r>
      <w:r>
        <w:rPr>
          <w:rFonts w:hint="eastAsia"/>
          <w:b/>
          <w:bCs/>
          <w:color w:val="auto"/>
          <w:sz w:val="24"/>
          <w:highlight w:val="none"/>
          <w:lang w:val="en-US" w:eastAsia="zh-CN"/>
        </w:rPr>
        <w:t>设备的配置要求和质保期不在技术参数打分范围，属于必须响应。</w:t>
      </w:r>
      <w:r>
        <w:rPr>
          <w:rFonts w:hint="eastAsia" w:ascii="宋体" w:hAnsi="宋体" w:eastAsia="宋体" w:cs="宋体"/>
          <w:b/>
          <w:bCs/>
          <w:color w:val="auto"/>
          <w:sz w:val="24"/>
          <w:szCs w:val="24"/>
          <w:highlight w:val="none"/>
          <w:vertAlign w:val="baseline"/>
          <w:lang w:val="en-US" w:eastAsia="zh-CN"/>
        </w:rPr>
        <w:t>)</w:t>
      </w:r>
    </w:p>
    <w:p w14:paraId="784F650C">
      <w:pPr>
        <w:pStyle w:val="3"/>
        <w:bidi w:val="0"/>
        <w:rPr>
          <w:rFonts w:hint="eastAsia"/>
          <w:color w:val="auto"/>
          <w:highlight w:val="none"/>
          <w:lang w:val="en-US" w:eastAsia="zh-CN"/>
        </w:rPr>
      </w:pPr>
      <w:r>
        <w:rPr>
          <w:rFonts w:hint="eastAsia"/>
          <w:color w:val="auto"/>
          <w:highlight w:val="none"/>
          <w:lang w:val="en-US" w:eastAsia="zh-CN"/>
        </w:rPr>
        <w:t>包1：</w:t>
      </w:r>
    </w:p>
    <w:tbl>
      <w:tblPr>
        <w:tblStyle w:val="5"/>
        <w:tblpPr w:leftFromText="180" w:rightFromText="180" w:vertAnchor="text" w:horzAnchor="page" w:tblpX="1072" w:tblpY="4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0"/>
        <w:gridCol w:w="6752"/>
      </w:tblGrid>
      <w:tr w14:paraId="6A04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255BFD5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eastAsia="zh-CN"/>
              </w:rPr>
              <w:t>设备名称</w:t>
            </w:r>
            <w:r>
              <w:rPr>
                <w:rFonts w:hint="eastAsia" w:ascii="宋体" w:hAnsi="宋体" w:eastAsia="宋体" w:cs="宋体"/>
                <w:color w:val="auto"/>
                <w:sz w:val="24"/>
                <w:szCs w:val="24"/>
                <w:highlight w:val="none"/>
                <w:vertAlign w:val="baseline"/>
                <w:lang w:val="en-US" w:eastAsia="zh-CN"/>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56847F80">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纯音听阈测定仪</w:t>
            </w:r>
          </w:p>
        </w:tc>
      </w:tr>
      <w:tr w14:paraId="2B7F7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50FB3C11">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设备详细参数及性能指标要求</w:t>
            </w:r>
          </w:p>
        </w:tc>
        <w:tc>
          <w:tcPr>
            <w:tcW w:w="0" w:type="auto"/>
            <w:tcBorders>
              <w:top w:val="single" w:color="auto" w:sz="4" w:space="0"/>
              <w:left w:val="single" w:color="auto" w:sz="4" w:space="0"/>
              <w:bottom w:val="single" w:color="auto" w:sz="4" w:space="0"/>
              <w:right w:val="single" w:color="auto" w:sz="4" w:space="0"/>
            </w:tcBorders>
            <w:noWrap w:val="0"/>
            <w:vAlign w:val="top"/>
          </w:tcPr>
          <w:p w14:paraId="2E2FBBE1">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1、测试功能包含：气导听阈、骨导听阈、声场测听、言语测听</w:t>
            </w:r>
          </w:p>
          <w:p w14:paraId="3003A3F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★2、气导耳机频率输出范围≥125Hz～12000Hz；频率输出精度≤1%</w:t>
            </w:r>
          </w:p>
          <w:p w14:paraId="70328F29">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★3、骨导耳机频率输出范围≥250Hz～8000Hz；频率输出精度≤1%</w:t>
            </w:r>
          </w:p>
          <w:p w14:paraId="3282165B">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4、气导耳机声强输出范围≥－10～120dBHL</w:t>
            </w:r>
          </w:p>
          <w:p w14:paraId="672D9CD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5、骨导耳机声强输出范围≥－10～70dBHL</w:t>
            </w:r>
          </w:p>
          <w:p w14:paraId="7883FC9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6、谐波失真气导&lt;2.5％；骨导&lt;5％</w:t>
            </w:r>
          </w:p>
          <w:p w14:paraId="3D74728A">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7、声强步进 1、2.5、5dB</w:t>
            </w:r>
          </w:p>
          <w:p w14:paraId="764AE70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8、纯音输出类型：连续音、脉冲音、啭音等</w:t>
            </w:r>
          </w:p>
          <w:p w14:paraId="7E0C014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9、掩蔽音类型有：窄带噪声、白噪声、言语噪声</w:t>
            </w:r>
          </w:p>
          <w:p w14:paraId="45623568">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10 掩蔽方法：具有简便易学的掩蔽方式</w:t>
            </w:r>
          </w:p>
          <w:p w14:paraId="03685C61">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11、通话和监听功能：内置通话麦克风及扬声器</w:t>
            </w:r>
          </w:p>
          <w:p w14:paraId="55019F3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★12、设备操作界面、按键、联机软件全中文 </w:t>
            </w:r>
          </w:p>
          <w:p w14:paraId="6AB3C70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★13、可编辑的中文测试报告</w:t>
            </w:r>
          </w:p>
        </w:tc>
      </w:tr>
      <w:tr w14:paraId="73B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48" w:type="dxa"/>
            <w:tcBorders>
              <w:top w:val="single" w:color="auto" w:sz="4" w:space="0"/>
              <w:left w:val="single" w:color="auto" w:sz="4" w:space="0"/>
              <w:bottom w:val="single" w:color="auto" w:sz="4" w:space="0"/>
              <w:right w:val="single" w:color="auto" w:sz="4" w:space="0"/>
            </w:tcBorders>
            <w:noWrap w:val="0"/>
            <w:vAlign w:val="center"/>
          </w:tcPr>
          <w:p w14:paraId="79C146A3">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配置要求</w:t>
            </w:r>
          </w:p>
        </w:tc>
        <w:tc>
          <w:tcPr>
            <w:tcW w:w="8608" w:type="dxa"/>
            <w:tcBorders>
              <w:top w:val="single" w:color="auto" w:sz="4" w:space="0"/>
              <w:left w:val="single" w:color="auto" w:sz="4" w:space="0"/>
              <w:bottom w:val="single" w:color="auto" w:sz="4" w:space="0"/>
              <w:right w:val="single" w:color="auto" w:sz="4" w:space="0"/>
            </w:tcBorders>
            <w:noWrap w:val="0"/>
            <w:vAlign w:val="center"/>
          </w:tcPr>
          <w:p w14:paraId="461DAA0E">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1、气导耳机、骨导耳机、病人应答器；</w:t>
            </w:r>
          </w:p>
          <w:p w14:paraId="16060A58">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2、工作站</w:t>
            </w:r>
          </w:p>
        </w:tc>
      </w:tr>
      <w:tr w14:paraId="13E2D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22178B39">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设备限价（单价）</w:t>
            </w:r>
          </w:p>
        </w:tc>
        <w:tc>
          <w:tcPr>
            <w:tcW w:w="0" w:type="auto"/>
            <w:tcBorders>
              <w:top w:val="single" w:color="auto" w:sz="4" w:space="0"/>
              <w:left w:val="single" w:color="auto" w:sz="4" w:space="0"/>
              <w:bottom w:val="single" w:color="auto" w:sz="4" w:space="0"/>
              <w:right w:val="single" w:color="auto" w:sz="4" w:space="0"/>
            </w:tcBorders>
            <w:noWrap w:val="0"/>
            <w:vAlign w:val="top"/>
          </w:tcPr>
          <w:p w14:paraId="3142F067">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9万元</w:t>
            </w:r>
          </w:p>
        </w:tc>
      </w:tr>
      <w:tr w14:paraId="76DB4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top"/>
          </w:tcPr>
          <w:p w14:paraId="6D29463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质保期</w:t>
            </w:r>
          </w:p>
        </w:tc>
        <w:tc>
          <w:tcPr>
            <w:tcW w:w="0" w:type="auto"/>
            <w:tcBorders>
              <w:top w:val="single" w:color="auto" w:sz="4" w:space="0"/>
              <w:left w:val="single" w:color="auto" w:sz="4" w:space="0"/>
              <w:bottom w:val="single" w:color="auto" w:sz="4" w:space="0"/>
              <w:right w:val="single" w:color="auto" w:sz="4" w:space="0"/>
            </w:tcBorders>
            <w:noWrap w:val="0"/>
            <w:vAlign w:val="top"/>
          </w:tcPr>
          <w:p w14:paraId="6B8EDB5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≥3年</w:t>
            </w:r>
          </w:p>
        </w:tc>
      </w:tr>
    </w:tbl>
    <w:p w14:paraId="143E4631">
      <w:pPr>
        <w:pStyle w:val="4"/>
        <w:rPr>
          <w:rFonts w:hint="eastAsia"/>
          <w:color w:val="auto"/>
          <w:highlight w:val="none"/>
          <w:lang w:val="en-US" w:eastAsia="zh-CN"/>
        </w:rPr>
      </w:pPr>
    </w:p>
    <w:p w14:paraId="6EFE7260">
      <w:pPr>
        <w:pStyle w:val="4"/>
        <w:rPr>
          <w:rFonts w:hint="eastAsia"/>
          <w:color w:val="auto"/>
          <w:highlight w:val="none"/>
          <w:lang w:val="en-US" w:eastAsia="zh-CN"/>
        </w:rPr>
      </w:pPr>
    </w:p>
    <w:p w14:paraId="2A54B446">
      <w:pPr>
        <w:pStyle w:val="4"/>
        <w:rPr>
          <w:rFonts w:hint="default"/>
          <w:color w:val="auto"/>
          <w:highlight w:val="none"/>
          <w:lang w:val="en-US" w:eastAsia="zh-CN"/>
        </w:rPr>
      </w:pPr>
    </w:p>
    <w:tbl>
      <w:tblPr>
        <w:tblStyle w:val="5"/>
        <w:tblpPr w:leftFromText="180" w:rightFromText="180" w:vertAnchor="text" w:horzAnchor="page" w:tblpX="1072" w:tblpY="4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0"/>
        <w:gridCol w:w="6742"/>
      </w:tblGrid>
      <w:tr w14:paraId="11C0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5CBF89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eastAsia="zh-CN"/>
              </w:rPr>
              <w:t>设备名称</w:t>
            </w:r>
            <w:r>
              <w:rPr>
                <w:rFonts w:hint="eastAsia" w:ascii="宋体" w:hAnsi="宋体" w:eastAsia="宋体" w:cs="宋体"/>
                <w:color w:val="auto"/>
                <w:sz w:val="24"/>
                <w:szCs w:val="24"/>
                <w:highlight w:val="none"/>
                <w:vertAlign w:val="baseline"/>
                <w:lang w:val="en-US" w:eastAsia="zh-CN"/>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7895FD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耳声发射仪</w:t>
            </w:r>
          </w:p>
        </w:tc>
      </w:tr>
      <w:tr w14:paraId="67B8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4F9A9757">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设备详细参数及性能指标要求</w:t>
            </w:r>
          </w:p>
        </w:tc>
        <w:tc>
          <w:tcPr>
            <w:tcW w:w="0" w:type="auto"/>
            <w:tcBorders>
              <w:top w:val="single" w:color="auto" w:sz="4" w:space="0"/>
              <w:left w:val="single" w:color="auto" w:sz="4" w:space="0"/>
              <w:bottom w:val="single" w:color="auto" w:sz="4" w:space="0"/>
              <w:right w:val="single" w:color="auto" w:sz="4" w:space="0"/>
            </w:tcBorders>
            <w:noWrap w:val="0"/>
            <w:vAlign w:val="top"/>
          </w:tcPr>
          <w:p w14:paraId="3012574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1、具备畸变产物耳声发射(DPOAE)诊断测试</w:t>
            </w:r>
          </w:p>
          <w:p w14:paraId="2273930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★2、电脑软件联机操作、支持直接输入患者信息（姓名、生日、 ID 、检查者、日期和时间）、中文操作软件、通过患者编辑软件上传测试结果，或将软件数据下传给主机，结果导岀其他软件。</w:t>
            </w:r>
          </w:p>
          <w:p w14:paraId="4F5D65B8">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3、打印：可通过标签打印机、PDF或通过联机软件打印</w:t>
            </w:r>
          </w:p>
          <w:p w14:paraId="0F96C7F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★4、刺激声类型：纯音</w:t>
            </w:r>
          </w:p>
          <w:p w14:paraId="7D0BB41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5、可选测试频率，重复校准的最大次数</w:t>
            </w:r>
          </w:p>
          <w:p w14:paraId="7B72D38A">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6、显示信息：响应水平、噪声水平和测试进度</w:t>
            </w:r>
          </w:p>
          <w:p w14:paraId="0420E9D9">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7、测试结果：通过，有明确响应；未通过，无明确响应或测试结果不完整。</w:t>
            </w:r>
          </w:p>
          <w:p w14:paraId="15CAA6C7">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8、反应识别：相位统计法</w:t>
            </w:r>
          </w:p>
          <w:p w14:paraId="577C49A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9、噪声识别：近2f2-f1处窄带噪声</w:t>
            </w:r>
          </w:p>
          <w:p w14:paraId="05842807">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10、残余噪声计算：加权叠加，综合叠加因素</w:t>
            </w:r>
          </w:p>
          <w:p w14:paraId="4DF3DDF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11、伪迹拒绝：加权叠加</w:t>
            </w:r>
          </w:p>
          <w:p w14:paraId="73FDD84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12、泄露检查：反馈信号分析</w:t>
            </w:r>
          </w:p>
          <w:p w14:paraId="62B69C3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13、探头检测：最大声压极限(“刺激声”)，扬声器间对比(“对称性”)，泄露检查(“探头匹配”)</w:t>
            </w:r>
          </w:p>
          <w:p w14:paraId="58A4E97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14、校准：耳内校准</w:t>
            </w:r>
          </w:p>
          <w:p w14:paraId="368882F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★15、在用户自定义的频率范围内测量 DPOAE 图表或测量 DPOAE 精细结构。</w:t>
            </w:r>
          </w:p>
          <w:p w14:paraId="4E35914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★16、测试频率精度：1~10点/倍频程</w:t>
            </w:r>
          </w:p>
          <w:p w14:paraId="49F5737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17、手动复测特定频点</w:t>
            </w:r>
          </w:p>
          <w:p w14:paraId="3037CA9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18、DPOAE诊断测试时间：自适应时间停止、手动设置最小、最大时间停止</w:t>
            </w:r>
          </w:p>
        </w:tc>
      </w:tr>
      <w:tr w14:paraId="31B8A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48" w:type="dxa"/>
            <w:tcBorders>
              <w:top w:val="single" w:color="auto" w:sz="4" w:space="0"/>
              <w:left w:val="single" w:color="auto" w:sz="4" w:space="0"/>
              <w:bottom w:val="single" w:color="auto" w:sz="4" w:space="0"/>
              <w:right w:val="single" w:color="auto" w:sz="4" w:space="0"/>
            </w:tcBorders>
            <w:noWrap w:val="0"/>
            <w:vAlign w:val="center"/>
          </w:tcPr>
          <w:p w14:paraId="1D263E31">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配置要求</w:t>
            </w:r>
          </w:p>
        </w:tc>
        <w:tc>
          <w:tcPr>
            <w:tcW w:w="8608" w:type="dxa"/>
            <w:tcBorders>
              <w:top w:val="single" w:color="auto" w:sz="4" w:space="0"/>
              <w:left w:val="single" w:color="auto" w:sz="4" w:space="0"/>
              <w:bottom w:val="single" w:color="auto" w:sz="4" w:space="0"/>
              <w:right w:val="single" w:color="auto" w:sz="4" w:space="0"/>
            </w:tcBorders>
            <w:noWrap w:val="0"/>
            <w:vAlign w:val="center"/>
          </w:tcPr>
          <w:p w14:paraId="2E3BF48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配工作站1套。</w:t>
            </w:r>
          </w:p>
        </w:tc>
      </w:tr>
      <w:tr w14:paraId="03650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592997B">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设备限价（单价）</w:t>
            </w:r>
          </w:p>
        </w:tc>
        <w:tc>
          <w:tcPr>
            <w:tcW w:w="0" w:type="auto"/>
            <w:tcBorders>
              <w:top w:val="single" w:color="auto" w:sz="4" w:space="0"/>
              <w:left w:val="single" w:color="auto" w:sz="4" w:space="0"/>
              <w:bottom w:val="single" w:color="auto" w:sz="4" w:space="0"/>
              <w:right w:val="single" w:color="auto" w:sz="4" w:space="0"/>
            </w:tcBorders>
            <w:noWrap w:val="0"/>
            <w:vAlign w:val="top"/>
          </w:tcPr>
          <w:p w14:paraId="31EB87DA">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16.5万元</w:t>
            </w:r>
          </w:p>
        </w:tc>
      </w:tr>
      <w:tr w14:paraId="333A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top"/>
          </w:tcPr>
          <w:p w14:paraId="0EE6DD3E">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质保期</w:t>
            </w:r>
          </w:p>
        </w:tc>
        <w:tc>
          <w:tcPr>
            <w:tcW w:w="0" w:type="auto"/>
            <w:tcBorders>
              <w:top w:val="single" w:color="auto" w:sz="4" w:space="0"/>
              <w:left w:val="single" w:color="auto" w:sz="4" w:space="0"/>
              <w:bottom w:val="single" w:color="auto" w:sz="4" w:space="0"/>
              <w:right w:val="single" w:color="auto" w:sz="4" w:space="0"/>
            </w:tcBorders>
            <w:noWrap w:val="0"/>
            <w:vAlign w:val="top"/>
          </w:tcPr>
          <w:p w14:paraId="148F352A">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≥3年</w:t>
            </w:r>
          </w:p>
        </w:tc>
      </w:tr>
    </w:tbl>
    <w:p w14:paraId="76AF2A4A">
      <w:pPr>
        <w:pStyle w:val="4"/>
        <w:rPr>
          <w:rFonts w:hint="default"/>
          <w:color w:val="auto"/>
          <w:highlight w:val="none"/>
          <w:lang w:val="en-US" w:eastAsia="zh-CN"/>
        </w:rPr>
      </w:pPr>
    </w:p>
    <w:tbl>
      <w:tblPr>
        <w:tblStyle w:val="5"/>
        <w:tblpPr w:leftFromText="180" w:rightFromText="180" w:vertAnchor="text" w:horzAnchor="page" w:tblpX="1072" w:tblpY="4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5"/>
        <w:gridCol w:w="6757"/>
      </w:tblGrid>
      <w:tr w14:paraId="5E6BE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5BCA8EE9">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eastAsia="zh-CN"/>
              </w:rPr>
              <w:t>设备名称</w:t>
            </w:r>
            <w:r>
              <w:rPr>
                <w:rFonts w:hint="eastAsia" w:ascii="宋体" w:hAnsi="宋体" w:eastAsia="宋体" w:cs="宋体"/>
                <w:color w:val="auto"/>
                <w:sz w:val="24"/>
                <w:szCs w:val="24"/>
                <w:highlight w:val="none"/>
                <w:vertAlign w:val="baseline"/>
                <w:lang w:val="en-US" w:eastAsia="zh-CN"/>
              </w:rPr>
              <w:t>3</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757622D4">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便携式双向多普勒血流探测仪</w:t>
            </w:r>
          </w:p>
        </w:tc>
      </w:tr>
      <w:tr w14:paraId="43E6D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1A78C356">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设备详细参数及性能指标要求</w:t>
            </w:r>
          </w:p>
        </w:tc>
        <w:tc>
          <w:tcPr>
            <w:tcW w:w="0" w:type="auto"/>
            <w:tcBorders>
              <w:top w:val="single" w:color="auto" w:sz="4" w:space="0"/>
              <w:left w:val="single" w:color="auto" w:sz="4" w:space="0"/>
              <w:bottom w:val="single" w:color="auto" w:sz="4" w:space="0"/>
              <w:right w:val="single" w:color="auto" w:sz="4" w:space="0"/>
            </w:tcBorders>
            <w:noWrap w:val="0"/>
            <w:vAlign w:val="top"/>
          </w:tcPr>
          <w:p w14:paraId="259BBE48">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1、LCD屏幕实时显示波形和参数；</w:t>
            </w:r>
          </w:p>
          <w:p w14:paraId="5BD994A9">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2、主机内置存储器，可储存至少30组波形及数据；</w:t>
            </w:r>
          </w:p>
          <w:p w14:paraId="5F2D672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3、探头前端带有冻结键，便于操作读取测量中的波形及数据；</w:t>
            </w:r>
          </w:p>
          <w:p w14:paraId="6EE3652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4、双向血流：同时反映双方向血流状况；</w:t>
            </w:r>
          </w:p>
          <w:p w14:paraId="6841EC5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5、能够分别对动脉、静脉的血管状况进行检查；</w:t>
            </w:r>
          </w:p>
          <w:p w14:paraId="10141BB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6、临床检测参数：</w:t>
            </w:r>
          </w:p>
          <w:p w14:paraId="275E609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6.1、 S：收缩期血流速率(cm/s)</w:t>
            </w:r>
          </w:p>
          <w:p w14:paraId="4924EF0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6.2、 MN：平均多普勒变速(cm/s)</w:t>
            </w:r>
          </w:p>
          <w:p w14:paraId="13A051E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6.3、 D：舒张期血流速率(cm/s)</w:t>
            </w:r>
          </w:p>
          <w:p w14:paraId="00C100D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6.4、 RP：阻抗系数RP=(S-D)/S</w:t>
            </w:r>
          </w:p>
          <w:p w14:paraId="63F3B9A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6.5、PI：脉动指数</w:t>
            </w:r>
          </w:p>
          <w:p w14:paraId="4C94DFA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6.6、 HR：心率</w:t>
            </w:r>
          </w:p>
        </w:tc>
      </w:tr>
      <w:tr w14:paraId="64AFB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48" w:type="dxa"/>
            <w:tcBorders>
              <w:top w:val="single" w:color="auto" w:sz="4" w:space="0"/>
              <w:left w:val="single" w:color="auto" w:sz="4" w:space="0"/>
              <w:bottom w:val="single" w:color="auto" w:sz="4" w:space="0"/>
              <w:right w:val="single" w:color="auto" w:sz="4" w:space="0"/>
            </w:tcBorders>
            <w:noWrap w:val="0"/>
            <w:vAlign w:val="center"/>
          </w:tcPr>
          <w:p w14:paraId="439B4823">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配置要求</w:t>
            </w:r>
          </w:p>
        </w:tc>
        <w:tc>
          <w:tcPr>
            <w:tcW w:w="8608" w:type="dxa"/>
            <w:tcBorders>
              <w:top w:val="single" w:color="auto" w:sz="4" w:space="0"/>
              <w:left w:val="single" w:color="auto" w:sz="4" w:space="0"/>
              <w:bottom w:val="single" w:color="auto" w:sz="4" w:space="0"/>
              <w:right w:val="single" w:color="auto" w:sz="4" w:space="0"/>
            </w:tcBorders>
            <w:noWrap w:val="0"/>
            <w:vAlign w:val="center"/>
          </w:tcPr>
          <w:p w14:paraId="72F78A25">
            <w:pPr>
              <w:keepNext w:val="0"/>
              <w:keepLines w:val="0"/>
              <w:pageBreakBefore w:val="0"/>
              <w:widowControl/>
              <w:kinsoku/>
              <w:wordWrap/>
              <w:overflowPunct/>
              <w:topLinePunct w:val="0"/>
              <w:autoSpaceDE/>
              <w:autoSpaceDN/>
              <w:bidi w:val="0"/>
              <w:adjustRightInd/>
              <w:snapToGrid/>
              <w:spacing w:line="360" w:lineRule="auto"/>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w:t>
            </w:r>
          </w:p>
        </w:tc>
      </w:tr>
      <w:tr w14:paraId="5B961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7E1CEC7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设备限价（单价）</w:t>
            </w:r>
          </w:p>
        </w:tc>
        <w:tc>
          <w:tcPr>
            <w:tcW w:w="0" w:type="auto"/>
            <w:tcBorders>
              <w:top w:val="single" w:color="auto" w:sz="4" w:space="0"/>
              <w:left w:val="single" w:color="auto" w:sz="4" w:space="0"/>
              <w:bottom w:val="single" w:color="auto" w:sz="4" w:space="0"/>
              <w:right w:val="single" w:color="auto" w:sz="4" w:space="0"/>
            </w:tcBorders>
            <w:noWrap w:val="0"/>
            <w:vAlign w:val="top"/>
          </w:tcPr>
          <w:p w14:paraId="6E62C768">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3万元</w:t>
            </w:r>
          </w:p>
        </w:tc>
      </w:tr>
      <w:tr w14:paraId="6F50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top"/>
          </w:tcPr>
          <w:p w14:paraId="6E63AF6C">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质保期</w:t>
            </w:r>
          </w:p>
        </w:tc>
        <w:tc>
          <w:tcPr>
            <w:tcW w:w="0" w:type="auto"/>
            <w:tcBorders>
              <w:top w:val="single" w:color="auto" w:sz="4" w:space="0"/>
              <w:left w:val="single" w:color="auto" w:sz="4" w:space="0"/>
              <w:bottom w:val="single" w:color="auto" w:sz="4" w:space="0"/>
              <w:right w:val="single" w:color="auto" w:sz="4" w:space="0"/>
            </w:tcBorders>
            <w:noWrap w:val="0"/>
            <w:vAlign w:val="top"/>
          </w:tcPr>
          <w:p w14:paraId="35AFEFB3">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≥1年</w:t>
            </w:r>
          </w:p>
        </w:tc>
      </w:tr>
    </w:tbl>
    <w:p w14:paraId="5F4DBE0B">
      <w:pPr>
        <w:pStyle w:val="3"/>
        <w:bidi w:val="0"/>
        <w:rPr>
          <w:rFonts w:hint="eastAsia"/>
          <w:color w:val="auto"/>
          <w:highlight w:val="none"/>
          <w:lang w:val="en-US" w:eastAsia="zh-CN"/>
        </w:rPr>
      </w:pPr>
      <w:r>
        <w:rPr>
          <w:rFonts w:hint="eastAsia" w:eastAsia="宋体" w:cs="Times New Roman"/>
          <w:b/>
          <w:bCs/>
          <w:color w:val="auto"/>
          <w:sz w:val="28"/>
          <w:szCs w:val="28"/>
          <w:highlight w:val="none"/>
          <w:lang w:val="en-US" w:eastAsia="zh-CN"/>
        </w:rPr>
        <w:t xml:space="preserve"> </w:t>
      </w:r>
      <w:r>
        <w:rPr>
          <w:rFonts w:hint="eastAsia"/>
          <w:color w:val="auto"/>
          <w:highlight w:val="none"/>
          <w:lang w:val="en-US" w:eastAsia="zh-CN"/>
        </w:rPr>
        <w:t>包2：</w:t>
      </w:r>
    </w:p>
    <w:tbl>
      <w:tblPr>
        <w:tblStyle w:val="5"/>
        <w:tblpPr w:leftFromText="180" w:rightFromText="180" w:vertAnchor="text" w:horzAnchor="page" w:tblpX="1072" w:tblpY="4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5"/>
        <w:gridCol w:w="6767"/>
      </w:tblGrid>
      <w:tr w14:paraId="7F67F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73888A00">
            <w:pPr>
              <w:keepNext w:val="0"/>
              <w:keepLines w:val="0"/>
              <w:pageBreakBefore w:val="0"/>
              <w:widowControl/>
              <w:kinsoku/>
              <w:wordWrap/>
              <w:overflowPunct/>
              <w:topLinePunct w:val="0"/>
              <w:autoSpaceDE/>
              <w:autoSpaceDN/>
              <w:bidi w:val="0"/>
              <w:adjustRightInd/>
              <w:snapToGrid/>
              <w:spacing w:line="360" w:lineRule="auto"/>
              <w:jc w:val="center"/>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eastAsia="zh-CN"/>
              </w:rPr>
              <w:t>设备名称</w:t>
            </w:r>
            <w:r>
              <w:rPr>
                <w:rFonts w:hint="eastAsia" w:ascii="宋体" w:hAnsi="宋体" w:eastAsia="宋体" w:cs="宋体"/>
                <w:color w:val="auto"/>
                <w:sz w:val="24"/>
                <w:szCs w:val="24"/>
                <w:highlight w:val="none"/>
                <w:vertAlign w:val="baseline"/>
                <w:lang w:val="en-US" w:eastAsia="zh-CN"/>
              </w:rPr>
              <w:t>1</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33339A3B">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高清电子胃肠镜</w:t>
            </w:r>
          </w:p>
        </w:tc>
      </w:tr>
      <w:tr w14:paraId="6553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5D76EF1D">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设备详细参数及性能指标要求</w:t>
            </w:r>
          </w:p>
        </w:tc>
        <w:tc>
          <w:tcPr>
            <w:tcW w:w="0" w:type="auto"/>
            <w:tcBorders>
              <w:top w:val="single" w:color="auto" w:sz="4" w:space="0"/>
              <w:left w:val="single" w:color="auto" w:sz="4" w:space="0"/>
              <w:bottom w:val="single" w:color="auto" w:sz="4" w:space="0"/>
              <w:right w:val="single" w:color="auto" w:sz="4" w:space="0"/>
            </w:tcBorders>
            <w:noWrap w:val="0"/>
            <w:vAlign w:val="top"/>
          </w:tcPr>
          <w:p w14:paraId="4E8B77B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主要配置技术要求：</w:t>
            </w:r>
          </w:p>
          <w:p w14:paraId="2A66B9B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一、图像处理装置一台：</w:t>
            </w:r>
          </w:p>
          <w:p w14:paraId="6A0E621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★1、具备高清数字信号输出:12G-SDI、3G-SDI、SD-SDI、HD-SDI、VBS复合接口；</w:t>
            </w:r>
          </w:p>
          <w:p w14:paraId="78DDA10B">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★2、主机光源一体化设计，触摸屏设计操作简便，光源装置：≥5色LED光源；</w:t>
            </w:r>
          </w:p>
          <w:p w14:paraId="6C1F8AEB">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★3、具备窄带波光、自体荧光成像功能，蓝光≥415nm、绿光≤540nm；</w:t>
            </w:r>
          </w:p>
          <w:p w14:paraId="67FE543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4、具备构造和色彩强调成像功能；</w:t>
            </w:r>
          </w:p>
          <w:p w14:paraId="70C6EA6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★5、具备双红光成像功能； </w:t>
            </w:r>
          </w:p>
          <w:p w14:paraId="137D4DD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6、具备保持对比度的亮度调节成像功能；</w:t>
            </w:r>
          </w:p>
          <w:p w14:paraId="4E1A6EDD">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7、特殊光观察≥4种；</w:t>
            </w:r>
          </w:p>
          <w:p w14:paraId="3CC9B66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8、具备全自动测光功能；</w:t>
            </w:r>
          </w:p>
          <w:p w14:paraId="54FAA791">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9、具备画中画输入接口；</w:t>
            </w:r>
          </w:p>
          <w:p w14:paraId="2F24D1D9">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10、红色强调强≥±8档；</w:t>
            </w:r>
          </w:p>
          <w:p w14:paraId="37A2F1EA">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11、蓝色强调强≥±8档；</w:t>
            </w:r>
          </w:p>
          <w:p w14:paraId="010FFB58">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12、色调调节≥±8级；</w:t>
            </w:r>
          </w:p>
          <w:p w14:paraId="5E62291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13、具备快速实时冻结功能；</w:t>
            </w:r>
          </w:p>
          <w:p w14:paraId="472D7334">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14、可兼容高倍放大细胞内镜；</w:t>
            </w:r>
          </w:p>
          <w:p w14:paraId="11A0F44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15、可连接便携式存储器。</w:t>
            </w:r>
          </w:p>
          <w:p w14:paraId="2BCE08A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二、电子上消化道内窥镜三条：</w:t>
            </w:r>
          </w:p>
          <w:p w14:paraId="0CBF00A3">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1、成像芯片为高清单色CCD或高清CMOS；</w:t>
            </w:r>
          </w:p>
          <w:p w14:paraId="3E1D113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2、镜身带副送水功能；</w:t>
            </w:r>
          </w:p>
          <w:p w14:paraId="716D945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3、视野角度≥140度（0度直视）；</w:t>
            </w:r>
          </w:p>
          <w:p w14:paraId="62A3993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4、最小可视距离≤3mm；</w:t>
            </w:r>
          </w:p>
          <w:p w14:paraId="41F18A5D">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★5、弯曲角度：上≥210度、下≥120度、右≥100度、左≥100度；</w:t>
            </w:r>
          </w:p>
          <w:p w14:paraId="2538244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6、先端部外径≤9.8 mm，插入部外径≤9.9 mm；</w:t>
            </w:r>
          </w:p>
          <w:p w14:paraId="3DBDF73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7、管道内径≥3.2mm；</w:t>
            </w:r>
          </w:p>
          <w:p w14:paraId="694B3D0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8、有效长度≥1030mm，全长≤1350mm；</w:t>
            </w:r>
          </w:p>
          <w:p w14:paraId="44532337">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9、兼容窄波光成像功能；</w:t>
            </w:r>
          </w:p>
          <w:p w14:paraId="6D79864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10、副送水出水方向靠近治疗附件出口，治疗时可直接冲洗治疗部位。</w:t>
            </w:r>
          </w:p>
          <w:p w14:paraId="50D3E42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三、高清电子结肠内窥镜三条：</w:t>
            </w:r>
          </w:p>
          <w:p w14:paraId="15ED176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1、成像芯片为高清单色CCD或高清CMOS；</w:t>
            </w:r>
          </w:p>
          <w:p w14:paraId="3A200647">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2、采用防水的一触式连接；</w:t>
            </w:r>
          </w:p>
          <w:p w14:paraId="11175C5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3、兼容窄波光成像功能；</w:t>
            </w:r>
          </w:p>
          <w:p w14:paraId="18B9764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4、镜身带副送水功能；</w:t>
            </w:r>
          </w:p>
          <w:p w14:paraId="76C48E4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5、视野角≥170度；</w:t>
            </w:r>
          </w:p>
          <w:p w14:paraId="1CCBD063">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6、先端部外径≤12.2mm，插入部外径≤12mm；</w:t>
            </w:r>
          </w:p>
          <w:p w14:paraId="2143FDB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7、钳子管道内径≥3.2mm；</w:t>
            </w:r>
          </w:p>
          <w:p w14:paraId="3CFF509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8、具有反应性插入技术，可实现智能弯曲、强力传导、可变硬度功能；</w:t>
            </w:r>
          </w:p>
          <w:p w14:paraId="29BF231D">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9、有效长度≥1330mm，全长≤1655mm；</w:t>
            </w:r>
          </w:p>
          <w:p w14:paraId="59563B36">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10、弯曲角度：上≥180度、下≥180度、右≥160度、左≥160度；</w:t>
            </w:r>
          </w:p>
          <w:p w14:paraId="46BED490">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11、导光束≥3条。</w:t>
            </w:r>
          </w:p>
          <w:p w14:paraId="67EB282F">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四、高频电刀一台：</w:t>
            </w:r>
          </w:p>
          <w:p w14:paraId="2C82E1B9">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★1、具备生理盐水功能和高频电刀功能，触摸屏设计，满足所有基础电外科手术使用，能够进行普通电切、汽化电切、生理盐水电切和普通外科手术；   </w:t>
            </w:r>
          </w:p>
          <w:p w14:paraId="2D0C3B2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2、输出模式：生理盐水模式、单极模式、URO模式、双极模式；   </w:t>
            </w:r>
          </w:p>
          <w:p w14:paraId="2FDC6AAC">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3、输出功率：生理盐水模式≥300W， 单极模式≥300W， 双极模式≥90W；    </w:t>
            </w:r>
          </w:p>
          <w:p w14:paraId="348CE691">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4、切割、凝固搭载≥10种单极和双极模式；   </w:t>
            </w:r>
          </w:p>
          <w:p w14:paraId="3AA0679E">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5、具备≥5种切割模式（单纯切割、双极切割、脉冲慢切、电解质溶液切割、脉冲快切等）能够在开始切割时即向组织高频输出，以支持其瞬间放电，减轻其机械性切除的风险；    </w:t>
            </w:r>
          </w:p>
          <w:p w14:paraId="581CCB25">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6、具有快速放电技术，对应于各种内窥镜治疗，以必需的最低输出功率实现稳定切割；   </w:t>
            </w:r>
          </w:p>
          <w:p w14:paraId="2EF1325B">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 xml:space="preserve">7、具有等离子、双极、单极、通用、负极板等输出接口；    </w:t>
            </w:r>
          </w:p>
          <w:p w14:paraId="45B1989B">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8、具备高功率切割，以高功率输出直至检出放电为止，无初期延迟的顺利切割。</w:t>
            </w:r>
          </w:p>
        </w:tc>
      </w:tr>
      <w:tr w14:paraId="0128F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1348" w:type="dxa"/>
            <w:tcBorders>
              <w:top w:val="single" w:color="auto" w:sz="4" w:space="0"/>
              <w:left w:val="single" w:color="auto" w:sz="4" w:space="0"/>
              <w:bottom w:val="single" w:color="auto" w:sz="4" w:space="0"/>
              <w:right w:val="single" w:color="auto" w:sz="4" w:space="0"/>
            </w:tcBorders>
            <w:noWrap w:val="0"/>
            <w:vAlign w:val="center"/>
          </w:tcPr>
          <w:p w14:paraId="67ACB552">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val="en-US" w:eastAsia="zh-CN"/>
              </w:rPr>
              <w:t>配置要求</w:t>
            </w:r>
          </w:p>
        </w:tc>
        <w:tc>
          <w:tcPr>
            <w:tcW w:w="8608" w:type="dxa"/>
            <w:tcBorders>
              <w:top w:val="single" w:color="auto" w:sz="4" w:space="0"/>
              <w:left w:val="single" w:color="auto" w:sz="4" w:space="0"/>
              <w:bottom w:val="single" w:color="auto" w:sz="4" w:space="0"/>
              <w:right w:val="single" w:color="auto" w:sz="4" w:space="0"/>
            </w:tcBorders>
            <w:noWrap w:val="0"/>
            <w:vAlign w:val="center"/>
          </w:tcPr>
          <w:p w14:paraId="2CC56882">
            <w:pPr>
              <w:keepNext w:val="0"/>
              <w:keepLines w:val="0"/>
              <w:pageBreakBefore w:val="0"/>
              <w:widowControl/>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图像处理装置一台、高清电子胃镜三条、高清电子结肠镜三条、高频电刀一套、送水装置一套、送气装置一套、32寸图像显示分别率不低于4k一台、图文工作站两套、测漏装置一套、超声小探头系统（2条20MHz探头）、双门储镜柜一个、台车一台。</w:t>
            </w:r>
          </w:p>
        </w:tc>
      </w:tr>
      <w:tr w14:paraId="12527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457EF7C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设备限价（单价）</w:t>
            </w:r>
          </w:p>
        </w:tc>
        <w:tc>
          <w:tcPr>
            <w:tcW w:w="0" w:type="auto"/>
            <w:tcBorders>
              <w:top w:val="single" w:color="auto" w:sz="4" w:space="0"/>
              <w:left w:val="single" w:color="auto" w:sz="4" w:space="0"/>
              <w:bottom w:val="single" w:color="auto" w:sz="4" w:space="0"/>
              <w:right w:val="single" w:color="auto" w:sz="4" w:space="0"/>
            </w:tcBorders>
            <w:noWrap w:val="0"/>
            <w:vAlign w:val="top"/>
          </w:tcPr>
          <w:p w14:paraId="0456D4D2">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360万元</w:t>
            </w:r>
          </w:p>
        </w:tc>
      </w:tr>
      <w:tr w14:paraId="549E2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noWrap w:val="0"/>
            <w:vAlign w:val="top"/>
          </w:tcPr>
          <w:p w14:paraId="410D662F">
            <w:pPr>
              <w:keepNext w:val="0"/>
              <w:keepLines w:val="0"/>
              <w:pageBreakBefore w:val="0"/>
              <w:widowControl/>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质保期</w:t>
            </w:r>
          </w:p>
        </w:tc>
        <w:tc>
          <w:tcPr>
            <w:tcW w:w="0" w:type="auto"/>
            <w:tcBorders>
              <w:top w:val="single" w:color="auto" w:sz="4" w:space="0"/>
              <w:left w:val="single" w:color="auto" w:sz="4" w:space="0"/>
              <w:bottom w:val="single" w:color="auto" w:sz="4" w:space="0"/>
              <w:right w:val="single" w:color="auto" w:sz="4" w:space="0"/>
            </w:tcBorders>
            <w:noWrap w:val="0"/>
            <w:vAlign w:val="top"/>
          </w:tcPr>
          <w:p w14:paraId="18A78D68">
            <w:pPr>
              <w:keepNext w:val="0"/>
              <w:keepLines w:val="0"/>
              <w:pageBreakBefore w:val="0"/>
              <w:widowControl/>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≥3年</w:t>
            </w:r>
          </w:p>
        </w:tc>
      </w:tr>
    </w:tbl>
    <w:p w14:paraId="7FB24ECE">
      <w:pPr>
        <w:pStyle w:val="4"/>
        <w:rPr>
          <w:rFonts w:hint="eastAsia"/>
          <w:color w:val="auto"/>
          <w:highlight w:val="none"/>
          <w:lang w:val="en-US" w:eastAsia="zh-CN"/>
        </w:rPr>
      </w:pPr>
    </w:p>
    <w:p w14:paraId="72E8D58B">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交货期：</w:t>
      </w:r>
      <w:r>
        <w:rPr>
          <w:rFonts w:hint="eastAsia" w:ascii="宋体" w:hAnsi="宋体" w:eastAsia="宋体" w:cs="宋体"/>
          <w:color w:val="auto"/>
          <w:sz w:val="24"/>
          <w:szCs w:val="24"/>
          <w:highlight w:val="none"/>
          <w:lang w:eastAsia="zh-CN"/>
        </w:rPr>
        <w:t>合同签订后，60日历天内交货并安装调试完成；</w:t>
      </w:r>
    </w:p>
    <w:p w14:paraId="57BE21B4">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实施时间：202</w:t>
      </w:r>
      <w:r>
        <w:rPr>
          <w:rFonts w:hint="eastAsia" w:ascii="宋体" w:hAnsi="宋体" w:eastAsia="宋体" w:cs="宋体"/>
          <w:color w:val="auto"/>
          <w:sz w:val="24"/>
          <w:szCs w:val="24"/>
          <w:highlight w:val="none"/>
          <w:lang w:val="en-US" w:eastAsia="zh-CN"/>
        </w:rPr>
        <w:t>5年</w:t>
      </w:r>
      <w:r>
        <w:rPr>
          <w:rFonts w:hint="eastAsia" w:ascii="宋体" w:hAnsi="宋体" w:eastAsia="宋体" w:cs="宋体"/>
          <w:color w:val="auto"/>
          <w:sz w:val="24"/>
          <w:szCs w:val="24"/>
          <w:highlight w:val="none"/>
          <w:lang w:eastAsia="zh-CN"/>
        </w:rPr>
        <w:t>；</w:t>
      </w:r>
    </w:p>
    <w:p w14:paraId="763A0818">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交货地点：</w:t>
      </w:r>
      <w:r>
        <w:rPr>
          <w:rFonts w:hint="eastAsia" w:ascii="宋体" w:hAnsi="宋体" w:eastAsia="宋体" w:cs="宋体"/>
          <w:color w:val="auto"/>
          <w:sz w:val="24"/>
          <w:szCs w:val="24"/>
          <w:highlight w:val="none"/>
          <w:lang w:eastAsia="zh-CN"/>
        </w:rPr>
        <w:t>开远市智源路999号</w:t>
      </w:r>
      <w:r>
        <w:rPr>
          <w:rFonts w:hint="eastAsia" w:ascii="宋体" w:hAnsi="宋体" w:eastAsia="宋体" w:cs="宋体"/>
          <w:color w:val="auto"/>
          <w:sz w:val="24"/>
          <w:szCs w:val="24"/>
          <w:highlight w:val="none"/>
        </w:rPr>
        <w:t>（采购人指定地点）。</w:t>
      </w:r>
    </w:p>
    <w:p w14:paraId="6A302E69">
      <w:pPr>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五、采购标的需满足的服务标准、期限、效率等要求； </w:t>
      </w:r>
    </w:p>
    <w:p w14:paraId="7E6B6F4E">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采购标的必须达到合同约定的所有要求；</w:t>
      </w:r>
    </w:p>
    <w:p w14:paraId="120AA72F">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提供的设备是全新的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符合国家质量标准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具有生产厂家质量保证书及合格</w:t>
      </w:r>
      <w:r>
        <w:rPr>
          <w:rFonts w:hint="eastAsia" w:ascii="宋体" w:hAnsi="宋体" w:eastAsia="宋体" w:cs="宋体"/>
          <w:color w:val="auto"/>
          <w:sz w:val="24"/>
          <w:szCs w:val="24"/>
          <w:highlight w:val="none"/>
          <w:lang w:eastAsia="zh-CN"/>
        </w:rPr>
        <w:t>、产品注册证书</w:t>
      </w:r>
      <w:r>
        <w:rPr>
          <w:rFonts w:hint="eastAsia" w:ascii="宋体" w:hAnsi="宋体" w:eastAsia="宋体" w:cs="宋体"/>
          <w:color w:val="auto"/>
          <w:sz w:val="24"/>
          <w:szCs w:val="24"/>
          <w:highlight w:val="none"/>
          <w:lang w:val="en-US" w:eastAsia="zh-CN"/>
        </w:rPr>
        <w:t>/备案证书</w:t>
      </w:r>
      <w:r>
        <w:rPr>
          <w:rFonts w:hint="eastAsia" w:ascii="宋体" w:hAnsi="宋体" w:eastAsia="宋体" w:cs="宋体"/>
          <w:color w:val="auto"/>
          <w:sz w:val="24"/>
          <w:szCs w:val="24"/>
          <w:highlight w:val="none"/>
        </w:rPr>
        <w:t>的产品</w:t>
      </w:r>
      <w:r>
        <w:rPr>
          <w:rFonts w:hint="eastAsia" w:ascii="宋体" w:hAnsi="宋体" w:eastAsia="宋体" w:cs="宋体"/>
          <w:color w:val="auto"/>
          <w:sz w:val="24"/>
          <w:szCs w:val="24"/>
          <w:highlight w:val="none"/>
          <w:lang w:eastAsia="zh-CN"/>
        </w:rPr>
        <w:t>；</w:t>
      </w:r>
    </w:p>
    <w:p w14:paraId="03D04A56">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售后响应时间：及时响应并安排技术人员到达现场解决问题。如无法解决问题则当天内提供备用设备。遇重大活动需提前到场保障</w:t>
      </w:r>
      <w:r>
        <w:rPr>
          <w:rFonts w:hint="eastAsia" w:ascii="宋体" w:hAnsi="宋体" w:eastAsia="宋体" w:cs="宋体"/>
          <w:color w:val="auto"/>
          <w:sz w:val="24"/>
          <w:szCs w:val="24"/>
          <w:highlight w:val="none"/>
          <w:lang w:eastAsia="zh-CN"/>
        </w:rPr>
        <w:t>；</w:t>
      </w:r>
    </w:p>
    <w:p w14:paraId="73B84C74">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中标人需按指定的地点统一交货，验收测试按国家相关的规定和标准执行，一次性通过验收</w:t>
      </w:r>
      <w:r>
        <w:rPr>
          <w:rFonts w:hint="eastAsia" w:ascii="宋体" w:hAnsi="宋体" w:eastAsia="宋体" w:cs="宋体"/>
          <w:color w:val="auto"/>
          <w:sz w:val="24"/>
          <w:szCs w:val="24"/>
          <w:highlight w:val="none"/>
          <w:lang w:eastAsia="zh-CN"/>
        </w:rPr>
        <w:t>。</w:t>
      </w:r>
    </w:p>
    <w:p w14:paraId="7586E7BB">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5、投标人需保证所投设备、器械均为最新生产的。</w:t>
      </w:r>
    </w:p>
    <w:p w14:paraId="40B978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6、质保期内每年按季度定期巡检保养设备；</w:t>
      </w:r>
    </w:p>
    <w:p w14:paraId="21AE6B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7、提供设备安装培训，提供设备正常运行的使用条件及环境条件改造；</w:t>
      </w:r>
    </w:p>
    <w:p w14:paraId="100D7CB0">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8、设备安装后，提供优质的培训维护等售后服务（如驻场服务、协助本项目设备业务应用等）。</w:t>
      </w:r>
    </w:p>
    <w:p w14:paraId="28A7AF29">
      <w:pPr>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六、采购标的的验收标准； </w:t>
      </w:r>
    </w:p>
    <w:p w14:paraId="7516EA05">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验收方式：投标人交货时，采购人组织验收小组或指定代理人统一验收，采购人认为必要时可邀请有关专家参与共同验收，验收时采购人将按照国家相关标准或招标文件所载明的标准和方法进行验收</w:t>
      </w:r>
      <w:r>
        <w:rPr>
          <w:rFonts w:hint="eastAsia" w:ascii="宋体" w:hAnsi="宋体" w:eastAsia="宋体" w:cs="宋体"/>
          <w:color w:val="auto"/>
          <w:sz w:val="24"/>
          <w:szCs w:val="24"/>
          <w:highlight w:val="none"/>
          <w:lang w:eastAsia="zh-CN"/>
        </w:rPr>
        <w:t>；</w:t>
      </w:r>
    </w:p>
    <w:p w14:paraId="66BBEC66">
      <w:pPr>
        <w:keepNext w:val="0"/>
        <w:keepLines w:val="0"/>
        <w:pageBreakBefore w:val="0"/>
        <w:kinsoku/>
        <w:wordWrap/>
        <w:overflowPunct/>
        <w:topLinePunct w:val="0"/>
        <w:autoSpaceDE/>
        <w:autoSpaceDN/>
        <w:bidi w:val="0"/>
        <w:adjustRightInd/>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验收要求：按国家及相关行业验收标准验收以及合同条款验收，如有残缺、缝合等质量问题无条件包退包换。验收结果经双方确认后，双方代表必须按规定的验收交接单上的项目对照本</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合同填好验收结果并签名盖章。</w:t>
      </w:r>
    </w:p>
    <w:p w14:paraId="608D2AF4">
      <w:pPr>
        <w:keepNext w:val="0"/>
        <w:keepLines w:val="0"/>
        <w:pageBreakBefore w:val="0"/>
        <w:kinsoku/>
        <w:wordWrap/>
        <w:topLinePunct w:val="0"/>
        <w:bidi w:val="0"/>
        <w:snapToGrid/>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七、采购标的的其他技术、服务等要求； </w:t>
      </w:r>
    </w:p>
    <w:p w14:paraId="70878AD6">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保证所有货物均为全新、原装正品；</w:t>
      </w:r>
    </w:p>
    <w:p w14:paraId="7396209E">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付款方式：</w:t>
      </w:r>
      <w:r>
        <w:rPr>
          <w:rFonts w:hint="eastAsia" w:hAnsi="宋体" w:cs="宋体"/>
          <w:color w:val="auto"/>
          <w:sz w:val="24"/>
          <w:szCs w:val="24"/>
          <w:highlight w:val="none"/>
        </w:rPr>
        <w:t>乙方在合同签订前向甲方提交合同总价10%的履约保证金，收到乙方提交的履约保证金，签订合同后，甲方向乙方支付合同总价10%的预付款。设备到货，安装调试完成并经甲方验收合格后30日内，甲方向乙方支付合同总价款的90%，履约保证金待乙方履行完合同约定权利义务事项后退还，具体付款方式以双方合同约定为准</w:t>
      </w:r>
      <w:r>
        <w:rPr>
          <w:rFonts w:hint="eastAsia" w:ascii="宋体" w:hAnsi="宋体" w:eastAsia="宋体" w:cs="宋体"/>
          <w:color w:val="auto"/>
          <w:sz w:val="24"/>
          <w:szCs w:val="24"/>
          <w:highlight w:val="none"/>
        </w:rPr>
        <w:t>；</w:t>
      </w:r>
    </w:p>
    <w:p w14:paraId="61B8A4D5">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需提供充足的备品备件，满足</w:t>
      </w:r>
      <w:r>
        <w:rPr>
          <w:rFonts w:hint="eastAsia" w:ascii="宋体" w:hAnsi="宋体" w:eastAsia="宋体" w:cs="宋体"/>
          <w:color w:val="auto"/>
          <w:sz w:val="24"/>
          <w:szCs w:val="24"/>
          <w:highlight w:val="none"/>
          <w:lang w:val="en-US" w:eastAsia="zh-CN"/>
        </w:rPr>
        <w:t>各</w:t>
      </w:r>
      <w:r>
        <w:rPr>
          <w:rFonts w:hint="eastAsia" w:ascii="宋体" w:hAnsi="宋体" w:eastAsia="宋体" w:cs="宋体"/>
          <w:color w:val="auto"/>
          <w:sz w:val="24"/>
          <w:szCs w:val="24"/>
          <w:highlight w:val="none"/>
        </w:rPr>
        <w:t>科室的日常工作需求；</w:t>
      </w:r>
    </w:p>
    <w:p w14:paraId="3E8F55B1">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具有完善的售后服务体系；</w:t>
      </w:r>
    </w:p>
    <w:p w14:paraId="72F04D22">
      <w:pPr>
        <w:keepNext w:val="0"/>
        <w:keepLines w:val="0"/>
        <w:pageBreakBefore w:val="0"/>
        <w:kinsoku/>
        <w:wordWrap/>
        <w:topLinePunct w:val="0"/>
        <w:bidi w:val="0"/>
        <w:snapToGrid/>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具有完整的培训计划及措施，能够让</w:t>
      </w:r>
      <w:r>
        <w:rPr>
          <w:rFonts w:hint="eastAsia" w:ascii="宋体" w:hAnsi="宋体" w:eastAsia="宋体" w:cs="宋体"/>
          <w:color w:val="auto"/>
          <w:sz w:val="24"/>
          <w:szCs w:val="24"/>
          <w:highlight w:val="none"/>
          <w:lang w:val="en-US" w:eastAsia="zh-CN"/>
        </w:rPr>
        <w:t>各</w:t>
      </w:r>
      <w:r>
        <w:rPr>
          <w:rFonts w:hint="eastAsia" w:ascii="宋体" w:hAnsi="宋体" w:eastAsia="宋体" w:cs="宋体"/>
          <w:color w:val="auto"/>
          <w:sz w:val="24"/>
          <w:szCs w:val="24"/>
          <w:highlight w:val="none"/>
        </w:rPr>
        <w:t>科室人员了解和使用设备</w:t>
      </w:r>
      <w:r>
        <w:rPr>
          <w:rFonts w:hint="eastAsia" w:ascii="宋体" w:hAnsi="宋体" w:eastAsia="宋体" w:cs="宋体"/>
          <w:color w:val="auto"/>
          <w:sz w:val="24"/>
          <w:szCs w:val="24"/>
          <w:highlight w:val="none"/>
          <w:lang w:val="en-US" w:eastAsia="zh-CN"/>
        </w:rPr>
        <w:t>。</w:t>
      </w:r>
    </w:p>
    <w:p w14:paraId="7D6D2F0A">
      <w:pPr>
        <w:spacing w:line="360" w:lineRule="auto"/>
        <w:ind w:firstLine="482" w:firstLineChars="200"/>
        <w:rPr>
          <w:rFonts w:hint="eastAsia" w:ascii="宋体" w:hAnsi="宋体"/>
          <w:color w:val="auto"/>
          <w:sz w:val="24"/>
          <w:szCs w:val="24"/>
          <w:highlight w:val="none"/>
        </w:rPr>
      </w:pPr>
      <w:r>
        <w:rPr>
          <w:rFonts w:hint="eastAsia" w:ascii="宋体" w:hAnsi="宋体" w:eastAsia="宋体" w:cs="宋体"/>
          <w:b/>
          <w:bCs/>
          <w:color w:val="auto"/>
          <w:sz w:val="24"/>
          <w:szCs w:val="24"/>
          <w:highlight w:val="none"/>
          <w:lang w:val="en-US" w:eastAsia="zh-CN"/>
        </w:rPr>
        <w:t>6、所投产品若为国产产品，生产时间为投标截止时间前3个月内生产的产品</w:t>
      </w:r>
      <w:r>
        <w:rPr>
          <w:rFonts w:hint="default" w:ascii="宋体" w:hAnsi="宋体" w:eastAsia="宋体" w:cs="宋体"/>
          <w:b/>
          <w:bCs/>
          <w:color w:val="auto"/>
          <w:sz w:val="24"/>
          <w:szCs w:val="24"/>
          <w:highlight w:val="none"/>
          <w:lang w:val="en-US" w:eastAsia="zh-CN"/>
        </w:rPr>
        <w:t>。</w:t>
      </w:r>
    </w:p>
    <w:p w14:paraId="6185DD27">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1D3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4"/>
    <w:qFormat/>
    <w:uiPriority w:val="99"/>
    <w:pPr>
      <w:keepNext/>
      <w:keepLines/>
      <w:widowControl w:val="0"/>
      <w:spacing w:before="260" w:after="260" w:line="412" w:lineRule="auto"/>
      <w:outlineLvl w:val="1"/>
    </w:pPr>
    <w:rPr>
      <w:rFonts w:ascii="Arial" w:hAnsi="Arial" w:eastAsia="黑体"/>
      <w:b/>
      <w:bCs/>
      <w:sz w:val="32"/>
      <w:szCs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Indent"/>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2025-10-10T08:34:47Z</dcterms:created>
  <dc:creator>Admin</dc:creator>
  <cp:lastModifiedBy>Q</cp:lastModifiedBy>
  <dcterms:modified xsi:type="dcterms:W3CDTF">2025-10-10T08:35:03Z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eyJoZGlkIjoiN2M2NTQwM2MwYTllNWU5YjZmYWIzZDRmZDZmNTI1YjkiLCJ1c2VySWQiOiIxMzM1MjEzNTIyIn0=</vt:lpwstr>
  </property>
  <property fmtid="{D5CDD505-2E9C-101B-9397-08002B2CF9AE}" pid="4" name="ICV">
    <vt:lpwstr>3EA9DAB081FA4976A4BE80816781213D_12</vt:lpwstr>
  </property>
</Properties>
</file>