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仿宋" w:hAnsi="仿宋" w:cs="仿宋_GB2312"/>
          <w:color w:val="000000" w:themeColor="text1"/>
          <w:sz w:val="32"/>
          <w:szCs w:val="32"/>
          <w:highlight w:val="none"/>
          <w14:textFill>
            <w14:solidFill>
              <w14:schemeClr w14:val="tx1"/>
            </w14:solidFill>
          </w14:textFill>
        </w:rPr>
      </w:pPr>
    </w:p>
    <w:p>
      <w:pPr>
        <w:spacing w:line="480" w:lineRule="exact"/>
        <w:jc w:val="center"/>
        <w:rPr>
          <w:rFonts w:ascii="仿宋" w:hAnsi="仿宋" w:cs="仿宋_GB2312"/>
          <w:b/>
          <w:color w:val="000000" w:themeColor="text1"/>
          <w:sz w:val="32"/>
          <w:szCs w:val="32"/>
          <w:highlight w:val="none"/>
          <w14:textFill>
            <w14:solidFill>
              <w14:schemeClr w14:val="tx1"/>
            </w14:solidFill>
          </w14:textFill>
        </w:rPr>
      </w:pPr>
    </w:p>
    <w:p>
      <w:pPr>
        <w:spacing w:line="360" w:lineRule="auto"/>
        <w:ind w:firstLine="260" w:firstLineChars="50"/>
        <w:jc w:val="center"/>
        <w:rPr>
          <w:rFonts w:ascii="仿宋" w:hAnsi="仿宋" w:cs="仿宋_GB2312"/>
          <w:b/>
          <w:color w:val="000000" w:themeColor="text1"/>
          <w:sz w:val="52"/>
          <w:szCs w:val="52"/>
          <w:highlight w:val="none"/>
          <w14:textFill>
            <w14:solidFill>
              <w14:schemeClr w14:val="tx1"/>
            </w14:solidFill>
          </w14:textFill>
        </w:rPr>
      </w:pPr>
    </w:p>
    <w:p>
      <w:pPr>
        <w:spacing w:line="360" w:lineRule="auto"/>
        <w:ind w:firstLine="260" w:firstLineChars="50"/>
        <w:jc w:val="center"/>
        <w:rPr>
          <w:rFonts w:ascii="仿宋" w:hAnsi="仿宋" w:cs="仿宋_GB2312"/>
          <w:b/>
          <w:color w:val="000000" w:themeColor="text1"/>
          <w:sz w:val="52"/>
          <w:szCs w:val="52"/>
          <w:highlight w:val="none"/>
          <w14:textFill>
            <w14:solidFill>
              <w14:schemeClr w14:val="tx1"/>
            </w14:solidFill>
          </w14:textFill>
        </w:rPr>
      </w:pPr>
    </w:p>
    <w:p>
      <w:pPr>
        <w:spacing w:line="360" w:lineRule="auto"/>
        <w:ind w:firstLine="260" w:firstLineChars="50"/>
        <w:jc w:val="center"/>
        <w:rPr>
          <w:rFonts w:ascii="仿宋" w:hAnsi="仿宋" w:cs="仿宋_GB2312"/>
          <w:b/>
          <w:color w:val="000000" w:themeColor="text1"/>
          <w:sz w:val="52"/>
          <w:szCs w:val="52"/>
          <w:highlight w:val="none"/>
          <w14:textFill>
            <w14:solidFill>
              <w14:schemeClr w14:val="tx1"/>
            </w14:solidFill>
          </w14:textFill>
        </w:rPr>
      </w:pPr>
      <w:r>
        <w:rPr>
          <w:rFonts w:hint="eastAsia" w:ascii="仿宋" w:hAnsi="仿宋" w:cs="仿宋_GB2312"/>
          <w:b/>
          <w:color w:val="000000" w:themeColor="text1"/>
          <w:sz w:val="52"/>
          <w:szCs w:val="52"/>
          <w:highlight w:val="none"/>
          <w14:textFill>
            <w14:solidFill>
              <w14:schemeClr w14:val="tx1"/>
            </w14:solidFill>
          </w14:textFill>
        </w:rPr>
        <w:t>辽宁省政府采购项目</w:t>
      </w:r>
    </w:p>
    <w:p>
      <w:pPr>
        <w:spacing w:line="360" w:lineRule="auto"/>
        <w:ind w:firstLine="120" w:firstLineChars="50"/>
        <w:jc w:val="center"/>
        <w:rPr>
          <w:rFonts w:ascii="仿宋" w:hAnsi="仿宋" w:cs="仿宋_GB2312"/>
          <w:b/>
          <w:color w:val="000000" w:themeColor="text1"/>
          <w:sz w:val="24"/>
          <w:highlight w:val="none"/>
          <w14:textFill>
            <w14:solidFill>
              <w14:schemeClr w14:val="tx1"/>
            </w14:solidFill>
          </w14:textFill>
        </w:rPr>
      </w:pPr>
    </w:p>
    <w:p>
      <w:pPr>
        <w:spacing w:line="360" w:lineRule="auto"/>
        <w:ind w:firstLine="240" w:firstLineChars="50"/>
        <w:jc w:val="center"/>
        <w:rPr>
          <w:rFonts w:ascii="仿宋" w:hAnsi="仿宋" w:cs="仿宋_GB2312"/>
          <w:b/>
          <w:color w:val="000000" w:themeColor="text1"/>
          <w:sz w:val="48"/>
          <w:szCs w:val="48"/>
          <w:highlight w:val="none"/>
          <w14:textFill>
            <w14:solidFill>
              <w14:schemeClr w14:val="tx1"/>
            </w14:solidFill>
          </w14:textFill>
        </w:rPr>
      </w:pPr>
      <w:r>
        <w:rPr>
          <w:rFonts w:hint="eastAsia" w:ascii="仿宋" w:hAnsi="仿宋" w:cs="仿宋_GB2312"/>
          <w:b/>
          <w:color w:val="000000" w:themeColor="text1"/>
          <w:sz w:val="48"/>
          <w:szCs w:val="48"/>
          <w:highlight w:val="none"/>
          <w14:textFill>
            <w14:solidFill>
              <w14:schemeClr w14:val="tx1"/>
            </w14:solidFill>
          </w14:textFill>
        </w:rPr>
        <w:t>货物类公开招标</w:t>
      </w:r>
    </w:p>
    <w:p>
      <w:pPr>
        <w:spacing w:line="360" w:lineRule="auto"/>
        <w:ind w:firstLine="120" w:firstLineChars="50"/>
        <w:jc w:val="center"/>
        <w:rPr>
          <w:rFonts w:ascii="仿宋" w:hAnsi="仿宋" w:cs="仿宋_GB2312"/>
          <w:b/>
          <w:color w:val="000000" w:themeColor="text1"/>
          <w:sz w:val="24"/>
          <w:highlight w:val="none"/>
          <w14:textFill>
            <w14:solidFill>
              <w14:schemeClr w14:val="tx1"/>
            </w14:solidFill>
          </w14:textFill>
        </w:rPr>
      </w:pPr>
    </w:p>
    <w:p>
      <w:pPr>
        <w:spacing w:line="360" w:lineRule="auto"/>
        <w:ind w:firstLine="240" w:firstLineChars="50"/>
        <w:jc w:val="center"/>
        <w:rPr>
          <w:rFonts w:ascii="仿宋" w:hAnsi="仿宋" w:cs="仿宋_GB2312"/>
          <w:b/>
          <w:color w:val="000000" w:themeColor="text1"/>
          <w:sz w:val="48"/>
          <w:szCs w:val="48"/>
          <w:highlight w:val="none"/>
          <w14:textFill>
            <w14:solidFill>
              <w14:schemeClr w14:val="tx1"/>
            </w14:solidFill>
          </w14:textFill>
        </w:rPr>
      </w:pPr>
      <w:r>
        <w:rPr>
          <w:rFonts w:hint="eastAsia" w:ascii="仿宋" w:hAnsi="仿宋" w:cs="仿宋_GB2312"/>
          <w:b/>
          <w:color w:val="000000" w:themeColor="text1"/>
          <w:sz w:val="48"/>
          <w:szCs w:val="48"/>
          <w:highlight w:val="none"/>
          <w14:textFill>
            <w14:solidFill>
              <w14:schemeClr w14:val="tx1"/>
            </w14:solidFill>
          </w14:textFill>
        </w:rPr>
        <w:t>招标文件</w:t>
      </w:r>
    </w:p>
    <w:p>
      <w:pPr>
        <w:spacing w:line="480" w:lineRule="exact"/>
        <w:jc w:val="center"/>
        <w:rPr>
          <w:rFonts w:ascii="仿宋" w:hAnsi="仿宋" w:cs="仿宋_GB2312"/>
          <w:b/>
          <w:color w:val="000000" w:themeColor="text1"/>
          <w:sz w:val="24"/>
          <w:highlight w:val="none"/>
          <w14:textFill>
            <w14:solidFill>
              <w14:schemeClr w14:val="tx1"/>
            </w14:solidFill>
          </w14:textFill>
        </w:rPr>
      </w:pPr>
    </w:p>
    <w:p>
      <w:pPr>
        <w:spacing w:line="480" w:lineRule="exact"/>
        <w:jc w:val="center"/>
        <w:rPr>
          <w:rFonts w:ascii="仿宋" w:hAnsi="仿宋" w:cs="仿宋_GB2312"/>
          <w:b/>
          <w:color w:val="000000" w:themeColor="text1"/>
          <w:sz w:val="24"/>
          <w:highlight w:val="none"/>
          <w14:textFill>
            <w14:solidFill>
              <w14:schemeClr w14:val="tx1"/>
            </w14:solidFill>
          </w14:textFill>
        </w:rPr>
      </w:pPr>
    </w:p>
    <w:p>
      <w:pPr>
        <w:spacing w:line="480" w:lineRule="exact"/>
        <w:jc w:val="center"/>
        <w:rPr>
          <w:rFonts w:ascii="仿宋" w:hAnsi="仿宋" w:cs="仿宋_GB2312"/>
          <w:b/>
          <w:color w:val="000000" w:themeColor="text1"/>
          <w:sz w:val="24"/>
          <w:highlight w:val="none"/>
          <w14:textFill>
            <w14:solidFill>
              <w14:schemeClr w14:val="tx1"/>
            </w14:solidFill>
          </w14:textFill>
        </w:rPr>
      </w:pPr>
    </w:p>
    <w:p>
      <w:pPr>
        <w:spacing w:line="480" w:lineRule="exact"/>
        <w:jc w:val="center"/>
        <w:rPr>
          <w:rFonts w:ascii="仿宋" w:hAnsi="仿宋" w:cs="仿宋_GB2312"/>
          <w:b/>
          <w:color w:val="000000" w:themeColor="text1"/>
          <w:sz w:val="24"/>
          <w:highlight w:val="none"/>
          <w14:textFill>
            <w14:solidFill>
              <w14:schemeClr w14:val="tx1"/>
            </w14:solidFill>
          </w14:textFill>
        </w:rPr>
      </w:pPr>
    </w:p>
    <w:p>
      <w:pPr>
        <w:spacing w:line="480" w:lineRule="exact"/>
        <w:jc w:val="center"/>
        <w:rPr>
          <w:rFonts w:ascii="仿宋" w:hAnsi="仿宋" w:cs="仿宋_GB2312"/>
          <w:b/>
          <w:color w:val="000000" w:themeColor="text1"/>
          <w:sz w:val="24"/>
          <w:highlight w:val="none"/>
          <w14:textFill>
            <w14:solidFill>
              <w14:schemeClr w14:val="tx1"/>
            </w14:solidFill>
          </w14:textFill>
        </w:rPr>
      </w:pPr>
    </w:p>
    <w:p>
      <w:pPr>
        <w:spacing w:line="480" w:lineRule="exact"/>
        <w:jc w:val="center"/>
        <w:rPr>
          <w:rFonts w:ascii="仿宋" w:hAnsi="仿宋" w:cs="仿宋_GB2312"/>
          <w:b/>
          <w:color w:val="000000" w:themeColor="text1"/>
          <w:sz w:val="24"/>
          <w:highlight w:val="none"/>
          <w14:textFill>
            <w14:solidFill>
              <w14:schemeClr w14:val="tx1"/>
            </w14:solidFill>
          </w14:textFill>
        </w:rPr>
      </w:pPr>
    </w:p>
    <w:p>
      <w:pPr>
        <w:spacing w:line="360" w:lineRule="auto"/>
        <w:ind w:firstLine="846" w:firstLineChars="235"/>
        <w:rPr>
          <w:rFonts w:ascii="仿宋" w:hAnsi="仿宋" w:cs="仿宋_GB2312"/>
          <w:b/>
          <w:color w:val="000000" w:themeColor="text1"/>
          <w:sz w:val="36"/>
          <w:szCs w:val="36"/>
          <w:highlight w:val="none"/>
          <w14:textFill>
            <w14:solidFill>
              <w14:schemeClr w14:val="tx1"/>
            </w14:solidFill>
          </w14:textFill>
        </w:rPr>
      </w:pPr>
      <w:r>
        <w:rPr>
          <w:rFonts w:hint="eastAsia" w:ascii="仿宋" w:hAnsi="仿宋" w:cs="仿宋_GB2312"/>
          <w:b/>
          <w:color w:val="000000" w:themeColor="text1"/>
          <w:sz w:val="36"/>
          <w:szCs w:val="36"/>
          <w:highlight w:val="none"/>
          <w14:textFill>
            <w14:solidFill>
              <w14:schemeClr w14:val="tx1"/>
            </w14:solidFill>
          </w14:textFill>
        </w:rPr>
        <w:t>项目名称：大连医科大学附属第二医院64排(128层)以上螺旋CT采购项目</w:t>
      </w:r>
    </w:p>
    <w:p>
      <w:pPr>
        <w:spacing w:line="360" w:lineRule="auto"/>
        <w:ind w:firstLine="846" w:firstLineChars="235"/>
        <w:rPr>
          <w:rFonts w:ascii="仿宋" w:hAnsi="仿宋" w:cs="仿宋_GB2312"/>
          <w:b/>
          <w:color w:val="000000" w:themeColor="text1"/>
          <w:sz w:val="36"/>
          <w:szCs w:val="36"/>
          <w:highlight w:val="none"/>
          <w14:textFill>
            <w14:solidFill>
              <w14:schemeClr w14:val="tx1"/>
            </w14:solidFill>
          </w14:textFill>
        </w:rPr>
      </w:pPr>
      <w:r>
        <w:rPr>
          <w:rFonts w:hint="eastAsia" w:ascii="仿宋" w:hAnsi="仿宋" w:cs="仿宋_GB2312"/>
          <w:b/>
          <w:color w:val="000000" w:themeColor="text1"/>
          <w:sz w:val="36"/>
          <w:szCs w:val="36"/>
          <w:highlight w:val="none"/>
          <w14:textFill>
            <w14:solidFill>
              <w14:schemeClr w14:val="tx1"/>
            </w14:solidFill>
          </w14:textFill>
        </w:rPr>
        <w:t>项目编号：</w:t>
      </w:r>
      <w:r>
        <w:rPr>
          <w:rFonts w:ascii="仿宋" w:hAnsi="仿宋" w:cs="仿宋_GB2312"/>
          <w:b/>
          <w:color w:val="000000" w:themeColor="text1"/>
          <w:sz w:val="36"/>
          <w:szCs w:val="36"/>
          <w:highlight w:val="none"/>
          <w14:textFill>
            <w14:solidFill>
              <w14:schemeClr w14:val="tx1"/>
            </w14:solidFill>
          </w14:textFill>
        </w:rPr>
        <w:t>JH23-210000-33451</w:t>
      </w:r>
      <w:r>
        <w:rPr>
          <w:rFonts w:hint="eastAsia" w:ascii="仿宋" w:hAnsi="仿宋" w:cs="仿宋_GB2312"/>
          <w:b/>
          <w:color w:val="000000" w:themeColor="text1"/>
          <w:sz w:val="36"/>
          <w:szCs w:val="36"/>
          <w:highlight w:val="none"/>
          <w14:textFill>
            <w14:solidFill>
              <w14:schemeClr w14:val="tx1"/>
            </w14:solidFill>
          </w14:textFill>
        </w:rPr>
        <w:t xml:space="preserve"> </w:t>
      </w:r>
      <w:r>
        <w:rPr>
          <w:rFonts w:ascii="仿宋" w:hAnsi="仿宋" w:cs="仿宋_GB2312"/>
          <w:b/>
          <w:color w:val="000000" w:themeColor="text1"/>
          <w:sz w:val="36"/>
          <w:szCs w:val="36"/>
          <w:highlight w:val="none"/>
          <w14:textFill>
            <w14:solidFill>
              <w14:schemeClr w14:val="tx1"/>
            </w14:solidFill>
          </w14:textFill>
        </w:rPr>
        <w:t xml:space="preserve"> </w:t>
      </w:r>
      <w:r>
        <w:rPr>
          <w:rFonts w:hint="eastAsia" w:ascii="仿宋" w:hAnsi="仿宋" w:cs="仿宋_GB2312"/>
          <w:b/>
          <w:color w:val="000000" w:themeColor="text1"/>
          <w:sz w:val="36"/>
          <w:szCs w:val="36"/>
          <w:highlight w:val="none"/>
          <w14:textFill>
            <w14:solidFill>
              <w14:schemeClr w14:val="tx1"/>
            </w14:solidFill>
          </w14:textFill>
        </w:rPr>
        <w:t xml:space="preserve"> </w:t>
      </w:r>
    </w:p>
    <w:p>
      <w:pPr>
        <w:spacing w:line="360" w:lineRule="auto"/>
        <w:ind w:firstLine="846" w:firstLineChars="235"/>
        <w:rPr>
          <w:rFonts w:ascii="仿宋" w:hAnsi="仿宋" w:cs="仿宋_GB2312"/>
          <w:b/>
          <w:color w:val="000000" w:themeColor="text1"/>
          <w:sz w:val="36"/>
          <w:szCs w:val="36"/>
          <w:highlight w:val="none"/>
          <w14:textFill>
            <w14:solidFill>
              <w14:schemeClr w14:val="tx1"/>
            </w14:solidFill>
          </w14:textFill>
        </w:rPr>
      </w:pPr>
      <w:r>
        <w:rPr>
          <w:rFonts w:hint="eastAsia" w:ascii="仿宋" w:hAnsi="仿宋" w:cs="仿宋_GB2312"/>
          <w:b/>
          <w:color w:val="000000" w:themeColor="text1"/>
          <w:sz w:val="36"/>
          <w:szCs w:val="36"/>
          <w:highlight w:val="none"/>
          <w14:textFill>
            <w14:solidFill>
              <w14:schemeClr w14:val="tx1"/>
            </w14:solidFill>
          </w14:textFill>
        </w:rPr>
        <w:t>院内编号：</w:t>
      </w:r>
      <w:r>
        <w:rPr>
          <w:rFonts w:ascii="仿宋" w:hAnsi="仿宋" w:cs="仿宋_GB2312"/>
          <w:b/>
          <w:color w:val="000000" w:themeColor="text1"/>
          <w:sz w:val="36"/>
          <w:szCs w:val="36"/>
          <w:highlight w:val="none"/>
          <w14:textFill>
            <w14:solidFill>
              <w14:schemeClr w14:val="tx1"/>
            </w14:solidFill>
          </w14:textFill>
        </w:rPr>
        <w:t>ZYZ23-0077</w:t>
      </w:r>
      <w:r>
        <w:rPr>
          <w:rFonts w:hint="eastAsia" w:ascii="仿宋" w:hAnsi="仿宋" w:cs="仿宋_GB2312"/>
          <w:b/>
          <w:color w:val="000000" w:themeColor="text1"/>
          <w:sz w:val="36"/>
          <w:szCs w:val="36"/>
          <w:highlight w:val="none"/>
          <w14:textFill>
            <w14:solidFill>
              <w14:schemeClr w14:val="tx1"/>
            </w14:solidFill>
          </w14:textFill>
        </w:rPr>
        <w:t xml:space="preserve">  </w:t>
      </w:r>
    </w:p>
    <w:p>
      <w:pPr>
        <w:spacing w:line="360" w:lineRule="auto"/>
        <w:ind w:firstLine="846" w:firstLineChars="235"/>
        <w:rPr>
          <w:rFonts w:ascii="仿宋" w:hAnsi="仿宋" w:cs="仿宋_GB2312"/>
          <w:b/>
          <w:color w:val="000000" w:themeColor="text1"/>
          <w:sz w:val="36"/>
          <w:szCs w:val="36"/>
          <w:highlight w:val="none"/>
          <w14:textFill>
            <w14:solidFill>
              <w14:schemeClr w14:val="tx1"/>
            </w14:solidFill>
          </w14:textFill>
        </w:rPr>
      </w:pPr>
      <w:r>
        <w:rPr>
          <w:rFonts w:hint="eastAsia" w:ascii="仿宋" w:hAnsi="仿宋" w:cs="仿宋_GB2312"/>
          <w:b/>
          <w:color w:val="000000" w:themeColor="text1"/>
          <w:sz w:val="36"/>
          <w:szCs w:val="36"/>
          <w:highlight w:val="none"/>
          <w14:textFill>
            <w14:solidFill>
              <w14:schemeClr w14:val="tx1"/>
            </w14:solidFill>
          </w14:textFill>
        </w:rPr>
        <w:t>文件标号：DCZ202505079</w:t>
      </w:r>
    </w:p>
    <w:p>
      <w:pPr>
        <w:spacing w:line="360" w:lineRule="auto"/>
        <w:ind w:firstLine="846" w:firstLineChars="235"/>
        <w:rPr>
          <w:rFonts w:ascii="仿宋" w:hAnsi="仿宋" w:cs="仿宋_GB2312"/>
          <w:b/>
          <w:color w:val="000000" w:themeColor="text1"/>
          <w:sz w:val="36"/>
          <w:szCs w:val="36"/>
          <w:highlight w:val="none"/>
          <w14:textFill>
            <w14:solidFill>
              <w14:schemeClr w14:val="tx1"/>
            </w14:solidFill>
          </w14:textFill>
        </w:rPr>
      </w:pPr>
      <w:r>
        <w:rPr>
          <w:rFonts w:hint="eastAsia" w:ascii="仿宋" w:hAnsi="仿宋" w:cs="仿宋_GB2312"/>
          <w:b/>
          <w:color w:val="000000" w:themeColor="text1"/>
          <w:sz w:val="36"/>
          <w:szCs w:val="36"/>
          <w:highlight w:val="none"/>
          <w14:textFill>
            <w14:solidFill>
              <w14:schemeClr w14:val="tx1"/>
            </w14:solidFill>
          </w14:textFill>
        </w:rPr>
        <w:t>编制单位：大连机械设备成套有限公司</w:t>
      </w:r>
    </w:p>
    <w:p>
      <w:pPr>
        <w:spacing w:line="360" w:lineRule="auto"/>
        <w:ind w:firstLine="846" w:firstLineChars="235"/>
        <w:rPr>
          <w:rFonts w:ascii="仿宋" w:hAnsi="仿宋" w:cs="仿宋_GB2312"/>
          <w:b/>
          <w:color w:val="000000" w:themeColor="text1"/>
          <w:sz w:val="36"/>
          <w:szCs w:val="36"/>
          <w:highlight w:val="none"/>
          <w14:textFill>
            <w14:solidFill>
              <w14:schemeClr w14:val="tx1"/>
            </w14:solidFill>
          </w14:textFill>
        </w:rPr>
        <w:sectPr>
          <w:pgSz w:w="11906" w:h="16838"/>
          <w:pgMar w:top="1440" w:right="1800" w:bottom="1440" w:left="1800" w:header="851" w:footer="992" w:gutter="0"/>
          <w:cols w:space="720" w:num="1"/>
          <w:docGrid w:type="linesAndChars" w:linePitch="312" w:charSpace="0"/>
        </w:sectPr>
      </w:pPr>
    </w:p>
    <w:p>
      <w:pPr>
        <w:jc w:val="center"/>
        <w:rPr>
          <w:rFonts w:ascii="仿宋" w:hAnsi="仿宋" w:cs="仿宋_GB2312"/>
          <w:b/>
          <w:bCs/>
          <w:color w:val="000000" w:themeColor="text1"/>
          <w:sz w:val="44"/>
          <w:szCs w:val="44"/>
          <w:highlight w:val="none"/>
          <w14:textFill>
            <w14:solidFill>
              <w14:schemeClr w14:val="tx1"/>
            </w14:solidFill>
          </w14:textFill>
        </w:rPr>
      </w:pPr>
      <w:r>
        <w:rPr>
          <w:rFonts w:hint="eastAsia" w:ascii="仿宋" w:hAnsi="仿宋" w:cs="仿宋_GB2312"/>
          <w:b/>
          <w:bCs/>
          <w:color w:val="000000" w:themeColor="text1"/>
          <w:sz w:val="44"/>
          <w:szCs w:val="44"/>
          <w:highlight w:val="none"/>
          <w14:textFill>
            <w14:solidFill>
              <w14:schemeClr w14:val="tx1"/>
            </w14:solidFill>
          </w14:textFill>
        </w:rPr>
        <w:t>目  录</w:t>
      </w:r>
    </w:p>
    <w:p>
      <w:pPr>
        <w:jc w:val="center"/>
        <w:rPr>
          <w:rFonts w:ascii="仿宋" w:hAnsi="仿宋" w:cs="仿宋_GB2312"/>
          <w:b/>
          <w:bCs/>
          <w:color w:val="000000" w:themeColor="text1"/>
          <w:sz w:val="44"/>
          <w:szCs w:val="44"/>
          <w:highlight w:val="none"/>
          <w14:textFill>
            <w14:solidFill>
              <w14:schemeClr w14:val="tx1"/>
            </w14:solidFill>
          </w14:textFill>
        </w:rPr>
      </w:pPr>
    </w:p>
    <w:p>
      <w:pPr>
        <w:pStyle w:val="45"/>
        <w:tabs>
          <w:tab w:val="right" w:leader="dot" w:pos="8306"/>
        </w:tabs>
        <w:spacing w:line="480" w:lineRule="auto"/>
        <w:ind w:firstLine="482"/>
        <w:rPr>
          <w:rFonts w:ascii="仿宋" w:hAnsi="仿宋"/>
          <w:b/>
          <w:bCs/>
          <w:color w:val="000000" w:themeColor="text1"/>
          <w:sz w:val="24"/>
          <w:highlight w:val="none"/>
          <w14:textFill>
            <w14:solidFill>
              <w14:schemeClr w14:val="tx1"/>
            </w14:solidFill>
          </w14:textFill>
        </w:rPr>
      </w:pPr>
      <w:r>
        <w:rPr>
          <w:rFonts w:ascii="仿宋" w:hAnsi="仿宋"/>
          <w:b/>
          <w:bCs/>
          <w:color w:val="000000" w:themeColor="text1"/>
          <w:sz w:val="24"/>
          <w:highlight w:val="none"/>
          <w14:textFill>
            <w14:solidFill>
              <w14:schemeClr w14:val="tx1"/>
            </w14:solidFill>
          </w14:textFill>
        </w:rPr>
        <w:fldChar w:fldCharType="begin"/>
      </w:r>
      <w:r>
        <w:rPr>
          <w:rFonts w:ascii="仿宋" w:hAnsi="仿宋"/>
          <w:b/>
          <w:bCs/>
          <w:color w:val="000000" w:themeColor="text1"/>
          <w:sz w:val="24"/>
          <w:highlight w:val="none"/>
          <w14:textFill>
            <w14:solidFill>
              <w14:schemeClr w14:val="tx1"/>
            </w14:solidFill>
          </w14:textFill>
        </w:rPr>
        <w:instrText xml:space="preserve">TOC \o "1-1" \h \u </w:instrText>
      </w:r>
      <w:r>
        <w:rPr>
          <w:rFonts w:ascii="仿宋" w:hAnsi="仿宋"/>
          <w:b/>
          <w:bCs/>
          <w:color w:val="000000" w:themeColor="text1"/>
          <w:sz w:val="24"/>
          <w:highlight w:val="none"/>
          <w14:textFill>
            <w14:solidFill>
              <w14:schemeClr w14:val="tx1"/>
            </w14:solidFill>
          </w14:textFill>
        </w:rPr>
        <w:fldChar w:fldCharType="separate"/>
      </w:r>
      <w:r>
        <w:rPr>
          <w:highlight w:val="none"/>
        </w:rPr>
        <w:fldChar w:fldCharType="begin"/>
      </w:r>
      <w:r>
        <w:rPr>
          <w:highlight w:val="none"/>
        </w:rPr>
        <w:instrText xml:space="preserve"> HYPERLINK \l "_Toc7381" </w:instrText>
      </w:r>
      <w:r>
        <w:rPr>
          <w:highlight w:val="none"/>
        </w:rPr>
        <w:fldChar w:fldCharType="separate"/>
      </w:r>
      <w:r>
        <w:rPr>
          <w:rFonts w:hint="eastAsia" w:ascii="仿宋" w:hAnsi="仿宋" w:cs="仿宋_GB2312"/>
          <w:b/>
          <w:bCs/>
          <w:color w:val="000000" w:themeColor="text1"/>
          <w:sz w:val="24"/>
          <w:highlight w:val="none"/>
          <w14:textFill>
            <w14:solidFill>
              <w14:schemeClr w14:val="tx1"/>
            </w14:solidFill>
          </w14:textFill>
        </w:rPr>
        <w:t xml:space="preserve">招标公告 </w:t>
      </w:r>
      <w:r>
        <w:rPr>
          <w:rFonts w:ascii="仿宋" w:hAnsi="仿宋"/>
          <w:b/>
          <w:bCs/>
          <w:color w:val="000000" w:themeColor="text1"/>
          <w:sz w:val="24"/>
          <w:highlight w:val="none"/>
          <w14:textFill>
            <w14:solidFill>
              <w14:schemeClr w14:val="tx1"/>
            </w14:solidFill>
          </w14:textFill>
        </w:rPr>
        <w:tab/>
      </w:r>
      <w:r>
        <w:rPr>
          <w:rFonts w:ascii="仿宋" w:hAnsi="仿宋"/>
          <w:b/>
          <w:bCs/>
          <w:color w:val="000000" w:themeColor="text1"/>
          <w:sz w:val="24"/>
          <w:highlight w:val="none"/>
          <w14:textFill>
            <w14:solidFill>
              <w14:schemeClr w14:val="tx1"/>
            </w14:solidFill>
          </w14:textFill>
        </w:rPr>
        <w:fldChar w:fldCharType="end"/>
      </w:r>
    </w:p>
    <w:p>
      <w:pPr>
        <w:pStyle w:val="45"/>
        <w:tabs>
          <w:tab w:val="right" w:leader="dot" w:pos="8306"/>
        </w:tabs>
        <w:spacing w:line="480" w:lineRule="auto"/>
        <w:rPr>
          <w:rFonts w:ascii="仿宋" w:hAnsi="仿宋"/>
          <w:b/>
          <w:bCs/>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"_Toc9614" </w:instrText>
      </w:r>
      <w:r>
        <w:rPr>
          <w:highlight w:val="none"/>
        </w:rPr>
        <w:fldChar w:fldCharType="separate"/>
      </w:r>
      <w:r>
        <w:rPr>
          <w:rFonts w:hint="eastAsia" w:ascii="仿宋" w:hAnsi="仿宋" w:cs="仿宋_GB2312"/>
          <w:b/>
          <w:bCs/>
          <w:color w:val="000000" w:themeColor="text1"/>
          <w:sz w:val="24"/>
          <w:highlight w:val="none"/>
          <w14:textFill>
            <w14:solidFill>
              <w14:schemeClr w14:val="tx1"/>
            </w14:solidFill>
          </w14:textFill>
        </w:rPr>
        <w:t>第一章 投标人须知</w:t>
      </w:r>
      <w:r>
        <w:rPr>
          <w:rFonts w:ascii="仿宋" w:hAnsi="仿宋"/>
          <w:b/>
          <w:bCs/>
          <w:color w:val="000000" w:themeColor="text1"/>
          <w:sz w:val="24"/>
          <w:highlight w:val="none"/>
          <w14:textFill>
            <w14:solidFill>
              <w14:schemeClr w14:val="tx1"/>
            </w14:solidFill>
          </w14:textFill>
        </w:rPr>
        <w:tab/>
      </w:r>
      <w:r>
        <w:rPr>
          <w:rFonts w:ascii="仿宋" w:hAnsi="仿宋"/>
          <w:b/>
          <w:bCs/>
          <w:color w:val="000000" w:themeColor="text1"/>
          <w:sz w:val="24"/>
          <w:highlight w:val="none"/>
          <w14:textFill>
            <w14:solidFill>
              <w14:schemeClr w14:val="tx1"/>
            </w14:solidFill>
          </w14:textFill>
        </w:rPr>
        <w:fldChar w:fldCharType="begin"/>
      </w:r>
      <w:r>
        <w:rPr>
          <w:rFonts w:ascii="仿宋" w:hAnsi="仿宋"/>
          <w:b/>
          <w:bCs/>
          <w:color w:val="000000" w:themeColor="text1"/>
          <w:sz w:val="24"/>
          <w:highlight w:val="none"/>
          <w14:textFill>
            <w14:solidFill>
              <w14:schemeClr w14:val="tx1"/>
            </w14:solidFill>
          </w14:textFill>
        </w:rPr>
        <w:instrText xml:space="preserve"> PAGEREF _Toc9614 </w:instrText>
      </w:r>
      <w:r>
        <w:rPr>
          <w:rFonts w:ascii="仿宋" w:hAnsi="仿宋"/>
          <w:b/>
          <w:bCs/>
          <w:color w:val="000000" w:themeColor="text1"/>
          <w:sz w:val="24"/>
          <w:highlight w:val="none"/>
          <w14:textFill>
            <w14:solidFill>
              <w14:schemeClr w14:val="tx1"/>
            </w14:solidFill>
          </w14:textFill>
        </w:rPr>
        <w:fldChar w:fldCharType="separate"/>
      </w:r>
      <w:r>
        <w:rPr>
          <w:rFonts w:ascii="仿宋" w:hAnsi="仿宋"/>
          <w:b/>
          <w:bCs/>
          <w:color w:val="000000" w:themeColor="text1"/>
          <w:sz w:val="24"/>
          <w:highlight w:val="none"/>
          <w14:textFill>
            <w14:solidFill>
              <w14:schemeClr w14:val="tx1"/>
            </w14:solidFill>
          </w14:textFill>
        </w:rPr>
        <w:t>1</w:t>
      </w:r>
      <w:r>
        <w:rPr>
          <w:rFonts w:ascii="仿宋" w:hAnsi="仿宋"/>
          <w:b/>
          <w:bCs/>
          <w:color w:val="000000" w:themeColor="text1"/>
          <w:sz w:val="24"/>
          <w:highlight w:val="none"/>
          <w14:textFill>
            <w14:solidFill>
              <w14:schemeClr w14:val="tx1"/>
            </w14:solidFill>
          </w14:textFill>
        </w:rPr>
        <w:fldChar w:fldCharType="end"/>
      </w:r>
      <w:r>
        <w:rPr>
          <w:rFonts w:ascii="仿宋" w:hAnsi="仿宋"/>
          <w:b/>
          <w:bCs/>
          <w:color w:val="000000" w:themeColor="text1"/>
          <w:sz w:val="24"/>
          <w:highlight w:val="none"/>
          <w14:textFill>
            <w14:solidFill>
              <w14:schemeClr w14:val="tx1"/>
            </w14:solidFill>
          </w14:textFill>
        </w:rPr>
        <w:fldChar w:fldCharType="end"/>
      </w:r>
    </w:p>
    <w:p>
      <w:pPr>
        <w:pStyle w:val="45"/>
        <w:tabs>
          <w:tab w:val="right" w:leader="dot" w:pos="8306"/>
        </w:tabs>
        <w:spacing w:line="480" w:lineRule="auto"/>
        <w:rPr>
          <w:rFonts w:ascii="仿宋" w:hAnsi="仿宋"/>
          <w:b/>
          <w:bCs/>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"_Toc6403" </w:instrText>
      </w:r>
      <w:r>
        <w:rPr>
          <w:highlight w:val="none"/>
        </w:rPr>
        <w:fldChar w:fldCharType="separate"/>
      </w:r>
      <w:r>
        <w:rPr>
          <w:rFonts w:hint="eastAsia" w:ascii="仿宋" w:hAnsi="仿宋" w:cs="仿宋_GB2312"/>
          <w:b/>
          <w:bCs/>
          <w:color w:val="000000" w:themeColor="text1"/>
          <w:sz w:val="24"/>
          <w:highlight w:val="none"/>
          <w14:textFill>
            <w14:solidFill>
              <w14:schemeClr w14:val="tx1"/>
            </w14:solidFill>
          </w14:textFill>
        </w:rPr>
        <w:t>第二章 投标文件内容及格式</w:t>
      </w:r>
      <w:r>
        <w:rPr>
          <w:rFonts w:ascii="仿宋" w:hAnsi="仿宋"/>
          <w:b/>
          <w:bCs/>
          <w:color w:val="000000" w:themeColor="text1"/>
          <w:sz w:val="24"/>
          <w:highlight w:val="none"/>
          <w14:textFill>
            <w14:solidFill>
              <w14:schemeClr w14:val="tx1"/>
            </w14:solidFill>
          </w14:textFill>
        </w:rPr>
        <w:tab/>
      </w:r>
      <w:r>
        <w:rPr>
          <w:rFonts w:ascii="仿宋" w:hAnsi="仿宋"/>
          <w:b/>
          <w:bCs/>
          <w:color w:val="000000" w:themeColor="text1"/>
          <w:sz w:val="24"/>
          <w:highlight w:val="none"/>
          <w14:textFill>
            <w14:solidFill>
              <w14:schemeClr w14:val="tx1"/>
            </w14:solidFill>
          </w14:textFill>
        </w:rPr>
        <w:fldChar w:fldCharType="begin"/>
      </w:r>
      <w:r>
        <w:rPr>
          <w:rFonts w:ascii="仿宋" w:hAnsi="仿宋"/>
          <w:b/>
          <w:bCs/>
          <w:color w:val="000000" w:themeColor="text1"/>
          <w:sz w:val="24"/>
          <w:highlight w:val="none"/>
          <w14:textFill>
            <w14:solidFill>
              <w14:schemeClr w14:val="tx1"/>
            </w14:solidFill>
          </w14:textFill>
        </w:rPr>
        <w:instrText xml:space="preserve"> PAGEREF _Toc6403 </w:instrText>
      </w:r>
      <w:r>
        <w:rPr>
          <w:rFonts w:ascii="仿宋" w:hAnsi="仿宋"/>
          <w:b/>
          <w:bCs/>
          <w:color w:val="000000" w:themeColor="text1"/>
          <w:sz w:val="24"/>
          <w:highlight w:val="none"/>
          <w14:textFill>
            <w14:solidFill>
              <w14:schemeClr w14:val="tx1"/>
            </w14:solidFill>
          </w14:textFill>
        </w:rPr>
        <w:fldChar w:fldCharType="separate"/>
      </w:r>
      <w:r>
        <w:rPr>
          <w:rFonts w:ascii="仿宋" w:hAnsi="仿宋"/>
          <w:b/>
          <w:bCs/>
          <w:color w:val="000000" w:themeColor="text1"/>
          <w:sz w:val="24"/>
          <w:highlight w:val="none"/>
          <w14:textFill>
            <w14:solidFill>
              <w14:schemeClr w14:val="tx1"/>
            </w14:solidFill>
          </w14:textFill>
        </w:rPr>
        <w:t>17</w:t>
      </w:r>
      <w:r>
        <w:rPr>
          <w:rFonts w:ascii="仿宋" w:hAnsi="仿宋"/>
          <w:b/>
          <w:bCs/>
          <w:color w:val="000000" w:themeColor="text1"/>
          <w:sz w:val="24"/>
          <w:highlight w:val="none"/>
          <w14:textFill>
            <w14:solidFill>
              <w14:schemeClr w14:val="tx1"/>
            </w14:solidFill>
          </w14:textFill>
        </w:rPr>
        <w:fldChar w:fldCharType="end"/>
      </w:r>
      <w:r>
        <w:rPr>
          <w:rFonts w:ascii="仿宋" w:hAnsi="仿宋"/>
          <w:b/>
          <w:bCs/>
          <w:color w:val="000000" w:themeColor="text1"/>
          <w:sz w:val="24"/>
          <w:highlight w:val="none"/>
          <w14:textFill>
            <w14:solidFill>
              <w14:schemeClr w14:val="tx1"/>
            </w14:solidFill>
          </w14:textFill>
        </w:rPr>
        <w:fldChar w:fldCharType="end"/>
      </w:r>
    </w:p>
    <w:p>
      <w:pPr>
        <w:pStyle w:val="45"/>
        <w:tabs>
          <w:tab w:val="right" w:leader="dot" w:pos="8306"/>
        </w:tabs>
        <w:spacing w:line="480" w:lineRule="auto"/>
        <w:rPr>
          <w:rFonts w:ascii="仿宋" w:hAnsi="仿宋"/>
          <w:b/>
          <w:bCs/>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"_Toc17590" </w:instrText>
      </w:r>
      <w:r>
        <w:rPr>
          <w:highlight w:val="none"/>
        </w:rPr>
        <w:fldChar w:fldCharType="separate"/>
      </w:r>
      <w:r>
        <w:rPr>
          <w:rFonts w:hint="eastAsia" w:ascii="仿宋" w:hAnsi="仿宋" w:cs="仿宋_GB2312"/>
          <w:b/>
          <w:bCs/>
          <w:color w:val="000000" w:themeColor="text1"/>
          <w:sz w:val="24"/>
          <w:highlight w:val="none"/>
          <w14:textFill>
            <w14:solidFill>
              <w14:schemeClr w14:val="tx1"/>
            </w14:solidFill>
          </w14:textFill>
        </w:rPr>
        <w:t>第三章 货物需求</w:t>
      </w:r>
      <w:r>
        <w:rPr>
          <w:rFonts w:ascii="仿宋" w:hAnsi="仿宋"/>
          <w:b/>
          <w:bCs/>
          <w:color w:val="000000" w:themeColor="text1"/>
          <w:sz w:val="24"/>
          <w:highlight w:val="none"/>
          <w14:textFill>
            <w14:solidFill>
              <w14:schemeClr w14:val="tx1"/>
            </w14:solidFill>
          </w14:textFill>
        </w:rPr>
        <w:tab/>
      </w:r>
      <w:r>
        <w:rPr>
          <w:rFonts w:ascii="仿宋" w:hAnsi="仿宋"/>
          <w:b/>
          <w:bCs/>
          <w:color w:val="000000" w:themeColor="text1"/>
          <w:sz w:val="24"/>
          <w:highlight w:val="none"/>
          <w14:textFill>
            <w14:solidFill>
              <w14:schemeClr w14:val="tx1"/>
            </w14:solidFill>
          </w14:textFill>
        </w:rPr>
        <w:fldChar w:fldCharType="begin"/>
      </w:r>
      <w:r>
        <w:rPr>
          <w:rFonts w:ascii="仿宋" w:hAnsi="仿宋"/>
          <w:b/>
          <w:bCs/>
          <w:color w:val="000000" w:themeColor="text1"/>
          <w:sz w:val="24"/>
          <w:highlight w:val="none"/>
          <w14:textFill>
            <w14:solidFill>
              <w14:schemeClr w14:val="tx1"/>
            </w14:solidFill>
          </w14:textFill>
        </w:rPr>
        <w:instrText xml:space="preserve"> PAGEREF _Toc17590 </w:instrText>
      </w:r>
      <w:r>
        <w:rPr>
          <w:rFonts w:ascii="仿宋" w:hAnsi="仿宋"/>
          <w:b/>
          <w:bCs/>
          <w:color w:val="000000" w:themeColor="text1"/>
          <w:sz w:val="24"/>
          <w:highlight w:val="none"/>
          <w14:textFill>
            <w14:solidFill>
              <w14:schemeClr w14:val="tx1"/>
            </w14:solidFill>
          </w14:textFill>
        </w:rPr>
        <w:fldChar w:fldCharType="separate"/>
      </w:r>
      <w:r>
        <w:rPr>
          <w:rFonts w:ascii="仿宋" w:hAnsi="仿宋"/>
          <w:b/>
          <w:bCs/>
          <w:color w:val="000000" w:themeColor="text1"/>
          <w:sz w:val="24"/>
          <w:highlight w:val="none"/>
          <w14:textFill>
            <w14:solidFill>
              <w14:schemeClr w14:val="tx1"/>
            </w14:solidFill>
          </w14:textFill>
        </w:rPr>
        <w:t>43</w:t>
      </w:r>
      <w:r>
        <w:rPr>
          <w:rFonts w:ascii="仿宋" w:hAnsi="仿宋"/>
          <w:b/>
          <w:bCs/>
          <w:color w:val="000000" w:themeColor="text1"/>
          <w:sz w:val="24"/>
          <w:highlight w:val="none"/>
          <w14:textFill>
            <w14:solidFill>
              <w14:schemeClr w14:val="tx1"/>
            </w14:solidFill>
          </w14:textFill>
        </w:rPr>
        <w:fldChar w:fldCharType="end"/>
      </w:r>
      <w:r>
        <w:rPr>
          <w:rFonts w:ascii="仿宋" w:hAnsi="仿宋"/>
          <w:b/>
          <w:bCs/>
          <w:color w:val="000000" w:themeColor="text1"/>
          <w:sz w:val="24"/>
          <w:highlight w:val="none"/>
          <w14:textFill>
            <w14:solidFill>
              <w14:schemeClr w14:val="tx1"/>
            </w14:solidFill>
          </w14:textFill>
        </w:rPr>
        <w:fldChar w:fldCharType="end"/>
      </w:r>
    </w:p>
    <w:p>
      <w:pPr>
        <w:pStyle w:val="45"/>
        <w:tabs>
          <w:tab w:val="right" w:leader="dot" w:pos="8306"/>
        </w:tabs>
        <w:spacing w:line="480" w:lineRule="auto"/>
        <w:rPr>
          <w:rFonts w:ascii="仿宋" w:hAnsi="仿宋"/>
          <w:b/>
          <w:bCs/>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"_Toc25237" </w:instrText>
      </w:r>
      <w:r>
        <w:rPr>
          <w:highlight w:val="none"/>
        </w:rPr>
        <w:fldChar w:fldCharType="separate"/>
      </w:r>
      <w:r>
        <w:rPr>
          <w:rFonts w:hint="eastAsia" w:ascii="仿宋" w:hAnsi="仿宋" w:cs="仿宋_GB2312"/>
          <w:b/>
          <w:bCs/>
          <w:color w:val="000000" w:themeColor="text1"/>
          <w:sz w:val="24"/>
          <w:highlight w:val="none"/>
          <w14:textFill>
            <w14:solidFill>
              <w14:schemeClr w14:val="tx1"/>
            </w14:solidFill>
          </w14:textFill>
        </w:rPr>
        <w:t>第四章 评标方法</w:t>
      </w:r>
      <w:r>
        <w:rPr>
          <w:rFonts w:ascii="仿宋" w:hAnsi="仿宋"/>
          <w:b/>
          <w:bCs/>
          <w:color w:val="000000" w:themeColor="text1"/>
          <w:sz w:val="24"/>
          <w:highlight w:val="none"/>
          <w14:textFill>
            <w14:solidFill>
              <w14:schemeClr w14:val="tx1"/>
            </w14:solidFill>
          </w14:textFill>
        </w:rPr>
        <w:tab/>
      </w:r>
      <w:r>
        <w:rPr>
          <w:rFonts w:ascii="仿宋" w:hAnsi="仿宋"/>
          <w:b/>
          <w:bCs/>
          <w:color w:val="000000" w:themeColor="text1"/>
          <w:sz w:val="24"/>
          <w:highlight w:val="none"/>
          <w14:textFill>
            <w14:solidFill>
              <w14:schemeClr w14:val="tx1"/>
            </w14:solidFill>
          </w14:textFill>
        </w:rPr>
        <w:t>44</w:t>
      </w:r>
      <w:r>
        <w:rPr>
          <w:rFonts w:ascii="仿宋" w:hAnsi="仿宋"/>
          <w:b/>
          <w:bCs/>
          <w:color w:val="000000" w:themeColor="text1"/>
          <w:sz w:val="24"/>
          <w:highlight w:val="none"/>
          <w14:textFill>
            <w14:solidFill>
              <w14:schemeClr w14:val="tx1"/>
            </w14:solidFill>
          </w14:textFill>
        </w:rPr>
        <w:fldChar w:fldCharType="end"/>
      </w:r>
    </w:p>
    <w:p>
      <w:pPr>
        <w:pStyle w:val="45"/>
        <w:tabs>
          <w:tab w:val="right" w:leader="dot" w:pos="8306"/>
        </w:tabs>
        <w:spacing w:line="480" w:lineRule="auto"/>
        <w:rPr>
          <w:rFonts w:ascii="仿宋" w:hAnsi="仿宋"/>
          <w:b/>
          <w:bCs/>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"_Toc19588" </w:instrText>
      </w:r>
      <w:r>
        <w:rPr>
          <w:highlight w:val="none"/>
        </w:rPr>
        <w:fldChar w:fldCharType="separate"/>
      </w:r>
      <w:r>
        <w:rPr>
          <w:rFonts w:hint="eastAsia" w:ascii="仿宋" w:hAnsi="仿宋" w:cs="仿宋_GB2312"/>
          <w:b/>
          <w:bCs/>
          <w:color w:val="000000" w:themeColor="text1"/>
          <w:sz w:val="24"/>
          <w:highlight w:val="none"/>
          <w14:textFill>
            <w14:solidFill>
              <w14:schemeClr w14:val="tx1"/>
            </w14:solidFill>
          </w14:textFill>
        </w:rPr>
        <w:t>第五章 政府采购合同条款及格式</w:t>
      </w:r>
      <w:r>
        <w:rPr>
          <w:rFonts w:ascii="仿宋" w:hAnsi="仿宋"/>
          <w:b/>
          <w:bCs/>
          <w:color w:val="000000" w:themeColor="text1"/>
          <w:sz w:val="24"/>
          <w:highlight w:val="none"/>
          <w14:textFill>
            <w14:solidFill>
              <w14:schemeClr w14:val="tx1"/>
            </w14:solidFill>
          </w14:textFill>
        </w:rPr>
        <w:tab/>
      </w:r>
      <w:r>
        <w:rPr>
          <w:rFonts w:ascii="仿宋" w:hAnsi="仿宋"/>
          <w:b/>
          <w:bCs/>
          <w:color w:val="000000" w:themeColor="text1"/>
          <w:sz w:val="24"/>
          <w:highlight w:val="none"/>
          <w14:textFill>
            <w14:solidFill>
              <w14:schemeClr w14:val="tx1"/>
            </w14:solidFill>
          </w14:textFill>
        </w:rPr>
        <w:fldChar w:fldCharType="begin"/>
      </w:r>
      <w:r>
        <w:rPr>
          <w:rFonts w:ascii="仿宋" w:hAnsi="仿宋"/>
          <w:b/>
          <w:bCs/>
          <w:color w:val="000000" w:themeColor="text1"/>
          <w:sz w:val="24"/>
          <w:highlight w:val="none"/>
          <w14:textFill>
            <w14:solidFill>
              <w14:schemeClr w14:val="tx1"/>
            </w14:solidFill>
          </w14:textFill>
        </w:rPr>
        <w:instrText xml:space="preserve"> PAGEREF _Toc19588 </w:instrText>
      </w:r>
      <w:r>
        <w:rPr>
          <w:rFonts w:ascii="仿宋" w:hAnsi="仿宋"/>
          <w:b/>
          <w:bCs/>
          <w:color w:val="000000" w:themeColor="text1"/>
          <w:sz w:val="24"/>
          <w:highlight w:val="none"/>
          <w14:textFill>
            <w14:solidFill>
              <w14:schemeClr w14:val="tx1"/>
            </w14:solidFill>
          </w14:textFill>
        </w:rPr>
        <w:fldChar w:fldCharType="separate"/>
      </w:r>
      <w:r>
        <w:rPr>
          <w:rFonts w:ascii="仿宋" w:hAnsi="仿宋"/>
          <w:b/>
          <w:bCs/>
          <w:color w:val="000000" w:themeColor="text1"/>
          <w:sz w:val="24"/>
          <w:highlight w:val="none"/>
          <w14:textFill>
            <w14:solidFill>
              <w14:schemeClr w14:val="tx1"/>
            </w14:solidFill>
          </w14:textFill>
        </w:rPr>
        <w:t>62</w:t>
      </w:r>
      <w:r>
        <w:rPr>
          <w:rFonts w:ascii="仿宋" w:hAnsi="仿宋"/>
          <w:b/>
          <w:bCs/>
          <w:color w:val="000000" w:themeColor="text1"/>
          <w:sz w:val="24"/>
          <w:highlight w:val="none"/>
          <w14:textFill>
            <w14:solidFill>
              <w14:schemeClr w14:val="tx1"/>
            </w14:solidFill>
          </w14:textFill>
        </w:rPr>
        <w:fldChar w:fldCharType="end"/>
      </w:r>
      <w:r>
        <w:rPr>
          <w:rFonts w:ascii="仿宋" w:hAnsi="仿宋"/>
          <w:b/>
          <w:bCs/>
          <w:color w:val="000000" w:themeColor="text1"/>
          <w:sz w:val="24"/>
          <w:highlight w:val="none"/>
          <w14:textFill>
            <w14:solidFill>
              <w14:schemeClr w14:val="tx1"/>
            </w14:solidFill>
          </w14:textFill>
        </w:rPr>
        <w:fldChar w:fldCharType="end"/>
      </w:r>
    </w:p>
    <w:p>
      <w:pPr>
        <w:spacing w:line="480" w:lineRule="auto"/>
        <w:rPr>
          <w:rFonts w:ascii="仿宋" w:hAnsi="仿宋"/>
          <w:color w:val="000000" w:themeColor="text1"/>
          <w:highlight w:val="none"/>
          <w14:textFill>
            <w14:solidFill>
              <w14:schemeClr w14:val="tx1"/>
            </w14:solidFill>
          </w14:textFill>
        </w:rPr>
      </w:pPr>
      <w:r>
        <w:rPr>
          <w:rFonts w:ascii="仿宋" w:hAnsi="仿宋"/>
          <w:b/>
          <w:bCs/>
          <w:color w:val="000000" w:themeColor="text1"/>
          <w:sz w:val="24"/>
          <w:highlight w:val="none"/>
          <w14:textFill>
            <w14:solidFill>
              <w14:schemeClr w14:val="tx1"/>
            </w14:solidFill>
          </w14:textFill>
        </w:rPr>
        <w:fldChar w:fldCharType="end"/>
      </w:r>
    </w:p>
    <w:p>
      <w:pPr>
        <w:pStyle w:val="2"/>
        <w:rPr>
          <w:rFonts w:ascii="仿宋" w:hAnsi="仿宋" w:cs="仿宋_GB2312"/>
          <w:color w:val="000000" w:themeColor="text1"/>
          <w:highlight w:val="none"/>
          <w14:textFill>
            <w14:solidFill>
              <w14:schemeClr w14:val="tx1"/>
            </w14:solidFill>
          </w14:textFill>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pPr>
        <w:pStyle w:val="2"/>
        <w:numPr>
          <w:ilvl w:val="0"/>
          <w:numId w:val="0"/>
        </w:numP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大连医科大学附属第二医院64排(128层)以上螺旋CT采购项目的招标公告</w:t>
      </w:r>
      <w:bookmarkEnd w:id="0"/>
      <w:bookmarkEnd w:id="1"/>
    </w:p>
    <w:p>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color w:val="000000" w:themeColor="text1"/>
          <w:szCs w:val="21"/>
          <w:highlight w:val="none"/>
          <w14:textFill>
            <w14:solidFill>
              <w14:schemeClr w14:val="tx1"/>
            </w14:solidFill>
          </w14:textFill>
        </w:rPr>
      </w:pPr>
      <w:r>
        <w:rPr>
          <w:rFonts w:hint="eastAsia" w:ascii="仿宋" w:hAnsi="仿宋"/>
          <w:color w:val="000000" w:themeColor="text1"/>
          <w:szCs w:val="21"/>
          <w:highlight w:val="none"/>
          <w14:textFill>
            <w14:solidFill>
              <w14:schemeClr w14:val="tx1"/>
            </w14:solidFill>
          </w14:textFill>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color w:val="000000" w:themeColor="text1"/>
          <w:szCs w:val="21"/>
          <w:highlight w:val="none"/>
          <w14:textFill>
            <w14:solidFill>
              <w14:schemeClr w14:val="tx1"/>
            </w14:solidFill>
          </w14:textFill>
        </w:rPr>
      </w:pPr>
      <w:r>
        <w:rPr>
          <w:rFonts w:hint="eastAsia" w:ascii="仿宋" w:hAnsi="仿宋"/>
          <w:color w:val="000000" w:themeColor="text1"/>
          <w:szCs w:val="21"/>
          <w:highlight w:val="none"/>
          <w:u w:val="single"/>
          <w14:textFill>
            <w14:solidFill>
              <w14:schemeClr w14:val="tx1"/>
            </w14:solidFill>
          </w14:textFill>
        </w:rPr>
        <w:t>大连医科大学附属第二医院64排(128层)以上螺旋CT采购项目</w:t>
      </w:r>
      <w:r>
        <w:rPr>
          <w:rFonts w:hint="eastAsia" w:ascii="仿宋" w:hAnsi="仿宋"/>
          <w:color w:val="000000" w:themeColor="text1"/>
          <w:szCs w:val="21"/>
          <w:highlight w:val="none"/>
          <w14:textFill>
            <w14:solidFill>
              <w14:schemeClr w14:val="tx1"/>
            </w14:solidFill>
          </w14:textFill>
        </w:rPr>
        <w:t>招标项目的潜在供应商应在</w:t>
      </w:r>
      <w:r>
        <w:rPr>
          <w:rFonts w:hint="eastAsia" w:ascii="仿宋" w:hAnsi="仿宋"/>
          <w:color w:val="000000" w:themeColor="text1"/>
          <w:szCs w:val="21"/>
          <w:highlight w:val="none"/>
          <w:u w:val="single"/>
          <w14:textFill>
            <w14:solidFill>
              <w14:schemeClr w14:val="tx1"/>
            </w14:solidFill>
          </w14:textFill>
        </w:rPr>
        <w:t>辽宁政府采购网</w:t>
      </w:r>
      <w:r>
        <w:rPr>
          <w:rFonts w:hint="eastAsia" w:ascii="仿宋" w:hAnsi="仿宋"/>
          <w:color w:val="000000" w:themeColor="text1"/>
          <w:szCs w:val="21"/>
          <w:highlight w:val="none"/>
          <w14:textFill>
            <w14:solidFill>
              <w14:schemeClr w14:val="tx1"/>
            </w14:solidFill>
          </w14:textFill>
        </w:rPr>
        <w:t>获取招标文件，并于</w:t>
      </w:r>
      <w:r>
        <w:rPr>
          <w:rFonts w:hint="eastAsia" w:ascii="仿宋" w:hAnsi="仿宋"/>
          <w:color w:val="000000" w:themeColor="text1"/>
          <w:szCs w:val="21"/>
          <w:highlight w:val="none"/>
          <w:u w:val="single"/>
          <w14:textFill>
            <w14:solidFill>
              <w14:schemeClr w14:val="tx1"/>
            </w14:solidFill>
          </w14:textFill>
        </w:rPr>
        <w:t>2025年</w:t>
      </w:r>
      <w:r>
        <w:rPr>
          <w:rFonts w:hint="eastAsia" w:ascii="仿宋" w:hAnsi="仿宋"/>
          <w:color w:val="000000" w:themeColor="text1"/>
          <w:szCs w:val="21"/>
          <w:highlight w:val="none"/>
          <w:u w:val="single"/>
          <w:lang w:val="en-US" w:eastAsia="zh-CN"/>
          <w14:textFill>
            <w14:solidFill>
              <w14:schemeClr w14:val="tx1"/>
            </w14:solidFill>
          </w14:textFill>
        </w:rPr>
        <w:t>8</w:t>
      </w:r>
      <w:r>
        <w:rPr>
          <w:rFonts w:hint="eastAsia" w:ascii="仿宋" w:hAnsi="仿宋"/>
          <w:color w:val="000000" w:themeColor="text1"/>
          <w:szCs w:val="21"/>
          <w:highlight w:val="none"/>
          <w:u w:val="single"/>
          <w:lang w:eastAsia="zh-CN"/>
          <w14:textFill>
            <w14:solidFill>
              <w14:schemeClr w14:val="tx1"/>
            </w14:solidFill>
          </w14:textFill>
        </w:rPr>
        <w:t>月</w:t>
      </w:r>
      <w:r>
        <w:rPr>
          <w:rFonts w:hint="eastAsia" w:ascii="仿宋" w:hAnsi="仿宋"/>
          <w:color w:val="000000" w:themeColor="text1"/>
          <w:szCs w:val="21"/>
          <w:highlight w:val="none"/>
          <w:u w:val="single"/>
          <w:lang w:val="en-US" w:eastAsia="zh-CN"/>
          <w14:textFill>
            <w14:solidFill>
              <w14:schemeClr w14:val="tx1"/>
            </w14:solidFill>
          </w14:textFill>
        </w:rPr>
        <w:t>27</w:t>
      </w:r>
      <w:r>
        <w:rPr>
          <w:rFonts w:hint="eastAsia" w:ascii="仿宋" w:hAnsi="仿宋"/>
          <w:color w:val="000000" w:themeColor="text1"/>
          <w:szCs w:val="21"/>
          <w:highlight w:val="none"/>
          <w:u w:val="single"/>
          <w:lang w:eastAsia="zh-CN"/>
          <w14:textFill>
            <w14:solidFill>
              <w14:schemeClr w14:val="tx1"/>
            </w14:solidFill>
          </w14:textFill>
        </w:rPr>
        <w:t>日</w:t>
      </w:r>
      <w:r>
        <w:rPr>
          <w:rFonts w:hint="eastAsia" w:ascii="仿宋" w:hAnsi="仿宋"/>
          <w:color w:val="000000" w:themeColor="text1"/>
          <w:szCs w:val="21"/>
          <w:highlight w:val="none"/>
          <w:u w:val="single"/>
          <w14:textFill>
            <w14:solidFill>
              <w14:schemeClr w14:val="tx1"/>
            </w14:solidFill>
          </w14:textFill>
        </w:rPr>
        <w:t>08:30</w:t>
      </w:r>
      <w:r>
        <w:rPr>
          <w:rFonts w:hint="eastAsia" w:ascii="仿宋" w:hAnsi="仿宋"/>
          <w:bCs/>
          <w:color w:val="000000" w:themeColor="text1"/>
          <w:szCs w:val="21"/>
          <w:highlight w:val="none"/>
          <w:u w:val="single"/>
          <w14:textFill>
            <w14:solidFill>
              <w14:schemeClr w14:val="tx1"/>
            </w14:solidFill>
          </w14:textFill>
        </w:rPr>
        <w:t>（</w:t>
      </w:r>
      <w:r>
        <w:rPr>
          <w:rFonts w:hint="eastAsia" w:ascii="仿宋" w:hAnsi="仿宋"/>
          <w:bCs/>
          <w:color w:val="000000" w:themeColor="text1"/>
          <w:szCs w:val="21"/>
          <w:highlight w:val="none"/>
          <w14:textFill>
            <w14:solidFill>
              <w14:schemeClr w14:val="tx1"/>
            </w14:solidFill>
          </w14:textFill>
        </w:rPr>
        <w:t>北京时间）前递交投标</w:t>
      </w:r>
      <w:r>
        <w:rPr>
          <w:rFonts w:ascii="仿宋" w:hAnsi="仿宋"/>
          <w:bCs/>
          <w:color w:val="000000" w:themeColor="text1"/>
          <w:szCs w:val="21"/>
          <w:highlight w:val="none"/>
          <w14:textFill>
            <w14:solidFill>
              <w14:schemeClr w14:val="tx1"/>
            </w14:solidFill>
          </w14:textFill>
        </w:rPr>
        <w:t>文件</w:t>
      </w:r>
      <w:r>
        <w:rPr>
          <w:rFonts w:hint="eastAsia" w:ascii="仿宋" w:hAnsi="仿宋"/>
          <w:color w:val="000000" w:themeColor="text1"/>
          <w:szCs w:val="21"/>
          <w:highlight w:val="none"/>
          <w14:textFill>
            <w14:solidFill>
              <w14:schemeClr w14:val="tx1"/>
            </w14:solidFill>
          </w14:textFill>
        </w:rPr>
        <w:t>。</w:t>
      </w:r>
    </w:p>
    <w:p>
      <w:pPr>
        <w:widowControl/>
        <w:adjustRightInd w:val="0"/>
        <w:snapToGrid w:val="0"/>
        <w:spacing w:line="360" w:lineRule="auto"/>
        <w:ind w:firstLine="422" w:firstLineChars="200"/>
        <w:jc w:val="left"/>
        <w:rPr>
          <w:rFonts w:ascii="仿宋" w:hAnsi="仿宋" w:cs="仿宋_GB2312"/>
          <w:b/>
          <w:bCs/>
          <w:color w:val="000000" w:themeColor="text1"/>
          <w:kern w:val="0"/>
          <w:szCs w:val="21"/>
          <w:highlight w:val="none"/>
          <w14:textFill>
            <w14:solidFill>
              <w14:schemeClr w14:val="tx1"/>
            </w14:solidFill>
          </w14:textFill>
        </w:rPr>
      </w:pP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bookmarkStart w:id="2" w:name="_Toc28359079"/>
      <w:bookmarkStart w:id="3" w:name="_Toc28359002"/>
      <w:bookmarkStart w:id="4" w:name="_Toc35393790"/>
      <w:bookmarkStart w:id="5" w:name="_Toc35393621"/>
      <w:bookmarkStart w:id="6" w:name="_Hlk24379207"/>
      <w:r>
        <w:rPr>
          <w:rFonts w:hint="eastAsia" w:ascii="仿宋" w:hAnsi="仿宋" w:cs="仿宋_GB2312"/>
          <w:b/>
          <w:bCs/>
          <w:color w:val="000000" w:themeColor="text1"/>
          <w:szCs w:val="21"/>
          <w:highlight w:val="none"/>
          <w14:textFill>
            <w14:solidFill>
              <w14:schemeClr w14:val="tx1"/>
            </w14:solidFill>
          </w14:textFill>
        </w:rPr>
        <w:t>一、项目基本情况</w:t>
      </w:r>
      <w:bookmarkEnd w:id="2"/>
      <w:bookmarkEnd w:id="3"/>
      <w:bookmarkEnd w:id="4"/>
      <w:bookmarkEnd w:id="5"/>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项目编号：</w:t>
      </w:r>
      <w:r>
        <w:rPr>
          <w:rFonts w:ascii="仿宋" w:hAnsi="仿宋" w:cs="仿宋_GB2312"/>
          <w:color w:val="000000" w:themeColor="text1"/>
          <w:szCs w:val="21"/>
          <w:highlight w:val="none"/>
          <w14:textFill>
            <w14:solidFill>
              <w14:schemeClr w14:val="tx1"/>
            </w14:solidFill>
          </w14:textFill>
        </w:rPr>
        <w:t>JH23-210000-33451；</w:t>
      </w:r>
      <w:r>
        <w:rPr>
          <w:rFonts w:hint="eastAsia" w:ascii="仿宋" w:hAnsi="仿宋" w:cs="仿宋_GB2312"/>
          <w:color w:val="000000" w:themeColor="text1"/>
          <w:szCs w:val="21"/>
          <w:highlight w:val="none"/>
          <w14:textFill>
            <w14:solidFill>
              <w14:schemeClr w14:val="tx1"/>
            </w14:solidFill>
          </w14:textFill>
        </w:rPr>
        <w:t xml:space="preserve"> DCZ202505079   </w:t>
      </w:r>
      <w:r>
        <w:rPr>
          <w:rFonts w:ascii="仿宋" w:hAnsi="仿宋" w:cs="仿宋_GB2312"/>
          <w:color w:val="000000" w:themeColor="text1"/>
          <w:szCs w:val="21"/>
          <w:highlight w:val="none"/>
          <w14:textFill>
            <w14:solidFill>
              <w14:schemeClr w14:val="tx1"/>
            </w14:solidFill>
          </w14:textFill>
        </w:rPr>
        <w:t xml:space="preserve">  </w:t>
      </w:r>
      <w:r>
        <w:rPr>
          <w:rFonts w:hint="eastAsia" w:ascii="仿宋" w:hAnsi="仿宋" w:cs="仿宋_GB2312"/>
          <w:color w:val="000000" w:themeColor="text1"/>
          <w:szCs w:val="21"/>
          <w:highlight w:val="none"/>
          <w14:textFill>
            <w14:solidFill>
              <w14:schemeClr w14:val="tx1"/>
            </w14:solidFill>
          </w14:textFill>
        </w:rPr>
        <w:t xml:space="preserve"> </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院内编号：</w:t>
      </w:r>
      <w:r>
        <w:rPr>
          <w:rFonts w:ascii="仿宋" w:hAnsi="仿宋" w:cs="仿宋_GB2312"/>
          <w:color w:val="000000" w:themeColor="text1"/>
          <w:szCs w:val="21"/>
          <w:highlight w:val="none"/>
          <w14:textFill>
            <w14:solidFill>
              <w14:schemeClr w14:val="tx1"/>
            </w14:solidFill>
          </w14:textFill>
        </w:rPr>
        <w:t>ZYZ23-0077</w:t>
      </w:r>
      <w:r>
        <w:rPr>
          <w:rFonts w:hint="eastAsia" w:ascii="仿宋" w:hAnsi="仿宋" w:cs="仿宋_GB2312"/>
          <w:color w:val="000000" w:themeColor="text1"/>
          <w:szCs w:val="21"/>
          <w:highlight w:val="none"/>
          <w14:textFill>
            <w14:solidFill>
              <w14:schemeClr w14:val="tx1"/>
            </w14:solidFill>
          </w14:textFill>
        </w:rPr>
        <w:t xml:space="preserve">         </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项目名称：大连医科大学附属第二医院64排(128层)以上螺旋CT采购项目</w:t>
      </w:r>
    </w:p>
    <w:bookmarkEnd w:id="6"/>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预算金额：6000000元人民币</w:t>
      </w:r>
    </w:p>
    <w:p>
      <w:pPr>
        <w:adjustRightInd w:val="0"/>
        <w:snapToGrid w:val="0"/>
        <w:spacing w:line="360" w:lineRule="auto"/>
        <w:ind w:firstLine="420" w:firstLineChars="20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最高限价：6000000元人民币</w:t>
      </w:r>
    </w:p>
    <w:p>
      <w:pPr>
        <w:adjustRightInd w:val="0"/>
        <w:snapToGrid w:val="0"/>
        <w:spacing w:line="360" w:lineRule="auto"/>
        <w:ind w:firstLine="420" w:firstLineChars="20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采购需求：64排(128层)以上螺旋CT 1台（具体内容详见招标文件第三章 货物需求）</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合同履行期限：</w:t>
      </w:r>
      <w:r>
        <w:rPr>
          <w:rFonts w:hint="eastAsia" w:ascii="仿宋" w:hAnsi="仿宋" w:cs="仿宋"/>
          <w:color w:val="000000" w:themeColor="text1"/>
          <w:szCs w:val="21"/>
          <w:highlight w:val="none"/>
          <w14:textFill>
            <w14:solidFill>
              <w14:schemeClr w14:val="tx1"/>
            </w14:solidFill>
          </w14:textFill>
        </w:rPr>
        <w:t>交货日期为自本合同签字日起国产设备1个月内，进口设备3个月内，以供货方将产品送达采购方指定到货地点、卸货并完成安装、调试的日期为准</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需落实的政府采购政策内容：1、中小微企业（含监狱企业）的相关规定2、促进残疾人就业政府采购政策的相关规定3、节能产品、环境标志产品的相关规定4、贫困地区农副产品的相关规定（详见招标文件）</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本项目不接受联合体投标。</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bookmarkStart w:id="7" w:name="_Toc35393791"/>
      <w:bookmarkStart w:id="8" w:name="_Toc35393622"/>
      <w:bookmarkStart w:id="9" w:name="_Toc28359080"/>
      <w:bookmarkStart w:id="10" w:name="_Toc28359003"/>
      <w:r>
        <w:rPr>
          <w:rFonts w:hint="eastAsia" w:ascii="仿宋" w:hAnsi="仿宋" w:cs="仿宋_GB2312"/>
          <w:b/>
          <w:bCs/>
          <w:color w:val="000000" w:themeColor="text1"/>
          <w:szCs w:val="21"/>
          <w:highlight w:val="none"/>
          <w14:textFill>
            <w14:solidFill>
              <w14:schemeClr w14:val="tx1"/>
            </w14:solidFill>
          </w14:textFill>
        </w:rPr>
        <w:t>二、供应商的资格要求：</w:t>
      </w:r>
      <w:bookmarkEnd w:id="7"/>
      <w:bookmarkEnd w:id="8"/>
      <w:bookmarkEnd w:id="9"/>
      <w:bookmarkEnd w:id="10"/>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1.满足《中华人民共和国政府采购法》第二十二条规定；</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bookmarkStart w:id="11" w:name="_Toc28359004"/>
      <w:bookmarkStart w:id="12" w:name="_Toc28359081"/>
      <w:r>
        <w:rPr>
          <w:rFonts w:hint="eastAsia" w:ascii="仿宋" w:hAnsi="仿宋" w:cs="仿宋_GB2312"/>
          <w:color w:val="000000" w:themeColor="text1"/>
          <w:szCs w:val="21"/>
          <w:highlight w:val="none"/>
          <w14:textFill>
            <w14:solidFill>
              <w14:schemeClr w14:val="tx1"/>
            </w14:solidFill>
          </w14:textFill>
        </w:rPr>
        <w:t>2.落实政府采购政策需满足的资格要求：无</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3.本项目的特定资格要求：</w:t>
      </w:r>
    </w:p>
    <w:p>
      <w:pPr>
        <w:adjustRightInd w:val="0"/>
        <w:snapToGrid w:val="0"/>
        <w:spacing w:line="360" w:lineRule="auto"/>
        <w:ind w:firstLine="420" w:firstLineChars="200"/>
        <w:rPr>
          <w:rFonts w:ascii="仿宋" w:hAnsi="仿宋" w:cs="仿宋"/>
          <w:color w:val="000000"/>
          <w:szCs w:val="21"/>
          <w:highlight w:val="none"/>
        </w:rPr>
      </w:pPr>
      <w:bookmarkStart w:id="13" w:name="OLE_LINK2"/>
      <w:r>
        <w:rPr>
          <w:rFonts w:hint="eastAsia" w:ascii="仿宋" w:hAnsi="仿宋" w:cs="仿宋"/>
          <w:color w:val="000000"/>
          <w:szCs w:val="21"/>
          <w:highlight w:val="none"/>
        </w:rPr>
        <w:t>3.1 具有供货能力的供应商；</w:t>
      </w:r>
    </w:p>
    <w:p>
      <w:pPr>
        <w:adjustRightInd w:val="0"/>
        <w:snapToGrid w:val="0"/>
        <w:spacing w:line="360" w:lineRule="auto"/>
        <w:ind w:firstLine="420" w:firstLineChars="200"/>
        <w:rPr>
          <w:rFonts w:ascii="仿宋" w:hAnsi="仿宋" w:cs="仿宋"/>
          <w:color w:val="000000"/>
          <w:szCs w:val="21"/>
          <w:highlight w:val="none"/>
        </w:rPr>
      </w:pPr>
      <w:r>
        <w:rPr>
          <w:rFonts w:hint="eastAsia" w:ascii="仿宋" w:hAnsi="仿宋" w:cs="仿宋"/>
          <w:color w:val="000000"/>
          <w:szCs w:val="21"/>
          <w:highlight w:val="none"/>
        </w:rPr>
        <w:t>3.2 供应商为生产厂商的须具有《医疗器械生产企业许可证》或《医疗器械生产企业备案凭证》；</w:t>
      </w:r>
    </w:p>
    <w:p>
      <w:pPr>
        <w:adjustRightInd w:val="0"/>
        <w:snapToGrid w:val="0"/>
        <w:spacing w:line="360" w:lineRule="auto"/>
        <w:ind w:firstLine="420" w:firstLineChars="200"/>
        <w:rPr>
          <w:rFonts w:ascii="仿宋" w:hAnsi="仿宋" w:cs="仿宋"/>
          <w:color w:val="000000"/>
          <w:szCs w:val="21"/>
          <w:highlight w:val="none"/>
        </w:rPr>
      </w:pPr>
      <w:r>
        <w:rPr>
          <w:rFonts w:hint="eastAsia" w:ascii="仿宋" w:hAnsi="仿宋" w:cs="仿宋"/>
          <w:color w:val="000000"/>
          <w:szCs w:val="21"/>
          <w:highlight w:val="none"/>
        </w:rPr>
        <w:t>3.3 供应商为经销商的须具有《医疗器械经营企业许可证》或《医疗器械经营企业备案凭证》并提供投标产品生产厂商的《医疗器械生产企业许可证》或《医疗器械生产企业备案凭证》；</w:t>
      </w:r>
    </w:p>
    <w:p>
      <w:pPr>
        <w:adjustRightInd w:val="0"/>
        <w:snapToGrid w:val="0"/>
        <w:spacing w:line="360" w:lineRule="auto"/>
        <w:ind w:firstLine="420" w:firstLineChars="200"/>
        <w:rPr>
          <w:rFonts w:ascii="仿宋" w:hAnsi="仿宋" w:cs="仿宋"/>
          <w:color w:val="000000"/>
          <w:szCs w:val="21"/>
          <w:highlight w:val="none"/>
        </w:rPr>
      </w:pPr>
      <w:r>
        <w:rPr>
          <w:rFonts w:hint="eastAsia" w:ascii="仿宋" w:hAnsi="仿宋" w:cs="仿宋"/>
          <w:color w:val="000000"/>
          <w:szCs w:val="21"/>
          <w:highlight w:val="none"/>
        </w:rPr>
        <w:t>3.4根据国家及各省市相关规定，遵照医疗器械分类规则和分类目录的有关要求，须进行注册、备案的医疗器械，供应商须具有所投产品的医疗器械注册证、医疗器械产品注册登记表或二证合一。</w:t>
      </w:r>
    </w:p>
    <w:bookmarkEnd w:id="13"/>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三、政府采购供应商入库须知</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bookmarkStart w:id="14" w:name="_Toc35393623"/>
      <w:bookmarkStart w:id="15" w:name="_Toc35393792"/>
      <w:r>
        <w:rPr>
          <w:rFonts w:hint="eastAsia" w:ascii="仿宋" w:hAnsi="仿宋" w:cs="仿宋_GB2312"/>
          <w:color w:val="000000" w:themeColor="text1"/>
          <w:szCs w:val="21"/>
          <w:highlight w:val="none"/>
          <w14:textFill>
            <w14:solidFill>
              <w14:schemeClr w14:val="tx1"/>
            </w14:solidFill>
          </w14:textFill>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四、获取招标文件</w:t>
      </w:r>
      <w:bookmarkEnd w:id="11"/>
      <w:bookmarkEnd w:id="12"/>
      <w:bookmarkEnd w:id="14"/>
      <w:bookmarkEnd w:id="15"/>
    </w:p>
    <w:p>
      <w:pPr>
        <w:adjustRightInd w:val="0"/>
        <w:snapToGrid w:val="0"/>
        <w:spacing w:line="360" w:lineRule="auto"/>
        <w:ind w:firstLine="540"/>
        <w:rPr>
          <w:rFonts w:ascii="仿宋" w:hAnsi="仿宋" w:cs="仿宋_GB2312"/>
          <w:color w:val="000000" w:themeColor="text1"/>
          <w:szCs w:val="21"/>
          <w:highlight w:val="none"/>
          <w14:textFill>
            <w14:solidFill>
              <w14:schemeClr w14:val="tx1"/>
            </w14:solidFill>
          </w14:textFill>
        </w:rPr>
      </w:pPr>
      <w:bookmarkStart w:id="16" w:name="_Hlk96678297"/>
      <w:r>
        <w:rPr>
          <w:rFonts w:hint="eastAsia" w:ascii="仿宋" w:hAnsi="仿宋" w:cs="仿宋_GB2312"/>
          <w:color w:val="000000" w:themeColor="text1"/>
          <w:szCs w:val="21"/>
          <w:highlight w:val="none"/>
          <w14:textFill>
            <w14:solidFill>
              <w14:schemeClr w14:val="tx1"/>
            </w14:solidFill>
          </w14:textFill>
        </w:rPr>
        <w:t>时间</w:t>
      </w:r>
      <w:bookmarkEnd w:id="16"/>
      <w:r>
        <w:rPr>
          <w:rFonts w:hint="eastAsia" w:ascii="仿宋" w:hAnsi="仿宋" w:cs="仿宋_GB2312"/>
          <w:color w:val="000000" w:themeColor="text1"/>
          <w:szCs w:val="21"/>
          <w:highlight w:val="none"/>
          <w14:textFill>
            <w14:solidFill>
              <w14:schemeClr w14:val="tx1"/>
            </w14:solidFill>
          </w14:textFill>
        </w:rPr>
        <w:t>：2025年</w:t>
      </w:r>
      <w:r>
        <w:rPr>
          <w:rFonts w:hint="eastAsia" w:ascii="仿宋" w:hAnsi="仿宋" w:cs="仿宋_GB2312"/>
          <w:color w:val="000000" w:themeColor="text1"/>
          <w:szCs w:val="21"/>
          <w:highlight w:val="none"/>
          <w:lang w:val="en-US" w:eastAsia="zh-CN"/>
          <w14:textFill>
            <w14:solidFill>
              <w14:schemeClr w14:val="tx1"/>
            </w14:solidFill>
          </w14:textFill>
        </w:rPr>
        <w:t>8</w:t>
      </w:r>
      <w:r>
        <w:rPr>
          <w:rFonts w:hint="eastAsia" w:ascii="仿宋" w:hAnsi="仿宋" w:cs="仿宋_GB2312"/>
          <w:color w:val="000000" w:themeColor="text1"/>
          <w:szCs w:val="21"/>
          <w:highlight w:val="none"/>
          <w14:textFill>
            <w14:solidFill>
              <w14:schemeClr w14:val="tx1"/>
            </w14:solidFill>
          </w14:textFill>
        </w:rPr>
        <w:t>月</w:t>
      </w:r>
      <w:r>
        <w:rPr>
          <w:rFonts w:hint="eastAsia" w:ascii="仿宋" w:hAnsi="仿宋" w:cs="仿宋_GB2312"/>
          <w:color w:val="000000" w:themeColor="text1"/>
          <w:szCs w:val="21"/>
          <w:highlight w:val="none"/>
          <w:lang w:val="en-US" w:eastAsia="zh-CN"/>
          <w14:textFill>
            <w14:solidFill>
              <w14:schemeClr w14:val="tx1"/>
            </w14:solidFill>
          </w14:textFill>
        </w:rPr>
        <w:t>6</w:t>
      </w:r>
      <w:r>
        <w:rPr>
          <w:rFonts w:hint="eastAsia" w:ascii="仿宋" w:hAnsi="仿宋" w:cs="仿宋_GB2312"/>
          <w:color w:val="000000" w:themeColor="text1"/>
          <w:szCs w:val="21"/>
          <w:highlight w:val="none"/>
          <w14:textFill>
            <w14:solidFill>
              <w14:schemeClr w14:val="tx1"/>
            </w14:solidFill>
          </w14:textFill>
        </w:rPr>
        <w:t>日</w:t>
      </w:r>
      <w:r>
        <w:rPr>
          <w:rFonts w:hint="eastAsia" w:ascii="仿宋" w:hAnsi="仿宋" w:cs="仿宋_GB2312"/>
          <w:color w:val="000000" w:themeColor="text1"/>
          <w:szCs w:val="21"/>
          <w:highlight w:val="none"/>
          <w:lang w:val="en-US" w:eastAsia="zh-CN"/>
          <w14:textFill>
            <w14:solidFill>
              <w14:schemeClr w14:val="tx1"/>
            </w14:solidFill>
          </w14:textFill>
        </w:rPr>
        <w:t>17</w:t>
      </w:r>
      <w:r>
        <w:rPr>
          <w:rFonts w:hint="eastAsia" w:ascii="仿宋" w:hAnsi="仿宋" w:cs="仿宋_GB2312"/>
          <w:color w:val="000000" w:themeColor="text1"/>
          <w:szCs w:val="21"/>
          <w:highlight w:val="none"/>
          <w14:textFill>
            <w14:solidFill>
              <w14:schemeClr w14:val="tx1"/>
            </w14:solidFill>
          </w14:textFill>
        </w:rPr>
        <w:t>时00分至2025年</w:t>
      </w:r>
      <w:r>
        <w:rPr>
          <w:rFonts w:hint="eastAsia" w:ascii="仿宋" w:hAnsi="仿宋" w:cs="仿宋_GB2312"/>
          <w:color w:val="000000" w:themeColor="text1"/>
          <w:szCs w:val="21"/>
          <w:highlight w:val="none"/>
          <w:lang w:val="en-US" w:eastAsia="zh-CN"/>
          <w14:textFill>
            <w14:solidFill>
              <w14:schemeClr w14:val="tx1"/>
            </w14:solidFill>
          </w14:textFill>
        </w:rPr>
        <w:t>8</w:t>
      </w:r>
      <w:r>
        <w:rPr>
          <w:rFonts w:hint="eastAsia" w:ascii="仿宋" w:hAnsi="仿宋" w:cs="仿宋_GB2312"/>
          <w:color w:val="000000" w:themeColor="text1"/>
          <w:szCs w:val="21"/>
          <w:highlight w:val="none"/>
          <w14:textFill>
            <w14:solidFill>
              <w14:schemeClr w14:val="tx1"/>
            </w14:solidFill>
          </w14:textFill>
        </w:rPr>
        <w:t>月</w:t>
      </w:r>
      <w:r>
        <w:rPr>
          <w:rFonts w:hint="eastAsia" w:ascii="仿宋" w:hAnsi="仿宋" w:cs="仿宋_GB2312"/>
          <w:color w:val="000000" w:themeColor="text1"/>
          <w:szCs w:val="21"/>
          <w:highlight w:val="none"/>
          <w:lang w:val="en-US" w:eastAsia="zh-CN"/>
          <w14:textFill>
            <w14:solidFill>
              <w14:schemeClr w14:val="tx1"/>
            </w14:solidFill>
          </w14:textFill>
        </w:rPr>
        <w:t>14</w:t>
      </w:r>
      <w:r>
        <w:rPr>
          <w:rFonts w:hint="eastAsia" w:ascii="仿宋" w:hAnsi="仿宋" w:cs="仿宋_GB2312"/>
          <w:color w:val="000000" w:themeColor="text1"/>
          <w:szCs w:val="21"/>
          <w:highlight w:val="none"/>
          <w14:textFill>
            <w14:solidFill>
              <w14:schemeClr w14:val="tx1"/>
            </w14:solidFill>
          </w14:textFill>
        </w:rPr>
        <w:t>日00时00分（北京时间，法定节假日除外）</w:t>
      </w:r>
    </w:p>
    <w:p>
      <w:pPr>
        <w:adjustRightInd w:val="0"/>
        <w:snapToGrid w:val="0"/>
        <w:spacing w:line="360" w:lineRule="auto"/>
        <w:ind w:firstLine="54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地点：辽宁政府采购网</w:t>
      </w:r>
    </w:p>
    <w:p>
      <w:pPr>
        <w:adjustRightInd w:val="0"/>
        <w:snapToGrid w:val="0"/>
        <w:spacing w:line="360" w:lineRule="auto"/>
        <w:ind w:firstLine="54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方式：在线下载</w:t>
      </w:r>
    </w:p>
    <w:p>
      <w:pPr>
        <w:adjustRightInd w:val="0"/>
        <w:snapToGrid w:val="0"/>
        <w:spacing w:line="360" w:lineRule="auto"/>
        <w:ind w:firstLine="54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售价：免费下载</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bookmarkStart w:id="17" w:name="_Toc28359005"/>
      <w:bookmarkStart w:id="18" w:name="_Toc28359082"/>
      <w:bookmarkStart w:id="19" w:name="_Toc35393624"/>
      <w:bookmarkStart w:id="20" w:name="_Toc35393793"/>
      <w:r>
        <w:rPr>
          <w:rFonts w:hint="eastAsia" w:ascii="仿宋" w:hAnsi="仿宋" w:cs="仿宋_GB2312"/>
          <w:b/>
          <w:bCs/>
          <w:color w:val="000000" w:themeColor="text1"/>
          <w:szCs w:val="21"/>
          <w:highlight w:val="none"/>
          <w14:textFill>
            <w14:solidFill>
              <w14:schemeClr w14:val="tx1"/>
            </w14:solidFill>
          </w14:textFill>
        </w:rPr>
        <w:t>五、提交投标文件</w:t>
      </w:r>
      <w:bookmarkEnd w:id="17"/>
      <w:bookmarkEnd w:id="18"/>
      <w:r>
        <w:rPr>
          <w:rFonts w:hint="eastAsia" w:ascii="仿宋" w:hAnsi="仿宋" w:cs="仿宋_GB2312"/>
          <w:b/>
          <w:bCs/>
          <w:color w:val="000000" w:themeColor="text1"/>
          <w:szCs w:val="21"/>
          <w:highlight w:val="none"/>
          <w14:textFill>
            <w14:solidFill>
              <w14:schemeClr w14:val="tx1"/>
            </w14:solidFill>
          </w14:textFill>
        </w:rPr>
        <w:t>截止时间、开标时间和地点</w:t>
      </w:r>
      <w:bookmarkEnd w:id="19"/>
      <w:bookmarkEnd w:id="20"/>
    </w:p>
    <w:p>
      <w:pPr>
        <w:adjustRightInd w:val="0"/>
        <w:snapToGrid w:val="0"/>
        <w:spacing w:line="360" w:lineRule="auto"/>
        <w:ind w:firstLine="420" w:firstLineChars="200"/>
        <w:rPr>
          <w:rFonts w:ascii="仿宋" w:hAnsi="仿宋" w:cs="仿宋_GB2312"/>
          <w:bCs/>
          <w:color w:val="000000" w:themeColor="text1"/>
          <w:szCs w:val="21"/>
          <w:highlight w:val="none"/>
          <w:u w:val="single"/>
          <w14:textFill>
            <w14:solidFill>
              <w14:schemeClr w14:val="tx1"/>
            </w14:solidFill>
          </w14:textFill>
        </w:rPr>
      </w:pPr>
      <w:r>
        <w:rPr>
          <w:rFonts w:hint="eastAsia" w:ascii="仿宋" w:hAnsi="仿宋" w:cs="仿宋_GB2312"/>
          <w:bCs/>
          <w:color w:val="000000" w:themeColor="text1"/>
          <w:szCs w:val="21"/>
          <w:highlight w:val="none"/>
          <w14:textFill>
            <w14:solidFill>
              <w14:schemeClr w14:val="tx1"/>
            </w14:solidFill>
          </w14:textFill>
        </w:rPr>
        <w:t>时间：</w:t>
      </w:r>
      <w:r>
        <w:rPr>
          <w:rFonts w:ascii="仿宋" w:hAnsi="仿宋" w:cs="仿宋_GB2312"/>
          <w:bCs/>
          <w:color w:val="000000" w:themeColor="text1"/>
          <w:szCs w:val="21"/>
          <w:highlight w:val="none"/>
          <w:u w:val="single"/>
          <w14:textFill>
            <w14:solidFill>
              <w14:schemeClr w14:val="tx1"/>
            </w14:solidFill>
          </w14:textFill>
        </w:rPr>
        <w:t>202</w:t>
      </w:r>
      <w:r>
        <w:rPr>
          <w:rFonts w:hint="eastAsia" w:ascii="仿宋" w:hAnsi="仿宋" w:cs="仿宋_GB2312"/>
          <w:bCs/>
          <w:color w:val="000000" w:themeColor="text1"/>
          <w:szCs w:val="21"/>
          <w:highlight w:val="none"/>
          <w:u w:val="single"/>
          <w14:textFill>
            <w14:solidFill>
              <w14:schemeClr w14:val="tx1"/>
            </w14:solidFill>
          </w14:textFill>
        </w:rPr>
        <w:t>5</w:t>
      </w:r>
      <w:r>
        <w:rPr>
          <w:rFonts w:ascii="仿宋" w:hAnsi="仿宋" w:cs="仿宋_GB2312"/>
          <w:bCs/>
          <w:color w:val="000000" w:themeColor="text1"/>
          <w:szCs w:val="21"/>
          <w:highlight w:val="none"/>
          <w:u w:val="single"/>
          <w14:textFill>
            <w14:solidFill>
              <w14:schemeClr w14:val="tx1"/>
            </w14:solidFill>
          </w14:textFill>
        </w:rPr>
        <w:t>年</w:t>
      </w:r>
      <w:r>
        <w:rPr>
          <w:rFonts w:hint="eastAsia" w:ascii="仿宋" w:hAnsi="仿宋" w:cs="仿宋_GB2312"/>
          <w:bCs/>
          <w:color w:val="000000" w:themeColor="text1"/>
          <w:szCs w:val="21"/>
          <w:highlight w:val="none"/>
          <w:u w:val="single"/>
          <w:lang w:val="en-US" w:eastAsia="zh-CN"/>
          <w14:textFill>
            <w14:solidFill>
              <w14:schemeClr w14:val="tx1"/>
            </w14:solidFill>
          </w14:textFill>
        </w:rPr>
        <w:t>8</w:t>
      </w:r>
      <w:r>
        <w:rPr>
          <w:rFonts w:hint="eastAsia" w:ascii="仿宋" w:hAnsi="仿宋" w:cs="仿宋_GB2312"/>
          <w:bCs/>
          <w:color w:val="000000" w:themeColor="text1"/>
          <w:szCs w:val="21"/>
          <w:highlight w:val="none"/>
          <w:u w:val="single"/>
          <w:lang w:eastAsia="zh-CN"/>
          <w14:textFill>
            <w14:solidFill>
              <w14:schemeClr w14:val="tx1"/>
            </w14:solidFill>
          </w14:textFill>
        </w:rPr>
        <w:t>月</w:t>
      </w:r>
      <w:r>
        <w:rPr>
          <w:rFonts w:hint="eastAsia" w:ascii="仿宋" w:hAnsi="仿宋" w:cs="仿宋_GB2312"/>
          <w:bCs/>
          <w:color w:val="000000" w:themeColor="text1"/>
          <w:szCs w:val="21"/>
          <w:highlight w:val="none"/>
          <w:u w:val="single"/>
          <w:lang w:val="en-US" w:eastAsia="zh-CN"/>
          <w14:textFill>
            <w14:solidFill>
              <w14:schemeClr w14:val="tx1"/>
            </w14:solidFill>
          </w14:textFill>
        </w:rPr>
        <w:t>27</w:t>
      </w:r>
      <w:r>
        <w:rPr>
          <w:rFonts w:hint="eastAsia" w:ascii="仿宋" w:hAnsi="仿宋" w:cs="仿宋_GB2312"/>
          <w:bCs/>
          <w:color w:val="000000" w:themeColor="text1"/>
          <w:szCs w:val="21"/>
          <w:highlight w:val="none"/>
          <w:u w:val="single"/>
          <w:lang w:eastAsia="zh-CN"/>
          <w14:textFill>
            <w14:solidFill>
              <w14:schemeClr w14:val="tx1"/>
            </w14:solidFill>
          </w14:textFill>
        </w:rPr>
        <w:t>日</w:t>
      </w:r>
      <w:r>
        <w:rPr>
          <w:rFonts w:hint="eastAsia" w:ascii="仿宋" w:hAnsi="仿宋" w:cs="仿宋_GB2312"/>
          <w:bCs/>
          <w:color w:val="000000" w:themeColor="text1"/>
          <w:szCs w:val="21"/>
          <w:highlight w:val="none"/>
          <w:u w:val="single"/>
          <w14:textFill>
            <w14:solidFill>
              <w14:schemeClr w14:val="tx1"/>
            </w14:solidFill>
          </w14:textFill>
        </w:rPr>
        <w:t>08点30分</w:t>
      </w:r>
      <w:r>
        <w:rPr>
          <w:rFonts w:hint="eastAsia" w:ascii="仿宋" w:hAnsi="仿宋" w:cs="仿宋_GB2312"/>
          <w:bCs/>
          <w:color w:val="000000" w:themeColor="text1"/>
          <w:szCs w:val="21"/>
          <w:highlight w:val="none"/>
          <w14:textFill>
            <w14:solidFill>
              <w14:schemeClr w14:val="tx1"/>
            </w14:solidFill>
          </w14:textFill>
        </w:rPr>
        <w:t>（北京时间）</w:t>
      </w:r>
    </w:p>
    <w:p>
      <w:pPr>
        <w:adjustRightInd w:val="0"/>
        <w:snapToGrid w:val="0"/>
        <w:spacing w:line="360" w:lineRule="auto"/>
        <w:ind w:firstLine="420" w:firstLineChars="200"/>
        <w:rPr>
          <w:rFonts w:ascii="仿宋" w:hAnsi="仿宋" w:cs="仿宋_GB2312"/>
          <w:bCs/>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地点：辽宁政府采购网（本项目采用线上开标，供应商无需到达开标现场）</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bookmarkStart w:id="21" w:name="_Toc35393794"/>
      <w:bookmarkStart w:id="22" w:name="_Toc28359084"/>
      <w:bookmarkStart w:id="23" w:name="_Toc28359007"/>
      <w:bookmarkStart w:id="24" w:name="_Toc35393625"/>
      <w:r>
        <w:rPr>
          <w:rFonts w:hint="eastAsia" w:ascii="仿宋" w:hAnsi="仿宋" w:cs="仿宋_GB2312"/>
          <w:b/>
          <w:bCs/>
          <w:color w:val="000000" w:themeColor="text1"/>
          <w:szCs w:val="21"/>
          <w:highlight w:val="none"/>
          <w14:textFill>
            <w14:solidFill>
              <w14:schemeClr w14:val="tx1"/>
            </w14:solidFill>
          </w14:textFill>
        </w:rPr>
        <w:t>六、公告期限</w:t>
      </w:r>
      <w:bookmarkEnd w:id="21"/>
      <w:bookmarkEnd w:id="22"/>
      <w:bookmarkEnd w:id="23"/>
      <w:bookmarkEnd w:id="24"/>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自本公告发布之日起5个工作日。</w:t>
      </w:r>
    </w:p>
    <w:p>
      <w:pPr>
        <w:adjustRightInd w:val="0"/>
        <w:snapToGrid w:val="0"/>
        <w:spacing w:line="360" w:lineRule="auto"/>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b/>
          <w:color w:val="000000" w:themeColor="text1"/>
          <w:szCs w:val="21"/>
          <w:highlight w:val="none"/>
          <w14:textFill>
            <w14:solidFill>
              <w14:schemeClr w14:val="tx1"/>
            </w14:solidFill>
          </w14:textFill>
        </w:rPr>
        <w:t>七、质疑与投诉</w:t>
      </w:r>
    </w:p>
    <w:p>
      <w:pPr>
        <w:widowControl/>
        <w:adjustRightInd w:val="0"/>
        <w:snapToGrid w:val="0"/>
        <w:spacing w:line="360" w:lineRule="auto"/>
        <w:ind w:firstLine="539"/>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供应商认为自己的权益受到损害的，可以在知道或者应知其权益受到损害之日起七个工作日内，向采购代理机构或采购人提出质疑。</w:t>
      </w:r>
    </w:p>
    <w:p>
      <w:pPr>
        <w:widowControl/>
        <w:adjustRightInd w:val="0"/>
        <w:snapToGrid w:val="0"/>
        <w:spacing w:line="360" w:lineRule="auto"/>
        <w:ind w:firstLine="48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1、接收质疑函方式：书面纸质质疑函</w:t>
      </w:r>
    </w:p>
    <w:p>
      <w:pPr>
        <w:widowControl/>
        <w:adjustRightInd w:val="0"/>
        <w:snapToGrid w:val="0"/>
        <w:spacing w:line="360" w:lineRule="auto"/>
        <w:ind w:firstLine="48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2、质疑函内容、格式：应符合《政府采购质疑和投诉办法》相关规定和财政部制定的《政府采购质疑函范本》格式，详见辽宁政府采购网。</w:t>
      </w:r>
    </w:p>
    <w:p>
      <w:pPr>
        <w:widowControl/>
        <w:adjustRightInd w:val="0"/>
        <w:snapToGrid w:val="0"/>
        <w:spacing w:line="360" w:lineRule="auto"/>
        <w:ind w:firstLine="48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质疑供应商对采购人、采购代理机构的答复不满意，或者采购人、采购代理机构未在规定时间内作出答复的，可以在答复期满后15个工作日内向本级财政部门提起投诉。</w:t>
      </w:r>
      <w:bookmarkStart w:id="25" w:name="_Toc35393795"/>
      <w:bookmarkStart w:id="26" w:name="_Toc35393626"/>
    </w:p>
    <w:p>
      <w:pPr>
        <w:widowControl/>
        <w:adjustRightInd w:val="0"/>
        <w:snapToGrid w:val="0"/>
        <w:spacing w:line="360" w:lineRule="auto"/>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b/>
          <w:color w:val="000000" w:themeColor="text1"/>
          <w:szCs w:val="21"/>
          <w:highlight w:val="none"/>
          <w14:textFill>
            <w14:solidFill>
              <w14:schemeClr w14:val="tx1"/>
            </w14:solidFill>
          </w14:textFill>
        </w:rPr>
        <w:t>八、其他补充事宜</w:t>
      </w:r>
      <w:bookmarkEnd w:id="25"/>
      <w:bookmarkEnd w:id="26"/>
      <w:r>
        <w:rPr>
          <w:rFonts w:hint="eastAsia" w:ascii="仿宋" w:hAnsi="仿宋" w:cs="仿宋_GB2312"/>
          <w:b/>
          <w:color w:val="000000" w:themeColor="text1"/>
          <w:szCs w:val="21"/>
          <w:highlight w:val="none"/>
          <w14:textFill>
            <w14:solidFill>
              <w14:schemeClr w14:val="tx1"/>
            </w14:solidFill>
          </w14:textFill>
        </w:rPr>
        <w:t>：</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1.因目前全省推广政府采购电子招投标业务，投标人需自行办理政府采购CA数字证书并学习电子投标文件制作教程，系统操作问题请咨询技术支持电话（400-128-8588），CA 办理问题请咨询CA认证机构。CA办理成功的供应商须在网上进行投标报名，如未报名将不允许参与本项目投标，报名成功后用CA操作网上电子投标等相关事宜（包括在电子投标环节填写报价、上传文件等），操作教学详见（辽宁政府采购网：http:www.ccgp-liaoning.gov.cnportalindex.do?method=getPubInfoViewOpen&amp;infoId=31adcfa21750bd6d482-5dfd），如未按视频教学操作将导致投标文件无效。 </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投标人应认真学习辽宁政府采购网电子文件制作指南，并按照招标文件和电子评审系统要求进行投标（响应）信息填报、电子文件编制、盖章或电子签章等工作。对于使用电子签章的，投标人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投标人因自身操作问题导致的一切不良后果由投标人自行负责。（具体规定详见《关于启用政府采购数字认证和电子招投标业务有关事宜的通知》（辽财采【2020】298号）。</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3.投标文件递交方式采用线上递交,如因投标人自身原因导致未线上递交投标文件的按照无效投标处理。 </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4.请投标人自行准备电脑设备并下载好对应的CA认证证书，于提交投标文件截止时间（开标时间）起自行解密，解密时限为30分钟。 </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5.投标人在电子评审活动中出现以下情形的，按如下规定进行处理： （1）因投标人或其自用设备原因造成投标文件未在规定时间内进行解密的； （2）因投标人或其自用设备原因造成的未在规定时间内前上传文件的； （3）因投标人原因未对文件校验造成信息缺失、文件内容或格式不正确以及备份文件不符合要求等问题影响评审的。 出现前款（1）（2）情形的，视为放弃投标；出现前款（3）情形的，由投标人自行承担相应责任。 </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6.因本项目为不见面开标，各投标人须在投标文件的“法定代表人（或非法人组织负责人）授权委托书”中明确本项目的项目联系人及联系电话（建议包含手机及座机号码），并注意电话来电，以便重要事宜的通知。若因联系电话错误、关机、无法接通等无法联系到投标人，投标人自行承担相应后果 。</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7、电子标书和纸质标书在开标及评标后邮寄至大连机械设备成套有限公司。</w:t>
      </w:r>
    </w:p>
    <w:p>
      <w:pPr>
        <w:adjustRightInd w:val="0"/>
        <w:snapToGrid w:val="0"/>
        <w:spacing w:line="360" w:lineRule="auto"/>
        <w:rPr>
          <w:rFonts w:ascii="仿宋" w:hAnsi="仿宋" w:cs="仿宋_GB2312"/>
          <w:b/>
          <w:color w:val="000000" w:themeColor="text1"/>
          <w:szCs w:val="21"/>
          <w:highlight w:val="none"/>
          <w14:textFill>
            <w14:solidFill>
              <w14:schemeClr w14:val="tx1"/>
            </w14:solidFill>
          </w14:textFill>
        </w:rPr>
      </w:pPr>
      <w:bookmarkStart w:id="27" w:name="_Toc35393796"/>
      <w:bookmarkStart w:id="28" w:name="_Toc28359085"/>
      <w:bookmarkStart w:id="29" w:name="_Toc35393627"/>
      <w:bookmarkStart w:id="30" w:name="_Toc28359008"/>
      <w:r>
        <w:rPr>
          <w:rFonts w:hint="eastAsia" w:ascii="仿宋" w:hAnsi="仿宋" w:cs="仿宋_GB2312"/>
          <w:b/>
          <w:color w:val="000000" w:themeColor="text1"/>
          <w:szCs w:val="21"/>
          <w:highlight w:val="none"/>
          <w14:textFill>
            <w14:solidFill>
              <w14:schemeClr w14:val="tx1"/>
            </w14:solidFill>
          </w14:textFill>
        </w:rPr>
        <w:t>九、对本次招标提出询问，请按以下方式联系。</w:t>
      </w:r>
      <w:bookmarkEnd w:id="27"/>
      <w:bookmarkEnd w:id="28"/>
      <w:bookmarkEnd w:id="29"/>
      <w:bookmarkEnd w:id="30"/>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1.采购人信息</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名称：大连医科大学附属第二医院</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地址：大连市沙河口区中山路467号</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联系方式：</w:t>
      </w:r>
      <w:r>
        <w:rPr>
          <w:rFonts w:ascii="仿宋" w:hAnsi="仿宋" w:cs="仿宋_GB2312"/>
          <w:color w:val="000000" w:themeColor="text1"/>
          <w:szCs w:val="21"/>
          <w:highlight w:val="none"/>
          <w14:textFill>
            <w14:solidFill>
              <w14:schemeClr w14:val="tx1"/>
            </w14:solidFill>
          </w14:textFill>
        </w:rPr>
        <w:t>0411-84671291-7308</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2.采购代理机构信息</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名称：大连机械设备成套有限公司</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地址：大连市沙河口区西南路350-2号</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联系方式：</w:t>
      </w:r>
      <w:r>
        <w:rPr>
          <w:rFonts w:ascii="仿宋" w:hAnsi="仿宋" w:cs="仿宋_GB2312"/>
          <w:color w:val="000000" w:themeColor="text1"/>
          <w:szCs w:val="21"/>
          <w:highlight w:val="none"/>
          <w14:textFill>
            <w14:solidFill>
              <w14:schemeClr w14:val="tx1"/>
            </w14:solidFill>
          </w14:textFill>
        </w:rPr>
        <w:t>0411-83608842-</w:t>
      </w:r>
      <w:r>
        <w:rPr>
          <w:rFonts w:hint="eastAsia" w:ascii="仿宋" w:hAnsi="仿宋" w:cs="仿宋_GB2312"/>
          <w:color w:val="000000" w:themeColor="text1"/>
          <w:szCs w:val="21"/>
          <w:highlight w:val="none"/>
          <w14:textFill>
            <w14:solidFill>
              <w14:schemeClr w14:val="tx1"/>
            </w14:solidFill>
          </w14:textFill>
        </w:rPr>
        <w:t>111、112</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邮箱地址：</w:t>
      </w:r>
      <w:bookmarkStart w:id="31" w:name="OLE_LINK1"/>
      <w:r>
        <w:rPr>
          <w:rFonts w:ascii="仿宋" w:hAnsi="仿宋" w:cs="仿宋_GB2312"/>
          <w:color w:val="000000" w:themeColor="text1"/>
          <w:szCs w:val="21"/>
          <w:highlight w:val="none"/>
          <w14:textFill>
            <w14:solidFill>
              <w14:schemeClr w14:val="tx1"/>
            </w14:solidFill>
          </w14:textFill>
        </w:rPr>
        <w:t>253372179@qq.com</w:t>
      </w:r>
      <w:bookmarkEnd w:id="31"/>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开户行：招商银行大连沙河口支行</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账户名称：大连机械设备成套有限公司</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账  号：411 910 958 510 018</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行  号：308 222 027 034</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客户号：411 910 958 5</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3.项目联系方式</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项目联系人：</w:t>
      </w:r>
      <w:r>
        <w:rPr>
          <w:rFonts w:hint="eastAsia" w:ascii="仿宋" w:hAnsi="仿宋" w:cs="仿宋_GB2312"/>
          <w:color w:val="000000" w:themeColor="text1"/>
          <w:szCs w:val="21"/>
          <w:highlight w:val="none"/>
          <w14:textFill>
            <w14:solidFill>
              <w14:schemeClr w14:val="tx1"/>
            </w14:solidFill>
          </w14:textFill>
        </w:rPr>
        <w:t>李翔、王琳琳</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sectPr>
          <w:footerReference r:id="rId4" w:type="default"/>
          <w:pgSz w:w="11906" w:h="16838"/>
          <w:pgMar w:top="1440" w:right="1803" w:bottom="1440" w:left="1803" w:header="851" w:footer="992" w:gutter="0"/>
          <w:pgNumType w:start="1"/>
          <w:cols w:space="720" w:num="1"/>
          <w:docGrid w:type="lines" w:linePitch="312" w:charSpace="0"/>
        </w:sectPr>
      </w:pPr>
      <w:r>
        <w:rPr>
          <w:rFonts w:ascii="仿宋" w:hAnsi="仿宋" w:cs="仿宋_GB2312"/>
          <w:color w:val="000000" w:themeColor="text1"/>
          <w:szCs w:val="21"/>
          <w:highlight w:val="none"/>
          <w14:textFill>
            <w14:solidFill>
              <w14:schemeClr w14:val="tx1"/>
            </w14:solidFill>
          </w14:textFill>
        </w:rPr>
        <w:t>电　话：0411-83608842-</w:t>
      </w:r>
      <w:r>
        <w:rPr>
          <w:rFonts w:hint="eastAsia" w:ascii="仿宋" w:hAnsi="仿宋" w:cs="仿宋_GB2312"/>
          <w:color w:val="000000" w:themeColor="text1"/>
          <w:szCs w:val="21"/>
          <w:highlight w:val="none"/>
          <w14:textFill>
            <w14:solidFill>
              <w14:schemeClr w14:val="tx1"/>
            </w14:solidFill>
          </w14:textFill>
        </w:rPr>
        <w:t>111、112</w:t>
      </w:r>
    </w:p>
    <w:p>
      <w:pPr>
        <w:pStyle w:val="2"/>
        <w:numPr>
          <w:ilvl w:val="0"/>
          <w:numId w:val="0"/>
        </w:numPr>
        <w:snapToGrid w:val="0"/>
        <w:spacing w:before="312" w:beforeLines="100" w:after="312" w:afterLines="100" w:line="360" w:lineRule="auto"/>
        <w:ind w:firstLine="2389" w:firstLineChars="543"/>
        <w:jc w:val="both"/>
        <w:rPr>
          <w:rFonts w:ascii="仿宋" w:hAnsi="仿宋" w:cs="仿宋_GB2312"/>
          <w:color w:val="000000" w:themeColor="text1"/>
          <w:highlight w:val="none"/>
          <w14:textFill>
            <w14:solidFill>
              <w14:schemeClr w14:val="tx1"/>
            </w14:solidFill>
          </w14:textFill>
        </w:rPr>
      </w:pPr>
      <w:bookmarkStart w:id="32" w:name="_Toc26518_WPSOffice_Level1"/>
      <w:bookmarkStart w:id="33" w:name="_Toc9614"/>
      <w:r>
        <w:rPr>
          <w:rFonts w:hint="eastAsia" w:ascii="仿宋" w:hAnsi="仿宋" w:cs="仿宋_GB2312"/>
          <w:color w:val="000000" w:themeColor="text1"/>
          <w:highlight w:val="none"/>
          <w14:textFill>
            <w14:solidFill>
              <w14:schemeClr w14:val="tx1"/>
            </w14:solidFill>
          </w14:textFill>
        </w:rPr>
        <w:t>第一章 投标人须知</w:t>
      </w:r>
      <w:bookmarkEnd w:id="32"/>
      <w:bookmarkEnd w:id="33"/>
    </w:p>
    <w:p>
      <w:pPr>
        <w:pStyle w:val="3"/>
        <w:numPr>
          <w:ilvl w:val="0"/>
          <w:numId w:val="0"/>
        </w:numPr>
        <w:adjustRightInd w:val="0"/>
        <w:snapToGrid w:val="0"/>
        <w:spacing w:before="0" w:after="0" w:line="360" w:lineRule="auto"/>
        <w:ind w:firstLine="3024" w:firstLineChars="945"/>
        <w:jc w:val="both"/>
        <w:rPr>
          <w:rFonts w:ascii="仿宋" w:hAnsi="仿宋" w:cs="仿宋_GB2312"/>
          <w:color w:val="000000" w:themeColor="text1"/>
          <w:sz w:val="32"/>
          <w:szCs w:val="36"/>
          <w:highlight w:val="none"/>
          <w14:textFill>
            <w14:solidFill>
              <w14:schemeClr w14:val="tx1"/>
            </w14:solidFill>
          </w14:textFill>
        </w:rPr>
      </w:pPr>
      <w:bookmarkStart w:id="34" w:name="_Toc18613_WPSOffice_Level2"/>
      <w:r>
        <w:rPr>
          <w:rFonts w:hint="eastAsia" w:ascii="仿宋" w:hAnsi="仿宋" w:cs="仿宋_GB2312"/>
          <w:color w:val="000000" w:themeColor="text1"/>
          <w:sz w:val="32"/>
          <w:szCs w:val="36"/>
          <w:highlight w:val="none"/>
          <w14:textFill>
            <w14:solidFill>
              <w14:schemeClr w14:val="tx1"/>
            </w14:solidFill>
          </w14:textFill>
        </w:rPr>
        <w:t>一 投标人须知表</w:t>
      </w:r>
      <w:bookmarkEnd w:id="34"/>
    </w:p>
    <w:tbl>
      <w:tblPr>
        <w:tblStyle w:val="21"/>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bookmarkStart w:id="35" w:name="招标项目基本内容及要求：Block"/>
            <w:bookmarkEnd w:id="35"/>
            <w:bookmarkStart w:id="36" w:name="sys_招标项目基本内容及要求：Block"/>
            <w:bookmarkEnd w:id="36"/>
            <w:bookmarkStart w:id="37" w:name="sys_招标项目基本内容及要求其他：Block"/>
            <w:bookmarkEnd w:id="37"/>
            <w:bookmarkStart w:id="38" w:name="招标项目基本内容及要求其他：Block"/>
            <w:bookmarkEnd w:id="38"/>
            <w:r>
              <w:rPr>
                <w:rFonts w:hint="eastAsia" w:ascii="仿宋" w:hAnsi="仿宋" w:cs="仿宋_GB2312"/>
                <w:color w:val="000000" w:themeColor="text1"/>
                <w:kern w:val="0"/>
                <w:szCs w:val="21"/>
                <w:highlight w:val="none"/>
                <w14:textFill>
                  <w14:solidFill>
                    <w14:schemeClr w14:val="tx1"/>
                  </w14:solidFill>
                </w14:textFill>
              </w:rPr>
              <w:t>条款号</w:t>
            </w:r>
          </w:p>
        </w:tc>
        <w:tc>
          <w:tcPr>
            <w:tcW w:w="1917" w:type="dxa"/>
            <w:vAlign w:val="center"/>
          </w:tcPr>
          <w:p>
            <w:pPr>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项   目</w:t>
            </w:r>
          </w:p>
        </w:tc>
        <w:tc>
          <w:tcPr>
            <w:tcW w:w="5887"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1.1</w:t>
            </w:r>
          </w:p>
        </w:tc>
        <w:tc>
          <w:tcPr>
            <w:tcW w:w="1917" w:type="dxa"/>
            <w:vAlign w:val="center"/>
          </w:tcPr>
          <w:p>
            <w:pPr>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采购人</w:t>
            </w:r>
          </w:p>
        </w:tc>
        <w:tc>
          <w:tcPr>
            <w:tcW w:w="5887" w:type="dxa"/>
            <w:vAlign w:val="center"/>
          </w:tcPr>
          <w:p>
            <w:pPr>
              <w:widowControl/>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名  称：</w:t>
            </w:r>
            <w:r>
              <w:rPr>
                <w:rFonts w:hint="eastAsia" w:ascii="仿宋" w:hAnsi="仿宋" w:cs="仿宋_GB2312"/>
                <w:color w:val="000000" w:themeColor="text1"/>
                <w:szCs w:val="21"/>
                <w:highlight w:val="none"/>
                <w:u w:val="single"/>
                <w14:textFill>
                  <w14:solidFill>
                    <w14:schemeClr w14:val="tx1"/>
                  </w14:solidFill>
                </w14:textFill>
              </w:rPr>
              <w:t>大连医科大学附属第二医院</w:t>
            </w:r>
          </w:p>
          <w:p>
            <w:pPr>
              <w:widowControl/>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地  址：</w:t>
            </w:r>
            <w:r>
              <w:rPr>
                <w:rFonts w:hint="eastAsia" w:ascii="仿宋" w:hAnsi="仿宋" w:cs="仿宋_GB2312"/>
                <w:color w:val="000000" w:themeColor="text1"/>
                <w:szCs w:val="21"/>
                <w:highlight w:val="none"/>
                <w:u w:val="single"/>
                <w14:textFill>
                  <w14:solidFill>
                    <w14:schemeClr w14:val="tx1"/>
                  </w14:solidFill>
                </w14:textFill>
              </w:rPr>
              <w:t>大连市沙河口区中山路467号</w:t>
            </w:r>
          </w:p>
          <w:p>
            <w:pPr>
              <w:widowControl/>
              <w:rPr>
                <w:rFonts w:ascii="仿宋" w:hAnsi="仿宋" w:cs="仿宋_GB2312"/>
                <w:color w:val="000000" w:themeColor="text1"/>
                <w:szCs w:val="21"/>
                <w:highlight w:val="none"/>
                <w:u w:val="singl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联系人：</w:t>
            </w:r>
            <w:r>
              <w:rPr>
                <w:rFonts w:hint="eastAsia" w:ascii="仿宋" w:hAnsi="仿宋" w:cs="仿宋_GB2312"/>
                <w:color w:val="000000" w:themeColor="text1"/>
                <w:szCs w:val="21"/>
                <w:highlight w:val="none"/>
                <w:u w:val="single"/>
                <w14:textFill>
                  <w14:solidFill>
                    <w14:schemeClr w14:val="tx1"/>
                  </w14:solidFill>
                </w14:textFill>
              </w:rPr>
              <w:t>曲鸿</w:t>
            </w:r>
          </w:p>
          <w:p>
            <w:pPr>
              <w:widowControl/>
              <w:jc w:val="left"/>
              <w:rPr>
                <w:rFonts w:ascii="仿宋" w:hAnsi="仿宋" w:cs="仿宋_GB2312"/>
                <w:color w:val="000000" w:themeColor="text1"/>
                <w:kern w:val="0"/>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电  话：</w:t>
            </w:r>
            <w:r>
              <w:rPr>
                <w:rFonts w:ascii="仿宋" w:hAnsi="仿宋" w:cs="仿宋_GB2312"/>
                <w:color w:val="000000" w:themeColor="text1"/>
                <w:szCs w:val="21"/>
                <w:highlight w:val="none"/>
                <w:u w:val="single"/>
                <w14:textFill>
                  <w14:solidFill>
                    <w14:schemeClr w14:val="tx1"/>
                  </w14:solidFill>
                </w14:textFill>
              </w:rPr>
              <w:t>0411-84671291-7308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1.2</w:t>
            </w:r>
          </w:p>
        </w:tc>
        <w:tc>
          <w:tcPr>
            <w:tcW w:w="1917" w:type="dxa"/>
            <w:vAlign w:val="center"/>
          </w:tcPr>
          <w:p>
            <w:pPr>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采购代理机构</w:t>
            </w:r>
          </w:p>
        </w:tc>
        <w:tc>
          <w:tcPr>
            <w:tcW w:w="5887" w:type="dxa"/>
            <w:vAlign w:val="center"/>
          </w:tcPr>
          <w:p>
            <w:pPr>
              <w:widowControl/>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名  称：</w:t>
            </w:r>
            <w:r>
              <w:rPr>
                <w:rFonts w:hint="eastAsia" w:ascii="仿宋" w:hAnsi="仿宋" w:cs="仿宋_GB2312"/>
                <w:color w:val="000000" w:themeColor="text1"/>
                <w:szCs w:val="21"/>
                <w:highlight w:val="none"/>
                <w:u w:val="single"/>
                <w14:textFill>
                  <w14:solidFill>
                    <w14:schemeClr w14:val="tx1"/>
                  </w14:solidFill>
                </w14:textFill>
              </w:rPr>
              <w:t>大连机械设备成套有限公司</w:t>
            </w:r>
          </w:p>
          <w:p>
            <w:pPr>
              <w:widowControl/>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地  址：</w:t>
            </w:r>
            <w:r>
              <w:rPr>
                <w:rFonts w:hint="eastAsia" w:ascii="仿宋" w:hAnsi="仿宋" w:cs="仿宋_GB2312"/>
                <w:color w:val="000000" w:themeColor="text1"/>
                <w:szCs w:val="21"/>
                <w:highlight w:val="none"/>
                <w:u w:val="single"/>
                <w14:textFill>
                  <w14:solidFill>
                    <w14:schemeClr w14:val="tx1"/>
                  </w14:solidFill>
                </w14:textFill>
              </w:rPr>
              <w:t>大连市沙河口区西南路350-2号</w:t>
            </w:r>
          </w:p>
          <w:p>
            <w:pPr>
              <w:widowControl/>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联系人：李翔、王琳琳</w:t>
            </w:r>
          </w:p>
          <w:p>
            <w:pPr>
              <w:adjustRightInd w:val="0"/>
              <w:snapToGrid w:val="0"/>
              <w:spacing w:line="360" w:lineRule="auto"/>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电  话：</w:t>
            </w:r>
            <w:r>
              <w:rPr>
                <w:rFonts w:hint="eastAsia" w:ascii="仿宋" w:hAnsi="仿宋" w:cs="仿宋_GB2312"/>
                <w:color w:val="000000" w:themeColor="text1"/>
                <w:szCs w:val="21"/>
                <w:highlight w:val="none"/>
                <w:u w:val="single"/>
                <w14:textFill>
                  <w14:solidFill>
                    <w14:schemeClr w14:val="tx1"/>
                  </w14:solidFill>
                </w14:textFill>
              </w:rPr>
              <w:t>0411-83608842-</w:t>
            </w:r>
            <w:r>
              <w:rPr>
                <w:rFonts w:hint="eastAsia" w:ascii="仿宋" w:hAnsi="仿宋" w:cs="仿宋_GB2312"/>
                <w:color w:val="000000" w:themeColor="text1"/>
                <w:szCs w:val="21"/>
                <w:highlight w:val="none"/>
                <w14:textFill>
                  <w14:solidFill>
                    <w14:schemeClr w14:val="tx1"/>
                  </w14:solidFill>
                </w14:textFill>
              </w:rPr>
              <w:t>111、112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1.3.4</w:t>
            </w:r>
          </w:p>
        </w:tc>
        <w:tc>
          <w:tcPr>
            <w:tcW w:w="1917" w:type="dxa"/>
            <w:vAlign w:val="center"/>
          </w:tcPr>
          <w:p>
            <w:pPr>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合格供应商还要满足的其它资格条件</w:t>
            </w:r>
          </w:p>
        </w:tc>
        <w:tc>
          <w:tcPr>
            <w:tcW w:w="5887" w:type="dxa"/>
            <w:vAlign w:val="center"/>
          </w:tcPr>
          <w:p>
            <w:pPr>
              <w:adjustRightInd w:val="0"/>
              <w:snapToGrid w:val="0"/>
              <w:spacing w:line="360" w:lineRule="auto"/>
              <w:rPr>
                <w:rFonts w:ascii="仿宋" w:hAnsi="仿宋" w:cs="仿宋"/>
                <w:color w:val="000000"/>
                <w:szCs w:val="21"/>
                <w:highlight w:val="none"/>
              </w:rPr>
            </w:pPr>
            <w:r>
              <w:rPr>
                <w:rFonts w:hint="eastAsia" w:ascii="仿宋" w:hAnsi="仿宋" w:cs="仿宋"/>
                <w:color w:val="000000"/>
                <w:szCs w:val="21"/>
                <w:highlight w:val="none"/>
              </w:rPr>
              <w:t>3.1 具有供货能力的供应商；</w:t>
            </w:r>
          </w:p>
          <w:p>
            <w:pPr>
              <w:adjustRightInd w:val="0"/>
              <w:snapToGrid w:val="0"/>
              <w:spacing w:line="360" w:lineRule="auto"/>
              <w:rPr>
                <w:rFonts w:ascii="仿宋" w:hAnsi="仿宋" w:cs="仿宋"/>
                <w:color w:val="000000"/>
                <w:szCs w:val="21"/>
                <w:highlight w:val="none"/>
              </w:rPr>
            </w:pPr>
            <w:r>
              <w:rPr>
                <w:rFonts w:hint="eastAsia" w:ascii="仿宋" w:hAnsi="仿宋" w:cs="仿宋"/>
                <w:color w:val="000000"/>
                <w:szCs w:val="21"/>
                <w:highlight w:val="none"/>
              </w:rPr>
              <w:t>3.2 供应商为生产厂商的须具有《医疗器械生产企业许可证》或《医疗器械生产企业备案凭证》；</w:t>
            </w:r>
          </w:p>
          <w:p>
            <w:pPr>
              <w:adjustRightInd w:val="0"/>
              <w:snapToGrid w:val="0"/>
              <w:spacing w:line="360" w:lineRule="auto"/>
              <w:rPr>
                <w:rFonts w:ascii="仿宋" w:hAnsi="仿宋" w:cs="仿宋"/>
                <w:color w:val="000000"/>
                <w:szCs w:val="21"/>
                <w:highlight w:val="none"/>
              </w:rPr>
            </w:pPr>
            <w:r>
              <w:rPr>
                <w:rFonts w:hint="eastAsia" w:ascii="仿宋" w:hAnsi="仿宋" w:cs="仿宋"/>
                <w:color w:val="000000"/>
                <w:szCs w:val="21"/>
                <w:highlight w:val="none"/>
              </w:rPr>
              <w:t>3.3 供应商为经销商的须具有《医疗器械经营企业许可证》或《医疗器械经营企业备案凭证》并提供投标产品生产厂商的《医疗器械生产企业许可证》或《医疗器械生产企业备案凭证》；</w:t>
            </w:r>
          </w:p>
          <w:p>
            <w:pPr>
              <w:widowControl/>
              <w:adjustRightInd w:val="0"/>
              <w:snapToGrid w:val="0"/>
              <w:spacing w:line="360" w:lineRule="auto"/>
              <w:jc w:val="left"/>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
                <w:color w:val="000000"/>
                <w:szCs w:val="21"/>
                <w:highlight w:val="none"/>
              </w:rPr>
              <w:t>3.4根据国家及各省市相关规定，遵照医疗器械分类规则和分类目录的有关要求，须进行注册、备案的医疗器械，供应商须具有所投产品的医疗器械注册证、医疗器械产品注册登记表或二证合一。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1.3.5</w:t>
            </w:r>
          </w:p>
        </w:tc>
        <w:tc>
          <w:tcPr>
            <w:tcW w:w="1917" w:type="dxa"/>
            <w:vAlign w:val="center"/>
          </w:tcPr>
          <w:p>
            <w:pPr>
              <w:tabs>
                <w:tab w:val="left" w:pos="1425"/>
              </w:tabs>
              <w:jc w:val="cente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bCs/>
                <w:color w:val="000000" w:themeColor="text1"/>
                <w:kern w:val="0"/>
                <w:szCs w:val="21"/>
                <w:highlight w:val="none"/>
                <w14:textFill>
                  <w14:solidFill>
                    <w14:schemeClr w14:val="tx1"/>
                  </w14:solidFill>
                </w14:textFill>
              </w:rPr>
              <w:t>是否允许采购进口产品</w:t>
            </w:r>
          </w:p>
        </w:tc>
        <w:tc>
          <w:tcPr>
            <w:tcW w:w="5887" w:type="dxa"/>
            <w:vAlign w:val="center"/>
          </w:tcPr>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是</w:t>
            </w:r>
          </w:p>
          <w:p>
            <w:pP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52"/>
            </w:r>
            <w:r>
              <w:rPr>
                <w:rFonts w:hint="eastAsia" w:ascii="仿宋" w:hAnsi="仿宋" w:cs="仿宋_GB2312"/>
                <w:color w:val="000000" w:themeColor="text1"/>
                <w:kern w:val="0"/>
                <w:szCs w:val="21"/>
                <w:highlight w:val="none"/>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1.3.6</w:t>
            </w:r>
          </w:p>
        </w:tc>
        <w:tc>
          <w:tcPr>
            <w:tcW w:w="1917" w:type="dxa"/>
            <w:vAlign w:val="center"/>
          </w:tcPr>
          <w:p>
            <w:pPr>
              <w:tabs>
                <w:tab w:val="left" w:pos="1425"/>
              </w:tabs>
              <w:jc w:val="cente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是否为专门面向</w:t>
            </w:r>
            <w:r>
              <w:rPr>
                <w:rFonts w:hint="eastAsia" w:ascii="仿宋" w:hAnsi="仿宋" w:cs="仿宋_GB2312"/>
                <w:color w:val="000000" w:themeColor="text1"/>
                <w:szCs w:val="21"/>
                <w:highlight w:val="none"/>
                <w14:textFill>
                  <w14:solidFill>
                    <w14:schemeClr w14:val="tx1"/>
                  </w14:solidFill>
                </w14:textFill>
              </w:rPr>
              <w:t>中小企业</w:t>
            </w:r>
            <w:r>
              <w:rPr>
                <w:rFonts w:hint="eastAsia" w:ascii="仿宋" w:hAnsi="仿宋" w:cs="仿宋_GB2312"/>
                <w:color w:val="000000" w:themeColor="text1"/>
                <w:kern w:val="0"/>
                <w:szCs w:val="21"/>
                <w:highlight w:val="none"/>
                <w14:textFill>
                  <w14:solidFill>
                    <w14:schemeClr w14:val="tx1"/>
                  </w14:solidFill>
                </w14:textFill>
              </w:rPr>
              <w:t>采购</w:t>
            </w:r>
          </w:p>
        </w:tc>
        <w:tc>
          <w:tcPr>
            <w:tcW w:w="5887" w:type="dxa"/>
            <w:vAlign w:val="center"/>
          </w:tcPr>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是</w:t>
            </w:r>
          </w:p>
          <w:p>
            <w:pP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1.3.7</w:t>
            </w:r>
          </w:p>
        </w:tc>
        <w:tc>
          <w:tcPr>
            <w:tcW w:w="1917" w:type="dxa"/>
            <w:vAlign w:val="center"/>
          </w:tcPr>
          <w:p>
            <w:pPr>
              <w:tabs>
                <w:tab w:val="left" w:pos="1425"/>
              </w:tabs>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是否有政府强制采购的节能产品</w:t>
            </w:r>
          </w:p>
        </w:tc>
        <w:tc>
          <w:tcPr>
            <w:tcW w:w="5887" w:type="dxa"/>
            <w:vAlign w:val="center"/>
          </w:tcPr>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有，具体产品为</w:t>
            </w:r>
            <w:r>
              <w:rPr>
                <w:rFonts w:hint="eastAsia" w:ascii="仿宋" w:hAnsi="仿宋" w:cs="仿宋_GB2312"/>
                <w:color w:val="000000" w:themeColor="text1"/>
                <w:kern w:val="0"/>
                <w:szCs w:val="21"/>
                <w:highlight w:val="none"/>
                <w:u w:val="single"/>
                <w14:textFill>
                  <w14:solidFill>
                    <w14:schemeClr w14:val="tx1"/>
                  </w14:solidFill>
                </w14:textFill>
              </w:rPr>
              <w:t xml:space="preserve"> </w:t>
            </w:r>
            <w:r>
              <w:rPr>
                <w:rFonts w:ascii="仿宋" w:hAnsi="仿宋" w:cs="仿宋_GB2312"/>
                <w:color w:val="000000" w:themeColor="text1"/>
                <w:kern w:val="0"/>
                <w:szCs w:val="21"/>
                <w:highlight w:val="none"/>
                <w:u w:val="single"/>
                <w14:textFill>
                  <w14:solidFill>
                    <w14:schemeClr w14:val="tx1"/>
                  </w14:solidFill>
                </w14:textFill>
              </w:rPr>
              <w:t xml:space="preserve">       </w:t>
            </w:r>
          </w:p>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√没有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1.3.8</w:t>
            </w:r>
          </w:p>
        </w:tc>
        <w:tc>
          <w:tcPr>
            <w:tcW w:w="1917" w:type="dxa"/>
            <w:vAlign w:val="center"/>
          </w:tcPr>
          <w:p>
            <w:pPr>
              <w:tabs>
                <w:tab w:val="left" w:pos="1425"/>
              </w:tabs>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所属行业</w:t>
            </w:r>
          </w:p>
        </w:tc>
        <w:tc>
          <w:tcPr>
            <w:tcW w:w="5887" w:type="dxa"/>
            <w:vAlign w:val="center"/>
          </w:tcPr>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 xml:space="preserve">工业 </w:t>
            </w:r>
            <w:r>
              <w:rPr>
                <w:rFonts w:ascii="仿宋" w:hAnsi="仿宋" w:cs="仿宋_GB2312"/>
                <w:color w:val="000000" w:themeColor="text1"/>
                <w:kern w:val="0"/>
                <w:szCs w:val="21"/>
                <w:highlight w:val="none"/>
                <w14:textFill>
                  <w14:solidFill>
                    <w14:schemeClr w14:val="tx1"/>
                  </w14:solidFill>
                </w14:textFill>
              </w:rPr>
              <w:t xml:space="preserve">  </w:t>
            </w:r>
            <w:r>
              <w:rPr>
                <w:rFonts w:hint="eastAsia" w:ascii="仿宋" w:hAnsi="仿宋" w:cs="仿宋_GB2312"/>
                <w:color w:val="000000" w:themeColor="text1"/>
                <w:kern w:val="0"/>
                <w:szCs w:val="21"/>
                <w:highlight w:val="none"/>
                <w14:textFill>
                  <w14:solidFill>
                    <w14:schemeClr w14:val="tx1"/>
                  </w14:solidFill>
                </w14:textFill>
              </w:rPr>
              <w:t>（工信部联企业[2011]</w:t>
            </w:r>
            <w:r>
              <w:rPr>
                <w:rFonts w:ascii="仿宋" w:hAnsi="仿宋" w:cs="仿宋_GB2312"/>
                <w:color w:val="000000" w:themeColor="text1"/>
                <w:kern w:val="0"/>
                <w:szCs w:val="21"/>
                <w:highlight w:val="none"/>
                <w14:textFill>
                  <w14:solidFill>
                    <w14:schemeClr w14:val="tx1"/>
                  </w14:solidFill>
                </w14:textFill>
              </w:rPr>
              <w:t xml:space="preserve"> </w:t>
            </w:r>
            <w:r>
              <w:rPr>
                <w:rFonts w:hint="eastAsia" w:ascii="仿宋" w:hAnsi="仿宋" w:cs="仿宋_GB2312"/>
                <w:color w:val="000000" w:themeColor="text1"/>
                <w:kern w:val="0"/>
                <w:szCs w:val="21"/>
                <w:highlight w:val="none"/>
                <w14:textFill>
                  <w14:solidFill>
                    <w14:schemeClr w14:val="tx1"/>
                  </w14:solidFill>
                </w14:textFill>
              </w:rPr>
              <w:t>300号）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1.4</w:t>
            </w:r>
          </w:p>
        </w:tc>
        <w:tc>
          <w:tcPr>
            <w:tcW w:w="1917" w:type="dxa"/>
            <w:vAlign w:val="center"/>
          </w:tcPr>
          <w:p>
            <w:pPr>
              <w:tabs>
                <w:tab w:val="left" w:pos="1425"/>
              </w:tabs>
              <w:jc w:val="center"/>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bCs/>
                <w:color w:val="000000" w:themeColor="text1"/>
                <w:kern w:val="0"/>
                <w:szCs w:val="21"/>
                <w:highlight w:val="none"/>
                <w14:textFill>
                  <w14:solidFill>
                    <w14:schemeClr w14:val="tx1"/>
                  </w14:solidFill>
                </w14:textFill>
              </w:rPr>
              <w:t>是否允许联合体投标</w:t>
            </w:r>
          </w:p>
        </w:tc>
        <w:tc>
          <w:tcPr>
            <w:tcW w:w="5887" w:type="dxa"/>
            <w:vAlign w:val="center"/>
          </w:tcPr>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是</w:t>
            </w:r>
          </w:p>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1.4.8</w:t>
            </w:r>
          </w:p>
        </w:tc>
        <w:tc>
          <w:tcPr>
            <w:tcW w:w="1917" w:type="dxa"/>
            <w:vAlign w:val="center"/>
          </w:tcPr>
          <w:p>
            <w:pPr>
              <w:tabs>
                <w:tab w:val="left" w:pos="1425"/>
              </w:tabs>
              <w:jc w:val="cente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bCs/>
                <w:color w:val="000000" w:themeColor="text1"/>
                <w:kern w:val="0"/>
                <w:szCs w:val="21"/>
                <w:highlight w:val="none"/>
                <w14:textFill>
                  <w14:solidFill>
                    <w14:schemeClr w14:val="tx1"/>
                  </w14:solidFill>
                </w14:textFill>
              </w:rPr>
              <w:t>联合体投标的其他资格要求</w:t>
            </w:r>
          </w:p>
        </w:tc>
        <w:tc>
          <w:tcPr>
            <w:tcW w:w="5887" w:type="dxa"/>
            <w:vAlign w:val="center"/>
          </w:tcPr>
          <w:p>
            <w:pP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bCs/>
                <w:color w:val="000000" w:themeColor="text1"/>
                <w:kern w:val="0"/>
                <w:szCs w:val="21"/>
                <w:highlight w:val="none"/>
                <w14:textFill>
                  <w14:solidFill>
                    <w14:schemeClr w14:val="tx1"/>
                  </w14:solidFill>
                </w14:textFill>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52" w:type="dxa"/>
            <w:vAlign w:val="center"/>
          </w:tcPr>
          <w:p>
            <w:pPr>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2.2</w:t>
            </w:r>
          </w:p>
        </w:tc>
        <w:tc>
          <w:tcPr>
            <w:tcW w:w="1917" w:type="dxa"/>
            <w:vAlign w:val="center"/>
          </w:tcPr>
          <w:p>
            <w:pPr>
              <w:shd w:val="clear" w:color="auto" w:fill="FFFFFF"/>
              <w:jc w:val="cente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项目预算金额、最高限价</w:t>
            </w:r>
          </w:p>
        </w:tc>
        <w:tc>
          <w:tcPr>
            <w:tcW w:w="5887" w:type="dxa"/>
            <w:vAlign w:val="center"/>
          </w:tcPr>
          <w:p>
            <w:pP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bCs/>
                <w:color w:val="000000" w:themeColor="text1"/>
                <w:kern w:val="0"/>
                <w:szCs w:val="21"/>
                <w:highlight w:val="none"/>
                <w14:textFill>
                  <w14:solidFill>
                    <w14:schemeClr w14:val="tx1"/>
                  </w14:solidFill>
                </w14:textFill>
              </w:rPr>
              <w:t>预算金额：6000000元</w:t>
            </w:r>
          </w:p>
          <w:p>
            <w:pP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bCs/>
                <w:color w:val="000000" w:themeColor="text1"/>
                <w:kern w:val="0"/>
                <w:szCs w:val="21"/>
                <w:highlight w:val="none"/>
                <w14:textFill>
                  <w14:solidFill>
                    <w14:schemeClr w14:val="tx1"/>
                  </w14:solidFill>
                </w14:textFill>
              </w:rPr>
              <w:t>最高限价：6000000元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4</w:t>
            </w:r>
          </w:p>
        </w:tc>
        <w:tc>
          <w:tcPr>
            <w:tcW w:w="1917" w:type="dxa"/>
            <w:vAlign w:val="center"/>
          </w:tcPr>
          <w:p>
            <w:pPr>
              <w:tabs>
                <w:tab w:val="left" w:pos="1425"/>
              </w:tabs>
              <w:jc w:val="cente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bCs/>
                <w:color w:val="000000" w:themeColor="text1"/>
                <w:kern w:val="0"/>
                <w:szCs w:val="21"/>
                <w:highlight w:val="none"/>
                <w14:textFill>
                  <w14:solidFill>
                    <w14:schemeClr w14:val="tx1"/>
                  </w14:solidFill>
                </w14:textFill>
              </w:rPr>
              <w:t>计量单位</w:t>
            </w:r>
          </w:p>
        </w:tc>
        <w:tc>
          <w:tcPr>
            <w:tcW w:w="5887" w:type="dxa"/>
            <w:vAlign w:val="center"/>
          </w:tcPr>
          <w:p>
            <w:pP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w:t>
            </w:r>
            <w:r>
              <w:rPr>
                <w:rFonts w:hint="eastAsia" w:ascii="仿宋" w:hAnsi="仿宋" w:cs="仿宋_GB2312"/>
                <w:bCs/>
                <w:color w:val="000000" w:themeColor="text1"/>
                <w:kern w:val="0"/>
                <w:szCs w:val="21"/>
                <w:highlight w:val="none"/>
                <w14:textFill>
                  <w14:solidFill>
                    <w14:schemeClr w14:val="tx1"/>
                  </w14:solidFill>
                </w14:textFill>
              </w:rPr>
              <w:t>中华人民共和国法定计量单位</w:t>
            </w:r>
          </w:p>
          <w:p>
            <w:pP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bCs/>
                <w:color w:val="000000" w:themeColor="text1"/>
                <w:kern w:val="0"/>
                <w:szCs w:val="21"/>
                <w:highlight w:val="none"/>
                <w14:textFill>
                  <w14:solidFill>
                    <w14:schemeClr w14:val="tx1"/>
                  </w14:solidFill>
                </w14:textFill>
              </w:rPr>
              <w:sym w:font="Wingdings 2" w:char="00A3"/>
            </w:r>
            <w:r>
              <w:rPr>
                <w:rFonts w:hint="eastAsia" w:ascii="仿宋" w:hAnsi="仿宋" w:cs="仿宋_GB2312"/>
                <w:bCs/>
                <w:color w:val="000000" w:themeColor="text1"/>
                <w:kern w:val="0"/>
                <w:szCs w:val="21"/>
                <w:highlight w:val="none"/>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ascii="仿宋" w:hAnsi="仿宋" w:cs="仿宋_GB2312"/>
                <w:color w:val="000000" w:themeColor="text1"/>
                <w:kern w:val="0"/>
                <w:szCs w:val="21"/>
                <w:highlight w:val="none"/>
                <w14:textFill>
                  <w14:solidFill>
                    <w14:schemeClr w14:val="tx1"/>
                  </w14:solidFill>
                </w14:textFill>
              </w:rPr>
              <w:t>6.1</w:t>
            </w:r>
          </w:p>
        </w:tc>
        <w:tc>
          <w:tcPr>
            <w:tcW w:w="1917"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现场考察、开标前答疑会</w:t>
            </w:r>
          </w:p>
        </w:tc>
        <w:tc>
          <w:tcPr>
            <w:tcW w:w="5887" w:type="dxa"/>
            <w:vAlign w:val="center"/>
          </w:tcPr>
          <w:p>
            <w:pPr>
              <w:rPr>
                <w:rFonts w:ascii="仿宋" w:hAnsi="仿宋" w:cs="仿宋_GB2312"/>
                <w:color w:val="000000" w:themeColor="text1"/>
                <w:kern w:val="0"/>
                <w:szCs w:val="21"/>
                <w:highlight w:val="none"/>
                <w14:textFill>
                  <w14:solidFill>
                    <w14:schemeClr w14:val="tx1"/>
                  </w14:solidFill>
                </w14:textFill>
              </w:rPr>
            </w:pPr>
            <w:r>
              <w:rPr>
                <w:rFonts w:ascii="仿宋" w:hAnsi="仿宋" w:cs="仿宋_GB2312"/>
                <w:bCs/>
                <w:color w:val="000000" w:themeColor="text1"/>
                <w:kern w:val="0"/>
                <w:szCs w:val="21"/>
                <w:highlight w:val="none"/>
                <w14:textFill>
                  <w14:solidFill>
                    <w14:schemeClr w14:val="tx1"/>
                  </w14:solidFill>
                </w14:textFill>
              </w:rPr>
              <w:sym w:font="Wingdings 2" w:char="0052"/>
            </w:r>
            <w:r>
              <w:rPr>
                <w:rFonts w:hint="eastAsia" w:ascii="仿宋" w:hAnsi="仿宋" w:cs="仿宋_GB2312"/>
                <w:color w:val="000000" w:themeColor="text1"/>
                <w:kern w:val="0"/>
                <w:szCs w:val="21"/>
                <w:highlight w:val="none"/>
                <w14:textFill>
                  <w14:solidFill>
                    <w14:schemeClr w14:val="tx1"/>
                  </w14:solidFill>
                </w14:textFill>
              </w:rPr>
              <w:t>不组织</w:t>
            </w:r>
          </w:p>
          <w:p>
            <w:pPr>
              <w:rPr>
                <w:rFonts w:ascii="仿宋" w:hAnsi="仿宋" w:cs="仿宋_GB2312"/>
                <w:color w:val="000000" w:themeColor="text1"/>
                <w:kern w:val="0"/>
                <w:szCs w:val="21"/>
                <w:highlight w:val="none"/>
                <w14:textFill>
                  <w14:solidFill>
                    <w14:schemeClr w14:val="tx1"/>
                  </w14:solidFill>
                </w14:textFill>
              </w:rPr>
            </w:pPr>
            <w:r>
              <w:rPr>
                <w:rFonts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组织，时</w:t>
            </w:r>
            <w:r>
              <w:rPr>
                <w:rFonts w:ascii="仿宋" w:hAnsi="仿宋" w:cs="仿宋_GB2312"/>
                <w:color w:val="000000" w:themeColor="text1"/>
                <w:kern w:val="0"/>
                <w:szCs w:val="21"/>
                <w:highlight w:val="none"/>
                <w14:textFill>
                  <w14:solidFill>
                    <w14:schemeClr w14:val="tx1"/>
                  </w14:solidFill>
                </w14:textFill>
              </w:rPr>
              <w:t xml:space="preserve">  </w:t>
            </w:r>
            <w:r>
              <w:rPr>
                <w:rFonts w:hint="eastAsia" w:ascii="仿宋" w:hAnsi="仿宋" w:cs="仿宋_GB2312"/>
                <w:color w:val="000000" w:themeColor="text1"/>
                <w:kern w:val="0"/>
                <w:szCs w:val="21"/>
                <w:highlight w:val="none"/>
                <w14:textFill>
                  <w14:solidFill>
                    <w14:schemeClr w14:val="tx1"/>
                  </w14:solidFill>
                </w14:textFill>
              </w:rPr>
              <w:t xml:space="preserve">间：  </w:t>
            </w:r>
          </w:p>
          <w:p>
            <w:pPr>
              <w:widowControl/>
              <w:ind w:left="-105" w:leftChars="-50" w:firstLine="949" w:firstLineChars="452"/>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地</w:t>
            </w:r>
            <w:r>
              <w:rPr>
                <w:rFonts w:ascii="仿宋" w:hAnsi="仿宋" w:cs="仿宋_GB2312"/>
                <w:color w:val="000000" w:themeColor="text1"/>
                <w:kern w:val="0"/>
                <w:szCs w:val="21"/>
                <w:highlight w:val="none"/>
                <w14:textFill>
                  <w14:solidFill>
                    <w14:schemeClr w14:val="tx1"/>
                  </w14:solidFill>
                </w14:textFill>
              </w:rPr>
              <w:t xml:space="preserve">  </w:t>
            </w:r>
            <w:r>
              <w:rPr>
                <w:rFonts w:hint="eastAsia" w:ascii="仿宋" w:hAnsi="仿宋" w:cs="仿宋_GB2312"/>
                <w:color w:val="000000" w:themeColor="text1"/>
                <w:kern w:val="0"/>
                <w:szCs w:val="21"/>
                <w:highlight w:val="none"/>
                <w14:textFill>
                  <w14:solidFill>
                    <w14:schemeClr w14:val="tx1"/>
                  </w14:solidFill>
                </w14:textFill>
              </w:rPr>
              <w:t xml:space="preserve">点： </w:t>
            </w:r>
          </w:p>
          <w:p>
            <w:pPr>
              <w:ind w:left="-105" w:leftChars="-50" w:firstLine="949" w:firstLineChars="452"/>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 xml:space="preserve">联系人： </w:t>
            </w:r>
          </w:p>
          <w:p>
            <w:pPr>
              <w:ind w:left="-105" w:leftChars="-50" w:firstLine="949" w:firstLineChars="452"/>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电</w:t>
            </w:r>
            <w:r>
              <w:rPr>
                <w:rFonts w:ascii="仿宋" w:hAnsi="仿宋" w:cs="仿宋_GB2312"/>
                <w:color w:val="000000" w:themeColor="text1"/>
                <w:kern w:val="0"/>
                <w:szCs w:val="21"/>
                <w:highlight w:val="none"/>
                <w14:textFill>
                  <w14:solidFill>
                    <w14:schemeClr w14:val="tx1"/>
                  </w14:solidFill>
                </w14:textFill>
              </w:rPr>
              <w:t xml:space="preserve">  </w:t>
            </w:r>
            <w:r>
              <w:rPr>
                <w:rFonts w:hint="eastAsia" w:ascii="仿宋" w:hAnsi="仿宋" w:cs="仿宋_GB2312"/>
                <w:color w:val="000000" w:themeColor="text1"/>
                <w:kern w:val="0"/>
                <w:szCs w:val="21"/>
                <w:highlight w:val="none"/>
                <w14:textFill>
                  <w14:solidFill>
                    <w14:schemeClr w14:val="tx1"/>
                  </w14:solidFill>
                </w14:textFill>
              </w:rPr>
              <w:t xml:space="preserve">话： </w:t>
            </w:r>
          </w:p>
          <w:p>
            <w:pPr>
              <w:rPr>
                <w:rFonts w:ascii="仿宋" w:hAnsi="仿宋" w:cs="仿宋_GB2312"/>
                <w:color w:val="000000" w:themeColor="text1"/>
                <w:kern w:val="0"/>
                <w:szCs w:val="21"/>
                <w:highlight w:val="none"/>
                <w14:textFill>
                  <w14:solidFill>
                    <w14:schemeClr w14:val="tx1"/>
                  </w14:solidFill>
                </w14:textFill>
              </w:rPr>
            </w:pPr>
            <w:r>
              <w:rPr>
                <w:rFonts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组织，招标文件提供期限截止后以书面形式通知。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10.3</w:t>
            </w:r>
          </w:p>
        </w:tc>
        <w:tc>
          <w:tcPr>
            <w:tcW w:w="1917"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核心产品</w:t>
            </w:r>
          </w:p>
        </w:tc>
        <w:tc>
          <w:tcPr>
            <w:tcW w:w="5887" w:type="dxa"/>
            <w:vAlign w:val="center"/>
          </w:tcPr>
          <w:p>
            <w:pPr>
              <w:widowControl/>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u w:val="single"/>
                <w14:textFill>
                  <w14:solidFill>
                    <w14:schemeClr w14:val="tx1"/>
                  </w14:solidFill>
                </w14:textFill>
              </w:rPr>
              <w:t>64排(128层)以上螺旋CT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8"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11.3</w:t>
            </w:r>
          </w:p>
        </w:tc>
        <w:tc>
          <w:tcPr>
            <w:tcW w:w="1917" w:type="dxa"/>
            <w:vAlign w:val="center"/>
          </w:tcPr>
          <w:p>
            <w:pPr>
              <w:shd w:val="clear" w:color="auto" w:fill="FFFFFF"/>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样品或演示</w:t>
            </w:r>
          </w:p>
        </w:tc>
        <w:tc>
          <w:tcPr>
            <w:tcW w:w="5887" w:type="dxa"/>
            <w:vAlign w:val="center"/>
          </w:tcPr>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√不需要</w:t>
            </w:r>
            <w:r>
              <w:rPr>
                <w:rFonts w:hint="eastAsia" w:ascii="仿宋" w:hAnsi="仿宋" w:cs="仿宋_GB2312"/>
                <w:bCs/>
                <w:color w:val="000000" w:themeColor="text1"/>
                <w:kern w:val="0"/>
                <w:szCs w:val="21"/>
                <w:highlight w:val="none"/>
                <w14:textFill>
                  <w14:solidFill>
                    <w14:schemeClr w14:val="tx1"/>
                  </w14:solidFill>
                </w14:textFill>
              </w:rPr>
              <w:t>提供样品</w:t>
            </w:r>
          </w:p>
          <w:p>
            <w:pPr>
              <w:rPr>
                <w:rFonts w:ascii="仿宋" w:hAnsi="仿宋" w:cs="仿宋_GB2312"/>
                <w:bCs/>
                <w:color w:val="000000" w:themeColor="text1"/>
                <w:kern w:val="0"/>
                <w:szCs w:val="21"/>
                <w:highlight w:val="none"/>
                <w14:textFill>
                  <w14:solidFill>
                    <w14:schemeClr w14:val="tx1"/>
                  </w14:solidFill>
                </w14:textFill>
              </w:rPr>
            </w:pPr>
            <w:r>
              <w:rPr>
                <w:rFonts w:ascii="仿宋" w:hAnsi="仿宋" w:cs="仿宋_GB2312"/>
                <w:color w:val="000000" w:themeColor="text1"/>
                <w:kern w:val="0"/>
                <w:szCs w:val="21"/>
                <w:highlight w:val="none"/>
                <w14:textFill>
                  <w14:solidFill>
                    <w14:schemeClr w14:val="tx1"/>
                  </w14:solidFill>
                </w14:textFill>
              </w:rPr>
              <w:sym w:font="Wingdings 2" w:char="F0A3"/>
            </w:r>
            <w:r>
              <w:rPr>
                <w:rFonts w:hint="eastAsia" w:ascii="仿宋" w:hAnsi="仿宋" w:cs="仿宋_GB2312"/>
                <w:color w:val="000000" w:themeColor="text1"/>
                <w:kern w:val="0"/>
                <w:szCs w:val="21"/>
                <w:highlight w:val="none"/>
                <w14:textFill>
                  <w14:solidFill>
                    <w14:schemeClr w14:val="tx1"/>
                  </w14:solidFill>
                </w14:textFill>
              </w:rPr>
              <w:t>需要</w:t>
            </w:r>
            <w:r>
              <w:rPr>
                <w:rFonts w:hint="eastAsia" w:ascii="仿宋" w:hAnsi="仿宋" w:cs="仿宋_GB2312"/>
                <w:bCs/>
                <w:color w:val="000000" w:themeColor="text1"/>
                <w:kern w:val="0"/>
                <w:szCs w:val="21"/>
                <w:highlight w:val="none"/>
                <w14:textFill>
                  <w14:solidFill>
                    <w14:schemeClr w14:val="tx1"/>
                  </w14:solidFill>
                </w14:textFill>
              </w:rPr>
              <w:t>提供样品</w:t>
            </w:r>
          </w:p>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1、递交样品的截止时间：年月日时（北京时间）</w:t>
            </w:r>
          </w:p>
          <w:p>
            <w:pPr>
              <w:ind w:firstLine="525" w:firstLineChars="250"/>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递交样品地点：</w:t>
            </w:r>
          </w:p>
          <w:p>
            <w:pPr>
              <w:ind w:firstLine="525" w:firstLineChars="250"/>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递交样品联系人：</w:t>
            </w:r>
          </w:p>
          <w:p>
            <w:pPr>
              <w:ind w:firstLine="525" w:firstLineChars="250"/>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递交样品联系电话：</w:t>
            </w:r>
          </w:p>
          <w:p>
            <w:pPr>
              <w:ind w:firstLine="210" w:firstLineChars="1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2、样品制作的标准和要求：</w:t>
            </w:r>
          </w:p>
          <w:p>
            <w:pPr>
              <w:ind w:firstLine="210" w:firstLineChars="1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3、随样品提交相关检测报告要求：</w:t>
            </w:r>
          </w:p>
          <w:p>
            <w:pPr>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（包含是否要求提供、检测机构要求、检测内容等）</w:t>
            </w:r>
          </w:p>
          <w:p>
            <w:pPr>
              <w:ind w:firstLine="210" w:firstLineChars="1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pPr>
              <w:ind w:left="210"/>
              <w:rPr>
                <w:rFonts w:ascii="仿宋" w:hAnsi="仿宋" w:cs="仿宋_GB2312"/>
                <w:color w:val="000000" w:themeColor="text1"/>
                <w:kern w:val="0"/>
                <w:szCs w:val="21"/>
                <w:highlight w:val="none"/>
                <w14:textFill>
                  <w14:solidFill>
                    <w14:schemeClr w14:val="tx1"/>
                  </w14:solidFill>
                </w14:textFill>
              </w:rPr>
            </w:pPr>
          </w:p>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√不</w:t>
            </w:r>
            <w:r>
              <w:rPr>
                <w:rFonts w:hint="eastAsia" w:ascii="仿宋" w:hAnsi="仿宋" w:cs="仿宋_GB2312"/>
                <w:bCs/>
                <w:color w:val="000000" w:themeColor="text1"/>
                <w:kern w:val="0"/>
                <w:szCs w:val="21"/>
                <w:highlight w:val="none"/>
                <w14:textFill>
                  <w14:solidFill>
                    <w14:schemeClr w14:val="tx1"/>
                  </w14:solidFill>
                </w14:textFill>
              </w:rPr>
              <w:t>需要提供演示</w:t>
            </w:r>
          </w:p>
          <w:p>
            <w:pPr>
              <w:rPr>
                <w:rFonts w:ascii="仿宋" w:hAnsi="仿宋" w:cs="仿宋_GB2312"/>
                <w:bCs/>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需要</w:t>
            </w:r>
            <w:r>
              <w:rPr>
                <w:rFonts w:hint="eastAsia" w:ascii="仿宋" w:hAnsi="仿宋" w:cs="仿宋_GB2312"/>
                <w:bCs/>
                <w:color w:val="000000" w:themeColor="text1"/>
                <w:kern w:val="0"/>
                <w:szCs w:val="21"/>
                <w:highlight w:val="none"/>
                <w14:textFill>
                  <w14:solidFill>
                    <w14:schemeClr w14:val="tx1"/>
                  </w14:solidFill>
                </w14:textFill>
              </w:rPr>
              <w:t>提供演示</w:t>
            </w:r>
          </w:p>
          <w:p>
            <w:pPr>
              <w:ind w:firstLine="210" w:firstLineChars="1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1、演示时间：</w:t>
            </w:r>
          </w:p>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 xml:space="preserve">     演示地点：</w:t>
            </w:r>
          </w:p>
          <w:p>
            <w:pPr>
              <w:ind w:firstLine="210" w:firstLineChars="1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 xml:space="preserve">   演示顺序：</w:t>
            </w:r>
          </w:p>
          <w:p>
            <w:pPr>
              <w:ind w:firstLine="210" w:firstLineChars="1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2、演示要求：（内容、设备等要求）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12.1</w:t>
            </w:r>
          </w:p>
        </w:tc>
        <w:tc>
          <w:tcPr>
            <w:tcW w:w="1917" w:type="dxa"/>
            <w:vAlign w:val="center"/>
          </w:tcPr>
          <w:p>
            <w:pPr>
              <w:shd w:val="clear" w:color="auto" w:fill="FFFFFF"/>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投标报价货币要求</w:t>
            </w:r>
          </w:p>
        </w:tc>
        <w:tc>
          <w:tcPr>
            <w:tcW w:w="5887" w:type="dxa"/>
            <w:vAlign w:val="center"/>
          </w:tcPr>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√所有投标均按</w:t>
            </w:r>
            <w:r>
              <w:rPr>
                <w:rFonts w:hint="eastAsia" w:ascii="仿宋" w:hAnsi="仿宋" w:cs="仿宋_GB2312"/>
                <w:color w:val="000000" w:themeColor="text1"/>
                <w:kern w:val="0"/>
                <w:szCs w:val="21"/>
                <w:highlight w:val="none"/>
                <w:u w:val="single"/>
                <w14:textFill>
                  <w14:solidFill>
                    <w14:schemeClr w14:val="tx1"/>
                  </w14:solidFill>
                </w14:textFill>
              </w:rPr>
              <w:t xml:space="preserve"> 人民币 </w:t>
            </w:r>
            <w:r>
              <w:rPr>
                <w:rFonts w:hint="eastAsia" w:ascii="仿宋" w:hAnsi="仿宋" w:cs="仿宋_GB2312"/>
                <w:color w:val="000000" w:themeColor="text1"/>
                <w:kern w:val="0"/>
                <w:szCs w:val="21"/>
                <w:highlight w:val="none"/>
                <w14:textFill>
                  <w14:solidFill>
                    <w14:schemeClr w14:val="tx1"/>
                  </w14:solidFill>
                </w14:textFill>
              </w:rPr>
              <w:t>货币进行报价。</w:t>
            </w:r>
          </w:p>
          <w:p>
            <w:pPr>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13.1</w:t>
            </w:r>
          </w:p>
        </w:tc>
        <w:tc>
          <w:tcPr>
            <w:tcW w:w="1917"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投标保证金</w:t>
            </w:r>
          </w:p>
        </w:tc>
        <w:tc>
          <w:tcPr>
            <w:tcW w:w="5887" w:type="dxa"/>
            <w:vAlign w:val="center"/>
          </w:tcPr>
          <w:p>
            <w:pPr>
              <w:pStyle w:val="9"/>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投标保证金金额：0元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15.1</w:t>
            </w:r>
          </w:p>
        </w:tc>
        <w:tc>
          <w:tcPr>
            <w:tcW w:w="1917"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投标有效期</w:t>
            </w:r>
          </w:p>
        </w:tc>
        <w:tc>
          <w:tcPr>
            <w:tcW w:w="5887" w:type="dxa"/>
            <w:vAlign w:val="center"/>
          </w:tcPr>
          <w:p>
            <w:pPr>
              <w:pStyle w:val="9"/>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u w:val="single"/>
                <w14:textFill>
                  <w14:solidFill>
                    <w14:schemeClr w14:val="tx1"/>
                  </w14:solidFill>
                </w14:textFill>
              </w:rPr>
              <w:t>90</w:t>
            </w:r>
            <w:r>
              <w:rPr>
                <w:rFonts w:hint="eastAsia" w:ascii="仿宋" w:hAnsi="仿宋" w:cs="仿宋_GB2312"/>
                <w:color w:val="000000" w:themeColor="text1"/>
                <w:kern w:val="0"/>
                <w:szCs w:val="21"/>
                <w:highlight w:val="none"/>
                <w14:textFill>
                  <w14:solidFill>
                    <w14:schemeClr w14:val="tx1"/>
                  </w14:solidFill>
                </w14:textFill>
              </w:rPr>
              <w:t>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16.1</w:t>
            </w:r>
          </w:p>
        </w:tc>
        <w:tc>
          <w:tcPr>
            <w:tcW w:w="1917"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投标文件及电子文档份数</w:t>
            </w:r>
          </w:p>
        </w:tc>
        <w:tc>
          <w:tcPr>
            <w:tcW w:w="5887" w:type="dxa"/>
            <w:vAlign w:val="center"/>
          </w:tcPr>
          <w:p>
            <w:pPr>
              <w:widowControl/>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正本</w:t>
            </w:r>
            <w:r>
              <w:rPr>
                <w:rFonts w:ascii="仿宋" w:hAnsi="仿宋" w:cs="仿宋_GB2312"/>
                <w:color w:val="000000" w:themeColor="text1"/>
                <w:szCs w:val="21"/>
                <w:highlight w:val="none"/>
                <w:u w:val="single"/>
                <w14:textFill>
                  <w14:solidFill>
                    <w14:schemeClr w14:val="tx1"/>
                  </w14:solidFill>
                </w14:textFill>
              </w:rPr>
              <w:t>1</w:t>
            </w:r>
            <w:r>
              <w:rPr>
                <w:rFonts w:hint="eastAsia" w:ascii="仿宋" w:hAnsi="仿宋" w:cs="仿宋_GB2312"/>
                <w:color w:val="000000" w:themeColor="text1"/>
                <w:szCs w:val="21"/>
                <w:highlight w:val="none"/>
                <w14:textFill>
                  <w14:solidFill>
                    <w14:schemeClr w14:val="tx1"/>
                  </w14:solidFill>
                </w14:textFill>
              </w:rPr>
              <w:t>份,副本</w:t>
            </w:r>
            <w:r>
              <w:rPr>
                <w:rFonts w:hint="eastAsia" w:ascii="仿宋" w:hAnsi="仿宋" w:cs="仿宋_GB2312"/>
                <w:color w:val="000000" w:themeColor="text1"/>
                <w:szCs w:val="21"/>
                <w:highlight w:val="none"/>
                <w:u w:val="single"/>
                <w14:textFill>
                  <w14:solidFill>
                    <w14:schemeClr w14:val="tx1"/>
                  </w14:solidFill>
                </w14:textFill>
              </w:rPr>
              <w:t>2</w:t>
            </w:r>
            <w:r>
              <w:rPr>
                <w:rFonts w:hint="eastAsia" w:ascii="仿宋" w:hAnsi="仿宋" w:cs="仿宋_GB2312"/>
                <w:color w:val="000000" w:themeColor="text1"/>
                <w:szCs w:val="21"/>
                <w:highlight w:val="none"/>
                <w14:textFill>
                  <w14:solidFill>
                    <w14:schemeClr w14:val="tx1"/>
                  </w14:solidFill>
                </w14:textFill>
              </w:rPr>
              <w:t>份，电子文档</w:t>
            </w:r>
            <w:r>
              <w:rPr>
                <w:rFonts w:hint="eastAsia" w:ascii="仿宋" w:hAnsi="仿宋" w:cs="仿宋_GB2312"/>
                <w:color w:val="000000" w:themeColor="text1"/>
                <w:szCs w:val="21"/>
                <w:highlight w:val="none"/>
                <w:u w:val="single"/>
                <w14:textFill>
                  <w14:solidFill>
                    <w14:schemeClr w14:val="tx1"/>
                  </w14:solidFill>
                </w14:textFill>
              </w:rPr>
              <w:t>1</w:t>
            </w:r>
            <w:r>
              <w:rPr>
                <w:rFonts w:hint="eastAsia" w:ascii="仿宋" w:hAnsi="仿宋" w:cs="仿宋_GB2312"/>
                <w:color w:val="000000" w:themeColor="text1"/>
                <w:szCs w:val="21"/>
                <w:highlight w:val="none"/>
                <w14:textFill>
                  <w14:solidFill>
                    <w14:schemeClr w14:val="tx1"/>
                  </w14:solidFill>
                </w14:textFill>
              </w:rPr>
              <w:t>份（PDF格式）</w:t>
            </w:r>
          </w:p>
          <w:p>
            <w:pPr>
              <w:widowControl/>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投标单位需将PDF格式的投标文件上传至辽宁政府采购网，</w:t>
            </w:r>
          </w:p>
          <w:p>
            <w:pPr>
              <w:widowControl/>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操作教学详见（辽宁政府采购网：</w:t>
            </w:r>
            <w:r>
              <w:rPr>
                <w:rFonts w:ascii="仿宋" w:hAnsi="仿宋" w:cs="仿宋_GB2312"/>
                <w:color w:val="000000" w:themeColor="text1"/>
                <w:szCs w:val="21"/>
                <w:highlight w:val="none"/>
                <w14:textFill>
                  <w14:solidFill>
                    <w14:schemeClr w14:val="tx1"/>
                  </w14:solidFill>
                </w14:textFill>
              </w:rPr>
              <w:t>http://www.ccgp-liaoning.gov.cn/portalindex.do?method=getPubInfoViewOpen&amp;infoId=31adcfa21750bd6d482-5dfd</w:t>
            </w:r>
            <w:r>
              <w:rPr>
                <w:rFonts w:hint="eastAsia" w:ascii="仿宋" w:hAnsi="仿宋" w:cs="仿宋_GB2312"/>
                <w:color w:val="000000" w:themeColor="text1"/>
                <w:szCs w:val="21"/>
                <w:highlight w:val="none"/>
                <w14:textFill>
                  <w14:solidFill>
                    <w14:schemeClr w14:val="tx1"/>
                  </w14:solidFill>
                </w14:textFill>
              </w:rPr>
              <w:t>），如未按视频教学操作将导致废标</w:t>
            </w:r>
            <w:r>
              <w:rPr>
                <w:rFonts w:hint="eastAsia" w:ascii="仿宋" w:hAnsi="仿宋" w:cs="仿宋_GB2312"/>
                <w:color w:val="000000" w:themeColor="text1"/>
                <w:kern w:val="0"/>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18.1</w:t>
            </w:r>
          </w:p>
        </w:tc>
        <w:tc>
          <w:tcPr>
            <w:tcW w:w="1917" w:type="dxa"/>
            <w:vAlign w:val="center"/>
          </w:tcPr>
          <w:p>
            <w:pPr>
              <w:widowControl/>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递交投标文件截止时间、地点</w:t>
            </w:r>
          </w:p>
        </w:tc>
        <w:tc>
          <w:tcPr>
            <w:tcW w:w="5887" w:type="dxa"/>
            <w:vAlign w:val="center"/>
          </w:tcPr>
          <w:p>
            <w:pPr>
              <w:widowControl/>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详见招标公告，以招标公告规定时间、地点为准。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20.1</w:t>
            </w:r>
          </w:p>
        </w:tc>
        <w:tc>
          <w:tcPr>
            <w:tcW w:w="1917" w:type="dxa"/>
            <w:vAlign w:val="center"/>
          </w:tcPr>
          <w:p>
            <w:pPr>
              <w:widowControl/>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开标时间、地点</w:t>
            </w:r>
          </w:p>
        </w:tc>
        <w:tc>
          <w:tcPr>
            <w:tcW w:w="5887" w:type="dxa"/>
            <w:vAlign w:val="center"/>
          </w:tcPr>
          <w:p>
            <w:pPr>
              <w:widowControl/>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详见招标公告，以招标公告规定时间、地点为准。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21</w:t>
            </w:r>
          </w:p>
        </w:tc>
        <w:tc>
          <w:tcPr>
            <w:tcW w:w="1917" w:type="dxa"/>
            <w:vAlign w:val="center"/>
          </w:tcPr>
          <w:p>
            <w:pPr>
              <w:widowControl/>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评标委员会组成</w:t>
            </w:r>
          </w:p>
        </w:tc>
        <w:tc>
          <w:tcPr>
            <w:tcW w:w="5887" w:type="dxa"/>
            <w:vAlign w:val="center"/>
          </w:tcPr>
          <w:p>
            <w:pPr>
              <w:widowControl/>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评标委员会由采购人代表</w:t>
            </w:r>
            <w:r>
              <w:rPr>
                <w:rFonts w:hint="eastAsia" w:ascii="仿宋" w:hAnsi="仿宋" w:cs="仿宋_GB2312"/>
                <w:color w:val="000000" w:themeColor="text1"/>
                <w:szCs w:val="21"/>
                <w:highlight w:val="none"/>
                <w:u w:val="single"/>
                <w14:textFill>
                  <w14:solidFill>
                    <w14:schemeClr w14:val="tx1"/>
                  </w14:solidFill>
                </w14:textFill>
              </w:rPr>
              <w:t>1</w:t>
            </w:r>
            <w:r>
              <w:rPr>
                <w:rFonts w:hint="eastAsia" w:ascii="仿宋" w:hAnsi="仿宋" w:cs="仿宋_GB2312"/>
                <w:color w:val="000000" w:themeColor="text1"/>
                <w:szCs w:val="21"/>
                <w:highlight w:val="none"/>
                <w14:textFill>
                  <w14:solidFill>
                    <w14:schemeClr w14:val="tx1"/>
                  </w14:solidFill>
                </w14:textFill>
              </w:rPr>
              <w:t>人，评审专家</w:t>
            </w:r>
            <w:r>
              <w:rPr>
                <w:rFonts w:hint="eastAsia" w:ascii="仿宋" w:hAnsi="仿宋" w:cs="仿宋_GB2312"/>
                <w:color w:val="000000" w:themeColor="text1"/>
                <w:szCs w:val="21"/>
                <w:highlight w:val="none"/>
                <w:u w:val="single"/>
                <w14:textFill>
                  <w14:solidFill>
                    <w14:schemeClr w14:val="tx1"/>
                  </w14:solidFill>
                </w14:textFill>
              </w:rPr>
              <w:t>4</w:t>
            </w:r>
            <w:r>
              <w:rPr>
                <w:rFonts w:hint="eastAsia" w:ascii="仿宋" w:hAnsi="仿宋" w:cs="仿宋_GB2312"/>
                <w:color w:val="000000" w:themeColor="text1"/>
                <w:szCs w:val="21"/>
                <w:highlight w:val="none"/>
                <w14:textFill>
                  <w14:solidFill>
                    <w14:schemeClr w14:val="tx1"/>
                  </w14:solidFill>
                </w14:textFill>
              </w:rPr>
              <w:t>人组成，共</w:t>
            </w:r>
            <w:r>
              <w:rPr>
                <w:rFonts w:hint="eastAsia" w:ascii="仿宋" w:hAnsi="仿宋" w:cs="仿宋_GB2312"/>
                <w:color w:val="000000" w:themeColor="text1"/>
                <w:szCs w:val="21"/>
                <w:highlight w:val="none"/>
                <w:u w:val="single"/>
                <w14:textFill>
                  <w14:solidFill>
                    <w14:schemeClr w14:val="tx1"/>
                  </w14:solidFill>
                </w14:textFill>
              </w:rPr>
              <w:t>5</w:t>
            </w:r>
            <w:r>
              <w:rPr>
                <w:rFonts w:hint="eastAsia" w:ascii="仿宋" w:hAnsi="仿宋" w:cs="仿宋_GB2312"/>
                <w:color w:val="000000" w:themeColor="text1"/>
                <w:szCs w:val="21"/>
                <w:highlight w:val="none"/>
                <w14:textFill>
                  <w14:solidFill>
                    <w14:schemeClr w14:val="tx1"/>
                  </w14:solidFill>
                </w14:textFill>
              </w:rPr>
              <w:t xml:space="preserve">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25.1</w:t>
            </w:r>
          </w:p>
        </w:tc>
        <w:tc>
          <w:tcPr>
            <w:tcW w:w="1917"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样品的评审方法以及评审标准</w:t>
            </w:r>
          </w:p>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演示的评审方法及评审标准</w:t>
            </w:r>
          </w:p>
        </w:tc>
        <w:tc>
          <w:tcPr>
            <w:tcW w:w="5887" w:type="dxa"/>
            <w:vAlign w:val="center"/>
          </w:tcPr>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bCs/>
                <w:color w:val="000000" w:themeColor="text1"/>
                <w:kern w:val="0"/>
                <w:szCs w:val="21"/>
                <w:highlight w:val="none"/>
                <w14:textFill>
                  <w14:solidFill>
                    <w14:schemeClr w14:val="tx1"/>
                  </w14:solidFill>
                </w14:textFill>
              </w:rPr>
              <w:t>样品：</w:t>
            </w:r>
          </w:p>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1、样品评审方法：</w:t>
            </w:r>
          </w:p>
          <w:p>
            <w:pPr>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2、样品评审标准：</w:t>
            </w:r>
          </w:p>
          <w:p>
            <w:pPr>
              <w:rPr>
                <w:rFonts w:ascii="仿宋" w:hAnsi="仿宋" w:cs="仿宋_GB2312"/>
                <w:color w:val="000000" w:themeColor="text1"/>
                <w:kern w:val="0"/>
                <w:szCs w:val="21"/>
                <w:highlight w:val="none"/>
                <w:u w:val="single"/>
                <w14:textFill>
                  <w14:solidFill>
                    <w14:schemeClr w14:val="tx1"/>
                  </w14:solidFill>
                </w14:textFill>
              </w:rPr>
            </w:pPr>
          </w:p>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演示：</w:t>
            </w:r>
          </w:p>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1、演示评审方法：</w:t>
            </w:r>
          </w:p>
          <w:p>
            <w:pPr>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2、演示评审标准：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27.2</w:t>
            </w:r>
          </w:p>
        </w:tc>
        <w:tc>
          <w:tcPr>
            <w:tcW w:w="1917" w:type="dxa"/>
            <w:vAlign w:val="center"/>
          </w:tcPr>
          <w:p>
            <w:pPr>
              <w:widowControl/>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评标办法</w:t>
            </w:r>
          </w:p>
        </w:tc>
        <w:tc>
          <w:tcPr>
            <w:tcW w:w="5887" w:type="dxa"/>
            <w:vAlign w:val="center"/>
          </w:tcPr>
          <w:p>
            <w:pPr>
              <w:widowControl/>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w:t>
            </w:r>
            <w:r>
              <w:rPr>
                <w:rFonts w:hint="eastAsia" w:ascii="仿宋" w:hAnsi="仿宋" w:cs="仿宋_GB2312"/>
                <w:color w:val="000000" w:themeColor="text1"/>
                <w:szCs w:val="21"/>
                <w:highlight w:val="none"/>
                <w14:textFill>
                  <w14:solidFill>
                    <w14:schemeClr w14:val="tx1"/>
                  </w14:solidFill>
                </w14:textFill>
              </w:rPr>
              <w:t>综合评分法</w:t>
            </w:r>
          </w:p>
          <w:p>
            <w:pPr>
              <w:widowControl/>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sym w:font="Wingdings 2" w:char="00A3"/>
            </w:r>
            <w:r>
              <w:rPr>
                <w:rFonts w:hint="eastAsia" w:ascii="仿宋" w:hAnsi="仿宋" w:cs="仿宋_GB2312"/>
                <w:color w:val="000000" w:themeColor="text1"/>
                <w:szCs w:val="21"/>
                <w:highlight w:val="none"/>
                <w14:textFill>
                  <w14:solidFill>
                    <w14:schemeClr w14:val="tx1"/>
                  </w14:solidFill>
                </w14:textFill>
              </w:rPr>
              <w:t xml:space="preserve">最低评标价法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29.2</w:t>
            </w:r>
          </w:p>
        </w:tc>
        <w:tc>
          <w:tcPr>
            <w:tcW w:w="1917"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推荐中标候选人的数量</w:t>
            </w:r>
          </w:p>
        </w:tc>
        <w:tc>
          <w:tcPr>
            <w:tcW w:w="5887" w:type="dxa"/>
            <w:vAlign w:val="center"/>
          </w:tcPr>
          <w:p>
            <w:pPr>
              <w:widowControl/>
              <w:ind w:firstLine="210" w:firstLineChars="100"/>
              <w:rPr>
                <w:rFonts w:ascii="仿宋" w:hAnsi="仿宋" w:cs="仿宋_GB2312"/>
                <w:color w:val="000000" w:themeColor="text1"/>
                <w:kern w:val="0"/>
                <w:szCs w:val="21"/>
                <w:highlight w:val="none"/>
                <w14:textFill>
                  <w14:solidFill>
                    <w14:schemeClr w14:val="tx1"/>
                  </w14:solidFill>
                </w14:textFill>
              </w:rPr>
            </w:pPr>
            <w:r>
              <w:rPr>
                <w:rFonts w:ascii="仿宋" w:hAnsi="仿宋" w:cs="仿宋_GB2312"/>
                <w:color w:val="000000" w:themeColor="text1"/>
                <w:kern w:val="0"/>
                <w:szCs w:val="21"/>
                <w:highlight w:val="none"/>
                <w:u w:val="single"/>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31</w:t>
            </w:r>
          </w:p>
        </w:tc>
        <w:tc>
          <w:tcPr>
            <w:tcW w:w="1917"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确定中标人的方式</w:t>
            </w:r>
          </w:p>
        </w:tc>
        <w:tc>
          <w:tcPr>
            <w:tcW w:w="5887" w:type="dxa"/>
            <w:vAlign w:val="center"/>
          </w:tcPr>
          <w:p>
            <w:pPr>
              <w:widowControl/>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中标人数量：</w:t>
            </w:r>
            <w:r>
              <w:rPr>
                <w:rFonts w:ascii="仿宋" w:hAnsi="仿宋" w:cs="仿宋_GB2312"/>
                <w:color w:val="000000" w:themeColor="text1"/>
                <w:kern w:val="0"/>
                <w:szCs w:val="21"/>
                <w:highlight w:val="none"/>
                <w:u w:val="single"/>
                <w14:textFill>
                  <w14:solidFill>
                    <w14:schemeClr w14:val="tx1"/>
                  </w14:solidFill>
                </w14:textFill>
              </w:rPr>
              <w:t>1</w:t>
            </w:r>
          </w:p>
          <w:p>
            <w:pPr>
              <w:widowControl/>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sym w:font="Wingdings 2" w:char="00A3"/>
            </w:r>
            <w:r>
              <w:rPr>
                <w:rFonts w:hint="eastAsia" w:ascii="仿宋" w:hAnsi="仿宋" w:cs="仿宋_GB2312"/>
                <w:color w:val="000000" w:themeColor="text1"/>
                <w:kern w:val="0"/>
                <w:szCs w:val="21"/>
                <w:highlight w:val="none"/>
                <w14:textFill>
                  <w14:solidFill>
                    <w14:schemeClr w14:val="tx1"/>
                  </w14:solidFill>
                </w14:textFill>
              </w:rPr>
              <w:t>采购人委托评标委员会直接确定中标人</w:t>
            </w:r>
          </w:p>
          <w:p>
            <w:pPr>
              <w:widowControl/>
              <w:rPr>
                <w:rFonts w:ascii="仿宋" w:hAnsi="仿宋" w:cs="仿宋_GB2312"/>
                <w:color w:val="000000" w:themeColor="text1"/>
                <w:kern w:val="0"/>
                <w:szCs w:val="21"/>
                <w:highlight w:val="none"/>
                <w:u w:val="singl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√采购人确定中标人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35.1</w:t>
            </w:r>
          </w:p>
        </w:tc>
        <w:tc>
          <w:tcPr>
            <w:tcW w:w="1917" w:type="dxa"/>
            <w:vAlign w:val="center"/>
          </w:tcPr>
          <w:p>
            <w:pPr>
              <w:shd w:val="clear" w:color="auto" w:fill="FFFFFF"/>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履约保证金</w:t>
            </w:r>
          </w:p>
        </w:tc>
        <w:tc>
          <w:tcPr>
            <w:tcW w:w="5887" w:type="dxa"/>
            <w:vAlign w:val="center"/>
          </w:tcPr>
          <w:p>
            <w:pPr>
              <w:shd w:val="clear" w:color="auto" w:fill="FFFFFF"/>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w:t>
            </w:r>
            <w:r>
              <w:rPr>
                <w:rFonts w:hint="eastAsia" w:ascii="仿宋" w:hAnsi="仿宋" w:cs="仿宋_GB2312"/>
                <w:color w:val="000000" w:themeColor="text1"/>
                <w:szCs w:val="21"/>
                <w:highlight w:val="none"/>
                <w14:textFill>
                  <w14:solidFill>
                    <w14:schemeClr w14:val="tx1"/>
                  </w14:solidFill>
                </w14:textFill>
              </w:rPr>
              <w:t>本项目不收取履约保证金</w:t>
            </w:r>
          </w:p>
          <w:p>
            <w:pPr>
              <w:shd w:val="clear" w:color="auto" w:fill="FFFFFF"/>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sym w:font="Wingdings 2" w:char="00A3"/>
            </w:r>
            <w:r>
              <w:rPr>
                <w:rFonts w:hint="eastAsia" w:ascii="仿宋" w:hAnsi="仿宋" w:cs="仿宋_GB2312"/>
                <w:color w:val="000000" w:themeColor="text1"/>
                <w:szCs w:val="21"/>
                <w:highlight w:val="none"/>
                <w14:textFill>
                  <w14:solidFill>
                    <w14:schemeClr w14:val="tx1"/>
                  </w14:solidFill>
                </w14:textFill>
              </w:rPr>
              <w:t>本项目收取履约保证金</w:t>
            </w:r>
          </w:p>
          <w:p>
            <w:pPr>
              <w:shd w:val="clear" w:color="auto" w:fill="FFFFFF"/>
              <w:ind w:firstLine="210" w:firstLineChars="1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履约保证金金额：</w:t>
            </w:r>
          </w:p>
          <w:p>
            <w:pPr>
              <w:shd w:val="clear" w:color="auto" w:fill="FFFFFF"/>
              <w:ind w:firstLine="210" w:firstLineChars="1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履约保证金递交时间：</w:t>
            </w:r>
          </w:p>
          <w:p>
            <w:pPr>
              <w:shd w:val="clear" w:color="auto" w:fill="FFFFFF"/>
              <w:ind w:firstLine="210" w:firstLineChars="1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履约保证金递交方式：□保函   □支票  □电汇</w:t>
            </w:r>
          </w:p>
          <w:p>
            <w:pPr>
              <w:shd w:val="clear" w:color="auto" w:fill="FFFFFF"/>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账户信息：</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开 户 名：</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开 户 行：</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账    号：</w:t>
            </w:r>
          </w:p>
          <w:p>
            <w:pPr>
              <w:shd w:val="clear" w:color="auto" w:fill="FFFFFF"/>
              <w:ind w:firstLine="210" w:firstLineChars="1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履约保证金退还时间及规定：</w:t>
            </w:r>
          </w:p>
          <w:p>
            <w:pPr>
              <w:shd w:val="clear" w:color="auto" w:fill="FFFFFF"/>
              <w:jc w:val="left"/>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（注：财政部门鼓励采用保函的方式递交履约保证金，具体办理流程参阅辽宁政府采购网）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36</w:t>
            </w:r>
          </w:p>
        </w:tc>
        <w:tc>
          <w:tcPr>
            <w:tcW w:w="1917"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采购代理服务费</w:t>
            </w:r>
          </w:p>
        </w:tc>
        <w:tc>
          <w:tcPr>
            <w:tcW w:w="5887" w:type="dxa"/>
            <w:vAlign w:val="center"/>
          </w:tcPr>
          <w:p>
            <w:pPr>
              <w:shd w:val="clear" w:color="auto" w:fill="FFFFFF"/>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√本项目收取采购代理服务费</w:t>
            </w:r>
          </w:p>
          <w:p>
            <w:pPr>
              <w:shd w:val="clear" w:color="auto" w:fill="FFFFFF"/>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本项目采购代理服务费由</w:t>
            </w:r>
            <w:r>
              <w:rPr>
                <w:rFonts w:hint="eastAsia" w:ascii="仿宋" w:hAnsi="仿宋" w:cs="仿宋_GB2312"/>
                <w:color w:val="000000" w:themeColor="text1"/>
                <w:szCs w:val="21"/>
                <w:highlight w:val="none"/>
                <w:u w:val="single"/>
                <w14:textFill>
                  <w14:solidFill>
                    <w14:schemeClr w14:val="tx1"/>
                  </w14:solidFill>
                </w14:textFill>
              </w:rPr>
              <w:t xml:space="preserve"> 中标供应商 </w:t>
            </w:r>
            <w:r>
              <w:rPr>
                <w:rFonts w:hint="eastAsia" w:ascii="仿宋" w:hAnsi="仿宋" w:cs="仿宋_GB2312"/>
                <w:color w:val="000000" w:themeColor="text1"/>
                <w:szCs w:val="21"/>
                <w:highlight w:val="none"/>
                <w14:textFill>
                  <w14:solidFill>
                    <w14:schemeClr w14:val="tx1"/>
                  </w14:solidFill>
                </w14:textFill>
              </w:rPr>
              <w:t>向采购代理机构予以支付。</w:t>
            </w:r>
          </w:p>
          <w:p>
            <w:pPr>
              <w:shd w:val="clear" w:color="auto" w:fill="FFFFFF"/>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支付标准： </w:t>
            </w:r>
          </w:p>
          <w:tbl>
            <w:tblPr>
              <w:tblStyle w:val="21"/>
              <w:tblW w:w="5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2"/>
              <w:gridCol w:w="1238"/>
              <w:gridCol w:w="1195"/>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912" w:type="dxa"/>
                  <w:vAlign w:val="center"/>
                </w:tcPr>
                <w:p>
                  <w:pPr>
                    <w:shd w:val="clear" w:color="auto" w:fill="FFFFFF"/>
                    <w:jc w:val="left"/>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服务类型</w:t>
                  </w:r>
                </w:p>
                <w:p>
                  <w:pPr>
                    <w:shd w:val="clear" w:color="auto" w:fill="FFFFFF"/>
                    <w:ind w:firstLine="840" w:firstLineChars="400"/>
                    <w:jc w:val="left"/>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费率</w:t>
                  </w:r>
                </w:p>
                <w:p>
                  <w:pPr>
                    <w:shd w:val="clear" w:color="auto" w:fill="FFFFFF"/>
                    <w:jc w:val="left"/>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中标金额（万元）</w:t>
                  </w:r>
                </w:p>
              </w:tc>
              <w:tc>
                <w:tcPr>
                  <w:tcW w:w="1238"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货物招标</w:t>
                  </w:r>
                </w:p>
              </w:tc>
              <w:tc>
                <w:tcPr>
                  <w:tcW w:w="1195"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服务招标</w:t>
                  </w:r>
                </w:p>
              </w:tc>
              <w:tc>
                <w:tcPr>
                  <w:tcW w:w="1134"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912"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100以下</w:t>
                  </w:r>
                </w:p>
              </w:tc>
              <w:tc>
                <w:tcPr>
                  <w:tcW w:w="1238" w:type="dxa"/>
                  <w:vAlign w:val="center"/>
                </w:tcPr>
                <w:p>
                  <w:pPr>
                    <w:pStyle w:val="16"/>
                    <w:pBdr>
                      <w:bottom w:val="none" w:color="auto" w:sz="0" w:space="0"/>
                    </w:pBdr>
                    <w:shd w:val="clear" w:color="auto" w:fill="FFFFFF"/>
                    <w:tabs>
                      <w:tab w:val="clear" w:pos="4153"/>
                      <w:tab w:val="clear" w:pos="8306"/>
                    </w:tabs>
                    <w:snapToGrid/>
                    <w:jc w:val="center"/>
                    <w:rPr>
                      <w:rFonts w:ascii="仿宋" w:hAnsi="仿宋" w:cs="仿宋_GB2312"/>
                      <w:color w:val="000000" w:themeColor="text1"/>
                      <w:sz w:val="21"/>
                      <w:szCs w:val="21"/>
                      <w:highlight w:val="none"/>
                      <w14:textFill>
                        <w14:solidFill>
                          <w14:schemeClr w14:val="tx1"/>
                        </w14:solidFill>
                      </w14:textFill>
                    </w:rPr>
                  </w:pPr>
                  <w:r>
                    <w:rPr>
                      <w:rFonts w:ascii="仿宋" w:hAnsi="仿宋" w:cs="仿宋_GB2312"/>
                      <w:color w:val="000000" w:themeColor="text1"/>
                      <w:sz w:val="21"/>
                      <w:szCs w:val="21"/>
                      <w:highlight w:val="none"/>
                      <w14:textFill>
                        <w14:solidFill>
                          <w14:schemeClr w14:val="tx1"/>
                        </w14:solidFill>
                      </w14:textFill>
                    </w:rPr>
                    <w:t>1.5%</w:t>
                  </w:r>
                </w:p>
              </w:tc>
              <w:tc>
                <w:tcPr>
                  <w:tcW w:w="1195"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1.5%</w:t>
                  </w:r>
                </w:p>
              </w:tc>
              <w:tc>
                <w:tcPr>
                  <w:tcW w:w="1134"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912"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100-500</w:t>
                  </w:r>
                </w:p>
              </w:tc>
              <w:tc>
                <w:tcPr>
                  <w:tcW w:w="1238"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1.1%</w:t>
                  </w:r>
                </w:p>
              </w:tc>
              <w:tc>
                <w:tcPr>
                  <w:tcW w:w="1195"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0.8%</w:t>
                  </w:r>
                </w:p>
              </w:tc>
              <w:tc>
                <w:tcPr>
                  <w:tcW w:w="1134"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912"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500-1000</w:t>
                  </w:r>
                </w:p>
              </w:tc>
              <w:tc>
                <w:tcPr>
                  <w:tcW w:w="1238"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0.8%</w:t>
                  </w:r>
                </w:p>
              </w:tc>
              <w:tc>
                <w:tcPr>
                  <w:tcW w:w="1195"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0.45%</w:t>
                  </w:r>
                </w:p>
              </w:tc>
              <w:tc>
                <w:tcPr>
                  <w:tcW w:w="1134"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1912"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1000-5000</w:t>
                  </w:r>
                </w:p>
              </w:tc>
              <w:tc>
                <w:tcPr>
                  <w:tcW w:w="1238"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0.5%</w:t>
                  </w:r>
                </w:p>
              </w:tc>
              <w:tc>
                <w:tcPr>
                  <w:tcW w:w="1195"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0.25%</w:t>
                  </w:r>
                </w:p>
              </w:tc>
              <w:tc>
                <w:tcPr>
                  <w:tcW w:w="1134" w:type="dxa"/>
                  <w:vAlign w:val="center"/>
                </w:tcPr>
                <w:p>
                  <w:pPr>
                    <w:shd w:val="clear" w:color="auto" w:fill="FFFFFF"/>
                    <w:jc w:val="center"/>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0.35%</w:t>
                  </w:r>
                </w:p>
              </w:tc>
            </w:tr>
          </w:tbl>
          <w:p>
            <w:pPr>
              <w:shd w:val="clear" w:color="auto" w:fill="FFFFFF"/>
              <w:jc w:val="left"/>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b/>
                <w:color w:val="000000" w:themeColor="text1"/>
                <w:szCs w:val="21"/>
                <w:highlight w:val="none"/>
                <w14:textFill>
                  <w14:solidFill>
                    <w14:schemeClr w14:val="tx1"/>
                  </w14:solidFill>
                </w14:textFill>
              </w:rPr>
              <w:t>本次招标按货物标准收取招标代理服务费。</w:t>
            </w:r>
          </w:p>
          <w:p>
            <w:pPr>
              <w:shd w:val="clear" w:color="auto" w:fill="FFFFFF"/>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支付形式：电汇、现金或支票。</w:t>
            </w:r>
          </w:p>
          <w:p>
            <w:pPr>
              <w:widowControl/>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支付时间：发布成交通知书之前由中标供应商将采购代理服务费支付至采购代理机构。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39.3</w:t>
            </w:r>
          </w:p>
        </w:tc>
        <w:tc>
          <w:tcPr>
            <w:tcW w:w="1917" w:type="dxa"/>
            <w:vAlign w:val="center"/>
          </w:tcPr>
          <w:p>
            <w:pPr>
              <w:widowControl/>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质疑</w:t>
            </w:r>
          </w:p>
        </w:tc>
        <w:tc>
          <w:tcPr>
            <w:tcW w:w="5887" w:type="dxa"/>
            <w:vAlign w:val="center"/>
          </w:tcPr>
          <w:p>
            <w:pPr>
              <w:widowControl/>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一、投标人认为自己的权益受到损害的，可以在知道或者应知其权益受到损害之日起七个工作日内，向采购代理机构提出质疑。</w:t>
            </w:r>
          </w:p>
          <w:p>
            <w:pPr>
              <w:widowControl/>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1、接收质疑函的方式：接收加盖单位公章的书面质疑函</w:t>
            </w:r>
          </w:p>
          <w:p>
            <w:pPr>
              <w:widowControl/>
              <w:ind w:firstLine="210" w:firstLineChars="1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联系单位：大连机械设备成套有限公司</w:t>
            </w:r>
          </w:p>
          <w:p>
            <w:pPr>
              <w:widowControl/>
              <w:ind w:firstLine="210" w:firstLineChars="1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联 系 人：李翔</w:t>
            </w:r>
          </w:p>
          <w:p>
            <w:pPr>
              <w:widowControl/>
              <w:ind w:firstLine="210" w:firstLineChars="10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联系电话：0411-83679403-</w:t>
            </w:r>
            <w:r>
              <w:rPr>
                <w:rFonts w:hint="eastAsia" w:ascii="仿宋" w:hAnsi="仿宋" w:cs="仿宋_GB2312"/>
                <w:color w:val="000000" w:themeColor="text1"/>
                <w:szCs w:val="21"/>
                <w:highlight w:val="none"/>
                <w:u w:val="single"/>
                <w14:textFill>
                  <w14:solidFill>
                    <w14:schemeClr w14:val="tx1"/>
                  </w14:solidFill>
                </w14:textFill>
              </w:rPr>
              <w:t>111、112</w:t>
            </w:r>
          </w:p>
          <w:p>
            <w:pPr>
              <w:widowControl/>
              <w:ind w:firstLine="210" w:firstLineChars="1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通讯地址：大连市沙河口区西南路350-2号</w:t>
            </w:r>
          </w:p>
          <w:p>
            <w:pPr>
              <w:widowControl/>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2、质疑函的内容、格式：应符合《政府采购质疑和投诉办法》相关规定和财政部门制定的《政府采购质疑函范本》格式。</w:t>
            </w:r>
          </w:p>
          <w:p>
            <w:pPr>
              <w:pStyle w:val="9"/>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二、投标人应在法定质疑期内一次性针对同一采购程序环节提出质疑，否则针对再次提出质疑将不予接收。（采购程序环节分为：招标公告、招标文件、招标过程、中标结果）</w:t>
            </w:r>
          </w:p>
        </w:tc>
      </w:tr>
    </w:tbl>
    <w:p>
      <w:pP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注：表格中“</w:t>
      </w:r>
      <w:r>
        <w:rPr>
          <w:rFonts w:hint="eastAsia" w:ascii="仿宋" w:hAnsi="仿宋" w:cs="仿宋_GB2312"/>
          <w:color w:val="000000" w:themeColor="text1"/>
          <w:highlight w:val="none"/>
          <w14:textFill>
            <w14:solidFill>
              <w14:schemeClr w14:val="tx1"/>
            </w14:solidFill>
          </w14:textFill>
        </w:rPr>
        <w:sym w:font="Wingdings 2" w:char="0052"/>
      </w:r>
      <w:r>
        <w:rPr>
          <w:rFonts w:hint="eastAsia" w:ascii="仿宋" w:hAnsi="仿宋" w:cs="仿宋_GB2312"/>
          <w:color w:val="000000" w:themeColor="text1"/>
          <w:highlight w:val="none"/>
          <w14:textFill>
            <w14:solidFill>
              <w14:schemeClr w14:val="tx1"/>
            </w14:solidFill>
          </w14:textFill>
        </w:rPr>
        <w:t>”项或“</w:t>
      </w:r>
      <w:r>
        <w:rPr>
          <w:rFonts w:hint="eastAsia" w:ascii="仿宋" w:hAnsi="仿宋" w:cs="仿宋_GB2312"/>
          <w:color w:val="000000" w:themeColor="text1"/>
          <w:kern w:val="0"/>
          <w:szCs w:val="21"/>
          <w:highlight w:val="none"/>
          <w14:textFill>
            <w14:solidFill>
              <w14:schemeClr w14:val="tx1"/>
            </w14:solidFill>
          </w14:textFill>
        </w:rPr>
        <w:t>√</w:t>
      </w:r>
      <w:r>
        <w:rPr>
          <w:rFonts w:hint="eastAsia" w:ascii="仿宋" w:hAnsi="仿宋" w:cs="仿宋_GB2312"/>
          <w:color w:val="000000" w:themeColor="text1"/>
          <w:highlight w:val="none"/>
          <w14:textFill>
            <w14:solidFill>
              <w14:schemeClr w14:val="tx1"/>
            </w14:solidFill>
          </w14:textFill>
        </w:rPr>
        <w:t>”项为被选中项。</w:t>
      </w:r>
    </w:p>
    <w:p>
      <w:pPr>
        <w:pStyle w:val="3"/>
        <w:numPr>
          <w:ilvl w:val="0"/>
          <w:numId w:val="0"/>
        </w:numPr>
        <w:adjustRightInd w:val="0"/>
        <w:snapToGrid w:val="0"/>
        <w:spacing w:before="0" w:after="0" w:line="360" w:lineRule="auto"/>
        <w:ind w:left="1134"/>
        <w:rPr>
          <w:rFonts w:ascii="仿宋" w:hAnsi="仿宋" w:cs="仿宋_GB2312"/>
          <w:color w:val="000000" w:themeColor="text1"/>
          <w:sz w:val="32"/>
          <w:szCs w:val="36"/>
          <w:highlight w:val="none"/>
          <w14:textFill>
            <w14:solidFill>
              <w14:schemeClr w14:val="tx1"/>
            </w14:solidFill>
          </w14:textFill>
        </w:rPr>
      </w:pPr>
      <w:r>
        <w:rPr>
          <w:rFonts w:hint="eastAsia" w:ascii="仿宋" w:hAnsi="仿宋" w:cs="仿宋_GB2312"/>
          <w:color w:val="000000" w:themeColor="text1"/>
          <w:sz w:val="21"/>
          <w:szCs w:val="21"/>
          <w:highlight w:val="none"/>
          <w14:textFill>
            <w14:solidFill>
              <w14:schemeClr w14:val="tx1"/>
            </w14:solidFill>
          </w14:textFill>
        </w:rPr>
        <w:br w:type="page"/>
      </w:r>
      <w:bookmarkStart w:id="39" w:name="_Toc30384_WPSOffice_Level2"/>
      <w:r>
        <w:rPr>
          <w:rFonts w:hint="eastAsia" w:ascii="仿宋" w:hAnsi="仿宋" w:cs="仿宋_GB2312"/>
          <w:color w:val="000000" w:themeColor="text1"/>
          <w:sz w:val="32"/>
          <w:szCs w:val="36"/>
          <w:highlight w:val="none"/>
          <w14:textFill>
            <w14:solidFill>
              <w14:schemeClr w14:val="tx1"/>
            </w14:solidFill>
          </w14:textFill>
        </w:rPr>
        <w:t>二 总则</w:t>
      </w:r>
      <w:bookmarkEnd w:id="39"/>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1.采购人、采购代理机构及投标人</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1.1采购人：是指依法进行政府采购的国家机关、事业单位、团体组织。本项目采购人见投标人须知表1.1款。</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1.2采购代理机构：是指集中采购机构或从事采购代理业务的社会中介机构，本项目的采购代理机构见投标人须知表1.2款。</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★1.3投标人：是指向采购人提供货物、工程或者服务的法人、非法人组织或者自然人。本项目的投标人及其投标货物须满足以下条件：</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1.3.1在中华人民共和国境内注册，能够独立承担民事责任，有生产或供应能力的本国供应商。</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1.3.3以采购代理机构认可的方式获得了本项目的招标文件。</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1.3.4符合投标人须知表1.3.4款中规定的资格条件。</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若投标人须知表1.3.5款中未写明允许采购进口产品，如投标人所投产品为进口产品，其投标将被认定为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1.3.6若投标人须知表1.3.6款中写明专门面向中小企业采购的，如投标人为非中小企业且所投产品为非中小企业产品，其投标将被认定为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★1.4如投标人须知表1.4款中允许联合体投标，对联合体规定如下：</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1.4.1两个以上供应商可以组成一个投标联合体，以一个投标人的身份投标。</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1.4.2联合体各方均应符合《中华人民共和国政府采购法》第二十二条规定的条件。</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1.4.3采购人根据采购项目对投标人的特殊要求，联合体中至少应当有一方符合相关规定。</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1.4.4联合体各方应签订共同投标协议，明确约定联合体各方承担的工作和相应的责任。</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1.4.6联合体中有同类资质的供应商按照联合体分工承担相同工作的，按照较低的资质等级确定联合体的资质等级。</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1.4.7以联合体形式参加政府采购活动的，联合体各方不得再单独参加或者与其他供应商另外组成联合体参加本项目投标，否则相关投标将被认定为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（1）两个以上的自然人、法人或者其他组织可以组成一个联合体，以一个投标人的身份共同参加政府采购活动。</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（2）联合体中标的，联合体各方应共同与采购人签订采购合同，就采购合同约定的事项对采购人承担连带责任。</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1.4.8对联合体投标的其他资格要求见投标人须知表1.4.8款。</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★1.5单位负责人为同一人或者存在直接控股、管理关系的不同供应商，其相关投标将被认定为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★1.6为本项目提供过整体设计、规范编制或者项目管理、监理、检测等服务的供应商，不得再参加本项目上述服务以外的其他采购活动，否则其投标将被认定为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★1.7投标人在投标过程中不得向采购人提供、给予任何有价值的物品，影响其正常决策行为。一经发现，其将被认定为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2.资金来源</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w:t>
      </w:r>
      <w:r>
        <w:rPr>
          <w:rFonts w:hint="eastAsia" w:ascii="仿宋" w:hAnsi="仿宋" w:cs="仿宋_GB2312"/>
          <w:color w:val="000000" w:themeColor="text1"/>
          <w:szCs w:val="21"/>
          <w:highlight w:val="none"/>
          <w14:textFill>
            <w14:solidFill>
              <w14:schemeClr w14:val="tx1"/>
            </w14:solidFill>
          </w14:textFill>
        </w:rPr>
        <w:t>2.2项目预算金额和分项或分包最高限价见投标人须知表2.2款。</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w:t>
      </w:r>
      <w:r>
        <w:rPr>
          <w:rFonts w:hint="eastAsia" w:ascii="仿宋" w:hAnsi="仿宋" w:cs="仿宋_GB2312"/>
          <w:color w:val="000000" w:themeColor="text1"/>
          <w:szCs w:val="21"/>
          <w:highlight w:val="none"/>
          <w14:textFill>
            <w14:solidFill>
              <w14:schemeClr w14:val="tx1"/>
            </w14:solidFill>
          </w14:textFill>
        </w:rPr>
        <w:t>2.3投标人报价超过招标文件规定的预算金额或者分项、分包最高限价的，其投标将被认定为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bookmarkStart w:id="40" w:name="_Toc266951048"/>
      <w:r>
        <w:rPr>
          <w:rFonts w:hint="eastAsia" w:ascii="仿宋" w:hAnsi="仿宋" w:cs="仿宋_GB2312"/>
          <w:b/>
          <w:bCs/>
          <w:color w:val="000000" w:themeColor="text1"/>
          <w:szCs w:val="21"/>
          <w:highlight w:val="none"/>
          <w14:textFill>
            <w14:solidFill>
              <w14:schemeClr w14:val="tx1"/>
            </w14:solidFill>
          </w14:textFill>
        </w:rPr>
        <w:t>3.语言文字</w:t>
      </w:r>
      <w:bookmarkEnd w:id="40"/>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bookmarkStart w:id="41" w:name="_1.8_计量单位"/>
      <w:bookmarkEnd w:id="41"/>
      <w:bookmarkStart w:id="42" w:name="_Toc266951049"/>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4.计量单位</w:t>
      </w:r>
      <w:bookmarkEnd w:id="42"/>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除投标人须知表4款中有特殊要求外，投标文件中所使用的计量单位，应采用中华人民共和国法定计量单位。</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5.投标费用</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不论投标的结果如何，投标人应承担所有与投标有关的费用。</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6.现场考察、开标前答疑会</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6.1</w:t>
      </w:r>
      <w:r>
        <w:rPr>
          <w:highlight w:val="none"/>
        </w:rPr>
        <w:fldChar w:fldCharType="begin"/>
      </w:r>
      <w:r>
        <w:rPr>
          <w:highlight w:val="none"/>
        </w:rPr>
        <w:instrText xml:space="preserve"> HYPERLINK \l "_踏勘现场" </w:instrText>
      </w:r>
      <w:r>
        <w:rPr>
          <w:highlight w:val="none"/>
        </w:rPr>
        <w:fldChar w:fldCharType="separate"/>
      </w:r>
      <w:r>
        <w:rPr>
          <w:rFonts w:hint="eastAsia" w:ascii="仿宋" w:hAnsi="仿宋" w:cs="仿宋_GB2312"/>
          <w:color w:val="000000" w:themeColor="text1"/>
          <w:szCs w:val="21"/>
          <w:highlight w:val="none"/>
          <w14:textFill>
            <w14:solidFill>
              <w14:schemeClr w14:val="tx1"/>
            </w14:solidFill>
          </w14:textFill>
        </w:rPr>
        <w:t>投标人须知表</w:t>
      </w:r>
      <w:r>
        <w:rPr>
          <w:rFonts w:hint="eastAsia" w:ascii="仿宋" w:hAnsi="仿宋" w:cs="仿宋_GB2312"/>
          <w:color w:val="000000" w:themeColor="text1"/>
          <w:szCs w:val="21"/>
          <w:highlight w:val="none"/>
          <w14:textFill>
            <w14:solidFill>
              <w14:schemeClr w14:val="tx1"/>
            </w14:solidFill>
          </w14:textFill>
        </w:rPr>
        <w:fldChar w:fldCharType="end"/>
      </w:r>
      <w:r>
        <w:rPr>
          <w:rFonts w:hint="eastAsia" w:ascii="仿宋" w:hAnsi="仿宋" w:cs="仿宋_GB2312"/>
          <w:color w:val="000000" w:themeColor="text1"/>
          <w:szCs w:val="21"/>
          <w:highlight w:val="none"/>
          <w14:textFill>
            <w14:solidFill>
              <w14:schemeClr w14:val="tx1"/>
            </w14:solidFill>
          </w14:textFill>
        </w:rPr>
        <w:t>6.1款规定组织现场考察或开标前答疑会的，采购人按规定的时间、地点组织投标人现场考察或开标前答疑会，或者在领取招标文件期限截止后以书面形式通知所有获取招标文件的潜在投标人。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bookmarkStart w:id="43" w:name="_1.10_投标预备会"/>
      <w:bookmarkEnd w:id="43"/>
      <w:r>
        <w:rPr>
          <w:rFonts w:hint="eastAsia" w:ascii="仿宋" w:hAnsi="仿宋" w:cs="仿宋_GB2312"/>
          <w:color w:val="000000" w:themeColor="text1"/>
          <w:szCs w:val="21"/>
          <w:highlight w:val="none"/>
          <w14:textFill>
            <w14:solidFill>
              <w14:schemeClr w14:val="tx1"/>
            </w14:solidFill>
          </w14:textFill>
        </w:rPr>
        <w:t>6.2</w:t>
      </w:r>
      <w:r>
        <w:rPr>
          <w:rFonts w:hint="eastAsia" w:ascii="仿宋" w:hAnsi="仿宋" w:cs="仿宋_GB2312"/>
          <w:color w:val="000000" w:themeColor="text1"/>
          <w:kern w:val="0"/>
          <w:szCs w:val="21"/>
          <w:highlight w:val="none"/>
          <w14:textFill>
            <w14:solidFill>
              <w14:schemeClr w14:val="tx1"/>
            </w14:solidFill>
          </w14:textFill>
        </w:rPr>
        <w:t>由于未参加现场考察或标前答疑而导致对项目实际情况不了解，影响技术文件编制、</w:t>
      </w:r>
      <w:r>
        <w:rPr>
          <w:highlight w:val="none"/>
        </w:rPr>
        <w:fldChar w:fldCharType="begin"/>
      </w:r>
      <w:r>
        <w:rPr>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highlight w:val="none"/>
        </w:rPr>
        <w:fldChar w:fldCharType="separate"/>
      </w:r>
      <w:r>
        <w:rPr>
          <w:rFonts w:hint="eastAsia" w:ascii="仿宋" w:hAnsi="仿宋" w:cs="仿宋_GB2312"/>
          <w:color w:val="000000" w:themeColor="text1"/>
          <w:kern w:val="0"/>
          <w:szCs w:val="21"/>
          <w:highlight w:val="none"/>
          <w14:textFill>
            <w14:solidFill>
              <w14:schemeClr w14:val="tx1"/>
            </w14:solidFill>
          </w14:textFill>
        </w:rPr>
        <w:t>投标报价</w:t>
      </w:r>
      <w:r>
        <w:rPr>
          <w:rFonts w:hint="eastAsia" w:ascii="仿宋" w:hAnsi="仿宋" w:cs="仿宋_GB2312"/>
          <w:color w:val="000000" w:themeColor="text1"/>
          <w:kern w:val="0"/>
          <w:szCs w:val="21"/>
          <w:highlight w:val="none"/>
          <w14:textFill>
            <w14:solidFill>
              <w14:schemeClr w14:val="tx1"/>
            </w14:solidFill>
          </w14:textFill>
        </w:rPr>
        <w:fldChar w:fldCharType="end"/>
      </w:r>
      <w:r>
        <w:rPr>
          <w:rFonts w:hint="eastAsia" w:ascii="仿宋" w:hAnsi="仿宋" w:cs="仿宋_GB2312"/>
          <w:color w:val="000000" w:themeColor="text1"/>
          <w:kern w:val="0"/>
          <w:szCs w:val="21"/>
          <w:highlight w:val="none"/>
          <w14:textFill>
            <w14:solidFill>
              <w14:schemeClr w14:val="tx1"/>
            </w14:solidFill>
          </w14:textFill>
        </w:rPr>
        <w:t>准确性、综合因素响应不全面等问题的，由投标人自行承担相应后果。</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6.3现场考察及参加标前答疑会所发生的费用及一切责任由投标人自行承担。</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7.适用法律</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numPr>
          <w:ilvl w:val="0"/>
          <w:numId w:val="0"/>
        </w:numPr>
        <w:ind w:left="1134"/>
        <w:rPr>
          <w:rFonts w:ascii="仿宋" w:hAnsi="仿宋" w:cs="仿宋_GB2312"/>
          <w:color w:val="000000" w:themeColor="text1"/>
          <w:sz w:val="32"/>
          <w:szCs w:val="28"/>
          <w:highlight w:val="none"/>
          <w14:textFill>
            <w14:solidFill>
              <w14:schemeClr w14:val="tx1"/>
            </w14:solidFill>
          </w14:textFill>
        </w:rPr>
      </w:pPr>
      <w:bookmarkStart w:id="44" w:name="_Toc10106_WPSOffice_Level2"/>
      <w:r>
        <w:rPr>
          <w:rFonts w:hint="eastAsia" w:ascii="仿宋" w:hAnsi="仿宋" w:cs="仿宋_GB2312"/>
          <w:color w:val="000000" w:themeColor="text1"/>
          <w:sz w:val="32"/>
          <w:szCs w:val="28"/>
          <w:highlight w:val="none"/>
          <w14:textFill>
            <w14:solidFill>
              <w14:schemeClr w14:val="tx1"/>
            </w14:solidFill>
          </w14:textFill>
        </w:rPr>
        <w:t>三 招标文件</w:t>
      </w:r>
      <w:bookmarkEnd w:id="44"/>
    </w:p>
    <w:p>
      <w:pPr>
        <w:tabs>
          <w:tab w:val="left" w:pos="312"/>
        </w:tabs>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8.招标文件构成</w:t>
      </w:r>
    </w:p>
    <w:p>
      <w:pPr>
        <w:adjustRightInd w:val="0"/>
        <w:snapToGrid w:val="0"/>
        <w:spacing w:line="36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招标</w:t>
      </w:r>
      <w:r>
        <w:rPr>
          <w:rFonts w:hint="eastAsia" w:ascii="仿宋" w:hAnsi="仿宋" w:cs="仿宋_GB2312"/>
          <w:color w:val="000000" w:themeColor="text1"/>
          <w:highlight w:val="none"/>
          <w14:textFill>
            <w14:solidFill>
              <w14:schemeClr w14:val="tx1"/>
            </w14:solidFill>
          </w14:textFill>
        </w:rPr>
        <w:t>文件内容如下:</w:t>
      </w:r>
    </w:p>
    <w:p>
      <w:pPr>
        <w:adjustRightInd w:val="0"/>
        <w:snapToGrid w:val="0"/>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招标</w:t>
      </w:r>
      <w:r>
        <w:rPr>
          <w:rFonts w:hint="eastAsia" w:ascii="仿宋" w:hAnsi="仿宋" w:cs="仿宋_GB2312"/>
          <w:color w:val="000000" w:themeColor="text1"/>
          <w:highlight w:val="none"/>
          <w14:textFill>
            <w14:solidFill>
              <w14:schemeClr w14:val="tx1"/>
            </w14:solidFill>
          </w14:textFill>
        </w:rPr>
        <w:t>公告</w:t>
      </w:r>
    </w:p>
    <w:p>
      <w:pPr>
        <w:numPr>
          <w:ilvl w:val="0"/>
          <w:numId w:val="2"/>
        </w:numPr>
        <w:adjustRightInd w:val="0"/>
        <w:snapToGrid w:val="0"/>
        <w:spacing w:line="360" w:lineRule="auto"/>
        <w:ind w:firstLine="420" w:firstLineChars="200"/>
        <w:rPr>
          <w:rFonts w:ascii="仿宋" w:hAnsi="仿宋" w:cs="仿宋_GB2312"/>
          <w:color w:val="000000" w:themeColor="text1"/>
          <w:highlight w:val="none"/>
          <w14:textFill>
            <w14:solidFill>
              <w14:schemeClr w14:val="tx1"/>
            </w14:solidFill>
          </w14:textFill>
        </w:rPr>
      </w:pPr>
      <w:bookmarkStart w:id="45" w:name="_Toc188_WPSOffice_Level2"/>
      <w:bookmarkStart w:id="46" w:name="_Toc25935_WPSOffice_Level2"/>
      <w:bookmarkStart w:id="47" w:name="_Toc4961_WPSOffice_Level2"/>
      <w:bookmarkStart w:id="48" w:name="_Toc24604_WPSOffice_Level2"/>
      <w:r>
        <w:rPr>
          <w:rFonts w:hint="eastAsia" w:ascii="仿宋" w:hAnsi="仿宋" w:cs="仿宋_GB2312"/>
          <w:color w:val="000000" w:themeColor="text1"/>
          <w:highlight w:val="none"/>
          <w14:textFill>
            <w14:solidFill>
              <w14:schemeClr w14:val="tx1"/>
            </w14:solidFill>
          </w14:textFill>
        </w:rPr>
        <w:t>投标人须知</w:t>
      </w:r>
      <w:bookmarkEnd w:id="45"/>
      <w:bookmarkEnd w:id="46"/>
      <w:bookmarkEnd w:id="47"/>
      <w:bookmarkEnd w:id="48"/>
    </w:p>
    <w:p>
      <w:pPr>
        <w:adjustRightInd w:val="0"/>
        <w:snapToGrid w:val="0"/>
        <w:spacing w:line="360" w:lineRule="auto"/>
        <w:ind w:firstLine="420" w:firstLineChars="200"/>
        <w:rPr>
          <w:rFonts w:ascii="仿宋" w:hAnsi="仿宋" w:cs="仿宋_GB2312"/>
          <w:color w:val="000000" w:themeColor="text1"/>
          <w:highlight w:val="none"/>
          <w14:textFill>
            <w14:solidFill>
              <w14:schemeClr w14:val="tx1"/>
            </w14:solidFill>
          </w14:textFill>
        </w:rPr>
      </w:pPr>
      <w:bookmarkStart w:id="49" w:name="_Toc13276_WPSOffice_Level2"/>
      <w:bookmarkStart w:id="50" w:name="_Toc2443_WPSOffice_Level2"/>
      <w:bookmarkStart w:id="51" w:name="_Toc31424_WPSOffice_Level2"/>
      <w:bookmarkStart w:id="52" w:name="_Toc32235_WPSOffice_Level2"/>
      <w:r>
        <w:rPr>
          <w:rFonts w:hint="eastAsia" w:ascii="仿宋" w:hAnsi="仿宋" w:cs="仿宋_GB2312"/>
          <w:color w:val="000000" w:themeColor="text1"/>
          <w:highlight w:val="none"/>
          <w14:textFill>
            <w14:solidFill>
              <w14:schemeClr w14:val="tx1"/>
            </w14:solidFill>
          </w14:textFill>
        </w:rPr>
        <w:t>第二章 投标文件内容及格式</w:t>
      </w:r>
      <w:bookmarkEnd w:id="49"/>
      <w:bookmarkEnd w:id="50"/>
      <w:bookmarkEnd w:id="51"/>
      <w:bookmarkEnd w:id="52"/>
    </w:p>
    <w:p>
      <w:pPr>
        <w:adjustRightInd w:val="0"/>
        <w:snapToGrid w:val="0"/>
        <w:spacing w:line="360" w:lineRule="auto"/>
        <w:ind w:firstLine="420" w:firstLineChars="200"/>
        <w:rPr>
          <w:rFonts w:ascii="仿宋" w:hAnsi="仿宋" w:cs="仿宋_GB2312"/>
          <w:color w:val="000000" w:themeColor="text1"/>
          <w:highlight w:val="none"/>
          <w14:textFill>
            <w14:solidFill>
              <w14:schemeClr w14:val="tx1"/>
            </w14:solidFill>
          </w14:textFill>
        </w:rPr>
      </w:pPr>
      <w:bookmarkStart w:id="53" w:name="_Toc16269_WPSOffice_Level2"/>
      <w:bookmarkStart w:id="54" w:name="_Toc24836_WPSOffice_Level2"/>
      <w:bookmarkStart w:id="55" w:name="_Toc7005_WPSOffice_Level2"/>
      <w:bookmarkStart w:id="56" w:name="_Toc4416_WPSOffice_Level2"/>
      <w:r>
        <w:rPr>
          <w:rFonts w:hint="eastAsia" w:ascii="仿宋" w:hAnsi="仿宋" w:cs="仿宋_GB2312"/>
          <w:color w:val="000000" w:themeColor="text1"/>
          <w:highlight w:val="none"/>
          <w14:textFill>
            <w14:solidFill>
              <w14:schemeClr w14:val="tx1"/>
            </w14:solidFill>
          </w14:textFill>
        </w:rPr>
        <w:t>第三章 货物需求</w:t>
      </w:r>
      <w:bookmarkEnd w:id="53"/>
      <w:bookmarkEnd w:id="54"/>
      <w:bookmarkEnd w:id="55"/>
      <w:bookmarkEnd w:id="56"/>
    </w:p>
    <w:p>
      <w:pPr>
        <w:adjustRightInd w:val="0"/>
        <w:snapToGrid w:val="0"/>
        <w:spacing w:line="360" w:lineRule="auto"/>
        <w:ind w:firstLine="420" w:firstLineChars="200"/>
        <w:rPr>
          <w:rFonts w:ascii="仿宋" w:hAnsi="仿宋" w:cs="仿宋_GB2312"/>
          <w:color w:val="000000" w:themeColor="text1"/>
          <w:highlight w:val="none"/>
          <w14:textFill>
            <w14:solidFill>
              <w14:schemeClr w14:val="tx1"/>
            </w14:solidFill>
          </w14:textFill>
        </w:rPr>
      </w:pPr>
      <w:bookmarkStart w:id="57" w:name="_Toc25382_WPSOffice_Level2"/>
      <w:bookmarkStart w:id="58" w:name="_Toc16119_WPSOffice_Level2"/>
      <w:bookmarkStart w:id="59" w:name="_Toc23459_WPSOffice_Level2"/>
      <w:bookmarkStart w:id="60" w:name="_Toc16294_WPSOffice_Level2"/>
      <w:r>
        <w:rPr>
          <w:rFonts w:hint="eastAsia" w:ascii="仿宋" w:hAnsi="仿宋" w:cs="仿宋_GB2312"/>
          <w:color w:val="000000" w:themeColor="text1"/>
          <w:highlight w:val="none"/>
          <w14:textFill>
            <w14:solidFill>
              <w14:schemeClr w14:val="tx1"/>
            </w14:solidFill>
          </w14:textFill>
        </w:rPr>
        <w:t>第四章 评标方法</w:t>
      </w:r>
      <w:bookmarkEnd w:id="57"/>
      <w:bookmarkEnd w:id="58"/>
      <w:bookmarkEnd w:id="59"/>
      <w:bookmarkEnd w:id="60"/>
    </w:p>
    <w:p>
      <w:pPr>
        <w:adjustRightInd w:val="0"/>
        <w:snapToGrid w:val="0"/>
        <w:spacing w:line="360" w:lineRule="auto"/>
        <w:ind w:firstLine="420" w:firstLineChars="200"/>
        <w:rPr>
          <w:rFonts w:ascii="仿宋" w:hAnsi="仿宋" w:cs="仿宋_GB2312"/>
          <w:color w:val="000000" w:themeColor="text1"/>
          <w:highlight w:val="none"/>
          <w14:textFill>
            <w14:solidFill>
              <w14:schemeClr w14:val="tx1"/>
            </w14:solidFill>
          </w14:textFill>
        </w:rPr>
      </w:pPr>
      <w:bookmarkStart w:id="61" w:name="_Toc17794_WPSOffice_Level2"/>
      <w:bookmarkStart w:id="62" w:name="_Toc28106_WPSOffice_Level2"/>
      <w:bookmarkStart w:id="63" w:name="_Toc9629_WPSOffice_Level2"/>
      <w:bookmarkStart w:id="64" w:name="_Toc16368_WPSOffice_Level2"/>
      <w:r>
        <w:rPr>
          <w:rFonts w:hint="eastAsia" w:ascii="仿宋" w:hAnsi="仿宋" w:cs="仿宋_GB2312"/>
          <w:color w:val="000000" w:themeColor="text1"/>
          <w:highlight w:val="none"/>
          <w14:textFill>
            <w14:solidFill>
              <w14:schemeClr w14:val="tx1"/>
            </w14:solidFill>
          </w14:textFill>
        </w:rPr>
        <w:t>第五章 政府采购合同</w:t>
      </w:r>
      <w:bookmarkEnd w:id="61"/>
      <w:bookmarkEnd w:id="62"/>
      <w:bookmarkEnd w:id="63"/>
      <w:bookmarkEnd w:id="64"/>
      <w:r>
        <w:rPr>
          <w:rFonts w:hint="eastAsia" w:ascii="仿宋" w:hAnsi="仿宋" w:cs="仿宋_GB2312"/>
          <w:color w:val="000000" w:themeColor="text1"/>
          <w:highlight w:val="none"/>
          <w14:textFill>
            <w14:solidFill>
              <w14:schemeClr w14:val="tx1"/>
            </w14:solidFill>
          </w14:textFill>
        </w:rPr>
        <w:t>条款及格式</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★8.2投标人应认真阅读招标文件所有的事项、格式、条款等。如投标人没有按照招标文件要求提交资料，或者投标文件没有对招标文件做出实质性响应，可能导致其投标被认定为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9.招标文件的澄清与修改</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9.2澄清或者修改的内容为招标文件的组成部分，对所有招标文件的收受人具有约束力。投标人在收到上述通知后，应及时向采购代理机构回函确认。</w:t>
      </w:r>
    </w:p>
    <w:p>
      <w:pPr>
        <w:pStyle w:val="3"/>
        <w:numPr>
          <w:ilvl w:val="0"/>
          <w:numId w:val="0"/>
        </w:numPr>
        <w:ind w:left="1134"/>
        <w:rPr>
          <w:rFonts w:ascii="仿宋" w:hAnsi="仿宋" w:cs="仿宋_GB2312"/>
          <w:color w:val="000000" w:themeColor="text1"/>
          <w:sz w:val="32"/>
          <w:szCs w:val="32"/>
          <w:highlight w:val="none"/>
          <w14:textFill>
            <w14:solidFill>
              <w14:schemeClr w14:val="tx1"/>
            </w14:solidFill>
          </w14:textFill>
        </w:rPr>
      </w:pPr>
      <w:bookmarkStart w:id="65" w:name="_Toc7415_WPSOffice_Level2"/>
      <w:r>
        <w:rPr>
          <w:rFonts w:hint="eastAsia" w:ascii="仿宋" w:hAnsi="仿宋" w:cs="仿宋_GB2312"/>
          <w:color w:val="000000" w:themeColor="text1"/>
          <w:sz w:val="32"/>
          <w:szCs w:val="32"/>
          <w:highlight w:val="none"/>
          <w14:textFill>
            <w14:solidFill>
              <w14:schemeClr w14:val="tx1"/>
            </w14:solidFill>
          </w14:textFill>
        </w:rPr>
        <w:t>四 投标文件的编制</w:t>
      </w:r>
      <w:bookmarkEnd w:id="65"/>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10.投标范围</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10.1项目有分包的，投标人可对招标文件其中某一个分包或几个分包进行投标。</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★10.2投标人应当对所投分包在招标文件中“货物需求”所列的所有货物内容进行投标，如仅响应分包中某一部分内容，其该包投标将被认定为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pStyle w:val="9"/>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10.4无论招标文件第三章货物需求中是否要求，投标人所投货物均应符合国家强制性标准。</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11.投标文件构成</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★11.2投标人应按招标文件提供的格式编写投标文件。招标文件提供标准格式的按标准格式填列，未提供标准格式的可自行拟定。</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11.3 样品或演示要求详见投标人须知表11.3款。</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12.投标报价</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12.3投标人应按招标文件要求在相关表格中标明投标货物及伴随服务的单价和总价，并由法定代表人（非法人组织的负责人）或其委托代理人签署。</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12.4投标人所报的各分项投标单价在合同履行过程中是固定不变的，不得以任何理由予以变更。任何包含价格调整要求的投标，其投标将被认定为</w:t>
      </w:r>
      <w:r>
        <w:rPr>
          <w:rFonts w:hint="eastAsia" w:ascii="仿宋" w:hAnsi="仿宋" w:cs="仿宋_GB2312"/>
          <w:b/>
          <w:bCs/>
          <w:color w:val="000000" w:themeColor="text1"/>
          <w:szCs w:val="21"/>
          <w:highlight w:val="none"/>
          <w14:textFill>
            <w14:solidFill>
              <w14:schemeClr w14:val="tx1"/>
            </w14:solidFill>
          </w14:textFill>
        </w:rPr>
        <w:t>投标无效。</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12.5每种货物只能有一个投标报价。采购人不接受具有附加条件的报价。</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bookmarkStart w:id="66" w:name="_Toc31973_WPSOffice_Level2"/>
      <w:bookmarkStart w:id="67" w:name="_Toc22507_WPSOffice_Level2"/>
      <w:r>
        <w:rPr>
          <w:rFonts w:hint="eastAsia" w:ascii="仿宋" w:hAnsi="仿宋" w:cs="仿宋_GB2312"/>
          <w:color w:val="000000" w:themeColor="text1"/>
          <w:szCs w:val="21"/>
          <w:highlight w:val="none"/>
          <w14:textFill>
            <w14:solidFill>
              <w14:schemeClr w14:val="tx1"/>
            </w14:solidFill>
          </w14:textFill>
        </w:rPr>
        <w:t>12.6除非招标文件另有规定，报价原则上精确到小数点后两位。</w:t>
      </w:r>
      <w:bookmarkEnd w:id="66"/>
      <w:bookmarkEnd w:id="67"/>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★13.投标保证金</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13.1投标人应提交投标人须知表13.1款中规定的投标保证金，并作为其投标的一部分。</w:t>
      </w:r>
    </w:p>
    <w:p>
      <w:pPr>
        <w:adjustRightInd w:val="0"/>
        <w:snapToGrid w:val="0"/>
        <w:spacing w:line="360" w:lineRule="auto"/>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13.2投标保证金缴纳人、招标文件领取人、投标登记人和投标人必须为同一组织机构或联合体内不同成员单位，否则将视同未按招标文件规定交纳投标保证金。</w:t>
      </w:r>
    </w:p>
    <w:p>
      <w:pPr>
        <w:adjustRightInd w:val="0"/>
        <w:snapToGrid w:val="0"/>
        <w:spacing w:line="360" w:lineRule="auto"/>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13.3投标人存在下列情形的，投标保证金不予退还：</w:t>
      </w:r>
    </w:p>
    <w:p>
      <w:pPr>
        <w:adjustRightInd w:val="0"/>
        <w:snapToGrid w:val="0"/>
        <w:spacing w:line="360" w:lineRule="auto"/>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（1）在投标有效期内，投标人撤销投标的；</w:t>
      </w:r>
    </w:p>
    <w:p>
      <w:pPr>
        <w:adjustRightInd w:val="0"/>
        <w:snapToGrid w:val="0"/>
        <w:spacing w:line="360" w:lineRule="auto"/>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（2）中标后不按本须知第34款的规定与采购人签订合同的；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（3）中标后不按本须知第35款的规定提交履约保证金的；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（4）中标后不按本须知第36款的规定缴纳采购代理服务费的；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（5）存在其他违法违规行为的。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13.4联合体投标的，可以由联合体中的一方或者共同提交投标保证金。以一方名义提交投标保证金的，对联合体各方均具有约束力。</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13.5投标保证金的退还</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13.5.1中标人应在与采购人签订合同之日起5个工作日内，及时联系保证金收受机构办理投标保证金退还手续。</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13.5.3投标人在投标截止时间前撤回已提交的投标文件的，投标人应自采购人或者采购代理机构收到投标人书面撤回通知之日起５个工作日内，及时联系保证金收受机构办理投标保证金退还手续。</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13.5.4 政府采购投标担保函不予退回。</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13.6 因投标人自身原因导致无法及时退还的，采购人或采购代理机构将不承担相应责任。</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14.证明投标标的的合格性和符合招标文件规定的技术文件</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14.1投标人应提交证明文件，证明其投标内容符合招标文件规定。该证明文件是投标文件的一部分。</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14.2上款所述的证明文件，可以是文字资料、图纸和数据，它包括：</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（1）货物主要技术指标和性能的详细说明；</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（2）货物从采购人开始使用至招标文件规定的保质期内正常、连续地使用所必须的备件和专用工具清单，包括备件和专用工具的货源及现行价格;</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15.投标有效期</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15.1投标应在投标人须知表15.1款中规定的投标有效期内保持有效。投标有效期不满足要求的投标，其投标将被认定为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16.投标文件的签署及规定</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bookmarkStart w:id="68" w:name="_Toc27725_WPSOffice_Level2"/>
      <w:r>
        <w:rPr>
          <w:rFonts w:hint="eastAsia" w:ascii="仿宋" w:hAnsi="仿宋" w:cs="仿宋_GB2312"/>
          <w:color w:val="000000" w:themeColor="text1"/>
          <w:szCs w:val="21"/>
          <w:highlight w:val="none"/>
          <w14:textFill>
            <w14:solidFill>
              <w14:schemeClr w14:val="tx1"/>
            </w14:solidFill>
          </w14:textFill>
        </w:rPr>
        <w:t>16.1投标人应按投标人须知表16.1款中的规定，准备和递交投标文件正本、副本和电子文档。</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★16.2每份投标文件封皮须清楚地标明“正本”或“副本”。若正本和副本不符，以正本为准。</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pPr>
        <w:pStyle w:val="3"/>
        <w:numPr>
          <w:ilvl w:val="0"/>
          <w:numId w:val="0"/>
        </w:numPr>
        <w:ind w:left="1134"/>
        <w:rPr>
          <w:rFonts w:ascii="仿宋" w:hAnsi="仿宋" w:cs="仿宋_GB2312"/>
          <w:color w:val="000000" w:themeColor="text1"/>
          <w:sz w:val="32"/>
          <w:szCs w:val="28"/>
          <w:highlight w:val="none"/>
          <w14:textFill>
            <w14:solidFill>
              <w14:schemeClr w14:val="tx1"/>
            </w14:solidFill>
          </w14:textFill>
        </w:rPr>
      </w:pPr>
      <w:r>
        <w:rPr>
          <w:rFonts w:hint="eastAsia" w:ascii="仿宋" w:hAnsi="仿宋" w:cs="仿宋_GB2312"/>
          <w:color w:val="000000" w:themeColor="text1"/>
          <w:sz w:val="32"/>
          <w:szCs w:val="28"/>
          <w:highlight w:val="none"/>
          <w14:textFill>
            <w14:solidFill>
              <w14:schemeClr w14:val="tx1"/>
            </w14:solidFill>
          </w14:textFill>
        </w:rPr>
        <w:t>五 投标文件的递交</w:t>
      </w:r>
      <w:bookmarkEnd w:id="68"/>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17.投标文件的密封和标记</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17.1投标人应将投标文件密封，将正本和所有的副本、电子文档密封，并进行包封。</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17.2所有包装封皮上均应：</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（1）注明项目名称、项目编号、包号、投标人名称。</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（2）加盖投标人单位公章。</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17.3如果投标人未按上述要求密封，其投标文件将被</w:t>
      </w:r>
      <w:r>
        <w:rPr>
          <w:rFonts w:hint="eastAsia" w:ascii="仿宋" w:hAnsi="仿宋" w:cs="仿宋_GB2312"/>
          <w:b/>
          <w:bCs/>
          <w:color w:val="000000" w:themeColor="text1"/>
          <w:szCs w:val="21"/>
          <w:highlight w:val="none"/>
          <w14:textFill>
            <w14:solidFill>
              <w14:schemeClr w14:val="tx1"/>
            </w14:solidFill>
          </w14:textFill>
        </w:rPr>
        <w:t>拒绝接收</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18.投标截止</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18.1投标人应在投标人须知表18.1中规定的递交投标文件截止时间前，将投标文件递交到投标人须知表18.1款中规定的地点。</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18.2采购人和采购代理机构有权按本须知的规定，延迟投标截止时间。在此情况下，采购人、采购代理机构和投标人受投标截止时间制约的所有权利和义务均应延长至新的截止时间。</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19.投标文件的接收、修改与撤回</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19.1在投标截止时间后送达的投标文件，采购人和采购代理机构将</w:t>
      </w:r>
      <w:r>
        <w:rPr>
          <w:rFonts w:hint="eastAsia" w:ascii="仿宋" w:hAnsi="仿宋" w:cs="仿宋_GB2312"/>
          <w:b/>
          <w:bCs/>
          <w:color w:val="000000" w:themeColor="text1"/>
          <w:szCs w:val="21"/>
          <w:highlight w:val="none"/>
          <w14:textFill>
            <w14:solidFill>
              <w14:schemeClr w14:val="tx1"/>
            </w14:solidFill>
          </w14:textFill>
        </w:rPr>
        <w:t>拒绝接收</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19.2采购人或者采购代理机构收到投标文件后，应当如实记载投标文件的送达时间和密封情况，并向投标人出具以下签收回执。</w:t>
      </w:r>
    </w:p>
    <w:p>
      <w:pPr>
        <w:adjustRightInd w:val="0"/>
        <w:snapToGrid w:val="0"/>
        <w:spacing w:line="360" w:lineRule="auto"/>
        <w:jc w:val="center"/>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接收投标文件回执单</w:t>
      </w:r>
    </w:p>
    <w:tbl>
      <w:tblPr>
        <w:tblStyle w:val="21"/>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8" w:hRule="atLeast"/>
          <w:jc w:val="center"/>
        </w:trPr>
        <w:tc>
          <w:tcPr>
            <w:tcW w:w="1650"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项目编号</w:t>
            </w:r>
          </w:p>
        </w:tc>
        <w:tc>
          <w:tcPr>
            <w:tcW w:w="5415"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项目名称</w:t>
            </w:r>
          </w:p>
        </w:tc>
        <w:tc>
          <w:tcPr>
            <w:tcW w:w="5415"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投标人名称</w:t>
            </w:r>
          </w:p>
        </w:tc>
        <w:tc>
          <w:tcPr>
            <w:tcW w:w="5415"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递交时间</w:t>
            </w:r>
          </w:p>
        </w:tc>
        <w:tc>
          <w:tcPr>
            <w:tcW w:w="5415"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接收单位</w:t>
            </w:r>
          </w:p>
        </w:tc>
        <w:tc>
          <w:tcPr>
            <w:tcW w:w="5415"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接收人签字</w:t>
            </w:r>
          </w:p>
        </w:tc>
        <w:tc>
          <w:tcPr>
            <w:tcW w:w="5415"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bl>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19.4在投标截止时间之后，投标人不得对其投标文件做任何修改。</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19.5采购人和采购代理机构对所接收并当众宣读投标内容的投标文件概不退回。</w:t>
      </w:r>
    </w:p>
    <w:p>
      <w:pPr>
        <w:pStyle w:val="3"/>
        <w:numPr>
          <w:ilvl w:val="0"/>
          <w:numId w:val="0"/>
        </w:numPr>
        <w:ind w:left="1134"/>
        <w:rPr>
          <w:rFonts w:ascii="仿宋" w:hAnsi="仿宋" w:cs="仿宋_GB2312"/>
          <w:color w:val="000000" w:themeColor="text1"/>
          <w:sz w:val="32"/>
          <w:szCs w:val="28"/>
          <w:highlight w:val="none"/>
          <w14:textFill>
            <w14:solidFill>
              <w14:schemeClr w14:val="tx1"/>
            </w14:solidFill>
          </w14:textFill>
        </w:rPr>
      </w:pPr>
      <w:bookmarkStart w:id="69" w:name="_Toc988_WPSOffice_Level2"/>
      <w:r>
        <w:rPr>
          <w:rFonts w:hint="eastAsia" w:ascii="仿宋" w:hAnsi="仿宋" w:cs="仿宋_GB2312"/>
          <w:color w:val="000000" w:themeColor="text1"/>
          <w:sz w:val="32"/>
          <w:szCs w:val="28"/>
          <w:highlight w:val="none"/>
          <w14:textFill>
            <w14:solidFill>
              <w14:schemeClr w14:val="tx1"/>
            </w14:solidFill>
          </w14:textFill>
        </w:rPr>
        <w:t>六 开标及评标</w:t>
      </w:r>
      <w:bookmarkEnd w:id="69"/>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20.开标</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20.1采购人和采购代理机构将按投标人须知表20.1款中规定的开标时间和地点组织公开开标并邀请所有投标人代表参加。</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投标人不足3家的，不得开标。评标委员会成员不得参加开标活动。</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未宣读投标价格、价格折扣等实质内容，评标时不予承认。</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20.3采购人或采购代理机构将对开标过程进行记录，由参加开标的各投标人代表和相关工作人员签字确认，并存档备查。投标人未参加开标或未签字确认的，视同认可开标结果。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20.4投标人代表对开标过程和开标记录有疑义，以及认为采购人、采购代理机构相关工作人员有需要回避的情形的，应当场提出询问或者回避申请。</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21.组建评标委员会</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按照《中华人民共和国政府采购法》、《中华人民共和国政府采购法实施条例》有关规定依法组建评标委员会，负责本项目评标工作。本项目评标委员会组成详见投标人须知表21款。</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22.资格审查</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；通过资格审查的投标人不足3家的，不得评标。</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22.2采购人或采购代理机构将在递交投标文件截止时间前一个工作日至资格审查结束前查询投标人的信用记录。投标人存在不良信用记录的，其投标将被认定为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以联合体形式参加投标的，联合体任何成员存在以上不良信用记录的，联合体投标将被认定为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22.2.2查询及记录方式：采购人或采购代理机构经办人将查询网页打印并存档备查。投标人不良信用记录以采购人或采购代理机构查询结果为准。</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在本招标文件规定的查询时间之后，网站信息发生的任何变更均不再作为评标依据。</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投标人自行提供的与网站信息不一致的其他证明材料亦不作为资格审查依据。</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23.符合性审查</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；通过符合性审查的投标人数量不足3家的，不得作进一步的比较和评价。</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24.投标文件的澄清</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24.2投标人的澄清、说明或补正将作为投标文件的一部分。</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24.3投标文件报价出现前后不一致的，按照下列规定修正：</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（1）投标文件中开标一览表内容与投标文件中相应内容不一致的，以开标一览表为准；</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（2）大写金额和小写金额不一致的，以大写金额为准；</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（3）单价金额小数点或者百分比有明显错位的，以开标一览表的总价为准，并修改单价；</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（4）总价金额与按单价汇总金额不一致的，以单价金额计算结果为准。</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同时出现两种以上不一致的，按照前款规定的顺序修正。修正后的报价经投标人确认后产生约束力，投标人不确认的，其投标将被认定为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24.4</w:t>
      </w:r>
      <w:r>
        <w:rPr>
          <w:rFonts w:hint="eastAsia" w:ascii="仿宋" w:hAnsi="仿宋" w:cs="仿宋_GB2312"/>
          <w:b/>
          <w:bCs/>
          <w:color w:val="000000" w:themeColor="text1"/>
          <w:szCs w:val="21"/>
          <w:highlight w:val="none"/>
          <w14:textFill>
            <w14:solidFill>
              <w14:schemeClr w14:val="tx1"/>
            </w14:solidFill>
          </w14:textFill>
        </w:rPr>
        <w:t>评标委员会认为</w:t>
      </w:r>
      <w:r>
        <w:rPr>
          <w:rFonts w:hint="eastAsia" w:ascii="仿宋" w:hAnsi="仿宋" w:cs="仿宋_GB2312"/>
          <w:color w:val="000000" w:themeColor="text1"/>
          <w:szCs w:val="21"/>
          <w:highlight w:val="none"/>
          <w14:textFill>
            <w14:solidFill>
              <w14:schemeClr w14:val="tx1"/>
            </w14:solidFill>
          </w14:textFill>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cs="仿宋_GB2312"/>
          <w:b/>
          <w:bCs/>
          <w:color w:val="000000" w:themeColor="text1"/>
          <w:szCs w:val="21"/>
          <w:highlight w:val="none"/>
          <w14:textFill>
            <w14:solidFill>
              <w14:schemeClr w14:val="tx1"/>
            </w14:solidFill>
          </w14:textFill>
        </w:rPr>
        <w:t>无效投标</w:t>
      </w:r>
      <w:r>
        <w:rPr>
          <w:rFonts w:hint="eastAsia" w:ascii="仿宋" w:hAnsi="仿宋" w:cs="仿宋_GB2312"/>
          <w:color w:val="000000" w:themeColor="text1"/>
          <w:szCs w:val="21"/>
          <w:highlight w:val="none"/>
          <w14:textFill>
            <w14:solidFill>
              <w14:schemeClr w14:val="tx1"/>
            </w14:solidFill>
          </w14:textFill>
        </w:rPr>
        <w:t>处理。提交证明材料的合理时间按第四章 评标方法规定执行。</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25样品及演示</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25.1投标人须知表11.3款中要求投标人提供样品的，按照投标人须知表25.1款中样品的评审方法以及评审标准进行评审。</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25.3演示的评审方法以及评审标准具体内容见投标人须知表25.1款。</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26.投标无效</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实质性要求是指招标文件中带有★号标识内容（包括本级及其下级编号中所有内容）等文字说明的要求。</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如果投标文件没有对招标文件的实质性要求进行响应，将作为</w:t>
      </w:r>
      <w:r>
        <w:rPr>
          <w:rFonts w:hint="eastAsia" w:ascii="仿宋" w:hAnsi="仿宋" w:cs="仿宋_GB2312"/>
          <w:b/>
          <w:bCs/>
          <w:color w:val="000000" w:themeColor="text1"/>
          <w:szCs w:val="21"/>
          <w:highlight w:val="none"/>
          <w14:textFill>
            <w14:solidFill>
              <w14:schemeClr w14:val="tx1"/>
            </w14:solidFill>
          </w14:textFill>
        </w:rPr>
        <w:t>无效投标</w:t>
      </w:r>
      <w:r>
        <w:rPr>
          <w:rFonts w:hint="eastAsia" w:ascii="仿宋" w:hAnsi="仿宋" w:cs="仿宋_GB2312"/>
          <w:color w:val="000000" w:themeColor="text1"/>
          <w:szCs w:val="21"/>
          <w:highlight w:val="none"/>
          <w14:textFill>
            <w14:solidFill>
              <w14:schemeClr w14:val="tx1"/>
            </w14:solidFill>
          </w14:textFill>
        </w:rPr>
        <w:t>处理，投标人不得再对投标文件进行任何修正从而使其投标成为实质上响应的投标。</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评标委员会决定投标的响应性只根据招标文件要求、投标文件内容及财政主管部门指定媒体发布的相关信息。</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26.2如发现下列情况之一的，其投标将被认定为</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（1）未按招标文件的规定提交投标保证金的；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（2）未按照招标文件规定要求签署、盖章的；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（3）投标人的报价超过了招标文件中规定的预算金额或者最高限价的；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（4）不具备招标文件中规定的资格要求的；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（5）不符合法律、法规和招标文件中规定的其他实质性要求的。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（6）与其他投标人串通投标，或者与采购人串通投标；</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（7）评标委员会认为投标人的报价明显低于其他通过符合性审查投标人的报价，有可能影响履约的，且投标人未按照规定证明其报价合理性的；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（8）投标文件含有采购人不能接受的附加条件的；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（9）属于法律、法规和招标文件规定的其他投标无效情形；</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27.比较与评价</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27.2评标严格按照招标文件的要求和条件进行。根据实际情况，在投标人须知表27.2款中规定采用下列一种评标方法，详细评标标准见第四章 评标方法。</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（1）最低评标价法，是指投标文件满足招标文件全部实质性要求，且投标报价最低的投标人为中标候选人的评标方法。</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（2）综合评分法，是指投标文件满足招标文件全部实质性要求，且按照评审因素的量化指标评审得分最高的投标人为中标候选人的评标方法。</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27.3根据《财政部 工业和信息化部关于印发&lt;政府采购促进中小企业发展管理办法</w:t>
      </w:r>
      <w:r>
        <w:rPr>
          <w:rFonts w:ascii="仿宋" w:hAnsi="仿宋" w:cs="仿宋_GB2312"/>
          <w:color w:val="000000" w:themeColor="text1"/>
          <w:szCs w:val="21"/>
          <w:highlight w:val="none"/>
          <w14:textFill>
            <w14:solidFill>
              <w14:schemeClr w14:val="tx1"/>
            </w14:solidFill>
          </w14:textFill>
        </w:rPr>
        <w:t>&gt;</w:t>
      </w:r>
      <w:r>
        <w:rPr>
          <w:rFonts w:hint="eastAsia" w:ascii="仿宋" w:hAnsi="仿宋" w:cs="仿宋_GB2312"/>
          <w:color w:val="000000" w:themeColor="text1"/>
          <w:szCs w:val="21"/>
          <w:highlight w:val="none"/>
          <w14:textFill>
            <w14:solidFill>
              <w14:schemeClr w14:val="tx1"/>
            </w14:solidFill>
          </w14:textFill>
        </w:rPr>
        <w:t>的通知》（财库[20</w:t>
      </w:r>
      <w:r>
        <w:rPr>
          <w:rFonts w:ascii="仿宋" w:hAnsi="仿宋" w:cs="仿宋_GB2312"/>
          <w:color w:val="000000" w:themeColor="text1"/>
          <w:szCs w:val="21"/>
          <w:highlight w:val="none"/>
          <w14:textFill>
            <w14:solidFill>
              <w14:schemeClr w14:val="tx1"/>
            </w14:solidFill>
          </w14:textFill>
        </w:rPr>
        <w:t>20</w:t>
      </w:r>
      <w:r>
        <w:rPr>
          <w:rFonts w:hint="eastAsia" w:ascii="仿宋" w:hAnsi="仿宋" w:cs="仿宋_GB2312"/>
          <w:color w:val="000000" w:themeColor="text1"/>
          <w:szCs w:val="21"/>
          <w:highlight w:val="none"/>
          <w14:textFill>
            <w14:solidFill>
              <w14:schemeClr w14:val="tx1"/>
            </w14:solidFill>
          </w14:textFill>
        </w:rPr>
        <w:t>]</w:t>
      </w:r>
      <w:r>
        <w:rPr>
          <w:rFonts w:ascii="仿宋" w:hAnsi="仿宋" w:cs="仿宋_GB2312"/>
          <w:color w:val="000000" w:themeColor="text1"/>
          <w:szCs w:val="21"/>
          <w:highlight w:val="none"/>
          <w14:textFill>
            <w14:solidFill>
              <w14:schemeClr w14:val="tx1"/>
            </w14:solidFill>
          </w14:textFill>
        </w:rPr>
        <w:t>46</w:t>
      </w:r>
      <w:r>
        <w:rPr>
          <w:rFonts w:hint="eastAsia" w:ascii="仿宋" w:hAnsi="仿宋" w:cs="仿宋_GB2312"/>
          <w:color w:val="000000" w:themeColor="text1"/>
          <w:szCs w:val="21"/>
          <w:highlight w:val="none"/>
          <w14:textFill>
            <w14:solidFill>
              <w14:schemeClr w14:val="tx1"/>
            </w14:solidFill>
          </w14:textFill>
        </w:rPr>
        <w:t>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27.5根据财政部、辽宁省财政厅相关规定，对于列入《</w:t>
      </w:r>
      <w:r>
        <w:rPr>
          <w:rFonts w:hint="eastAsia" w:ascii="仿宋" w:hAnsi="仿宋" w:cs="仿宋_GB2312"/>
          <w:color w:val="000000" w:themeColor="text1"/>
          <w:szCs w:val="21"/>
          <w:highlight w:val="none"/>
          <w:lang w:eastAsia="zh-CN"/>
          <w14:textFill>
            <w14:solidFill>
              <w14:schemeClr w14:val="tx1"/>
            </w14:solidFill>
          </w14:textFill>
        </w:rPr>
        <w:t>创新产品和服务目录</w:t>
      </w:r>
      <w:r>
        <w:rPr>
          <w:rFonts w:hint="eastAsia" w:ascii="仿宋" w:hAnsi="仿宋" w:cs="仿宋_GB2312"/>
          <w:color w:val="000000" w:themeColor="text1"/>
          <w:szCs w:val="21"/>
          <w:highlight w:val="none"/>
          <w14:textFill>
            <w14:solidFill>
              <w14:schemeClr w14:val="tx1"/>
            </w14:solidFill>
          </w14:textFill>
        </w:rPr>
        <w:t>》内的产品、服务实施政府优先采购。具体优先采购办法详见第四章 评标方法。</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28.废标</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出现下列情形之一，将导致项目</w:t>
      </w:r>
      <w:r>
        <w:rPr>
          <w:rFonts w:hint="eastAsia" w:ascii="仿宋" w:hAnsi="仿宋" w:cs="仿宋_GB2312"/>
          <w:b/>
          <w:bCs/>
          <w:color w:val="000000" w:themeColor="text1"/>
          <w:szCs w:val="21"/>
          <w:highlight w:val="none"/>
          <w14:textFill>
            <w14:solidFill>
              <w14:schemeClr w14:val="tx1"/>
            </w14:solidFill>
          </w14:textFill>
        </w:rPr>
        <w:t>废标</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（1）符合专业条件的投标人或者对招标文件做实质性响应的投标人不足3家；</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（2）出现影响采购公正的违法、违规行为的；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（3）投标人的报价均超过了采购预算或最高限价，采购人不能支付的；</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（4）因重大变故，采购任务取消的。</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29.中标候选人的推荐原则及标准</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29.1除第32条规定外，评标委员会将根据评标标准，对实质上响应招标文件的投标人按下列方法进行排序，推荐中标候选人：</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（2）采用综合评分法的，评标结果按评审后得分由高到低顺序排序。得分相同的，按第四章评标办法规定执行。</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29.2评标委员会将根据评标标准，按投标人须知表29.2款中规定的数量推荐中标候选人。</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29.3因推荐中标候选人名单产生其他问题，由评标委员会集体研究处理。</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30.保密原则</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30.1评标将在严格保密的情况下进行。</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30.2有关人员应当遵守评标工作纪律，不得泄露评审文件、评标情况和评标过程中获悉的国家秘密、商业秘密。</w:t>
      </w:r>
    </w:p>
    <w:p>
      <w:pPr>
        <w:pStyle w:val="3"/>
        <w:numPr>
          <w:ilvl w:val="0"/>
          <w:numId w:val="0"/>
        </w:numPr>
        <w:ind w:left="1134"/>
        <w:rPr>
          <w:rFonts w:ascii="仿宋" w:hAnsi="仿宋" w:cs="仿宋_GB2312"/>
          <w:color w:val="000000" w:themeColor="text1"/>
          <w:sz w:val="32"/>
          <w:szCs w:val="28"/>
          <w:highlight w:val="none"/>
          <w14:textFill>
            <w14:solidFill>
              <w14:schemeClr w14:val="tx1"/>
            </w14:solidFill>
          </w14:textFill>
        </w:rPr>
      </w:pPr>
      <w:bookmarkStart w:id="70" w:name="_Toc4544_WPSOffice_Level2"/>
      <w:r>
        <w:rPr>
          <w:rFonts w:hint="eastAsia" w:ascii="仿宋" w:hAnsi="仿宋" w:cs="仿宋_GB2312"/>
          <w:color w:val="000000" w:themeColor="text1"/>
          <w:sz w:val="32"/>
          <w:szCs w:val="28"/>
          <w:highlight w:val="none"/>
          <w14:textFill>
            <w14:solidFill>
              <w14:schemeClr w14:val="tx1"/>
            </w14:solidFill>
          </w14:textFill>
        </w:rPr>
        <w:t>七 确定中标</w:t>
      </w:r>
      <w:bookmarkEnd w:id="70"/>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31.确定中标人</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由采购人或者采购人委托评标委员会按照投标人须知表31中规定的方式确定中标人。</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★32.采购任务取消</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因重大变故采购任务取消时，采购人有权拒绝任何供应商中标，且对受影响的投标人不承担任何责任。</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33.中标通知书</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33.1采购人或者采购代理机构应当自中标人确定之日起2个工作日内，在辽宁政府采购网及其地方分网媒体上公告中标结果。同时向中标人发出中标通知书。</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33.2中标通知书是合同的组成部分。</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34.签订合同</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34.1中标人应当自发出中标通知书之日起 30 日内，与采购人签订书面合同。</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34.3 中标人拒绝与采购人签订合同的，采购人可以按照评标报告推荐的中标候选人名单排序，确定下一中标候选人为中标人，也可以重新开展政府采购活动。</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35.履约保证金</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35.1中标人应按照投标人须知表35.1款规定向采购人缴纳履约保证金。</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bCs/>
          <w:color w:val="000000" w:themeColor="text1"/>
          <w:szCs w:val="21"/>
          <w:highlight w:val="none"/>
          <w14:textFill>
            <w14:solidFill>
              <w14:schemeClr w14:val="tx1"/>
            </w14:solidFill>
          </w14:textFill>
        </w:rPr>
        <w:t>36.采购代理服务费</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中标人须按照投标须知表36款规定，向采购代理机构支付采购代理服务费。</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37.廉洁自律规定</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37.1采购代理机构工作人员不得以不正当手段获取政府采购代理业务，不得与采购人、投标人恶意串通操纵政府采购活动。</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37.2采购代理机构工作人员不得接受采购人或者投标人组织的宴请、旅游、娱乐，不得收受礼品、现金、有价证券等，不得向采购人或者投标人报销应当由个人承担的费用。</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38.人员回避</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投标人认为采购人及其相关人员有法律法规所列与其他投标人有利害关系的，可以向采购人或采购代理机构书面提出回避申请，并说明理由。</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39.质疑与接收</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超出法定质疑期的、重复提出的、分次提出的或内容、形式不符合《政府采购质疑和投诉办法》的，质疑投标人将依法承担不利后果。</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39.3采购代理机构质疑函接收部门、联系电话和通讯地址, 见投标人须知表39.3款。</w:t>
      </w:r>
    </w:p>
    <w:p>
      <w:pPr>
        <w:adjustRightInd w:val="0"/>
        <w:snapToGrid w:val="0"/>
        <w:spacing w:line="360" w:lineRule="auto"/>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40.履约验收</w:t>
      </w:r>
    </w:p>
    <w:p>
      <w:pPr>
        <w:adjustRightInd w:val="0"/>
        <w:snapToGrid w:val="0"/>
        <w:spacing w:line="360" w:lineRule="auto"/>
        <w:ind w:firstLine="420" w:firstLineChars="200"/>
        <w:rPr>
          <w:rFonts w:ascii="仿宋" w:hAnsi="仿宋" w:cs="仿宋_GB2312"/>
          <w:b/>
          <w:bCs/>
          <w:color w:val="000000" w:themeColor="text1"/>
          <w:szCs w:val="21"/>
          <w:highlight w:val="none"/>
          <w14:textFill>
            <w14:solidFill>
              <w14:schemeClr w14:val="tx1"/>
            </w14:solidFill>
          </w14:textFill>
        </w:rPr>
        <w:sectPr>
          <w:footerReference r:id="rId5" w:type="default"/>
          <w:pgSz w:w="11906" w:h="16838"/>
          <w:pgMar w:top="1440" w:right="1800" w:bottom="1440" w:left="1800" w:header="851" w:footer="992" w:gutter="0"/>
          <w:pgNumType w:start="1"/>
          <w:cols w:space="720" w:num="1"/>
          <w:docGrid w:type="linesAndChars" w:linePitch="312" w:charSpace="0"/>
        </w:sectPr>
      </w:pPr>
      <w:r>
        <w:rPr>
          <w:rFonts w:hint="eastAsia" w:ascii="仿宋" w:hAnsi="仿宋" w:cs="仿宋_GB2312"/>
          <w:color w:val="000000" w:themeColor="text1"/>
          <w:szCs w:val="21"/>
          <w:highlight w:val="none"/>
          <w14:textFill>
            <w14:solidFill>
              <w14:schemeClr w14:val="tx1"/>
            </w14:solidFill>
          </w14:textFill>
        </w:rPr>
        <w:t>本项目采购人及其委托的采购代理机构将严格按照政府采购相关法律法规以及《辽宁省政府采购履约验收管理办法》（辽财采〔2017〕603号）的要求进行验收。</w:t>
      </w:r>
    </w:p>
    <w:p>
      <w:pPr>
        <w:pStyle w:val="2"/>
        <w:numPr>
          <w:ilvl w:val="0"/>
          <w:numId w:val="0"/>
        </w:numPr>
        <w:adjustRightInd w:val="0"/>
        <w:snapToGrid w:val="0"/>
        <w:spacing w:before="0" w:after="0"/>
        <w:ind w:firstLine="1095" w:firstLineChars="249"/>
        <w:jc w:val="both"/>
        <w:rPr>
          <w:rFonts w:ascii="仿宋" w:hAnsi="仿宋" w:cs="仿宋_GB2312"/>
          <w:color w:val="000000" w:themeColor="text1"/>
          <w:highlight w:val="none"/>
          <w14:textFill>
            <w14:solidFill>
              <w14:schemeClr w14:val="tx1"/>
            </w14:solidFill>
          </w14:textFill>
        </w:rPr>
      </w:pPr>
      <w:bookmarkStart w:id="71" w:name="_Toc6403"/>
      <w:bookmarkStart w:id="72" w:name="_Toc17725_WPSOffice_Level1"/>
      <w:r>
        <w:rPr>
          <w:rFonts w:hint="eastAsia" w:ascii="仿宋" w:hAnsi="仿宋" w:cs="仿宋_GB2312"/>
          <w:color w:val="000000" w:themeColor="text1"/>
          <w:highlight w:val="none"/>
          <w14:textFill>
            <w14:solidFill>
              <w14:schemeClr w14:val="tx1"/>
            </w14:solidFill>
          </w14:textFill>
        </w:rPr>
        <w:t>第二章 投标文件内容及格式</w:t>
      </w:r>
      <w:bookmarkEnd w:id="71"/>
      <w:bookmarkEnd w:id="72"/>
    </w:p>
    <w:p>
      <w:pPr>
        <w:spacing w:before="159" w:beforeLines="50"/>
        <w:rPr>
          <w:rFonts w:ascii="仿宋" w:hAnsi="仿宋" w:cs="仿宋_GB2312"/>
          <w:b/>
          <w:color w:val="000000" w:themeColor="text1"/>
          <w:sz w:val="24"/>
          <w:highlight w:val="none"/>
          <w14:textFill>
            <w14:solidFill>
              <w14:schemeClr w14:val="tx1"/>
            </w14:solidFill>
          </w14:textFill>
        </w:rPr>
      </w:pPr>
      <w:bookmarkStart w:id="73" w:name="投标文件内容及格式：Block"/>
      <w:bookmarkEnd w:id="73"/>
      <w:bookmarkStart w:id="74" w:name="sys_投标文件内容及格式：Block"/>
      <w:bookmarkEnd w:id="74"/>
      <w:bookmarkStart w:id="75" w:name="_Toc2481_WPSOffice_Level2"/>
      <w:bookmarkStart w:id="76" w:name="_Toc1538_WPSOffice_Level2"/>
      <w:r>
        <w:rPr>
          <w:rFonts w:hint="eastAsia" w:ascii="仿宋" w:hAnsi="仿宋" w:cs="仿宋_GB2312"/>
          <w:b/>
          <w:color w:val="000000" w:themeColor="text1"/>
          <w:sz w:val="24"/>
          <w:highlight w:val="none"/>
          <w14:textFill>
            <w14:solidFill>
              <w14:schemeClr w14:val="tx1"/>
            </w14:solidFill>
          </w14:textFill>
        </w:rPr>
        <w:t>一、投标文件、电子文档的外封面、封口、封皮及目录</w:t>
      </w:r>
      <w:bookmarkEnd w:id="75"/>
      <w:bookmarkEnd w:id="76"/>
    </w:p>
    <w:tbl>
      <w:tblPr>
        <w:tblStyle w:val="21"/>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pPr>
              <w:widowControl/>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序号</w:t>
            </w:r>
          </w:p>
        </w:tc>
        <w:tc>
          <w:tcPr>
            <w:tcW w:w="6976" w:type="dxa"/>
            <w:vAlign w:val="center"/>
          </w:tcPr>
          <w:p>
            <w:pPr>
              <w:widowControl/>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内容</w:t>
            </w:r>
          </w:p>
        </w:tc>
        <w:tc>
          <w:tcPr>
            <w:tcW w:w="742" w:type="dxa"/>
            <w:vAlign w:val="center"/>
          </w:tcPr>
          <w:p>
            <w:pPr>
              <w:widowControl/>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w:t>
            </w:r>
          </w:p>
        </w:tc>
        <w:tc>
          <w:tcPr>
            <w:tcW w:w="6976" w:type="dxa"/>
            <w:vAlign w:val="center"/>
          </w:tcPr>
          <w:p>
            <w:pPr>
              <w:widowControl/>
              <w:adjustRightInd w:val="0"/>
              <w:snapToGrid w:val="0"/>
              <w:jc w:val="left"/>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投标文件、电子文档的外封面及封口</w:t>
            </w:r>
          </w:p>
        </w:tc>
        <w:tc>
          <w:tcPr>
            <w:tcW w:w="742" w:type="dxa"/>
            <w:vAlign w:val="center"/>
          </w:tcPr>
          <w:p>
            <w:pPr>
              <w:widowControl/>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w:t>
            </w:r>
          </w:p>
        </w:tc>
        <w:tc>
          <w:tcPr>
            <w:tcW w:w="6976" w:type="dxa"/>
            <w:vAlign w:val="center"/>
          </w:tcPr>
          <w:p>
            <w:pPr>
              <w:widowControl/>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投标文件的封皮</w:t>
            </w:r>
          </w:p>
        </w:tc>
        <w:tc>
          <w:tcPr>
            <w:tcW w:w="742" w:type="dxa"/>
            <w:vAlign w:val="center"/>
          </w:tcPr>
          <w:p>
            <w:pPr>
              <w:widowControl/>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w:t>
            </w:r>
          </w:p>
        </w:tc>
        <w:tc>
          <w:tcPr>
            <w:tcW w:w="6976" w:type="dxa"/>
            <w:vAlign w:val="center"/>
          </w:tcPr>
          <w:p>
            <w:pPr>
              <w:widowControl/>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投标文件的目录</w:t>
            </w:r>
          </w:p>
        </w:tc>
        <w:tc>
          <w:tcPr>
            <w:tcW w:w="742" w:type="dxa"/>
            <w:vAlign w:val="center"/>
          </w:tcPr>
          <w:p>
            <w:pPr>
              <w:widowControl/>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w:t>
            </w:r>
          </w:p>
        </w:tc>
      </w:tr>
    </w:tbl>
    <w:p>
      <w:pPr>
        <w:snapToGrid w:val="0"/>
        <w:spacing w:before="159" w:beforeLines="50"/>
        <w:rPr>
          <w:rFonts w:ascii="仿宋" w:hAnsi="仿宋" w:cs="仿宋_GB2312"/>
          <w:b/>
          <w:color w:val="000000" w:themeColor="text1"/>
          <w:sz w:val="24"/>
          <w:highlight w:val="none"/>
          <w14:textFill>
            <w14:solidFill>
              <w14:schemeClr w14:val="tx1"/>
            </w14:solidFill>
          </w14:textFill>
        </w:rPr>
      </w:pPr>
      <w:bookmarkStart w:id="77" w:name="_Toc1266_WPSOffice_Level2"/>
      <w:bookmarkStart w:id="78" w:name="_Toc31052_WPSOffice_Level2"/>
      <w:r>
        <w:rPr>
          <w:rFonts w:hint="eastAsia" w:ascii="仿宋" w:hAnsi="仿宋" w:cs="仿宋_GB2312"/>
          <w:b/>
          <w:color w:val="000000" w:themeColor="text1"/>
          <w:sz w:val="24"/>
          <w:highlight w:val="none"/>
          <w14:textFill>
            <w14:solidFill>
              <w14:schemeClr w14:val="tx1"/>
            </w14:solidFill>
          </w14:textFill>
        </w:rPr>
        <w:t>二、资格证明材料</w:t>
      </w:r>
      <w:bookmarkEnd w:id="77"/>
      <w:bookmarkEnd w:id="78"/>
      <w:r>
        <w:rPr>
          <w:rFonts w:hint="eastAsia" w:ascii="仿宋" w:hAnsi="仿宋" w:cs="仿宋_GB2312"/>
          <w:b/>
          <w:color w:val="000000" w:themeColor="text1"/>
          <w:sz w:val="24"/>
          <w:highlight w:val="none"/>
          <w14:textFill>
            <w14:solidFill>
              <w14:schemeClr w14:val="tx1"/>
            </w14:solidFill>
          </w14:textFill>
        </w:rPr>
        <w:t>（有一项不符合要求，不能进入下一阶段评审）</w:t>
      </w:r>
    </w:p>
    <w:tbl>
      <w:tblPr>
        <w:tblStyle w:val="21"/>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bookmarkStart w:id="79" w:name="资格性证明材料：Document"/>
            <w:bookmarkStart w:id="80" w:name="sys_资格性证明材料：Document"/>
            <w:r>
              <w:rPr>
                <w:rFonts w:hint="eastAsia" w:ascii="仿宋" w:hAnsi="仿宋" w:cs="仿宋_GB2312"/>
                <w:color w:val="000000" w:themeColor="text1"/>
                <w:szCs w:val="21"/>
                <w:highlight w:val="none"/>
                <w14:textFill>
                  <w14:solidFill>
                    <w14:schemeClr w14:val="tx1"/>
                  </w14:solidFill>
                </w14:textFill>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格式</w:t>
            </w:r>
          </w:p>
        </w:tc>
      </w:tr>
      <w:tr>
        <w:tblPrEx>
          <w:tblCellMar>
            <w:top w:w="0" w:type="dxa"/>
            <w:left w:w="0" w:type="dxa"/>
            <w:bottom w:w="0" w:type="dxa"/>
            <w:right w:w="0" w:type="dxa"/>
          </w:tblCellMar>
        </w:tblPrEx>
        <w:trPr>
          <w:trHeight w:val="68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bookmarkStart w:id="226" w:name="_GoBack" w:colFirst="0" w:colLast="2"/>
            <w:r>
              <w:rPr>
                <w:rFonts w:hint="eastAsia" w:ascii="仿宋" w:hAnsi="仿宋" w:cs="仿宋_GB2312"/>
                <w:color w:val="000000" w:themeColor="text1"/>
                <w:szCs w:val="21"/>
                <w:highlight w:val="none"/>
                <w14:textFill>
                  <w14:solidFill>
                    <w14:schemeClr w14:val="tx1"/>
                  </w14:solidFill>
                </w14:textFill>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425"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40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w:t>
            </w: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6</w:t>
            </w:r>
          </w:p>
        </w:tc>
      </w:tr>
      <w:tr>
        <w:tblPrEx>
          <w:tblCellMar>
            <w:top w:w="0" w:type="dxa"/>
            <w:left w:w="0" w:type="dxa"/>
            <w:bottom w:w="0" w:type="dxa"/>
            <w:right w:w="0" w:type="dxa"/>
          </w:tblCellMar>
        </w:tblPrEx>
        <w:trPr>
          <w:trHeight w:val="88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开标时间前六个月内任一个月的依法缴纳税收的缴款凭据复印件</w:t>
            </w:r>
          </w:p>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856"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7</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8</w:t>
            </w:r>
          </w:p>
        </w:tc>
      </w:tr>
      <w:tr>
        <w:tblPrEx>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其它资格证明文件（按投标人须知表1.3.4要求描述）</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430"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bookmarkEnd w:id="226"/>
    </w:tbl>
    <w:p>
      <w:pPr>
        <w:snapToGrid w:val="0"/>
        <w:spacing w:before="159" w:beforeLines="50"/>
        <w:rPr>
          <w:rFonts w:ascii="仿宋" w:hAnsi="仿宋" w:cs="仿宋_GB2312"/>
          <w:b/>
          <w:color w:val="000000" w:themeColor="text1"/>
          <w:sz w:val="24"/>
          <w:highlight w:val="none"/>
          <w14:textFill>
            <w14:solidFill>
              <w14:schemeClr w14:val="tx1"/>
            </w14:solidFill>
          </w14:textFill>
        </w:rPr>
      </w:pPr>
      <w:bookmarkStart w:id="81" w:name="_Toc25206_WPSOffice_Level2"/>
      <w:bookmarkStart w:id="82" w:name="_Toc22359_WPSOffice_Level2"/>
      <w:r>
        <w:rPr>
          <w:rFonts w:hint="eastAsia" w:ascii="仿宋" w:hAnsi="仿宋" w:cs="仿宋_GB2312"/>
          <w:b/>
          <w:color w:val="000000" w:themeColor="text1"/>
          <w:sz w:val="24"/>
          <w:highlight w:val="none"/>
          <w14:textFill>
            <w14:solidFill>
              <w14:schemeClr w14:val="tx1"/>
            </w14:solidFill>
          </w14:textFill>
        </w:rPr>
        <w:t>三、符合性证明材料</w:t>
      </w:r>
      <w:bookmarkEnd w:id="81"/>
      <w:bookmarkEnd w:id="82"/>
      <w:r>
        <w:rPr>
          <w:rFonts w:hint="eastAsia" w:ascii="仿宋" w:hAnsi="仿宋" w:cs="仿宋_GB2312"/>
          <w:b/>
          <w:color w:val="000000" w:themeColor="text1"/>
          <w:sz w:val="24"/>
          <w:highlight w:val="none"/>
          <w14:textFill>
            <w14:solidFill>
              <w14:schemeClr w14:val="tx1"/>
            </w14:solidFill>
          </w14:textFill>
        </w:rPr>
        <w:t>（有一项不符合要求，不能进入下一阶段评审）</w:t>
      </w:r>
    </w:p>
    <w:bookmarkEnd w:id="79"/>
    <w:bookmarkEnd w:id="80"/>
    <w:tbl>
      <w:tblPr>
        <w:tblStyle w:val="21"/>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序号</w:t>
            </w:r>
          </w:p>
        </w:tc>
        <w:tc>
          <w:tcPr>
            <w:tcW w:w="698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符合性证明材料</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w:t>
            </w:r>
          </w:p>
        </w:tc>
        <w:tc>
          <w:tcPr>
            <w:tcW w:w="6986"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投标函</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w:t>
            </w:r>
          </w:p>
        </w:tc>
        <w:tc>
          <w:tcPr>
            <w:tcW w:w="6986"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递交投标保证金证明材料复印件</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w:t>
            </w:r>
          </w:p>
        </w:tc>
        <w:tc>
          <w:tcPr>
            <w:tcW w:w="6986"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开标一览表</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4</w:t>
            </w:r>
          </w:p>
        </w:tc>
        <w:tc>
          <w:tcPr>
            <w:tcW w:w="6986"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分项报价表</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5</w:t>
            </w:r>
          </w:p>
        </w:tc>
        <w:tc>
          <w:tcPr>
            <w:tcW w:w="6986"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技术规格偏离表</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6</w:t>
            </w:r>
          </w:p>
        </w:tc>
        <w:tc>
          <w:tcPr>
            <w:tcW w:w="6986"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商务条款偏离表</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7</w:t>
            </w:r>
          </w:p>
        </w:tc>
        <w:tc>
          <w:tcPr>
            <w:tcW w:w="6986"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投标人关联单位说明</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8</w:t>
            </w:r>
          </w:p>
        </w:tc>
        <w:tc>
          <w:tcPr>
            <w:tcW w:w="6986"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无串通投标行为的承诺函、</w:t>
            </w:r>
            <w:r>
              <w:rPr>
                <w:rFonts w:hint="eastAsia" w:ascii="仿宋" w:hAnsi="仿宋" w:cs="仿宋_GB2312"/>
                <w:color w:val="000000" w:themeColor="text1"/>
                <w:kern w:val="0"/>
                <w:szCs w:val="21"/>
                <w:highlight w:val="none"/>
                <w14:textFill>
                  <w14:solidFill>
                    <w14:schemeClr w14:val="tx1"/>
                  </w14:solidFill>
                </w14:textFill>
              </w:rPr>
              <w:t>投标人在职人员情况表</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67"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9</w:t>
            </w:r>
          </w:p>
        </w:tc>
        <w:tc>
          <w:tcPr>
            <w:tcW w:w="6986"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其他符合性证明材料：</w:t>
            </w:r>
          </w:p>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货物主要技术指标和性能的详细说明（产品技术说明书、技术白皮书、产品彩页等文字资料、图纸和数据均可），备件和专用工具清单、检测报告等。</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p>
        </w:tc>
      </w:tr>
    </w:tbl>
    <w:p>
      <w:pPr>
        <w:snapToGrid w:val="0"/>
        <w:spacing w:before="159" w:beforeLines="50"/>
        <w:rPr>
          <w:rFonts w:ascii="仿宋" w:hAnsi="仿宋" w:cs="仿宋_GB2312"/>
          <w:b/>
          <w:color w:val="000000" w:themeColor="text1"/>
          <w:sz w:val="24"/>
          <w:highlight w:val="none"/>
          <w14:textFill>
            <w14:solidFill>
              <w14:schemeClr w14:val="tx1"/>
            </w14:solidFill>
          </w14:textFill>
        </w:rPr>
      </w:pPr>
      <w:bookmarkStart w:id="83" w:name="_Toc27769_WPSOffice_Level2"/>
      <w:bookmarkStart w:id="84" w:name="_Toc24432_WPSOffice_Level2"/>
      <w:r>
        <w:rPr>
          <w:rFonts w:hint="eastAsia" w:ascii="仿宋" w:hAnsi="仿宋" w:cs="仿宋_GB2312"/>
          <w:b/>
          <w:color w:val="000000" w:themeColor="text1"/>
          <w:sz w:val="24"/>
          <w:highlight w:val="none"/>
          <w14:textFill>
            <w14:solidFill>
              <w14:schemeClr w14:val="tx1"/>
            </w14:solidFill>
          </w14:textFill>
        </w:rPr>
        <w:t>四、其他材料</w:t>
      </w:r>
      <w:bookmarkEnd w:id="83"/>
      <w:bookmarkEnd w:id="84"/>
      <w:r>
        <w:rPr>
          <w:rFonts w:hint="eastAsia" w:ascii="仿宋" w:hAnsi="仿宋" w:cs="仿宋_GB2312"/>
          <w:b/>
          <w:color w:val="000000" w:themeColor="text1"/>
          <w:sz w:val="24"/>
          <w:highlight w:val="none"/>
          <w14:textFill>
            <w14:solidFill>
              <w14:schemeClr w14:val="tx1"/>
            </w14:solidFill>
          </w14:textFill>
        </w:rPr>
        <w:t>（如有，请提供；如未提供，投标文件不作无效处理）</w:t>
      </w:r>
    </w:p>
    <w:tbl>
      <w:tblPr>
        <w:tblStyle w:val="21"/>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序号</w:t>
            </w:r>
          </w:p>
        </w:tc>
        <w:tc>
          <w:tcPr>
            <w:tcW w:w="6985"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其他材料</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68"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w:t>
            </w:r>
          </w:p>
        </w:tc>
        <w:tc>
          <w:tcPr>
            <w:tcW w:w="6985" w:type="dxa"/>
            <w:vAlign w:val="center"/>
          </w:tcPr>
          <w:p>
            <w:pPr>
              <w:adjustRightInd w:val="0"/>
              <w:snapToGrid w:val="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 xml:space="preserve">《品目清单》、国家确定的认证机构出具的、处于有效期之内的《节能产品、环境标志产品认证证书》（非政府强制采购的节能产品可以提供） </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w:t>
            </w:r>
          </w:p>
        </w:tc>
        <w:tc>
          <w:tcPr>
            <w:tcW w:w="6985" w:type="dxa"/>
            <w:vAlign w:val="center"/>
          </w:tcPr>
          <w:p>
            <w:pPr>
              <w:adjustRightInd w:val="0"/>
              <w:snapToGrid w:val="0"/>
              <w:ind w:left="25" w:leftChars="12"/>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监狱企业证明文件</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w:t>
            </w:r>
          </w:p>
        </w:tc>
        <w:tc>
          <w:tcPr>
            <w:tcW w:w="6985" w:type="dxa"/>
            <w:vAlign w:val="center"/>
          </w:tcPr>
          <w:p>
            <w:pPr>
              <w:adjustRightInd w:val="0"/>
              <w:snapToGrid w:val="0"/>
              <w:ind w:left="25" w:leftChars="12"/>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中小企业声明函</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4</w:t>
            </w:r>
          </w:p>
        </w:tc>
        <w:tc>
          <w:tcPr>
            <w:tcW w:w="6985" w:type="dxa"/>
            <w:vAlign w:val="center"/>
          </w:tcPr>
          <w:p>
            <w:pPr>
              <w:adjustRightInd w:val="0"/>
              <w:snapToGrid w:val="0"/>
              <w:ind w:left="25" w:leftChars="12"/>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残疾人福利性单位声明函</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5</w:t>
            </w:r>
          </w:p>
        </w:tc>
        <w:tc>
          <w:tcPr>
            <w:tcW w:w="6985" w:type="dxa"/>
            <w:vAlign w:val="center"/>
          </w:tcPr>
          <w:p>
            <w:pPr>
              <w:adjustRightInd w:val="0"/>
              <w:snapToGrid w:val="0"/>
              <w:ind w:left="25" w:leftChars="12"/>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列入《</w:t>
            </w:r>
            <w:r>
              <w:rPr>
                <w:rFonts w:hint="eastAsia" w:ascii="仿宋" w:hAnsi="仿宋" w:cs="仿宋_GB2312"/>
                <w:color w:val="000000" w:themeColor="text1"/>
                <w:szCs w:val="21"/>
                <w:highlight w:val="none"/>
                <w:lang w:eastAsia="zh-CN"/>
                <w14:textFill>
                  <w14:solidFill>
                    <w14:schemeClr w14:val="tx1"/>
                  </w14:solidFill>
                </w14:textFill>
              </w:rPr>
              <w:t>创新产品和服务目录</w:t>
            </w:r>
            <w:r>
              <w:rPr>
                <w:rFonts w:hint="eastAsia" w:ascii="仿宋" w:hAnsi="仿宋" w:cs="仿宋_GB2312"/>
                <w:color w:val="000000" w:themeColor="text1"/>
                <w:szCs w:val="21"/>
                <w:highlight w:val="none"/>
                <w14:textFill>
                  <w14:solidFill>
                    <w14:schemeClr w14:val="tx1"/>
                  </w14:solidFill>
                </w14:textFill>
              </w:rPr>
              <w:t>》内的产品、服务的证明材料（本项目不采用）</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bookmarkStart w:id="85" w:name="_Toc24011_WPSOffice_Level2"/>
            <w:bookmarkStart w:id="86" w:name="_Toc23127_WPSOffice_Level2"/>
            <w:r>
              <w:rPr>
                <w:rFonts w:hint="eastAsia" w:ascii="仿宋" w:hAnsi="仿宋" w:cs="仿宋_GB2312"/>
                <w:color w:val="000000" w:themeColor="text1"/>
                <w:kern w:val="0"/>
                <w:szCs w:val="21"/>
                <w:highlight w:val="none"/>
                <w14:textFill>
                  <w14:solidFill>
                    <w14:schemeClr w14:val="tx1"/>
                  </w14:solidFill>
                </w14:textFill>
              </w:rPr>
              <w:t>6</w:t>
            </w:r>
          </w:p>
        </w:tc>
        <w:tc>
          <w:tcPr>
            <w:tcW w:w="6985" w:type="dxa"/>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联合体协议书原件（本项目不采用）</w:t>
            </w:r>
          </w:p>
        </w:tc>
        <w:tc>
          <w:tcPr>
            <w:tcW w:w="756"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7</w:t>
            </w:r>
          </w:p>
        </w:tc>
        <w:tc>
          <w:tcPr>
            <w:tcW w:w="6985" w:type="dxa"/>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进口产品的制造厂家的授权书（国产产品除外）</w:t>
            </w:r>
          </w:p>
        </w:tc>
        <w:tc>
          <w:tcPr>
            <w:tcW w:w="756"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_GB2312"/>
                <w:color w:val="000000" w:themeColor="text1"/>
                <w:kern w:val="0"/>
                <w:szCs w:val="21"/>
                <w:highlight w:val="none"/>
                <w14:textFill>
                  <w14:solidFill>
                    <w14:schemeClr w14:val="tx1"/>
                  </w14:solidFill>
                </w14:textFill>
              </w:rPr>
            </w:pPr>
          </w:p>
        </w:tc>
        <w:tc>
          <w:tcPr>
            <w:tcW w:w="6985" w:type="dxa"/>
            <w:vAlign w:val="center"/>
          </w:tcPr>
          <w:p>
            <w:pPr>
              <w:adjustRightInd w:val="0"/>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p>
        </w:tc>
        <w:tc>
          <w:tcPr>
            <w:tcW w:w="756" w:type="dxa"/>
            <w:vAlign w:val="center"/>
          </w:tcPr>
          <w:p>
            <w:pPr>
              <w:adjustRightInd w:val="0"/>
              <w:snapToGrid w:val="0"/>
              <w:jc w:val="center"/>
              <w:rPr>
                <w:rFonts w:ascii="仿宋" w:hAnsi="仿宋" w:cs="仿宋_GB2312"/>
                <w:color w:val="000000" w:themeColor="text1"/>
                <w:szCs w:val="21"/>
                <w:highlight w:val="none"/>
                <w14:textFill>
                  <w14:solidFill>
                    <w14:schemeClr w14:val="tx1"/>
                  </w14:solidFill>
                </w14:textFill>
              </w:rPr>
            </w:pPr>
          </w:p>
        </w:tc>
      </w:tr>
    </w:tbl>
    <w:p>
      <w:pPr>
        <w:adjustRightInd w:val="0"/>
        <w:snapToGrid w:val="0"/>
        <w:spacing w:line="360" w:lineRule="auto"/>
        <w:ind w:firstLine="480" w:firstLineChars="200"/>
        <w:rPr>
          <w:rFonts w:ascii="仿宋" w:hAnsi="仿宋" w:cs="仿宋_GB2312"/>
          <w:b/>
          <w:color w:val="000000" w:themeColor="text1"/>
          <w:sz w:val="24"/>
          <w:highlight w:val="none"/>
          <w14:textFill>
            <w14:solidFill>
              <w14:schemeClr w14:val="tx1"/>
            </w14:solidFill>
          </w14:textFill>
        </w:rPr>
      </w:pPr>
      <w:r>
        <w:rPr>
          <w:rFonts w:hint="eastAsia" w:ascii="仿宋" w:hAnsi="仿宋" w:cs="仿宋_GB2312"/>
          <w:b/>
          <w:color w:val="000000" w:themeColor="text1"/>
          <w:sz w:val="24"/>
          <w:highlight w:val="none"/>
          <w14:textFill>
            <w14:solidFill>
              <w14:schemeClr w14:val="tx1"/>
            </w14:solidFill>
          </w14:textFill>
        </w:rPr>
        <w:t>重要提示：</w:t>
      </w:r>
      <w:bookmarkEnd w:id="85"/>
      <w:bookmarkEnd w:id="86"/>
    </w:p>
    <w:p>
      <w:pPr>
        <w:adjustRightInd w:val="0"/>
        <w:snapToGri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1、投标人提供的证明材料，除需要投标人填报或有特殊说明外，均须按要求提供。</w:t>
      </w:r>
    </w:p>
    <w:p>
      <w:pPr>
        <w:adjustRightInd w:val="0"/>
        <w:snapToGri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2、投标人在编制投标文件时，对于给定格式的文件内容，必须按照给定的标准格式进行填报；对于没有给定标准格式的文件内容，可以由投标人自行设计。</w:t>
      </w:r>
    </w:p>
    <w:p>
      <w:pPr>
        <w:adjustRightInd w:val="0"/>
        <w:snapToGri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w:t>
      </w:r>
      <w:r>
        <w:rPr>
          <w:rFonts w:hint="eastAsia" w:ascii="仿宋" w:hAnsi="仿宋" w:cs="仿宋_GB2312"/>
          <w:b/>
          <w:bCs/>
          <w:color w:val="000000" w:themeColor="text1"/>
          <w:szCs w:val="21"/>
          <w:highlight w:val="none"/>
          <w14:textFill>
            <w14:solidFill>
              <w14:schemeClr w14:val="tx1"/>
            </w14:solidFill>
          </w14:textFill>
        </w:rPr>
        <w:t>“资格证明材料”</w:t>
      </w:r>
      <w:r>
        <w:rPr>
          <w:rFonts w:hint="eastAsia" w:ascii="仿宋" w:hAnsi="仿宋" w:cs="仿宋_GB2312"/>
          <w:color w:val="000000" w:themeColor="text1"/>
          <w:highlight w:val="none"/>
          <w14:textFill>
            <w14:solidFill>
              <w14:schemeClr w14:val="tx1"/>
            </w14:solidFill>
          </w14:textFill>
        </w:rPr>
        <w:t>所列内容即为采购项目的资格审查条件，有一项不符合要求，不能进入下一阶段评审。</w:t>
      </w:r>
    </w:p>
    <w:p>
      <w:pPr>
        <w:adjustRightInd w:val="0"/>
        <w:snapToGrid w:val="0"/>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5、</w:t>
      </w:r>
      <w:r>
        <w:rPr>
          <w:rFonts w:hint="eastAsia" w:ascii="仿宋" w:hAnsi="仿宋" w:cs="仿宋_GB2312"/>
          <w:b/>
          <w:bCs/>
          <w:color w:val="000000" w:themeColor="text1"/>
          <w:szCs w:val="21"/>
          <w:highlight w:val="none"/>
          <w14:textFill>
            <w14:solidFill>
              <w14:schemeClr w14:val="tx1"/>
            </w14:solidFill>
          </w14:textFill>
        </w:rPr>
        <w:t>“符合性证明材料”</w:t>
      </w:r>
      <w:r>
        <w:rPr>
          <w:rFonts w:hint="eastAsia" w:ascii="仿宋" w:hAnsi="仿宋" w:cs="仿宋_GB2312"/>
          <w:color w:val="000000" w:themeColor="text1"/>
          <w:highlight w:val="none"/>
          <w14:textFill>
            <w14:solidFill>
              <w14:schemeClr w14:val="tx1"/>
            </w14:solidFill>
          </w14:textFill>
        </w:rPr>
        <w:t>所列内容即为采购项目的符合性审查条件，有一项不符合要求，不能进入下一阶段评审。</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6、</w:t>
      </w:r>
      <w:r>
        <w:rPr>
          <w:rFonts w:hint="eastAsia" w:ascii="仿宋" w:hAnsi="仿宋" w:cs="仿宋_GB2312"/>
          <w:color w:val="000000" w:themeColor="text1"/>
          <w:szCs w:val="21"/>
          <w:highlight w:val="none"/>
          <w14:textFill>
            <w14:solidFill>
              <w14:schemeClr w14:val="tx1"/>
            </w14:solidFill>
          </w14:textFill>
        </w:rPr>
        <w:t>“其他材料”</w:t>
      </w:r>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w:t>
      </w:r>
      <w:r>
        <w:rPr>
          <w:rFonts w:hint="eastAsia" w:ascii="仿宋" w:hAnsi="仿宋" w:cs="仿宋_GB2312"/>
          <w:color w:val="000000" w:themeColor="text1"/>
          <w:kern w:val="0"/>
          <w:szCs w:val="21"/>
          <w:highlight w:val="none"/>
          <w14:textFill>
            <w14:solidFill>
              <w14:schemeClr w14:val="tx1"/>
            </w14:solidFill>
          </w14:textFill>
        </w:rPr>
        <w:t>综合评分法：</w:t>
      </w:r>
      <w:r>
        <w:rPr>
          <w:rFonts w:hint="eastAsia" w:ascii="仿宋" w:hAnsi="仿宋" w:cs="仿宋_GB2312"/>
          <w:color w:val="000000" w:themeColor="text1"/>
          <w:szCs w:val="21"/>
          <w:highlight w:val="none"/>
          <w14:textFill>
            <w14:solidFill>
              <w14:schemeClr w14:val="tx1"/>
            </w14:solidFill>
          </w14:textFill>
        </w:rPr>
        <w:t>投标人可就</w:t>
      </w:r>
      <w:r>
        <w:rPr>
          <w:rFonts w:hint="eastAsia" w:ascii="仿宋" w:hAnsi="仿宋" w:cs="仿宋_GB2312"/>
          <w:color w:val="000000" w:themeColor="text1"/>
          <w:kern w:val="0"/>
          <w:szCs w:val="21"/>
          <w:highlight w:val="none"/>
          <w14:textFill>
            <w14:solidFill>
              <w14:schemeClr w14:val="tx1"/>
            </w14:solidFill>
          </w14:textFill>
        </w:rPr>
        <w:t>招标文件要求以及评分细则中各项要求提供相应材料。</w:t>
      </w:r>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w:t>
      </w:r>
      <w:r>
        <w:rPr>
          <w:rFonts w:hint="eastAsia" w:ascii="仿宋" w:hAnsi="仿宋" w:cs="仿宋_GB2312"/>
          <w:color w:val="000000" w:themeColor="text1"/>
          <w:kern w:val="0"/>
          <w:szCs w:val="21"/>
          <w:highlight w:val="none"/>
          <w14:textFill>
            <w14:solidFill>
              <w14:schemeClr w14:val="tx1"/>
            </w14:solidFill>
          </w14:textFill>
        </w:rPr>
        <w:t>最低评标价法：</w:t>
      </w:r>
      <w:r>
        <w:rPr>
          <w:rFonts w:hint="eastAsia" w:ascii="仿宋" w:hAnsi="仿宋" w:cs="仿宋_GB2312"/>
          <w:color w:val="000000" w:themeColor="text1"/>
          <w:szCs w:val="21"/>
          <w:highlight w:val="none"/>
          <w14:textFill>
            <w14:solidFill>
              <w14:schemeClr w14:val="tx1"/>
            </w14:solidFill>
          </w14:textFill>
        </w:rPr>
        <w:t>投标人可就</w:t>
      </w:r>
      <w:r>
        <w:rPr>
          <w:rFonts w:hint="eastAsia" w:ascii="仿宋" w:hAnsi="仿宋" w:cs="仿宋_GB2312"/>
          <w:color w:val="000000" w:themeColor="text1"/>
          <w:kern w:val="0"/>
          <w:szCs w:val="21"/>
          <w:highlight w:val="none"/>
          <w14:textFill>
            <w14:solidFill>
              <w14:schemeClr w14:val="tx1"/>
            </w14:solidFill>
          </w14:textFill>
        </w:rPr>
        <w:t>招标文件要求提供相应材料。</w:t>
      </w:r>
      <w:r>
        <w:rPr>
          <w:rFonts w:hint="eastAsia" w:ascii="仿宋" w:hAnsi="仿宋" w:cs="仿宋_GB2312"/>
          <w:color w:val="000000" w:themeColor="text1"/>
          <w:highlight w:val="none"/>
          <w14:textFill>
            <w14:solidFill>
              <w14:schemeClr w14:val="tx1"/>
            </w14:solidFill>
          </w14:textFill>
        </w:rPr>
        <w:br w:type="page"/>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t>格式1</w:t>
      </w:r>
    </w:p>
    <w:p>
      <w:pPr>
        <w:jc w:val="center"/>
        <w:rPr>
          <w:rFonts w:ascii="仿宋" w:hAnsi="仿宋" w:cs="仿宋_GB2312"/>
          <w:b/>
          <w:bCs/>
          <w:color w:val="000000" w:themeColor="text1"/>
          <w:sz w:val="32"/>
          <w:szCs w:val="32"/>
          <w:highlight w:val="none"/>
          <w14:textFill>
            <w14:solidFill>
              <w14:schemeClr w14:val="tx1"/>
            </w14:solidFill>
          </w14:textFill>
        </w:rPr>
      </w:pPr>
      <w:bookmarkStart w:id="87" w:name="_Toc21090_WPSOffice_Level2"/>
      <w:bookmarkStart w:id="88" w:name="_Toc26322_WPSOffice_Level2"/>
      <w:r>
        <w:rPr>
          <w:rFonts w:hint="eastAsia" w:ascii="仿宋" w:hAnsi="仿宋" w:cs="仿宋_GB2312"/>
          <w:b/>
          <w:bCs/>
          <w:color w:val="000000" w:themeColor="text1"/>
          <w:sz w:val="32"/>
          <w:szCs w:val="32"/>
          <w:highlight w:val="none"/>
          <w14:textFill>
            <w14:solidFill>
              <w14:schemeClr w14:val="tx1"/>
            </w14:solidFill>
          </w14:textFill>
        </w:rPr>
        <w:t>投标文件、电子文档外封面、封口格式</w:t>
      </w:r>
      <w:bookmarkEnd w:id="87"/>
      <w:bookmarkEnd w:id="88"/>
    </w:p>
    <w:p>
      <w:pP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sz w:val="28"/>
          <w:szCs w:val="28"/>
          <w:highlight w:val="none"/>
          <w14:textFill>
            <w14:solidFill>
              <w14:schemeClr w14:val="tx1"/>
            </w14:solidFill>
          </w14:textFill>
        </w:rPr>
        <w:t>封面格式：</w:t>
      </w:r>
    </w:p>
    <w:tbl>
      <w:tblPr>
        <w:tblStyle w:val="21"/>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ascii="仿宋" w:hAnsi="仿宋" w:cs="仿宋_GB2312"/>
                <w:b/>
                <w:bCs/>
                <w:color w:val="000000" w:themeColor="text1"/>
                <w:highlight w:val="none"/>
                <w14:textFill>
                  <w14:solidFill>
                    <w14:schemeClr w14:val="tx1"/>
                  </w14:solidFill>
                </w14:textFill>
              </w:rPr>
            </w:pPr>
          </w:p>
          <w:p>
            <w:pPr>
              <w:jc w:val="center"/>
              <w:rPr>
                <w:rFonts w:ascii="仿宋" w:hAnsi="仿宋" w:cs="仿宋_GB2312"/>
                <w:b/>
                <w:bCs/>
                <w:color w:val="000000" w:themeColor="text1"/>
                <w:highlight w:val="none"/>
                <w14:textFill>
                  <w14:solidFill>
                    <w14:schemeClr w14:val="tx1"/>
                  </w14:solidFill>
                </w14:textFill>
              </w:rPr>
            </w:pPr>
          </w:p>
          <w:p>
            <w:pPr>
              <w:jc w:val="center"/>
              <w:rPr>
                <w:rFonts w:ascii="仿宋" w:hAnsi="仿宋" w:cs="仿宋_GB2312"/>
                <w:b/>
                <w:bCs/>
                <w:color w:val="000000" w:themeColor="text1"/>
                <w:highlight w:val="none"/>
                <w14:textFill>
                  <w14:solidFill>
                    <w14:schemeClr w14:val="tx1"/>
                  </w14:solidFill>
                </w14:textFill>
              </w:rPr>
            </w:pPr>
          </w:p>
          <w:p>
            <w:pPr>
              <w:jc w:val="center"/>
              <w:rPr>
                <w:rFonts w:ascii="仿宋" w:hAnsi="仿宋" w:cs="仿宋_GB2312"/>
                <w:b/>
                <w:bCs/>
                <w:color w:val="000000" w:themeColor="text1"/>
                <w:highlight w:val="none"/>
                <w14:textFill>
                  <w14:solidFill>
                    <w14:schemeClr w14:val="tx1"/>
                  </w14:solidFill>
                </w14:textFill>
              </w:rPr>
            </w:pPr>
          </w:p>
          <w:p>
            <w:pPr>
              <w:jc w:val="center"/>
              <w:rPr>
                <w:rFonts w:ascii="仿宋" w:hAnsi="仿宋" w:cs="仿宋_GB2312"/>
                <w:b/>
                <w:bCs/>
                <w:color w:val="000000" w:themeColor="text1"/>
                <w:highlight w:val="none"/>
                <w14:textFill>
                  <w14:solidFill>
                    <w14:schemeClr w14:val="tx1"/>
                  </w14:solidFill>
                </w14:textFill>
              </w:rPr>
            </w:pPr>
          </w:p>
          <w:p>
            <w:pPr>
              <w:jc w:val="center"/>
              <w:rPr>
                <w:rFonts w:ascii="仿宋" w:hAnsi="仿宋" w:cs="仿宋_GB2312"/>
                <w:b/>
                <w:bCs/>
                <w:color w:val="000000" w:themeColor="text1"/>
                <w:highlight w:val="none"/>
                <w14:textFill>
                  <w14:solidFill>
                    <w14:schemeClr w14:val="tx1"/>
                  </w14:solidFill>
                </w14:textFill>
              </w:rPr>
            </w:pPr>
            <w:r>
              <w:rPr>
                <w:rFonts w:hint="eastAsia" w:ascii="仿宋" w:hAnsi="仿宋" w:cs="仿宋_GB2312"/>
                <w:b/>
                <w:bCs/>
                <w:color w:val="000000" w:themeColor="text1"/>
                <w:sz w:val="44"/>
                <w:szCs w:val="52"/>
                <w:highlight w:val="none"/>
                <w14:textFill>
                  <w14:solidFill>
                    <w14:schemeClr w14:val="tx1"/>
                  </w14:solidFill>
                </w14:textFill>
              </w:rPr>
              <w:t>投标文件/电子文档</w:t>
            </w:r>
          </w:p>
          <w:p>
            <w:pPr>
              <w:jc w:val="left"/>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所投包号：第  包</w:t>
            </w:r>
          </w:p>
          <w:p>
            <w:pPr>
              <w:jc w:val="left"/>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项目名称：</w:t>
            </w:r>
          </w:p>
          <w:p>
            <w:pPr>
              <w:jc w:val="left"/>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项目编号：</w:t>
            </w:r>
          </w:p>
          <w:p>
            <w:pPr>
              <w:jc w:val="center"/>
              <w:rPr>
                <w:rFonts w:ascii="仿宋" w:hAnsi="仿宋" w:cs="仿宋_GB2312"/>
                <w:color w:val="000000" w:themeColor="text1"/>
                <w:highlight w:val="none"/>
                <w14:textFill>
                  <w14:solidFill>
                    <w14:schemeClr w14:val="tx1"/>
                  </w14:solidFill>
                </w14:textFill>
              </w:rPr>
            </w:pPr>
          </w:p>
          <w:p>
            <w:pPr>
              <w:jc w:val="center"/>
              <w:rPr>
                <w:rFonts w:ascii="仿宋" w:hAnsi="仿宋" w:cs="仿宋_GB2312"/>
                <w:color w:val="000000" w:themeColor="text1"/>
                <w:highlight w:val="none"/>
                <w14:textFill>
                  <w14:solidFill>
                    <w14:schemeClr w14:val="tx1"/>
                  </w14:solidFill>
                </w14:textFill>
              </w:rPr>
            </w:pPr>
          </w:p>
          <w:p>
            <w:pPr>
              <w:jc w:val="center"/>
              <w:rPr>
                <w:rFonts w:ascii="仿宋" w:hAnsi="仿宋" w:cs="仿宋_GB2312"/>
                <w:color w:val="000000" w:themeColor="text1"/>
                <w:highlight w:val="none"/>
                <w14:textFill>
                  <w14:solidFill>
                    <w14:schemeClr w14:val="tx1"/>
                  </w14:solidFill>
                </w14:textFill>
              </w:rPr>
            </w:pPr>
          </w:p>
          <w:p>
            <w:pPr>
              <w:jc w:val="left"/>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tc>
      </w:tr>
    </w:tbl>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sz w:val="24"/>
          <w:szCs w:val="32"/>
          <w:highlight w:val="none"/>
          <w14:textFill>
            <w14:solidFill>
              <w14:schemeClr w14:val="tx1"/>
            </w14:solidFill>
          </w14:textFill>
        </w:rPr>
        <w:t>封口格式：</w:t>
      </w:r>
    </w:p>
    <w:tbl>
      <w:tblPr>
        <w:tblStyle w:val="2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——于</w:t>
            </w:r>
            <w:r>
              <w:rPr>
                <w:color w:val="000000" w:themeColor="text1"/>
                <w:highlight w:val="none"/>
                <w14:textFill>
                  <w14:solidFill>
                    <w14:schemeClr w14:val="tx1"/>
                  </w14:solidFill>
                </w14:textFill>
              </w:rPr>
              <w:t>  </w:t>
            </w:r>
            <w:r>
              <w:rPr>
                <w:rFonts w:hint="eastAsia" w:ascii="仿宋" w:hAnsi="仿宋" w:cs="仿宋_GB2312"/>
                <w:color w:val="000000" w:themeColor="text1"/>
                <w:highlight w:val="none"/>
                <w14:textFill>
                  <w14:solidFill>
                    <w14:schemeClr w14:val="tx1"/>
                  </w14:solidFill>
                </w14:textFill>
              </w:rPr>
              <w:t xml:space="preserve"> 年</w:t>
            </w:r>
            <w:r>
              <w:rPr>
                <w:color w:val="000000" w:themeColor="text1"/>
                <w:highlight w:val="none"/>
                <w14:textFill>
                  <w14:solidFill>
                    <w14:schemeClr w14:val="tx1"/>
                  </w14:solidFill>
                </w14:textFill>
              </w:rPr>
              <w:t> </w:t>
            </w:r>
            <w:r>
              <w:rPr>
                <w:rFonts w:hint="eastAsia" w:ascii="仿宋" w:hAnsi="仿宋" w:cs="仿宋_GB2312"/>
                <w:color w:val="000000" w:themeColor="text1"/>
                <w:highlight w:val="none"/>
                <w14:textFill>
                  <w14:solidFill>
                    <w14:schemeClr w14:val="tx1"/>
                  </w14:solidFill>
                </w14:textFill>
              </w:rPr>
              <w:t xml:space="preserve"> 月</w:t>
            </w:r>
            <w:r>
              <w:rPr>
                <w:color w:val="000000" w:themeColor="text1"/>
                <w:highlight w:val="none"/>
                <w14:textFill>
                  <w14:solidFill>
                    <w14:schemeClr w14:val="tx1"/>
                  </w14:solidFill>
                </w14:textFill>
              </w:rPr>
              <w:t> </w:t>
            </w:r>
            <w:r>
              <w:rPr>
                <w:rFonts w:hint="eastAsia" w:ascii="仿宋" w:hAnsi="仿宋" w:cs="仿宋_GB2312"/>
                <w:color w:val="000000" w:themeColor="text1"/>
                <w:highlight w:val="none"/>
                <w14:textFill>
                  <w14:solidFill>
                    <w14:schemeClr w14:val="tx1"/>
                  </w14:solidFill>
                </w14:textFill>
              </w:rPr>
              <w:t xml:space="preserve"> 日</w:t>
            </w:r>
            <w:r>
              <w:rPr>
                <w:color w:val="000000" w:themeColor="text1"/>
                <w:highlight w:val="none"/>
                <w14:textFill>
                  <w14:solidFill>
                    <w14:schemeClr w14:val="tx1"/>
                  </w14:solidFill>
                </w14:textFill>
              </w:rPr>
              <w:t>  </w:t>
            </w:r>
            <w:r>
              <w:rPr>
                <w:rFonts w:hint="eastAsia" w:ascii="仿宋" w:hAnsi="仿宋" w:cs="仿宋_GB2312"/>
                <w:color w:val="000000" w:themeColor="text1"/>
                <w:highlight w:val="none"/>
                <w14:textFill>
                  <w14:solidFill>
                    <w14:schemeClr w14:val="tx1"/>
                  </w14:solidFill>
                </w14:textFill>
              </w:rPr>
              <w:t xml:space="preserve"> 时之前不准启封（公章）——</w:t>
            </w:r>
          </w:p>
        </w:tc>
      </w:tr>
    </w:tbl>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b/>
          <w:color w:val="000000" w:themeColor="text1"/>
          <w:sz w:val="28"/>
          <w:szCs w:val="28"/>
          <w:highlight w:val="none"/>
          <w14:textFill>
            <w14:solidFill>
              <w14:schemeClr w14:val="tx1"/>
            </w14:solidFill>
          </w14:textFill>
        </w:rPr>
      </w:pPr>
      <w:r>
        <w:rPr>
          <w:rFonts w:hint="eastAsia" w:ascii="仿宋" w:hAnsi="仿宋" w:cs="仿宋_GB2312"/>
          <w:b/>
          <w:color w:val="000000" w:themeColor="text1"/>
          <w:sz w:val="28"/>
          <w:szCs w:val="28"/>
          <w:highlight w:val="none"/>
          <w14:textFill>
            <w14:solidFill>
              <w14:schemeClr w14:val="tx1"/>
            </w14:solidFill>
          </w14:textFill>
        </w:rPr>
        <w:br w:type="page"/>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t>格式2</w:t>
      </w:r>
    </w:p>
    <w:p>
      <w:pPr>
        <w:jc w:val="center"/>
        <w:rPr>
          <w:rFonts w:ascii="仿宋" w:hAnsi="仿宋" w:cs="仿宋_GB2312"/>
          <w:b/>
          <w:bCs/>
          <w:color w:val="000000" w:themeColor="text1"/>
          <w:sz w:val="32"/>
          <w:szCs w:val="32"/>
          <w:highlight w:val="none"/>
          <w14:textFill>
            <w14:solidFill>
              <w14:schemeClr w14:val="tx1"/>
            </w14:solidFill>
          </w14:textFill>
        </w:rPr>
      </w:pPr>
      <w:r>
        <w:rPr>
          <w:rFonts w:ascii="仿宋" w:hAnsi="仿宋" w:cs="仿宋_GB2312"/>
          <w:color w:val="000000" w:themeColor="text1"/>
          <w:sz w:val="32"/>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0" t="0" r="3810" b="8255"/>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Vdez7ZAAAACgEAAA8AAAAAAAAAAQAgAAAA&#10;IgAAAGRycy9kb3ducmV2LnhtbFBLAQIUABQAAAAIAIdO4kCYWgMKCgIAADYEAAAOAAAAAAAAAAEA&#10;IAAAACgBAABkcnMvZTJvRG9jLnhtbFBLBQYAAAAABgAGAFkBAACkBQA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cs="仿宋_GB2312"/>
          <w:b/>
          <w:bCs/>
          <w:color w:val="000000" w:themeColor="text1"/>
          <w:sz w:val="32"/>
          <w:szCs w:val="32"/>
          <w:highlight w:val="none"/>
          <w14:textFill>
            <w14:solidFill>
              <w14:schemeClr w14:val="tx1"/>
            </w14:solidFill>
          </w14:textFill>
        </w:rPr>
        <w:t>投标文件的封皮</w:t>
      </w: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jc w:val="center"/>
        <w:rPr>
          <w:rFonts w:ascii="仿宋" w:hAnsi="仿宋" w:cs="仿宋_GB2312"/>
          <w:b/>
          <w:bCs/>
          <w:color w:val="000000" w:themeColor="text1"/>
          <w:sz w:val="52"/>
          <w:szCs w:val="52"/>
          <w:highlight w:val="none"/>
          <w14:textFill>
            <w14:solidFill>
              <w14:schemeClr w14:val="tx1"/>
            </w14:solidFill>
          </w14:textFill>
        </w:rPr>
      </w:pPr>
      <w:r>
        <w:rPr>
          <w:rFonts w:hint="eastAsia" w:ascii="仿宋" w:hAnsi="仿宋" w:cs="仿宋_GB2312"/>
          <w:b/>
          <w:bCs/>
          <w:color w:val="000000" w:themeColor="text1"/>
          <w:sz w:val="52"/>
          <w:szCs w:val="52"/>
          <w:highlight w:val="none"/>
          <w14:textFill>
            <w14:solidFill>
              <w14:schemeClr w14:val="tx1"/>
            </w14:solidFill>
          </w14:textFill>
        </w:rPr>
        <w:t>投  标  文  件</w:t>
      </w: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sz w:val="28"/>
          <w:szCs w:val="28"/>
          <w:highlight w:val="none"/>
          <w14:textFill>
            <w14:solidFill>
              <w14:schemeClr w14:val="tx1"/>
            </w14:solidFill>
          </w14:textFill>
        </w:rPr>
      </w:pPr>
    </w:p>
    <w:p>
      <w:pPr>
        <w:rPr>
          <w:rFonts w:ascii="仿宋" w:hAnsi="仿宋" w:cs="仿宋_GB2312"/>
          <w:color w:val="000000" w:themeColor="text1"/>
          <w:sz w:val="28"/>
          <w:szCs w:val="28"/>
          <w:highlight w:val="none"/>
          <w14:textFill>
            <w14:solidFill>
              <w14:schemeClr w14:val="tx1"/>
            </w14:solidFill>
          </w14:textFill>
        </w:rPr>
      </w:pPr>
    </w:p>
    <w:p>
      <w:pPr>
        <w:rPr>
          <w:rFonts w:ascii="仿宋" w:hAnsi="仿宋" w:cs="仿宋_GB2312"/>
          <w:color w:val="000000" w:themeColor="text1"/>
          <w:sz w:val="28"/>
          <w:szCs w:val="28"/>
          <w:highlight w:val="none"/>
          <w14:textFill>
            <w14:solidFill>
              <w14:schemeClr w14:val="tx1"/>
            </w14:solidFill>
          </w14:textFill>
        </w:rPr>
      </w:pPr>
    </w:p>
    <w:p>
      <w:pPr>
        <w:rPr>
          <w:rFonts w:ascii="仿宋" w:hAnsi="仿宋" w:cs="仿宋_GB2312"/>
          <w:color w:val="000000" w:themeColor="text1"/>
          <w:sz w:val="28"/>
          <w:szCs w:val="28"/>
          <w:highlight w:val="none"/>
          <w14:textFill>
            <w14:solidFill>
              <w14:schemeClr w14:val="tx1"/>
            </w14:solidFill>
          </w14:textFill>
        </w:rPr>
      </w:pPr>
    </w:p>
    <w:p>
      <w:pPr>
        <w:rPr>
          <w:rFonts w:ascii="仿宋" w:hAnsi="仿宋" w:cs="仿宋_GB2312"/>
          <w:color w:val="000000" w:themeColor="text1"/>
          <w:sz w:val="28"/>
          <w:szCs w:val="28"/>
          <w:highlight w:val="none"/>
          <w14:textFill>
            <w14:solidFill>
              <w14:schemeClr w14:val="tx1"/>
            </w14:solidFill>
          </w14:textFill>
        </w:rPr>
      </w:pPr>
    </w:p>
    <w:p>
      <w:pPr>
        <w:rPr>
          <w:rFonts w:ascii="仿宋" w:hAnsi="仿宋" w:cs="仿宋_GB2312"/>
          <w:color w:val="000000" w:themeColor="text1"/>
          <w:sz w:val="28"/>
          <w:szCs w:val="28"/>
          <w:highlight w:val="none"/>
          <w14:textFill>
            <w14:solidFill>
              <w14:schemeClr w14:val="tx1"/>
            </w14:solidFill>
          </w14:textFill>
        </w:rPr>
      </w:pPr>
    </w:p>
    <w:p>
      <w:pPr>
        <w:rPr>
          <w:rFonts w:ascii="仿宋" w:hAnsi="仿宋" w:cs="仿宋_GB2312"/>
          <w:color w:val="000000" w:themeColor="text1"/>
          <w:sz w:val="28"/>
          <w:szCs w:val="28"/>
          <w:highlight w:val="none"/>
          <w14:textFill>
            <w14:solidFill>
              <w14:schemeClr w14:val="tx1"/>
            </w14:solidFill>
          </w14:textFill>
        </w:rPr>
      </w:pPr>
      <w:r>
        <w:rPr>
          <w:rFonts w:hint="eastAsia" w:ascii="仿宋" w:hAnsi="仿宋" w:cs="仿宋_GB2312"/>
          <w:color w:val="000000" w:themeColor="text1"/>
          <w:sz w:val="28"/>
          <w:szCs w:val="28"/>
          <w:highlight w:val="none"/>
          <w14:textFill>
            <w14:solidFill>
              <w14:schemeClr w14:val="tx1"/>
            </w14:solidFill>
          </w14:textFill>
        </w:rPr>
        <w:t>所投包号：第  包</w:t>
      </w:r>
    </w:p>
    <w:p>
      <w:pPr>
        <w:rPr>
          <w:rFonts w:ascii="仿宋" w:hAnsi="仿宋" w:cs="仿宋_GB2312"/>
          <w:color w:val="000000" w:themeColor="text1"/>
          <w:sz w:val="28"/>
          <w:szCs w:val="28"/>
          <w:highlight w:val="none"/>
          <w14:textFill>
            <w14:solidFill>
              <w14:schemeClr w14:val="tx1"/>
            </w14:solidFill>
          </w14:textFill>
        </w:rPr>
      </w:pPr>
      <w:r>
        <w:rPr>
          <w:rFonts w:hint="eastAsia" w:ascii="仿宋" w:hAnsi="仿宋" w:cs="仿宋_GB2312"/>
          <w:color w:val="000000" w:themeColor="text1"/>
          <w:sz w:val="28"/>
          <w:szCs w:val="28"/>
          <w:highlight w:val="none"/>
          <w14:textFill>
            <w14:solidFill>
              <w14:schemeClr w14:val="tx1"/>
            </w14:solidFill>
          </w14:textFill>
        </w:rPr>
        <w:t>项目名称：</w:t>
      </w:r>
    </w:p>
    <w:p>
      <w:pPr>
        <w:rPr>
          <w:rFonts w:ascii="仿宋" w:hAnsi="仿宋" w:cs="仿宋_GB2312"/>
          <w:color w:val="000000" w:themeColor="text1"/>
          <w:sz w:val="28"/>
          <w:szCs w:val="28"/>
          <w:highlight w:val="none"/>
          <w14:textFill>
            <w14:solidFill>
              <w14:schemeClr w14:val="tx1"/>
            </w14:solidFill>
          </w14:textFill>
        </w:rPr>
      </w:pPr>
      <w:r>
        <w:rPr>
          <w:rFonts w:hint="eastAsia" w:ascii="仿宋" w:hAnsi="仿宋" w:cs="仿宋_GB2312"/>
          <w:color w:val="000000" w:themeColor="text1"/>
          <w:sz w:val="28"/>
          <w:szCs w:val="28"/>
          <w:highlight w:val="none"/>
          <w14:textFill>
            <w14:solidFill>
              <w14:schemeClr w14:val="tx1"/>
            </w14:solidFill>
          </w14:textFill>
        </w:rPr>
        <w:t>项目编号：</w:t>
      </w:r>
    </w:p>
    <w:p>
      <w:pPr>
        <w:rPr>
          <w:rFonts w:ascii="仿宋" w:hAnsi="仿宋" w:cs="仿宋_GB2312"/>
          <w:color w:val="000000" w:themeColor="text1"/>
          <w:sz w:val="28"/>
          <w:szCs w:val="28"/>
          <w:highlight w:val="none"/>
          <w14:textFill>
            <w14:solidFill>
              <w14:schemeClr w14:val="tx1"/>
            </w14:solidFill>
          </w14:textFill>
        </w:rPr>
      </w:pPr>
      <w:r>
        <w:rPr>
          <w:rFonts w:hint="eastAsia" w:ascii="仿宋" w:hAnsi="仿宋" w:cs="仿宋_GB2312"/>
          <w:color w:val="000000" w:themeColor="text1"/>
          <w:sz w:val="28"/>
          <w:szCs w:val="28"/>
          <w:highlight w:val="none"/>
          <w14:textFill>
            <w14:solidFill>
              <w14:schemeClr w14:val="tx1"/>
            </w14:solidFill>
          </w14:textFill>
        </w:rPr>
        <w:t>投标人名称 ：</w:t>
      </w:r>
    </w:p>
    <w:p>
      <w:pPr>
        <w:rPr>
          <w:rFonts w:ascii="仿宋" w:hAnsi="仿宋" w:cs="仿宋_GB2312"/>
          <w:color w:val="000000" w:themeColor="text1"/>
          <w:sz w:val="28"/>
          <w:szCs w:val="28"/>
          <w:highlight w:val="none"/>
          <w14:textFill>
            <w14:solidFill>
              <w14:schemeClr w14:val="tx1"/>
            </w14:solidFill>
          </w14:textFill>
        </w:rPr>
      </w:pPr>
      <w:r>
        <w:rPr>
          <w:rFonts w:hint="eastAsia" w:ascii="仿宋" w:hAnsi="仿宋" w:cs="仿宋_GB2312"/>
          <w:color w:val="000000" w:themeColor="text1"/>
          <w:sz w:val="28"/>
          <w:szCs w:val="28"/>
          <w:highlight w:val="none"/>
          <w14:textFill>
            <w14:solidFill>
              <w14:schemeClr w14:val="tx1"/>
            </w14:solidFill>
          </w14:textFill>
        </w:rPr>
        <w:br w:type="page"/>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t>格式3</w:t>
      </w:r>
    </w:p>
    <w:p>
      <w:pPr>
        <w:spacing w:before="319" w:beforeLines="100" w:after="319" w:afterLines="100" w:line="360" w:lineRule="auto"/>
        <w:ind w:right="-21" w:rightChars="-10"/>
        <w:jc w:val="center"/>
        <w:rPr>
          <w:rFonts w:ascii="仿宋" w:hAnsi="仿宋" w:cs="仿宋_GB2312"/>
          <w:b/>
          <w:color w:val="000000" w:themeColor="text1"/>
          <w:sz w:val="32"/>
          <w:szCs w:val="32"/>
          <w:highlight w:val="none"/>
          <w14:textFill>
            <w14:solidFill>
              <w14:schemeClr w14:val="tx1"/>
            </w14:solidFill>
          </w14:textFill>
        </w:rPr>
      </w:pPr>
      <w:bookmarkStart w:id="89" w:name="_Toc2304_WPSOffice_Level2"/>
      <w:bookmarkStart w:id="90" w:name="_Toc21414_WPSOffice_Level2"/>
      <w:r>
        <w:rPr>
          <w:rFonts w:hint="eastAsia" w:ascii="仿宋" w:hAnsi="仿宋" w:cs="仿宋_GB2312"/>
          <w:b/>
          <w:color w:val="000000" w:themeColor="text1"/>
          <w:sz w:val="32"/>
          <w:szCs w:val="32"/>
          <w:highlight w:val="none"/>
          <w14:textFill>
            <w14:solidFill>
              <w14:schemeClr w14:val="tx1"/>
            </w14:solidFill>
          </w14:textFill>
        </w:rPr>
        <w:t>目  录</w:t>
      </w:r>
      <w:bookmarkEnd w:id="89"/>
      <w:bookmarkEnd w:id="90"/>
    </w:p>
    <w:p>
      <w:pPr>
        <w:rPr>
          <w:rFonts w:ascii="仿宋" w:hAnsi="仿宋" w:cs="仿宋_GB2312"/>
          <w:color w:val="000000" w:themeColor="text1"/>
          <w:highlight w:val="none"/>
          <w14:textFill>
            <w14:solidFill>
              <w14:schemeClr w14:val="tx1"/>
            </w14:solidFill>
          </w14:textFill>
        </w:rPr>
      </w:pPr>
      <w:bookmarkStart w:id="91" w:name="_Toc7636_WPSOffice_Level2"/>
      <w:bookmarkStart w:id="92" w:name="_Toc30940_WPSOffice_Level2"/>
      <w:r>
        <w:rPr>
          <w:rFonts w:hint="eastAsia" w:ascii="仿宋" w:hAnsi="仿宋" w:cs="仿宋_GB2312"/>
          <w:color w:val="000000" w:themeColor="text1"/>
          <w:highlight w:val="none"/>
          <w14:textFill>
            <w14:solidFill>
              <w14:schemeClr w14:val="tx1"/>
            </w14:solidFill>
          </w14:textFill>
        </w:rPr>
        <w:t>一、资格证明材料</w:t>
      </w:r>
      <w:bookmarkEnd w:id="91"/>
      <w:bookmarkEnd w:id="92"/>
    </w:p>
    <w:p>
      <w:pP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w:t>
      </w:r>
    </w:p>
    <w:p>
      <w:pPr>
        <w:rPr>
          <w:rFonts w:ascii="仿宋" w:hAnsi="仿宋" w:cs="仿宋_GB2312"/>
          <w:color w:val="000000" w:themeColor="text1"/>
          <w:highlight w:val="none"/>
          <w14:textFill>
            <w14:solidFill>
              <w14:schemeClr w14:val="tx1"/>
            </w14:solidFill>
          </w14:textFill>
        </w:rPr>
      </w:pPr>
      <w:bookmarkStart w:id="93" w:name="_Toc31702_WPSOffice_Level2"/>
      <w:bookmarkStart w:id="94" w:name="_Toc13950_WPSOffice_Level2"/>
      <w:r>
        <w:rPr>
          <w:rFonts w:hint="eastAsia" w:ascii="仿宋" w:hAnsi="仿宋" w:cs="仿宋_GB2312"/>
          <w:color w:val="000000" w:themeColor="text1"/>
          <w:highlight w:val="none"/>
          <w14:textFill>
            <w14:solidFill>
              <w14:schemeClr w14:val="tx1"/>
            </w14:solidFill>
          </w14:textFill>
        </w:rPr>
        <w:t>二、符合性证明材料</w:t>
      </w:r>
      <w:bookmarkEnd w:id="93"/>
      <w:bookmarkEnd w:id="94"/>
    </w:p>
    <w:p>
      <w:pP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w:t>
      </w:r>
    </w:p>
    <w:p>
      <w:pPr>
        <w:rPr>
          <w:rFonts w:ascii="仿宋" w:hAnsi="仿宋" w:cs="仿宋_GB2312"/>
          <w:color w:val="000000" w:themeColor="text1"/>
          <w:highlight w:val="none"/>
          <w14:textFill>
            <w14:solidFill>
              <w14:schemeClr w14:val="tx1"/>
            </w14:solidFill>
          </w14:textFill>
        </w:rPr>
      </w:pPr>
      <w:bookmarkStart w:id="95" w:name="_Toc9090_WPSOffice_Level2"/>
      <w:bookmarkStart w:id="96" w:name="_Toc14854_WPSOffice_Level2"/>
      <w:r>
        <w:rPr>
          <w:rFonts w:hint="eastAsia" w:ascii="仿宋" w:hAnsi="仿宋" w:cs="仿宋_GB2312"/>
          <w:color w:val="000000" w:themeColor="text1"/>
          <w:highlight w:val="none"/>
          <w14:textFill>
            <w14:solidFill>
              <w14:schemeClr w14:val="tx1"/>
            </w14:solidFill>
          </w14:textFill>
        </w:rPr>
        <w:t>三、其它材料</w:t>
      </w:r>
      <w:bookmarkEnd w:id="95"/>
      <w:bookmarkEnd w:id="96"/>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p>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w:t>
      </w:r>
      <w:r>
        <w:rPr>
          <w:rFonts w:hint="eastAsia" w:ascii="仿宋" w:hAnsi="仿宋" w:cs="仿宋_GB2312"/>
          <w:color w:val="000000" w:themeColor="text1"/>
          <w:szCs w:val="21"/>
          <w:highlight w:val="none"/>
          <w14:textFill>
            <w14:solidFill>
              <w14:schemeClr w14:val="tx1"/>
            </w14:solidFill>
          </w14:textFill>
        </w:rPr>
        <w:t>非法人组织负责人）或</w:t>
      </w:r>
      <w:r>
        <w:rPr>
          <w:rFonts w:hint="eastAsia" w:ascii="仿宋" w:hAnsi="仿宋" w:cs="仿宋_GB2312"/>
          <w:color w:val="000000" w:themeColor="text1"/>
          <w:highlight w:val="none"/>
          <w14:textFill>
            <w14:solidFill>
              <w14:schemeClr w14:val="tx1"/>
            </w14:solidFill>
          </w14:textFill>
        </w:rPr>
        <w:t>其授权委托人(签字或盖章)：</w:t>
      </w: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格式4</w:t>
      </w:r>
    </w:p>
    <w:p>
      <w:pPr>
        <w:spacing w:before="319" w:beforeLines="100" w:after="319" w:afterLines="100" w:line="360" w:lineRule="auto"/>
        <w:ind w:right="-21" w:rightChars="-10"/>
        <w:jc w:val="center"/>
        <w:rPr>
          <w:rFonts w:ascii="仿宋" w:hAnsi="仿宋" w:cs="仿宋_GB2312"/>
          <w:b/>
          <w:color w:val="000000" w:themeColor="text1"/>
          <w:sz w:val="32"/>
          <w:szCs w:val="32"/>
          <w:highlight w:val="none"/>
          <w14:textFill>
            <w14:solidFill>
              <w14:schemeClr w14:val="tx1"/>
            </w14:solidFill>
          </w14:textFill>
        </w:rPr>
      </w:pPr>
      <w:bookmarkStart w:id="97" w:name="_Toc16924_WPSOffice_Level2"/>
      <w:bookmarkStart w:id="98" w:name="_Toc3401_WPSOffice_Level2"/>
      <w:r>
        <w:rPr>
          <w:rFonts w:hint="eastAsia" w:ascii="仿宋" w:hAnsi="仿宋" w:cs="仿宋_GB2312"/>
          <w:b/>
          <w:color w:val="000000" w:themeColor="text1"/>
          <w:sz w:val="32"/>
          <w:szCs w:val="32"/>
          <w:highlight w:val="none"/>
          <w14:textFill>
            <w14:solidFill>
              <w14:schemeClr w14:val="tx1"/>
            </w14:solidFill>
          </w14:textFill>
        </w:rPr>
        <w:t>法定代表人（或非法人组织负责人）身份证明书</w:t>
      </w:r>
      <w:bookmarkEnd w:id="97"/>
      <w:bookmarkEnd w:id="98"/>
    </w:p>
    <w:p>
      <w:pPr>
        <w:spacing w:line="360" w:lineRule="auto"/>
        <w:ind w:firstLine="840" w:firstLineChars="4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姓名：，性别：，出生日期：，现任职务：，系（投标人名称）的法定代表人（或非法人组织负责人）。</w:t>
      </w:r>
    </w:p>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特此证明。</w:t>
      </w:r>
    </w:p>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p>
    <w:tbl>
      <w:tblPr>
        <w:tblStyle w:val="21"/>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（※法定代表人（或非法人组织负责人）身份证正、反面复印件※）</w:t>
            </w:r>
          </w:p>
        </w:tc>
      </w:tr>
    </w:tbl>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p>
    <w:p>
      <w:pPr>
        <w:rPr>
          <w:rFonts w:ascii="仿宋" w:hAnsi="仿宋" w:cs="仿宋_GB2312"/>
          <w:color w:val="000000" w:themeColor="text1"/>
          <w:szCs w:val="21"/>
          <w:highlight w:val="none"/>
          <w14:textFill>
            <w14:solidFill>
              <w14:schemeClr w14:val="tx1"/>
            </w14:solidFill>
          </w14:textFill>
        </w:rPr>
      </w:pPr>
    </w:p>
    <w:p>
      <w:pPr>
        <w:spacing w:line="480" w:lineRule="auto"/>
        <w:rPr>
          <w:rFonts w:ascii="仿宋" w:hAnsi="仿宋" w:cs="仿宋_GB2312"/>
          <w:color w:val="000000" w:themeColor="text1"/>
          <w:highlight w:val="none"/>
          <w:u w:val="singl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p>
    <w:p>
      <w:pPr>
        <w:rPr>
          <w:rFonts w:ascii="仿宋" w:hAnsi="仿宋" w:cs="仿宋_GB2312"/>
          <w:color w:val="000000" w:themeColor="text1"/>
          <w:highlight w:val="none"/>
          <w14:textFill>
            <w14:solidFill>
              <w14:schemeClr w14:val="tx1"/>
            </w14:solidFill>
          </w14:textFill>
        </w:rPr>
      </w:pPr>
    </w:p>
    <w:p>
      <w:pPr>
        <w:pStyle w:val="3"/>
        <w:numPr>
          <w:ilvl w:val="0"/>
          <w:numId w:val="0"/>
        </w:numPr>
        <w:adjustRightInd w:val="0"/>
        <w:snapToGrid w:val="0"/>
        <w:spacing w:before="0" w:after="0" w:line="240" w:lineRule="auto"/>
        <w:jc w:val="left"/>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格式5</w:t>
      </w:r>
      <w:bookmarkStart w:id="99" w:name="_Toc21833_WPSOffice_Level2"/>
      <w:bookmarkStart w:id="100" w:name="_Toc122_WPSOffice_Level2"/>
    </w:p>
    <w:bookmarkEnd w:id="99"/>
    <w:bookmarkEnd w:id="100"/>
    <w:p>
      <w:pPr>
        <w:spacing w:before="319" w:beforeLines="100" w:after="319" w:afterLines="100" w:line="360" w:lineRule="auto"/>
        <w:ind w:right="-21" w:rightChars="-10"/>
        <w:jc w:val="center"/>
        <w:rPr>
          <w:rFonts w:ascii="仿宋" w:hAnsi="仿宋" w:cs="仿宋_GB2312"/>
          <w:b/>
          <w:color w:val="000000" w:themeColor="text1"/>
          <w:sz w:val="32"/>
          <w:szCs w:val="32"/>
          <w:highlight w:val="none"/>
          <w14:textFill>
            <w14:solidFill>
              <w14:schemeClr w14:val="tx1"/>
            </w14:solidFill>
          </w14:textFill>
        </w:rPr>
      </w:pPr>
      <w:r>
        <w:rPr>
          <w:rFonts w:hint="eastAsia" w:ascii="仿宋" w:hAnsi="仿宋" w:cs="仿宋_GB2312"/>
          <w:b/>
          <w:color w:val="000000" w:themeColor="text1"/>
          <w:sz w:val="32"/>
          <w:szCs w:val="32"/>
          <w:highlight w:val="none"/>
          <w14:textFill>
            <w14:solidFill>
              <w14:schemeClr w14:val="tx1"/>
            </w14:solidFill>
          </w14:textFill>
        </w:rPr>
        <w:t>法定代表人（或非法人组织负责人）授权委托书</w:t>
      </w:r>
    </w:p>
    <w:p>
      <w:pPr>
        <w:spacing w:line="360" w:lineRule="auto"/>
        <w:ind w:firstLine="420" w:firstLineChars="20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单位名称：</w:t>
      </w:r>
    </w:p>
    <w:p>
      <w:pPr>
        <w:spacing w:line="360" w:lineRule="auto"/>
        <w:ind w:firstLine="420" w:firstLineChars="20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法定代表人（或非法人组织负责人）姓名： 身份证号码：</w:t>
      </w:r>
    </w:p>
    <w:p>
      <w:pPr>
        <w:tabs>
          <w:tab w:val="left" w:pos="5205"/>
        </w:tabs>
        <w:spacing w:line="360" w:lineRule="auto"/>
        <w:ind w:firstLine="420" w:firstLineChars="20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住所地：</w:t>
      </w:r>
      <w:r>
        <w:rPr>
          <w:rFonts w:hint="eastAsia" w:ascii="仿宋" w:hAnsi="仿宋" w:cs="仿宋_GB2312"/>
          <w:color w:val="000000" w:themeColor="text1"/>
          <w:szCs w:val="21"/>
          <w:highlight w:val="none"/>
          <w:u w:val="single"/>
          <w14:textFill>
            <w14:solidFill>
              <w14:schemeClr w14:val="tx1"/>
            </w14:solidFill>
          </w14:textFill>
        </w:rPr>
        <w:tab/>
      </w:r>
    </w:p>
    <w:p>
      <w:pPr>
        <w:spacing w:line="360" w:lineRule="auto"/>
        <w:ind w:firstLine="420" w:firstLineChars="20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人姓名：                   身份证号码：</w:t>
      </w:r>
    </w:p>
    <w:p>
      <w:pPr>
        <w:spacing w:line="360" w:lineRule="auto"/>
        <w:ind w:firstLine="420" w:firstLineChars="20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工作单位：</w:t>
      </w:r>
    </w:p>
    <w:p>
      <w:pPr>
        <w:spacing w:line="360" w:lineRule="auto"/>
        <w:ind w:firstLine="420" w:firstLineChars="20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住址：                   电话：</w:t>
      </w:r>
    </w:p>
    <w:p>
      <w:pPr>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现委托就</w:t>
      </w:r>
      <w:r>
        <w:rPr>
          <w:rFonts w:hint="eastAsia" w:ascii="仿宋" w:hAnsi="仿宋" w:cs="仿宋_GB2312"/>
          <w:color w:val="000000" w:themeColor="text1"/>
          <w:szCs w:val="21"/>
          <w:highlight w:val="none"/>
          <w:u w:val="single"/>
          <w14:textFill>
            <w14:solidFill>
              <w14:schemeClr w14:val="tx1"/>
            </w14:solidFill>
          </w14:textFill>
        </w:rPr>
        <w:t>（项目编号、项目名称、包号）</w:t>
      </w:r>
      <w:r>
        <w:rPr>
          <w:rFonts w:hint="eastAsia" w:ascii="仿宋" w:hAnsi="仿宋" w:cs="仿宋_GB2312"/>
          <w:color w:val="000000" w:themeColor="text1"/>
          <w:szCs w:val="21"/>
          <w:highlight w:val="none"/>
          <w14:textFill>
            <w14:solidFill>
              <w14:schemeClr w14:val="tx1"/>
            </w14:solidFill>
          </w14:textFill>
        </w:rPr>
        <w:t>投标中，以我单位名义处理一切与之有关的事务。</w:t>
      </w:r>
    </w:p>
    <w:p>
      <w:pPr>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本授权书于年月日签字或盖章生效，无转委托，特此声明。</w:t>
      </w:r>
    </w:p>
    <w:p>
      <w:pPr>
        <w:spacing w:line="360" w:lineRule="auto"/>
        <w:rPr>
          <w:rFonts w:ascii="仿宋" w:hAnsi="仿宋" w:cs="仿宋_GB2312"/>
          <w:color w:val="000000" w:themeColor="text1"/>
          <w:szCs w:val="21"/>
          <w:highlight w:val="none"/>
          <w14:textFill>
            <w14:solidFill>
              <w14:schemeClr w14:val="tx1"/>
            </w14:solidFill>
          </w14:textFill>
        </w:rPr>
      </w:pPr>
    </w:p>
    <w:tbl>
      <w:tblPr>
        <w:tblStyle w:val="21"/>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人身份证正、反面复印件※）</w:t>
            </w:r>
          </w:p>
        </w:tc>
      </w:tr>
    </w:tbl>
    <w:p>
      <w:pPr>
        <w:spacing w:line="360" w:lineRule="auto"/>
        <w:rPr>
          <w:rFonts w:ascii="仿宋" w:hAnsi="仿宋" w:cs="仿宋_GB2312"/>
          <w:color w:val="000000" w:themeColor="text1"/>
          <w:szCs w:val="21"/>
          <w:highlight w:val="none"/>
          <w14:textFill>
            <w14:solidFill>
              <w14:schemeClr w14:val="tx1"/>
            </w14:solidFill>
          </w14:textFill>
        </w:rPr>
      </w:pPr>
    </w:p>
    <w:p>
      <w:pPr>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委托人（加盖单位公章）：</w:t>
      </w:r>
    </w:p>
    <w:p>
      <w:pPr>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法定代表人（或非法人组织负责人）（签字或盖章）：</w:t>
      </w:r>
    </w:p>
    <w:p>
      <w:pPr>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人（签字或盖章）：</w:t>
      </w:r>
    </w:p>
    <w:p>
      <w:pPr>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详细通讯地址：      邮政编码 ：</w:t>
      </w:r>
    </w:p>
    <w:p>
      <w:pPr>
        <w:spacing w:line="360" w:lineRule="auto"/>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传        真：      电     话：</w:t>
      </w:r>
    </w:p>
    <w:p>
      <w:pPr>
        <w:spacing w:line="360" w:lineRule="auto"/>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日        期:</w:t>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格式6</w:t>
      </w:r>
    </w:p>
    <w:p>
      <w:pPr>
        <w:spacing w:before="319" w:beforeLines="100" w:after="319" w:afterLines="100" w:line="360" w:lineRule="auto"/>
        <w:ind w:right="-21" w:rightChars="-10"/>
        <w:jc w:val="center"/>
        <w:rPr>
          <w:rFonts w:ascii="仿宋" w:hAnsi="仿宋" w:cs="仿宋_GB2312"/>
          <w:b/>
          <w:color w:val="000000" w:themeColor="text1"/>
          <w:sz w:val="32"/>
          <w:szCs w:val="32"/>
          <w:highlight w:val="none"/>
          <w14:textFill>
            <w14:solidFill>
              <w14:schemeClr w14:val="tx1"/>
            </w14:solidFill>
          </w14:textFill>
        </w:rPr>
      </w:pPr>
      <w:r>
        <w:rPr>
          <w:rFonts w:hint="eastAsia" w:ascii="仿宋" w:hAnsi="仿宋" w:cs="仿宋_GB2312"/>
          <w:b/>
          <w:color w:val="000000" w:themeColor="text1"/>
          <w:sz w:val="32"/>
          <w:szCs w:val="32"/>
          <w:highlight w:val="none"/>
          <w14:textFill>
            <w14:solidFill>
              <w14:schemeClr w14:val="tx1"/>
            </w14:solidFill>
          </w14:textFill>
        </w:rPr>
        <w:t>具有良好的商业信誉和健全的财务会计制度的承诺函</w:t>
      </w:r>
    </w:p>
    <w:p>
      <w:pPr>
        <w:spacing w:before="319" w:beforeLines="100" w:after="319" w:afterLines="100" w:line="480" w:lineRule="exact"/>
        <w:ind w:right="630" w:rightChars="300"/>
        <w:jc w:val="center"/>
        <w:rPr>
          <w:rFonts w:ascii="仿宋" w:hAnsi="仿宋" w:cs="仿宋_GB2312"/>
          <w:color w:val="000000" w:themeColor="text1"/>
          <w:sz w:val="28"/>
          <w:szCs w:val="28"/>
          <w:highlight w:val="none"/>
          <w14:textFill>
            <w14:solidFill>
              <w14:schemeClr w14:val="tx1"/>
            </w14:solidFill>
          </w14:textFill>
        </w:rPr>
      </w:pPr>
      <w:r>
        <w:rPr>
          <w:rFonts w:hint="eastAsia" w:ascii="仿宋" w:hAnsi="仿宋" w:cs="仿宋_GB2312"/>
          <w:color w:val="000000" w:themeColor="text1"/>
          <w:sz w:val="28"/>
          <w:szCs w:val="28"/>
          <w:highlight w:val="none"/>
          <w14:textFill>
            <w14:solidFill>
              <w14:schemeClr w14:val="tx1"/>
            </w14:solidFill>
          </w14:textFill>
        </w:rPr>
        <w:t>（格式自拟）</w:t>
      </w: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snapToGrid w:val="0"/>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snapToGrid w:val="0"/>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w:t>
      </w:r>
      <w:r>
        <w:rPr>
          <w:rFonts w:hint="eastAsia" w:ascii="仿宋" w:hAnsi="仿宋" w:cs="仿宋_GB2312"/>
          <w:color w:val="000000" w:themeColor="text1"/>
          <w:szCs w:val="21"/>
          <w:highlight w:val="none"/>
          <w14:textFill>
            <w14:solidFill>
              <w14:schemeClr w14:val="tx1"/>
            </w14:solidFill>
          </w14:textFill>
        </w:rPr>
        <w:t>非法人组织负责人）或</w:t>
      </w:r>
      <w:r>
        <w:rPr>
          <w:rFonts w:hint="eastAsia" w:ascii="仿宋" w:hAnsi="仿宋" w:cs="仿宋_GB2312"/>
          <w:color w:val="000000" w:themeColor="text1"/>
          <w:highlight w:val="none"/>
          <w14:textFill>
            <w14:solidFill>
              <w14:schemeClr w14:val="tx1"/>
            </w14:solidFill>
          </w14:textFill>
        </w:rPr>
        <w:t>其</w:t>
      </w: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w:t>
      </w:r>
      <w:r>
        <w:rPr>
          <w:rFonts w:hint="eastAsia" w:ascii="仿宋" w:hAnsi="仿宋" w:cs="仿宋_GB2312"/>
          <w:color w:val="000000" w:themeColor="text1"/>
          <w:highlight w:val="none"/>
          <w14:textFill>
            <w14:solidFill>
              <w14:schemeClr w14:val="tx1"/>
            </w14:solidFill>
          </w14:textFill>
        </w:rPr>
        <w:t>(签字或盖章)：</w:t>
      </w:r>
    </w:p>
    <w:p>
      <w:pPr>
        <w:adjustRightInd w:val="0"/>
        <w:snapToGrid w:val="0"/>
        <w:spacing w:line="360" w:lineRule="auto"/>
        <w:ind w:right="105" w:rightChars="50"/>
        <w:jc w:val="left"/>
        <w:rPr>
          <w:rFonts w:ascii="仿宋" w:hAnsi="仿宋" w:cs="仿宋_GB2312"/>
          <w:color w:val="000000" w:themeColor="text1"/>
          <w:highlight w:val="none"/>
          <w:u w:val="singl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p>
    <w:p>
      <w:pPr>
        <w:adjustRightInd w:val="0"/>
        <w:snapToGrid w:val="0"/>
        <w:spacing w:line="360" w:lineRule="auto"/>
        <w:ind w:right="105" w:rightChars="50"/>
        <w:jc w:val="left"/>
        <w:rPr>
          <w:rFonts w:ascii="仿宋" w:hAnsi="仿宋" w:cs="仿宋_GB2312"/>
          <w:color w:val="000000" w:themeColor="text1"/>
          <w:highlight w:val="none"/>
          <w:u w:val="single"/>
          <w14:textFill>
            <w14:solidFill>
              <w14:schemeClr w14:val="tx1"/>
            </w14:solidFill>
          </w14:textFill>
        </w:rPr>
      </w:pP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格式7</w:t>
      </w:r>
    </w:p>
    <w:p>
      <w:pPr>
        <w:spacing w:before="319" w:beforeLines="100" w:after="319" w:afterLines="100" w:line="360" w:lineRule="auto"/>
        <w:ind w:right="-21" w:rightChars="-10"/>
        <w:jc w:val="center"/>
        <w:rPr>
          <w:rFonts w:ascii="仿宋" w:hAnsi="仿宋" w:cs="仿宋_GB2312"/>
          <w:b/>
          <w:color w:val="000000" w:themeColor="text1"/>
          <w:sz w:val="32"/>
          <w:szCs w:val="32"/>
          <w:highlight w:val="none"/>
          <w14:textFill>
            <w14:solidFill>
              <w14:schemeClr w14:val="tx1"/>
            </w14:solidFill>
          </w14:textFill>
        </w:rPr>
      </w:pPr>
      <w:bookmarkStart w:id="101" w:name="_Toc12037_WPSOffice_Level2"/>
      <w:bookmarkStart w:id="102" w:name="_Toc23728_WPSOffice_Level2"/>
      <w:r>
        <w:rPr>
          <w:rFonts w:hint="eastAsia" w:ascii="仿宋" w:hAnsi="仿宋" w:cs="仿宋_GB2312"/>
          <w:b/>
          <w:color w:val="000000" w:themeColor="text1"/>
          <w:sz w:val="32"/>
          <w:szCs w:val="32"/>
          <w:highlight w:val="none"/>
          <w14:textFill>
            <w14:solidFill>
              <w14:schemeClr w14:val="tx1"/>
            </w14:solidFill>
          </w14:textFill>
        </w:rPr>
        <w:t>具备履行合同所必需的设备和专业技术能力声明函</w:t>
      </w:r>
      <w:bookmarkEnd w:id="101"/>
      <w:bookmarkEnd w:id="102"/>
    </w:p>
    <w:p>
      <w:pPr>
        <w:spacing w:before="319" w:beforeLines="100" w:after="319" w:afterLines="100" w:line="480" w:lineRule="exact"/>
        <w:ind w:right="630" w:rightChars="300"/>
        <w:jc w:val="center"/>
        <w:rPr>
          <w:rFonts w:ascii="仿宋" w:hAnsi="仿宋" w:cs="仿宋_GB2312"/>
          <w:color w:val="000000" w:themeColor="text1"/>
          <w:sz w:val="28"/>
          <w:szCs w:val="28"/>
          <w:highlight w:val="none"/>
          <w14:textFill>
            <w14:solidFill>
              <w14:schemeClr w14:val="tx1"/>
            </w14:solidFill>
          </w14:textFill>
        </w:rPr>
      </w:pPr>
      <w:bookmarkStart w:id="103" w:name="_Toc28831_WPSOffice_Level2"/>
      <w:bookmarkStart w:id="104" w:name="_Toc1917_WPSOffice_Level2"/>
      <w:r>
        <w:rPr>
          <w:rFonts w:hint="eastAsia" w:ascii="仿宋" w:hAnsi="仿宋" w:cs="仿宋_GB2312"/>
          <w:color w:val="000000" w:themeColor="text1"/>
          <w:sz w:val="28"/>
          <w:szCs w:val="28"/>
          <w:highlight w:val="none"/>
          <w14:textFill>
            <w14:solidFill>
              <w14:schemeClr w14:val="tx1"/>
            </w14:solidFill>
          </w14:textFill>
        </w:rPr>
        <w:t>（格式自拟）</w:t>
      </w:r>
      <w:bookmarkEnd w:id="103"/>
      <w:bookmarkEnd w:id="104"/>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snapToGrid w:val="0"/>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snapToGrid w:val="0"/>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w:t>
      </w:r>
      <w:r>
        <w:rPr>
          <w:rFonts w:hint="eastAsia" w:ascii="仿宋" w:hAnsi="仿宋" w:cs="仿宋_GB2312"/>
          <w:color w:val="000000" w:themeColor="text1"/>
          <w:szCs w:val="21"/>
          <w:highlight w:val="none"/>
          <w14:textFill>
            <w14:solidFill>
              <w14:schemeClr w14:val="tx1"/>
            </w14:solidFill>
          </w14:textFill>
        </w:rPr>
        <w:t>非法人组织负责人）或</w:t>
      </w:r>
      <w:r>
        <w:rPr>
          <w:rFonts w:hint="eastAsia" w:ascii="仿宋" w:hAnsi="仿宋" w:cs="仿宋_GB2312"/>
          <w:color w:val="000000" w:themeColor="text1"/>
          <w:highlight w:val="none"/>
          <w14:textFill>
            <w14:solidFill>
              <w14:schemeClr w14:val="tx1"/>
            </w14:solidFill>
          </w14:textFill>
        </w:rPr>
        <w:t>其</w:t>
      </w: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w:t>
      </w:r>
      <w:r>
        <w:rPr>
          <w:rFonts w:hint="eastAsia" w:ascii="仿宋" w:hAnsi="仿宋" w:cs="仿宋_GB2312"/>
          <w:color w:val="000000" w:themeColor="text1"/>
          <w:highlight w:val="none"/>
          <w14:textFill>
            <w14:solidFill>
              <w14:schemeClr w14:val="tx1"/>
            </w14:solidFill>
          </w14:textFill>
        </w:rPr>
        <w:t>(签字或盖章)：</w:t>
      </w:r>
    </w:p>
    <w:p>
      <w:pPr>
        <w:adjustRightInd w:val="0"/>
        <w:snapToGrid w:val="0"/>
        <w:spacing w:line="360" w:lineRule="auto"/>
        <w:ind w:right="105" w:rightChars="50"/>
        <w:jc w:val="left"/>
        <w:rPr>
          <w:rFonts w:ascii="仿宋" w:hAnsi="仿宋" w:cs="仿宋_GB2312"/>
          <w:color w:val="000000" w:themeColor="text1"/>
          <w:highlight w:val="none"/>
          <w:u w:val="singl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p>
    <w:p>
      <w:pPr>
        <w:adjustRightInd w:val="0"/>
        <w:snapToGrid w:val="0"/>
        <w:spacing w:line="360" w:lineRule="auto"/>
        <w:ind w:right="105" w:rightChars="50"/>
        <w:jc w:val="left"/>
        <w:rPr>
          <w:rFonts w:ascii="仿宋" w:hAnsi="仿宋" w:cs="仿宋_GB2312"/>
          <w:color w:val="000000" w:themeColor="text1"/>
          <w:highlight w:val="none"/>
          <w:u w:val="single"/>
          <w14:textFill>
            <w14:solidFill>
              <w14:schemeClr w14:val="tx1"/>
            </w14:solidFill>
          </w14:textFill>
        </w:rPr>
      </w:pPr>
    </w:p>
    <w:p>
      <w:pPr>
        <w:adjustRightInd w:val="0"/>
        <w:snapToGrid w:val="0"/>
        <w:spacing w:line="360" w:lineRule="auto"/>
        <w:ind w:right="105" w:rightChars="50"/>
        <w:jc w:val="left"/>
        <w:rPr>
          <w:rFonts w:ascii="仿宋" w:hAnsi="仿宋" w:cs="仿宋_GB2312"/>
          <w:b/>
          <w:color w:val="000000" w:themeColor="text1"/>
          <w:sz w:val="28"/>
          <w:szCs w:val="28"/>
          <w:highlight w:val="none"/>
          <w14:textFill>
            <w14:solidFill>
              <w14:schemeClr w14:val="tx1"/>
            </w14:solidFill>
          </w14:textFill>
        </w:rPr>
      </w:pP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格式8</w:t>
      </w:r>
    </w:p>
    <w:p>
      <w:pPr>
        <w:spacing w:before="319" w:beforeLines="100" w:after="319" w:afterLines="100" w:line="360" w:lineRule="auto"/>
        <w:ind w:right="-21" w:rightChars="-10"/>
        <w:jc w:val="center"/>
        <w:rPr>
          <w:rFonts w:ascii="仿宋" w:hAnsi="仿宋" w:cs="仿宋_GB2312"/>
          <w:b/>
          <w:color w:val="000000" w:themeColor="text1"/>
          <w:sz w:val="32"/>
          <w:szCs w:val="32"/>
          <w:highlight w:val="none"/>
          <w14:textFill>
            <w14:solidFill>
              <w14:schemeClr w14:val="tx1"/>
            </w14:solidFill>
          </w14:textFill>
        </w:rPr>
      </w:pPr>
      <w:bookmarkStart w:id="105" w:name="_Toc7498_WPSOffice_Level2"/>
      <w:bookmarkStart w:id="106" w:name="_Toc11967_WPSOffice_Level2"/>
      <w:r>
        <w:rPr>
          <w:rFonts w:hint="eastAsia" w:ascii="仿宋" w:hAnsi="仿宋" w:cs="仿宋_GB2312"/>
          <w:b/>
          <w:color w:val="000000" w:themeColor="text1"/>
          <w:sz w:val="32"/>
          <w:szCs w:val="32"/>
          <w:highlight w:val="none"/>
          <w14:textFill>
            <w14:solidFill>
              <w14:schemeClr w14:val="tx1"/>
            </w14:solidFill>
          </w14:textFill>
        </w:rPr>
        <w:t>参加政府采购活动前3年内在经营活动中没有重大违法记录的书面声明</w:t>
      </w:r>
      <w:bookmarkEnd w:id="105"/>
      <w:bookmarkEnd w:id="106"/>
    </w:p>
    <w:p>
      <w:pPr>
        <w:spacing w:line="360" w:lineRule="auto"/>
        <w:ind w:right="630" w:rightChars="30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b/>
          <w:color w:val="000000" w:themeColor="text1"/>
          <w:szCs w:val="21"/>
          <w:highlight w:val="none"/>
          <w:u w:val="single"/>
          <w14:textFill>
            <w14:solidFill>
              <w14:schemeClr w14:val="tx1"/>
            </w14:solidFill>
          </w14:textFill>
        </w:rPr>
        <w:t xml:space="preserve">（采购人或采购代理机构名称） </w:t>
      </w:r>
      <w:r>
        <w:rPr>
          <w:rFonts w:hint="eastAsia" w:ascii="仿宋" w:hAnsi="仿宋" w:cs="仿宋_GB2312"/>
          <w:b/>
          <w:color w:val="000000" w:themeColor="text1"/>
          <w:szCs w:val="21"/>
          <w:highlight w:val="none"/>
          <w14:textFill>
            <w14:solidFill>
              <w14:schemeClr w14:val="tx1"/>
            </w14:solidFill>
          </w14:textFill>
        </w:rPr>
        <w:t xml:space="preserve"> ：</w:t>
      </w:r>
    </w:p>
    <w:p>
      <w:pPr>
        <w:spacing w:line="360" w:lineRule="auto"/>
        <w:ind w:right="-21" w:rightChars="-10" w:firstLine="493" w:firstLineChars="235"/>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360" w:lineRule="auto"/>
        <w:ind w:right="-21" w:rightChars="-10" w:firstLine="371" w:firstLineChars="177"/>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如发现我单位提供的声明函不实时，我单位将按照《政府采购法》有关提供虚假材料的规定，接受处罚。</w:t>
      </w:r>
    </w:p>
    <w:p>
      <w:pPr>
        <w:spacing w:line="360" w:lineRule="auto"/>
        <w:ind w:right="1050" w:rightChars="50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特此声明。</w:t>
      </w:r>
    </w:p>
    <w:p>
      <w:pPr>
        <w:spacing w:line="500" w:lineRule="exact"/>
        <w:ind w:right="1050" w:rightChars="500"/>
        <w:rPr>
          <w:rFonts w:ascii="仿宋" w:hAnsi="仿宋" w:cs="仿宋_GB2312"/>
          <w:color w:val="000000" w:themeColor="text1"/>
          <w:szCs w:val="21"/>
          <w:highlight w:val="none"/>
          <w14:textFill>
            <w14:solidFill>
              <w14:schemeClr w14:val="tx1"/>
            </w14:solidFill>
          </w14:textFill>
        </w:rPr>
      </w:pPr>
    </w:p>
    <w:p>
      <w:pPr>
        <w:spacing w:before="159" w:beforeLines="50" w:after="159" w:afterLines="50" w:line="400" w:lineRule="exact"/>
        <w:ind w:right="1050" w:rightChars="500"/>
        <w:rPr>
          <w:rFonts w:ascii="仿宋" w:hAnsi="仿宋" w:cs="仿宋_GB2312"/>
          <w:color w:val="000000" w:themeColor="text1"/>
          <w:szCs w:val="21"/>
          <w:highlight w:val="none"/>
          <w14:textFill>
            <w14:solidFill>
              <w14:schemeClr w14:val="tx1"/>
            </w14:solidFill>
          </w14:textFill>
        </w:rPr>
      </w:pPr>
    </w:p>
    <w:p>
      <w:pPr>
        <w:spacing w:before="159" w:beforeLines="50" w:after="159" w:afterLines="50" w:line="400" w:lineRule="exact"/>
        <w:ind w:right="1050" w:rightChars="500"/>
        <w:rPr>
          <w:rFonts w:ascii="仿宋" w:hAnsi="仿宋" w:cs="仿宋_GB2312"/>
          <w:color w:val="000000" w:themeColor="text1"/>
          <w:szCs w:val="21"/>
          <w:highlight w:val="none"/>
          <w14:textFill>
            <w14:solidFill>
              <w14:schemeClr w14:val="tx1"/>
            </w14:solidFill>
          </w14:textFill>
        </w:rPr>
      </w:pPr>
    </w:p>
    <w:p>
      <w:pPr>
        <w:spacing w:before="159" w:beforeLines="50" w:after="159" w:afterLines="50" w:line="400" w:lineRule="exact"/>
        <w:ind w:right="1050" w:rightChars="500"/>
        <w:rPr>
          <w:rFonts w:ascii="仿宋" w:hAnsi="仿宋" w:cs="仿宋_GB2312"/>
          <w:color w:val="000000" w:themeColor="text1"/>
          <w:szCs w:val="21"/>
          <w:highlight w:val="none"/>
          <w14:textFill>
            <w14:solidFill>
              <w14:schemeClr w14:val="tx1"/>
            </w14:solidFill>
          </w14:textFill>
        </w:rPr>
      </w:pPr>
    </w:p>
    <w:p>
      <w:pPr>
        <w:spacing w:line="360" w:lineRule="exact"/>
        <w:ind w:right="1050" w:rightChars="500"/>
        <w:rPr>
          <w:rFonts w:ascii="仿宋" w:hAnsi="仿宋" w:cs="仿宋_GB2312"/>
          <w:color w:val="000000" w:themeColor="text1"/>
          <w:szCs w:val="21"/>
          <w:highlight w:val="none"/>
          <w14:textFill>
            <w14:solidFill>
              <w14:schemeClr w14:val="tx1"/>
            </w14:solidFill>
          </w14:textFill>
        </w:rPr>
      </w:pP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w:t>
      </w:r>
      <w:r>
        <w:rPr>
          <w:rFonts w:hint="eastAsia" w:ascii="仿宋" w:hAnsi="仿宋" w:cs="仿宋_GB2312"/>
          <w:color w:val="000000" w:themeColor="text1"/>
          <w:szCs w:val="21"/>
          <w:highlight w:val="none"/>
          <w14:textFill>
            <w14:solidFill>
              <w14:schemeClr w14:val="tx1"/>
            </w14:solidFill>
          </w14:textFill>
        </w:rPr>
        <w:t>非法人组织负责人）或</w:t>
      </w:r>
      <w:r>
        <w:rPr>
          <w:rFonts w:hint="eastAsia" w:ascii="仿宋" w:hAnsi="仿宋" w:cs="仿宋_GB2312"/>
          <w:color w:val="000000" w:themeColor="text1"/>
          <w:highlight w:val="none"/>
          <w14:textFill>
            <w14:solidFill>
              <w14:schemeClr w14:val="tx1"/>
            </w14:solidFill>
          </w14:textFill>
        </w:rPr>
        <w:t>其</w:t>
      </w: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w:t>
      </w:r>
      <w:r>
        <w:rPr>
          <w:rFonts w:hint="eastAsia" w:ascii="仿宋" w:hAnsi="仿宋" w:cs="仿宋_GB2312"/>
          <w:color w:val="000000" w:themeColor="text1"/>
          <w:highlight w:val="none"/>
          <w14:textFill>
            <w14:solidFill>
              <w14:schemeClr w14:val="tx1"/>
            </w14:solidFill>
          </w14:textFill>
        </w:rPr>
        <w:t>(签字或盖章)：</w:t>
      </w:r>
    </w:p>
    <w:p>
      <w:pPr>
        <w:spacing w:line="360" w:lineRule="auto"/>
        <w:ind w:right="1050" w:rightChars="5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p>
    <w:p>
      <w:pPr>
        <w:spacing w:line="500" w:lineRule="exact"/>
        <w:ind w:right="1050" w:rightChars="500"/>
        <w:rPr>
          <w:rFonts w:ascii="仿宋" w:hAnsi="仿宋" w:cs="仿宋_GB2312"/>
          <w:color w:val="000000" w:themeColor="text1"/>
          <w:szCs w:val="21"/>
          <w:highlight w:val="none"/>
          <w14:textFill>
            <w14:solidFill>
              <w14:schemeClr w14:val="tx1"/>
            </w14:solidFill>
          </w14:textFill>
        </w:rPr>
      </w:pPr>
    </w:p>
    <w:p>
      <w:pPr>
        <w:spacing w:before="159" w:beforeLines="50" w:after="159" w:afterLines="50" w:line="400" w:lineRule="exact"/>
        <w:ind w:right="1050" w:rightChars="500"/>
        <w:rPr>
          <w:rFonts w:ascii="仿宋" w:hAnsi="仿宋" w:cs="仿宋_GB2312"/>
          <w:color w:val="000000" w:themeColor="text1"/>
          <w:szCs w:val="21"/>
          <w:highlight w:val="none"/>
          <w14:textFill>
            <w14:solidFill>
              <w14:schemeClr w14:val="tx1"/>
            </w14:solidFill>
          </w14:textFill>
        </w:rPr>
      </w:pPr>
    </w:p>
    <w:p>
      <w:pPr>
        <w:spacing w:before="159" w:beforeLines="50" w:after="159" w:afterLines="50" w:line="400" w:lineRule="exact"/>
        <w:ind w:right="1050" w:rightChars="500"/>
        <w:rPr>
          <w:rFonts w:ascii="仿宋" w:hAnsi="仿宋" w:cs="仿宋_GB2312"/>
          <w:color w:val="000000" w:themeColor="text1"/>
          <w:szCs w:val="21"/>
          <w:highlight w:val="none"/>
          <w14:textFill>
            <w14:solidFill>
              <w14:schemeClr w14:val="tx1"/>
            </w14:solidFill>
          </w14:textFill>
        </w:rPr>
      </w:pPr>
    </w:p>
    <w:p>
      <w:pPr>
        <w:widowControl/>
        <w:jc w:val="left"/>
        <w:rPr>
          <w:rFonts w:ascii="仿宋" w:hAnsi="仿宋" w:cs="仿宋_GB2312"/>
          <w:b/>
          <w:color w:val="000000" w:themeColor="text1"/>
          <w:sz w:val="28"/>
          <w:szCs w:val="28"/>
          <w:highlight w:val="none"/>
          <w14:textFill>
            <w14:solidFill>
              <w14:schemeClr w14:val="tx1"/>
            </w14:solidFill>
          </w14:textFill>
        </w:rPr>
      </w:pPr>
      <w:r>
        <w:rPr>
          <w:rFonts w:ascii="仿宋" w:hAnsi="仿宋" w:cs="仿宋_GB2312"/>
          <w:color w:val="000000" w:themeColor="text1"/>
          <w:szCs w:val="28"/>
          <w:highlight w:val="none"/>
          <w14:textFill>
            <w14:solidFill>
              <w14:schemeClr w14:val="tx1"/>
            </w14:solidFill>
          </w14:textFill>
        </w:rPr>
        <w:br w:type="page"/>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t>格式9</w:t>
      </w:r>
    </w:p>
    <w:p>
      <w:pPr>
        <w:pStyle w:val="12"/>
        <w:spacing w:line="360" w:lineRule="auto"/>
        <w:jc w:val="center"/>
        <w:rPr>
          <w:rFonts w:ascii="仿宋" w:hAnsi="仿宋" w:cs="仿宋_GB2312"/>
          <w:color w:val="000000" w:themeColor="text1"/>
          <w:highlight w:val="none"/>
          <w:u w:val="single"/>
          <w14:textFill>
            <w14:solidFill>
              <w14:schemeClr w14:val="tx1"/>
            </w14:solidFill>
          </w14:textFill>
        </w:rPr>
      </w:pPr>
      <w:bookmarkStart w:id="107" w:name="_Toc30548_WPSOffice_Level2"/>
      <w:bookmarkStart w:id="108" w:name="_Toc16873_WPSOffice_Level2"/>
      <w:r>
        <w:rPr>
          <w:rFonts w:hint="eastAsia" w:ascii="仿宋" w:hAnsi="仿宋" w:cs="仿宋_GB2312"/>
          <w:b/>
          <w:color w:val="000000" w:themeColor="text1"/>
          <w:sz w:val="32"/>
          <w:szCs w:val="32"/>
          <w:highlight w:val="none"/>
          <w14:textFill>
            <w14:solidFill>
              <w14:schemeClr w14:val="tx1"/>
            </w14:solidFill>
          </w14:textFill>
        </w:rPr>
        <w:t>联合体协议书</w:t>
      </w:r>
      <w:bookmarkEnd w:id="107"/>
      <w:bookmarkEnd w:id="108"/>
      <w:r>
        <w:rPr>
          <w:rFonts w:hint="eastAsia" w:ascii="仿宋" w:hAnsi="仿宋" w:cs="仿宋_GB2312"/>
          <w:b/>
          <w:color w:val="000000" w:themeColor="text1"/>
          <w:sz w:val="32"/>
          <w:szCs w:val="32"/>
          <w:highlight w:val="none"/>
          <w14:textFill>
            <w14:solidFill>
              <w14:schemeClr w14:val="tx1"/>
            </w14:solidFill>
          </w14:textFill>
        </w:rPr>
        <w:t>（本项目不采用）</w:t>
      </w:r>
    </w:p>
    <w:p>
      <w:pPr>
        <w:pStyle w:val="12"/>
        <w:spacing w:line="36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u w:val="single"/>
          <w14:textFill>
            <w14:solidFill>
              <w14:schemeClr w14:val="tx1"/>
            </w14:solidFill>
          </w14:textFill>
        </w:rPr>
        <w:t>(采购人或采购代理机构)</w:t>
      </w:r>
      <w:r>
        <w:rPr>
          <w:rFonts w:hint="eastAsia" w:ascii="仿宋" w:hAnsi="仿宋" w:cs="仿宋_GB2312"/>
          <w:color w:val="000000" w:themeColor="text1"/>
          <w:highlight w:val="none"/>
          <w14:textFill>
            <w14:solidFill>
              <w14:schemeClr w14:val="tx1"/>
            </w14:solidFill>
          </w14:textFill>
        </w:rPr>
        <w:t>：</w:t>
      </w:r>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经研究，我方决定自愿组成联合体共同参加</w:t>
      </w:r>
      <w:r>
        <w:rPr>
          <w:rFonts w:hint="eastAsia" w:ascii="仿宋" w:hAnsi="仿宋" w:cs="仿宋_GB2312"/>
          <w:color w:val="000000" w:themeColor="text1"/>
          <w:highlight w:val="none"/>
          <w:u w:val="single"/>
          <w14:textFill>
            <w14:solidFill>
              <w14:schemeClr w14:val="tx1"/>
            </w14:solidFill>
          </w14:textFill>
        </w:rPr>
        <w:t>(项目名称、项目编号、包号)</w:t>
      </w:r>
      <w:r>
        <w:rPr>
          <w:rFonts w:hint="eastAsia" w:ascii="仿宋" w:hAnsi="仿宋" w:cs="仿宋_GB2312"/>
          <w:color w:val="000000" w:themeColor="text1"/>
          <w:highlight w:val="none"/>
          <w14:textFill>
            <w14:solidFill>
              <w14:schemeClr w14:val="tx1"/>
            </w14:solidFill>
          </w14:textFill>
        </w:rPr>
        <w:t>项目的投标。现就联合体投标事宜订立如下协议：</w:t>
      </w:r>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一、联合体成员：</w:t>
      </w:r>
    </w:p>
    <w:p>
      <w:pPr>
        <w:pStyle w:val="12"/>
        <w:spacing w:line="360" w:lineRule="auto"/>
        <w:ind w:firstLine="420" w:firstLineChars="200"/>
        <w:rPr>
          <w:rFonts w:ascii="仿宋" w:hAnsi="仿宋" w:cs="仿宋_GB2312"/>
          <w:color w:val="000000" w:themeColor="text1"/>
          <w:highlight w:val="none"/>
          <w:u w:val="single"/>
          <w14:textFill>
            <w14:solidFill>
              <w14:schemeClr w14:val="tx1"/>
            </w14:solidFill>
          </w14:textFill>
        </w:rPr>
      </w:pPr>
      <w:bookmarkStart w:id="109" w:name="_Toc23749_WPSOffice_Level2"/>
      <w:bookmarkStart w:id="110" w:name="_Toc15561_WPSOffice_Level2"/>
      <w:r>
        <w:rPr>
          <w:rFonts w:hint="eastAsia" w:ascii="仿宋" w:hAnsi="仿宋" w:cs="仿宋_GB2312"/>
          <w:color w:val="000000" w:themeColor="text1"/>
          <w:highlight w:val="none"/>
          <w14:textFill>
            <w14:solidFill>
              <w14:schemeClr w14:val="tx1"/>
            </w14:solidFill>
          </w14:textFill>
        </w:rPr>
        <w:t>1.</w:t>
      </w:r>
      <w:bookmarkEnd w:id="109"/>
      <w:bookmarkEnd w:id="110"/>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bookmarkStart w:id="111" w:name="_Toc405_WPSOffice_Level2"/>
      <w:bookmarkStart w:id="112" w:name="_Toc22173_WPSOffice_Level2"/>
      <w:r>
        <w:rPr>
          <w:rFonts w:hint="eastAsia" w:ascii="仿宋" w:hAnsi="仿宋" w:cs="仿宋_GB2312"/>
          <w:color w:val="000000" w:themeColor="text1"/>
          <w:highlight w:val="none"/>
          <w14:textFill>
            <w14:solidFill>
              <w14:schemeClr w14:val="tx1"/>
            </w14:solidFill>
          </w14:textFill>
        </w:rPr>
        <w:t>2.</w:t>
      </w:r>
      <w:bookmarkEnd w:id="111"/>
      <w:bookmarkEnd w:id="112"/>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bookmarkStart w:id="113" w:name="_Toc23482_WPSOffice_Level2"/>
      <w:bookmarkStart w:id="114" w:name="_Toc7084_WPSOffice_Level2"/>
      <w:r>
        <w:rPr>
          <w:rFonts w:hint="eastAsia" w:ascii="仿宋" w:hAnsi="仿宋" w:cs="仿宋_GB2312"/>
          <w:color w:val="000000" w:themeColor="text1"/>
          <w:highlight w:val="none"/>
          <w14:textFill>
            <w14:solidFill>
              <w14:schemeClr w14:val="tx1"/>
            </w14:solidFill>
          </w14:textFill>
        </w:rPr>
        <w:t>3.</w:t>
      </w:r>
      <w:bookmarkEnd w:id="113"/>
      <w:bookmarkEnd w:id="114"/>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二、</w:t>
      </w:r>
      <w:r>
        <w:rPr>
          <w:rFonts w:hint="eastAsia" w:ascii="仿宋" w:hAnsi="仿宋" w:cs="仿宋_GB2312"/>
          <w:color w:val="000000" w:themeColor="text1"/>
          <w:highlight w:val="none"/>
          <w:u w:val="single"/>
          <w14:textFill>
            <w14:solidFill>
              <w14:schemeClr w14:val="tx1"/>
            </w14:solidFill>
          </w14:textFill>
        </w:rPr>
        <w:t>(某成员单位名称)</w:t>
      </w:r>
      <w:r>
        <w:rPr>
          <w:rFonts w:hint="eastAsia" w:ascii="仿宋" w:hAnsi="仿宋" w:cs="仿宋_GB2312"/>
          <w:color w:val="000000" w:themeColor="text1"/>
          <w:highlight w:val="none"/>
          <w14:textFill>
            <w14:solidFill>
              <w14:schemeClr w14:val="tx1"/>
            </w14:solidFill>
          </w14:textFill>
        </w:rPr>
        <w:t>为(联合体名称)牵头人。</w:t>
      </w:r>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四、联合体将严格按照招标文件的各项要求，递交投标文件，参加投标，履行中标义务和中标后的合同，并向采购人承担连带责任。</w:t>
      </w:r>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五、联合体各成员单位内部的职责分工如下：。按照本条上述分工，联合体成员单位各自所承担的合同工作量比例如下：。</w:t>
      </w:r>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六、本协议书自签署之日起生效，合同履行完毕后自动失效。</w:t>
      </w:r>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七、本协议书一式份，联合体成员和采购人各执份。</w:t>
      </w:r>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p>
    <w:p>
      <w:pPr>
        <w:pStyle w:val="12"/>
        <w:spacing w:line="360" w:lineRule="auto"/>
        <w:rPr>
          <w:rFonts w:ascii="仿宋" w:hAnsi="仿宋" w:cs="仿宋_GB2312"/>
          <w:color w:val="000000" w:themeColor="text1"/>
          <w:highlight w:val="none"/>
          <w:u w:val="singl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牵头人名称(加盖单位公章)：</w:t>
      </w:r>
    </w:p>
    <w:p>
      <w:pPr>
        <w:pStyle w:val="12"/>
        <w:spacing w:line="36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法定代表人或其授权委托人(签字或盖章)：</w:t>
      </w:r>
    </w:p>
    <w:p>
      <w:pPr>
        <w:pStyle w:val="12"/>
        <w:spacing w:line="360" w:lineRule="auto"/>
        <w:ind w:firstLine="420" w:firstLineChars="200"/>
        <w:rPr>
          <w:rFonts w:ascii="仿宋" w:hAnsi="仿宋" w:cs="仿宋_GB2312"/>
          <w:color w:val="000000" w:themeColor="text1"/>
          <w:highlight w:val="none"/>
          <w14:textFill>
            <w14:solidFill>
              <w14:schemeClr w14:val="tx1"/>
            </w14:solidFill>
          </w14:textFill>
        </w:rPr>
      </w:pPr>
    </w:p>
    <w:p>
      <w:pPr>
        <w:pStyle w:val="12"/>
        <w:spacing w:line="360" w:lineRule="auto"/>
        <w:rPr>
          <w:rFonts w:ascii="仿宋" w:hAnsi="仿宋" w:cs="仿宋_GB2312"/>
          <w:color w:val="000000" w:themeColor="text1"/>
          <w:highlight w:val="none"/>
          <w:u w:val="singl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成员名称(加盖单位公章)：</w:t>
      </w:r>
    </w:p>
    <w:p>
      <w:pPr>
        <w:pStyle w:val="12"/>
        <w:spacing w:line="360" w:lineRule="auto"/>
        <w:rPr>
          <w:rFonts w:ascii="仿宋" w:hAnsi="仿宋" w:cs="仿宋_GB2312"/>
          <w:color w:val="000000" w:themeColor="text1"/>
          <w:highlight w:val="none"/>
          <w:u w:val="singl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法定代表人或其授权委托人(签字或盖章)：</w:t>
      </w:r>
    </w:p>
    <w:p>
      <w:pPr>
        <w:spacing w:line="360" w:lineRule="exact"/>
        <w:ind w:right="1050" w:rightChars="500"/>
        <w:jc w:val="left"/>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日期：</w:t>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ascii="仿宋" w:hAnsi="仿宋" w:cs="仿宋_GB2312"/>
          <w:color w:val="000000" w:themeColor="text1"/>
          <w:szCs w:val="28"/>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格式10</w:t>
      </w:r>
    </w:p>
    <w:p>
      <w:pPr>
        <w:spacing w:before="319" w:beforeLines="100" w:after="319" w:afterLines="100" w:line="360" w:lineRule="auto"/>
        <w:ind w:right="-21" w:rightChars="-10"/>
        <w:jc w:val="center"/>
        <w:rPr>
          <w:rFonts w:ascii="仿宋" w:hAnsi="仿宋" w:cs="仿宋_GB2312"/>
          <w:b/>
          <w:color w:val="000000" w:themeColor="text1"/>
          <w:sz w:val="32"/>
          <w:szCs w:val="32"/>
          <w:highlight w:val="none"/>
          <w14:textFill>
            <w14:solidFill>
              <w14:schemeClr w14:val="tx1"/>
            </w14:solidFill>
          </w14:textFill>
        </w:rPr>
      </w:pPr>
      <w:bookmarkStart w:id="115" w:name="_Toc24841_WPSOffice_Level2"/>
      <w:bookmarkStart w:id="116" w:name="_Toc14782_WPSOffice_Level2"/>
      <w:r>
        <w:rPr>
          <w:rFonts w:hint="eastAsia" w:ascii="仿宋" w:hAnsi="仿宋" w:cs="仿宋_GB2312"/>
          <w:b/>
          <w:color w:val="000000" w:themeColor="text1"/>
          <w:sz w:val="32"/>
          <w:szCs w:val="32"/>
          <w:highlight w:val="none"/>
          <w14:textFill>
            <w14:solidFill>
              <w14:schemeClr w14:val="tx1"/>
            </w14:solidFill>
          </w14:textFill>
        </w:rPr>
        <w:t>投标函</w:t>
      </w:r>
      <w:bookmarkEnd w:id="115"/>
      <w:bookmarkEnd w:id="116"/>
    </w:p>
    <w:p>
      <w:pPr>
        <w:adjustRightInd w:val="0"/>
        <w:snapToGrid w:val="0"/>
        <w:spacing w:line="360" w:lineRule="auto"/>
        <w:ind w:right="630" w:rightChars="30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u w:val="single"/>
          <w14:textFill>
            <w14:solidFill>
              <w14:schemeClr w14:val="tx1"/>
            </w14:solidFill>
          </w14:textFill>
        </w:rPr>
        <w:t>（采购人或采购代理机构）：</w:t>
      </w:r>
    </w:p>
    <w:p>
      <w:pPr>
        <w:adjustRightInd w:val="0"/>
        <w:snapToGrid w:val="0"/>
        <w:spacing w:line="360" w:lineRule="auto"/>
        <w:ind w:right="-21" w:rightChars="-1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根据贵方</w:t>
      </w:r>
      <w:r>
        <w:rPr>
          <w:rFonts w:hint="eastAsia" w:ascii="仿宋" w:hAnsi="仿宋" w:cs="仿宋_GB2312"/>
          <w:color w:val="000000" w:themeColor="text1"/>
          <w:szCs w:val="21"/>
          <w:highlight w:val="none"/>
          <w:u w:val="single"/>
          <w14:textFill>
            <w14:solidFill>
              <w14:schemeClr w14:val="tx1"/>
            </w14:solidFill>
          </w14:textFill>
        </w:rPr>
        <w:t>(项目名称)</w:t>
      </w:r>
      <w:r>
        <w:rPr>
          <w:rFonts w:hint="eastAsia" w:ascii="仿宋" w:hAnsi="仿宋" w:cs="仿宋_GB2312"/>
          <w:color w:val="000000" w:themeColor="text1"/>
          <w:szCs w:val="21"/>
          <w:highlight w:val="none"/>
          <w14:textFill>
            <w14:solidFill>
              <w14:schemeClr w14:val="tx1"/>
            </w14:solidFill>
          </w14:textFill>
        </w:rPr>
        <w:t>项目的招标公告</w:t>
      </w:r>
      <w:r>
        <w:rPr>
          <w:rFonts w:hint="eastAsia" w:ascii="仿宋" w:hAnsi="仿宋" w:cs="仿宋_GB2312"/>
          <w:color w:val="000000" w:themeColor="text1"/>
          <w:szCs w:val="21"/>
          <w:highlight w:val="none"/>
          <w:u w:val="single"/>
          <w14:textFill>
            <w14:solidFill>
              <w14:schemeClr w14:val="tx1"/>
            </w14:solidFill>
          </w14:textFill>
        </w:rPr>
        <w:t>(招标编号)</w:t>
      </w:r>
      <w:r>
        <w:rPr>
          <w:rFonts w:hint="eastAsia" w:ascii="仿宋" w:hAnsi="仿宋" w:cs="仿宋_GB2312"/>
          <w:color w:val="000000" w:themeColor="text1"/>
          <w:szCs w:val="21"/>
          <w:highlight w:val="none"/>
          <w14:textFill>
            <w14:solidFill>
              <w14:schemeClr w14:val="tx1"/>
            </w14:solidFill>
          </w14:textFill>
        </w:rPr>
        <w:t>,签字代表</w:t>
      </w:r>
      <w:r>
        <w:rPr>
          <w:rFonts w:hint="eastAsia" w:ascii="仿宋" w:hAnsi="仿宋" w:cs="仿宋_GB2312"/>
          <w:color w:val="000000" w:themeColor="text1"/>
          <w:szCs w:val="21"/>
          <w:highlight w:val="none"/>
          <w:u w:val="single"/>
          <w14:textFill>
            <w14:solidFill>
              <w14:schemeClr w14:val="tx1"/>
            </w14:solidFill>
          </w14:textFill>
        </w:rPr>
        <w:t>(姓名、职务)</w:t>
      </w:r>
      <w:r>
        <w:rPr>
          <w:rFonts w:hint="eastAsia" w:ascii="仿宋" w:hAnsi="仿宋" w:cs="仿宋_GB2312"/>
          <w:color w:val="000000" w:themeColor="text1"/>
          <w:szCs w:val="21"/>
          <w:highlight w:val="none"/>
          <w14:textFill>
            <w14:solidFill>
              <w14:schemeClr w14:val="tx1"/>
            </w14:solidFill>
          </w14:textFill>
        </w:rPr>
        <w:t>经正式授权并代表投标人</w:t>
      </w:r>
      <w:r>
        <w:rPr>
          <w:rFonts w:hint="eastAsia" w:ascii="仿宋" w:hAnsi="仿宋" w:cs="仿宋_GB2312"/>
          <w:color w:val="000000" w:themeColor="text1"/>
          <w:szCs w:val="21"/>
          <w:highlight w:val="none"/>
          <w:u w:val="single"/>
          <w14:textFill>
            <w14:solidFill>
              <w14:schemeClr w14:val="tx1"/>
            </w14:solidFill>
          </w14:textFill>
        </w:rPr>
        <w:t>（名称、地址）</w:t>
      </w:r>
      <w:r>
        <w:rPr>
          <w:rFonts w:hint="eastAsia" w:ascii="仿宋" w:hAnsi="仿宋" w:cs="仿宋_GB2312"/>
          <w:color w:val="000000" w:themeColor="text1"/>
          <w:szCs w:val="21"/>
          <w:highlight w:val="none"/>
          <w14:textFill>
            <w14:solidFill>
              <w14:schemeClr w14:val="tx1"/>
            </w14:solidFill>
          </w14:textFill>
        </w:rPr>
        <w:t>提交下述文件正本</w:t>
      </w:r>
      <w:r>
        <w:rPr>
          <w:rFonts w:hint="eastAsia" w:ascii="仿宋" w:hAnsi="仿宋" w:cs="仿宋_GB2312"/>
          <w:color w:val="000000" w:themeColor="text1"/>
          <w:szCs w:val="21"/>
          <w:highlight w:val="none"/>
          <w:u w:val="single"/>
          <w14:textFill>
            <w14:solidFill>
              <w14:schemeClr w14:val="tx1"/>
            </w14:solidFill>
          </w14:textFill>
        </w:rPr>
        <w:t xml:space="preserve"> </w:t>
      </w:r>
      <w:r>
        <w:rPr>
          <w:rFonts w:ascii="仿宋" w:hAnsi="仿宋" w:cs="仿宋_GB2312"/>
          <w:color w:val="000000" w:themeColor="text1"/>
          <w:szCs w:val="21"/>
          <w:highlight w:val="none"/>
          <w:u w:val="single"/>
          <w14:textFill>
            <w14:solidFill>
              <w14:schemeClr w14:val="tx1"/>
            </w14:solidFill>
          </w14:textFill>
        </w:rPr>
        <w:t xml:space="preserve"> </w:t>
      </w:r>
      <w:r>
        <w:rPr>
          <w:rFonts w:hint="eastAsia" w:ascii="仿宋" w:hAnsi="仿宋" w:cs="仿宋_GB2312"/>
          <w:color w:val="000000" w:themeColor="text1"/>
          <w:szCs w:val="21"/>
          <w:highlight w:val="none"/>
          <w14:textFill>
            <w14:solidFill>
              <w14:schemeClr w14:val="tx1"/>
            </w14:solidFill>
          </w14:textFill>
        </w:rPr>
        <w:t>份、副本</w:t>
      </w:r>
      <w:r>
        <w:rPr>
          <w:rFonts w:hint="eastAsia" w:ascii="仿宋" w:hAnsi="仿宋" w:cs="仿宋_GB2312"/>
          <w:color w:val="000000" w:themeColor="text1"/>
          <w:szCs w:val="21"/>
          <w:highlight w:val="none"/>
          <w:u w:val="single"/>
          <w14:textFill>
            <w14:solidFill>
              <w14:schemeClr w14:val="tx1"/>
            </w14:solidFill>
          </w14:textFill>
        </w:rPr>
        <w:t xml:space="preserve"> </w:t>
      </w:r>
      <w:r>
        <w:rPr>
          <w:rFonts w:ascii="仿宋" w:hAnsi="仿宋" w:cs="仿宋_GB2312"/>
          <w:color w:val="000000" w:themeColor="text1"/>
          <w:szCs w:val="21"/>
          <w:highlight w:val="none"/>
          <w:u w:val="single"/>
          <w14:textFill>
            <w14:solidFill>
              <w14:schemeClr w14:val="tx1"/>
            </w14:solidFill>
          </w14:textFill>
        </w:rPr>
        <w:t xml:space="preserve"> </w:t>
      </w:r>
      <w:r>
        <w:rPr>
          <w:rFonts w:hint="eastAsia" w:ascii="仿宋" w:hAnsi="仿宋" w:cs="仿宋_GB2312"/>
          <w:color w:val="000000" w:themeColor="text1"/>
          <w:szCs w:val="21"/>
          <w:highlight w:val="none"/>
          <w14:textFill>
            <w14:solidFill>
              <w14:schemeClr w14:val="tx1"/>
            </w14:solidFill>
          </w14:textFill>
        </w:rPr>
        <w:t>份及电子文档</w:t>
      </w:r>
      <w:r>
        <w:rPr>
          <w:rFonts w:hint="eastAsia" w:ascii="仿宋" w:hAnsi="仿宋" w:cs="仿宋_GB2312"/>
          <w:color w:val="000000" w:themeColor="text1"/>
          <w:szCs w:val="21"/>
          <w:highlight w:val="none"/>
          <w:u w:val="single"/>
          <w14:textFill>
            <w14:solidFill>
              <w14:schemeClr w14:val="tx1"/>
            </w14:solidFill>
          </w14:textFill>
        </w:rPr>
        <w:t xml:space="preserve"> </w:t>
      </w:r>
      <w:r>
        <w:rPr>
          <w:rFonts w:ascii="仿宋" w:hAnsi="仿宋" w:cs="仿宋_GB2312"/>
          <w:color w:val="000000" w:themeColor="text1"/>
          <w:szCs w:val="21"/>
          <w:highlight w:val="none"/>
          <w:u w:val="single"/>
          <w14:textFill>
            <w14:solidFill>
              <w14:schemeClr w14:val="tx1"/>
            </w14:solidFill>
          </w14:textFill>
        </w:rPr>
        <w:t xml:space="preserve"> </w:t>
      </w:r>
      <w:r>
        <w:rPr>
          <w:rFonts w:hint="eastAsia" w:ascii="仿宋" w:hAnsi="仿宋" w:cs="仿宋_GB2312"/>
          <w:color w:val="000000" w:themeColor="text1"/>
          <w:szCs w:val="21"/>
          <w:highlight w:val="none"/>
          <w14:textFill>
            <w14:solidFill>
              <w14:schemeClr w14:val="tx1"/>
            </w14:solidFill>
          </w14:textFill>
        </w:rPr>
        <w:t>份，并以</w:t>
      </w:r>
      <w:r>
        <w:rPr>
          <w:rFonts w:hint="eastAsia" w:ascii="仿宋" w:hAnsi="仿宋" w:cs="仿宋_GB2312"/>
          <w:color w:val="000000" w:themeColor="text1"/>
          <w:szCs w:val="21"/>
          <w:highlight w:val="none"/>
          <w:u w:val="single"/>
          <w14:textFill>
            <w14:solidFill>
              <w14:schemeClr w14:val="tx1"/>
            </w14:solidFill>
          </w14:textFill>
        </w:rPr>
        <w:t xml:space="preserve"> </w:t>
      </w:r>
      <w:r>
        <w:rPr>
          <w:rFonts w:ascii="仿宋" w:hAnsi="仿宋" w:cs="仿宋_GB2312"/>
          <w:color w:val="000000" w:themeColor="text1"/>
          <w:szCs w:val="21"/>
          <w:highlight w:val="none"/>
          <w:u w:val="single"/>
          <w14:textFill>
            <w14:solidFill>
              <w14:schemeClr w14:val="tx1"/>
            </w14:solidFill>
          </w14:textFill>
        </w:rPr>
        <w:t xml:space="preserve"> </w:t>
      </w:r>
      <w:r>
        <w:rPr>
          <w:rFonts w:hint="eastAsia" w:ascii="仿宋" w:hAnsi="仿宋" w:cs="仿宋_GB2312"/>
          <w:color w:val="000000" w:themeColor="text1"/>
          <w:szCs w:val="21"/>
          <w:highlight w:val="none"/>
          <w14:textFill>
            <w14:solidFill>
              <w14:schemeClr w14:val="tx1"/>
            </w14:solidFill>
          </w14:textFill>
        </w:rPr>
        <w:t>形式出具的金额为</w:t>
      </w:r>
      <w:r>
        <w:rPr>
          <w:rFonts w:hint="eastAsia" w:ascii="仿宋" w:hAnsi="仿宋" w:cs="仿宋_GB2312"/>
          <w:color w:val="000000" w:themeColor="text1"/>
          <w:szCs w:val="21"/>
          <w:highlight w:val="none"/>
          <w:u w:val="single"/>
          <w14:textFill>
            <w14:solidFill>
              <w14:schemeClr w14:val="tx1"/>
            </w14:solidFill>
          </w14:textFill>
        </w:rPr>
        <w:t xml:space="preserve"> </w:t>
      </w:r>
      <w:r>
        <w:rPr>
          <w:rFonts w:ascii="仿宋" w:hAnsi="仿宋" w:cs="仿宋_GB2312"/>
          <w:color w:val="000000" w:themeColor="text1"/>
          <w:szCs w:val="21"/>
          <w:highlight w:val="none"/>
          <w:u w:val="single"/>
          <w14:textFill>
            <w14:solidFill>
              <w14:schemeClr w14:val="tx1"/>
            </w14:solidFill>
          </w14:textFill>
        </w:rPr>
        <w:t xml:space="preserve">    </w:t>
      </w:r>
      <w:r>
        <w:rPr>
          <w:rFonts w:hint="eastAsia" w:ascii="仿宋" w:hAnsi="仿宋" w:cs="仿宋_GB2312"/>
          <w:color w:val="000000" w:themeColor="text1"/>
          <w:szCs w:val="21"/>
          <w:highlight w:val="none"/>
          <w14:textFill>
            <w14:solidFill>
              <w14:schemeClr w14:val="tx1"/>
            </w14:solidFill>
          </w14:textFill>
        </w:rPr>
        <w:t>人民币元的投标保证金。</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据此，签字代表宣布同意如下：</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（1）本项目投标总价详见开标一览表。</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（2）本投标有效期为自递交投标文件截止之日起</w:t>
      </w:r>
      <w:r>
        <w:rPr>
          <w:rFonts w:hint="eastAsia" w:ascii="仿宋" w:hAnsi="仿宋" w:cs="仿宋_GB2312"/>
          <w:color w:val="000000" w:themeColor="text1"/>
          <w:szCs w:val="21"/>
          <w:highlight w:val="none"/>
          <w:u w:val="single"/>
          <w14:textFill>
            <w14:solidFill>
              <w14:schemeClr w14:val="tx1"/>
            </w14:solidFill>
          </w14:textFill>
        </w:rPr>
        <w:t>90</w:t>
      </w:r>
      <w:r>
        <w:rPr>
          <w:rFonts w:hint="eastAsia" w:ascii="仿宋" w:hAnsi="仿宋" w:cs="仿宋_GB2312"/>
          <w:color w:val="000000" w:themeColor="text1"/>
          <w:szCs w:val="21"/>
          <w:highlight w:val="none"/>
          <w14:textFill>
            <w14:solidFill>
              <w14:schemeClr w14:val="tx1"/>
            </w14:solidFill>
          </w14:textFill>
        </w:rPr>
        <w:t>日历日。</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（3）已详细审查全部招标文件，包括所有补充通知（如果有的话）。</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（4）在规定的开标时间后，遵守招标文件中有关保证金的规定。</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（8）按照招标文件的规定履行合同责任和义务。</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（9）我方承诺投标文件中的证明材料真实、合法、有效。</w:t>
      </w:r>
    </w:p>
    <w:p>
      <w:pPr>
        <w:adjustRightInd w:val="0"/>
        <w:snapToGrid w:val="0"/>
        <w:spacing w:line="360" w:lineRule="auto"/>
        <w:ind w:right="-21" w:rightChars="-10"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其他事项：。</w:t>
      </w:r>
    </w:p>
    <w:p>
      <w:pPr>
        <w:adjustRightInd w:val="0"/>
        <w:snapToGrid w:val="0"/>
        <w:spacing w:line="360" w:lineRule="auto"/>
        <w:ind w:right="-21" w:rightChars="-10"/>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21" w:rightChars="-10"/>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21" w:rightChars="-10"/>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21" w:rightChars="-1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与本项目有关的一切往来通讯请寄</w:t>
      </w:r>
    </w:p>
    <w:p>
      <w:pPr>
        <w:adjustRightInd w:val="0"/>
        <w:snapToGrid w:val="0"/>
        <w:spacing w:line="360" w:lineRule="auto"/>
        <w:ind w:right="-21" w:rightChars="-1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地址：         传真：</w:t>
      </w:r>
    </w:p>
    <w:p>
      <w:pPr>
        <w:adjustRightInd w:val="0"/>
        <w:snapToGrid w:val="0"/>
        <w:spacing w:line="360" w:lineRule="auto"/>
        <w:ind w:right="-21" w:rightChars="-1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电话：         电子邮件：</w:t>
      </w:r>
    </w:p>
    <w:p>
      <w:pPr>
        <w:adjustRightInd w:val="0"/>
        <w:snapToGrid w:val="0"/>
        <w:spacing w:line="360" w:lineRule="auto"/>
        <w:ind w:right="-21" w:rightChars="-10"/>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法定代表人（非法人组织负责人）或其授权委托人（签字或盖章）：</w:t>
      </w:r>
    </w:p>
    <w:p>
      <w:pPr>
        <w:adjustRightInd w:val="0"/>
        <w:snapToGrid w:val="0"/>
        <w:spacing w:line="360" w:lineRule="auto"/>
        <w:ind w:right="-21" w:rightChars="-1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投标人名称（加盖单位公章）：</w:t>
      </w:r>
    </w:p>
    <w:p>
      <w:pPr>
        <w:adjustRightInd w:val="0"/>
        <w:snapToGrid w:val="0"/>
        <w:spacing w:line="360" w:lineRule="auto"/>
        <w:ind w:right="-21" w:rightChars="-1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投标人开户银行（全称）：</w:t>
      </w:r>
    </w:p>
    <w:p>
      <w:pPr>
        <w:adjustRightInd w:val="0"/>
        <w:snapToGrid w:val="0"/>
        <w:spacing w:line="360" w:lineRule="auto"/>
        <w:ind w:right="-21" w:rightChars="-1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投标人银行账号：</w:t>
      </w:r>
    </w:p>
    <w:p>
      <w:pPr>
        <w:adjustRightInd w:val="0"/>
        <w:snapToGrid w:val="0"/>
        <w:spacing w:line="360" w:lineRule="auto"/>
        <w:ind w:right="1050" w:rightChars="500"/>
        <w:jc w:val="left"/>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日    期：</w:t>
      </w:r>
    </w:p>
    <w:p>
      <w:pPr>
        <w:adjustRightInd w:val="0"/>
        <w:snapToGrid w:val="0"/>
        <w:spacing w:line="360" w:lineRule="auto"/>
        <w:ind w:right="1050" w:rightChars="500"/>
        <w:jc w:val="left"/>
        <w:rPr>
          <w:rFonts w:ascii="仿宋" w:hAnsi="仿宋" w:cs="仿宋_GB2312"/>
          <w:color w:val="000000" w:themeColor="text1"/>
          <w:szCs w:val="28"/>
          <w:highlight w:val="none"/>
          <w14:textFill>
            <w14:solidFill>
              <w14:schemeClr w14:val="tx1"/>
            </w14:solidFill>
          </w14:textFill>
        </w:rPr>
      </w:pPr>
    </w:p>
    <w:p>
      <w:pPr>
        <w:pStyle w:val="3"/>
        <w:numPr>
          <w:ilvl w:val="0"/>
          <w:numId w:val="0"/>
        </w:numPr>
        <w:adjustRightInd w:val="0"/>
        <w:snapToGrid w:val="0"/>
        <w:spacing w:before="0" w:after="0" w:line="240" w:lineRule="auto"/>
        <w:jc w:val="left"/>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t>格式11</w:t>
      </w:r>
    </w:p>
    <w:p>
      <w:pPr>
        <w:adjustRightInd w:val="0"/>
        <w:snapToGrid w:val="0"/>
        <w:spacing w:before="319" w:beforeLines="100" w:after="319" w:afterLines="100" w:line="360" w:lineRule="auto"/>
        <w:ind w:right="105" w:rightChars="50"/>
        <w:jc w:val="center"/>
        <w:rPr>
          <w:rFonts w:ascii="仿宋" w:hAnsi="仿宋" w:cs="仿宋_GB2312"/>
          <w:b/>
          <w:bCs/>
          <w:color w:val="000000" w:themeColor="text1"/>
          <w:sz w:val="32"/>
          <w:szCs w:val="32"/>
          <w:highlight w:val="none"/>
          <w14:textFill>
            <w14:solidFill>
              <w14:schemeClr w14:val="tx1"/>
            </w14:solidFill>
          </w14:textFill>
        </w:rPr>
      </w:pPr>
      <w:bookmarkStart w:id="117" w:name="_Toc2673_WPSOffice_Level2"/>
      <w:bookmarkStart w:id="118" w:name="_Toc11267_WPSOffice_Level2"/>
      <w:r>
        <w:rPr>
          <w:rFonts w:hint="eastAsia" w:ascii="仿宋" w:hAnsi="仿宋" w:cs="仿宋_GB2312"/>
          <w:b/>
          <w:bCs/>
          <w:color w:val="000000" w:themeColor="text1"/>
          <w:sz w:val="32"/>
          <w:szCs w:val="32"/>
          <w:highlight w:val="none"/>
          <w14:textFill>
            <w14:solidFill>
              <w14:schemeClr w14:val="tx1"/>
            </w14:solidFill>
          </w14:textFill>
        </w:rPr>
        <w:t>开标一览表</w:t>
      </w:r>
      <w:bookmarkEnd w:id="117"/>
      <w:bookmarkEnd w:id="118"/>
    </w:p>
    <w:p>
      <w:pPr>
        <w:adjustRightInd w:val="0"/>
        <w:snapToGrid w:val="0"/>
        <w:spacing w:line="360" w:lineRule="auto"/>
        <w:ind w:right="105" w:rightChars="50"/>
        <w:jc w:val="left"/>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 xml:space="preserve">                                                报价单位（元）：</w:t>
      </w:r>
    </w:p>
    <w:tbl>
      <w:tblPr>
        <w:tblStyle w:val="21"/>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货物名称</w:t>
            </w:r>
          </w:p>
        </w:tc>
        <w:tc>
          <w:tcPr>
            <w:tcW w:w="2373"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投标总价</w:t>
            </w:r>
          </w:p>
        </w:tc>
        <w:tc>
          <w:tcPr>
            <w:tcW w:w="1309"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投标保证金</w:t>
            </w:r>
          </w:p>
        </w:tc>
        <w:tc>
          <w:tcPr>
            <w:tcW w:w="1109"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交货时间</w:t>
            </w:r>
          </w:p>
        </w:tc>
        <w:tc>
          <w:tcPr>
            <w:tcW w:w="1252"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交货地点</w:t>
            </w:r>
          </w:p>
        </w:tc>
        <w:tc>
          <w:tcPr>
            <w:tcW w:w="951"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p>
        </w:tc>
        <w:tc>
          <w:tcPr>
            <w:tcW w:w="2373" w:type="dxa"/>
            <w:vAlign w:val="center"/>
          </w:tcPr>
          <w:p>
            <w:pPr>
              <w:adjustRightInd w:val="0"/>
              <w:snapToGrid w:val="0"/>
              <w:ind w:left="-54" w:leftChars="-26" w:right="-46" w:rightChars="-22"/>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小写：</w:t>
            </w:r>
          </w:p>
          <w:p>
            <w:pPr>
              <w:adjustRightInd w:val="0"/>
              <w:snapToGrid w:val="0"/>
              <w:ind w:left="-54" w:leftChars="-26" w:right="-46" w:rightChars="-22"/>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大写：</w:t>
            </w:r>
          </w:p>
        </w:tc>
        <w:tc>
          <w:tcPr>
            <w:tcW w:w="1309"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u w:val="single"/>
                <w14:textFill>
                  <w14:solidFill>
                    <w14:schemeClr w14:val="tx1"/>
                  </w14:solidFill>
                </w14:textFill>
              </w:rPr>
              <w:t>0</w:t>
            </w:r>
            <w:r>
              <w:rPr>
                <w:rFonts w:hint="eastAsia" w:ascii="仿宋" w:hAnsi="仿宋" w:cs="仿宋_GB2312"/>
                <w:color w:val="000000" w:themeColor="text1"/>
                <w:kern w:val="0"/>
                <w:szCs w:val="21"/>
                <w:highlight w:val="none"/>
                <w14:textFill>
                  <w14:solidFill>
                    <w14:schemeClr w14:val="tx1"/>
                  </w14:solidFill>
                </w14:textFill>
              </w:rPr>
              <w:t>元</w:t>
            </w:r>
          </w:p>
        </w:tc>
        <w:tc>
          <w:tcPr>
            <w:tcW w:w="1109"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p>
        </w:tc>
        <w:tc>
          <w:tcPr>
            <w:tcW w:w="1252"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p>
        </w:tc>
        <w:tc>
          <w:tcPr>
            <w:tcW w:w="951" w:type="dxa"/>
            <w:vAlign w:val="center"/>
          </w:tcPr>
          <w:p>
            <w:pPr>
              <w:adjustRightInd w:val="0"/>
              <w:snapToGrid w:val="0"/>
              <w:ind w:left="-54" w:leftChars="-26" w:right="-46" w:rightChars="-22"/>
              <w:jc w:val="center"/>
              <w:rPr>
                <w:rFonts w:ascii="仿宋" w:hAnsi="仿宋" w:cs="仿宋_GB2312"/>
                <w:color w:val="000000" w:themeColor="text1"/>
                <w:szCs w:val="21"/>
                <w:highlight w:val="none"/>
                <w14:textFill>
                  <w14:solidFill>
                    <w14:schemeClr w14:val="tx1"/>
                  </w14:solidFill>
                </w14:textFill>
              </w:rPr>
            </w:pPr>
          </w:p>
        </w:tc>
      </w:tr>
    </w:tbl>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注：此表中，投标总价应和分项报价表的总价相一致。</w:t>
      </w: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w:t>
      </w:r>
      <w:r>
        <w:rPr>
          <w:rFonts w:hint="eastAsia" w:ascii="仿宋" w:hAnsi="仿宋" w:cs="仿宋_GB2312"/>
          <w:color w:val="000000" w:themeColor="text1"/>
          <w:szCs w:val="21"/>
          <w:highlight w:val="none"/>
          <w14:textFill>
            <w14:solidFill>
              <w14:schemeClr w14:val="tx1"/>
            </w14:solidFill>
          </w14:textFill>
        </w:rPr>
        <w:t>非法人组织负责人）或</w:t>
      </w:r>
      <w:r>
        <w:rPr>
          <w:rFonts w:hint="eastAsia" w:ascii="仿宋" w:hAnsi="仿宋" w:cs="仿宋_GB2312"/>
          <w:color w:val="000000" w:themeColor="text1"/>
          <w:highlight w:val="none"/>
          <w14:textFill>
            <w14:solidFill>
              <w14:schemeClr w14:val="tx1"/>
            </w14:solidFill>
          </w14:textFill>
        </w:rPr>
        <w:t>其</w:t>
      </w: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w:t>
      </w:r>
      <w:r>
        <w:rPr>
          <w:rFonts w:hint="eastAsia" w:ascii="仿宋" w:hAnsi="仿宋" w:cs="仿宋_GB2312"/>
          <w:color w:val="000000" w:themeColor="text1"/>
          <w:highlight w:val="none"/>
          <w14:textFill>
            <w14:solidFill>
              <w14:schemeClr w14:val="tx1"/>
            </w14:solidFill>
          </w14:textFill>
        </w:rPr>
        <w:t>(签字或盖章)：</w:t>
      </w:r>
    </w:p>
    <w:p>
      <w:pPr>
        <w:spacing w:line="480" w:lineRule="auto"/>
        <w:ind w:right="1050" w:rightChars="500"/>
        <w:jc w:val="left"/>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p>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br w:type="page"/>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t>格式12</w:t>
      </w:r>
    </w:p>
    <w:p>
      <w:pPr>
        <w:adjustRightInd w:val="0"/>
        <w:snapToGrid w:val="0"/>
        <w:spacing w:before="319" w:beforeLines="100" w:after="319" w:afterLines="100" w:line="360" w:lineRule="auto"/>
        <w:ind w:right="105" w:rightChars="50"/>
        <w:jc w:val="center"/>
        <w:rPr>
          <w:rFonts w:ascii="仿宋" w:hAnsi="仿宋" w:cs="仿宋_GB2312"/>
          <w:b/>
          <w:bCs/>
          <w:color w:val="000000" w:themeColor="text1"/>
          <w:sz w:val="32"/>
          <w:szCs w:val="32"/>
          <w:highlight w:val="none"/>
          <w14:textFill>
            <w14:solidFill>
              <w14:schemeClr w14:val="tx1"/>
            </w14:solidFill>
          </w14:textFill>
        </w:rPr>
      </w:pPr>
      <w:bookmarkStart w:id="119" w:name="_Toc16044_WPSOffice_Level2"/>
      <w:bookmarkStart w:id="120" w:name="_Toc28271_WPSOffice_Level2"/>
      <w:r>
        <w:rPr>
          <w:rFonts w:hint="eastAsia" w:ascii="仿宋" w:hAnsi="仿宋" w:cs="仿宋_GB2312"/>
          <w:b/>
          <w:bCs/>
          <w:color w:val="000000" w:themeColor="text1"/>
          <w:sz w:val="32"/>
          <w:szCs w:val="32"/>
          <w:highlight w:val="none"/>
          <w14:textFill>
            <w14:solidFill>
              <w14:schemeClr w14:val="tx1"/>
            </w14:solidFill>
          </w14:textFill>
        </w:rPr>
        <w:t>分项报价表</w:t>
      </w:r>
      <w:bookmarkEnd w:id="119"/>
      <w:bookmarkEnd w:id="120"/>
    </w:p>
    <w:p>
      <w:pPr>
        <w:adjustRightInd w:val="0"/>
        <w:snapToGrid w:val="0"/>
        <w:spacing w:line="360" w:lineRule="auto"/>
        <w:ind w:right="105" w:rightChars="50"/>
        <w:jc w:val="left"/>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 xml:space="preserve">                                                报价单位（元）：</w:t>
      </w:r>
    </w:p>
    <w:tbl>
      <w:tblPr>
        <w:tblStyle w:val="21"/>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序号</w:t>
            </w:r>
          </w:p>
        </w:tc>
        <w:tc>
          <w:tcPr>
            <w:tcW w:w="134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产品名称</w:t>
            </w: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品牌</w:t>
            </w: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型号</w:t>
            </w:r>
          </w:p>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规格</w:t>
            </w:r>
          </w:p>
        </w:tc>
        <w:tc>
          <w:tcPr>
            <w:tcW w:w="721"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数量</w:t>
            </w: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原产地</w:t>
            </w: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制造商名称</w:t>
            </w:r>
          </w:p>
        </w:tc>
        <w:tc>
          <w:tcPr>
            <w:tcW w:w="675"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单价</w:t>
            </w:r>
          </w:p>
        </w:tc>
        <w:tc>
          <w:tcPr>
            <w:tcW w:w="68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总价</w:t>
            </w: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34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721"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75"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8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34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721"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75"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8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34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721"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75"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8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34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721"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75"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8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34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721"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75"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8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347"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721"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75"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68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left="-96" w:leftChars="-46" w:right="-63" w:rightChars="-3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总价</w:t>
            </w:r>
          </w:p>
        </w:tc>
        <w:tc>
          <w:tcPr>
            <w:tcW w:w="1033"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1033"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721"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675"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682"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802"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bl>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注：</w:t>
      </w: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1、此表中，总价应和开标一览表的投标总价相一致。</w:t>
      </w: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2、请</w:t>
      </w:r>
      <w:r>
        <w:rPr>
          <w:rFonts w:hint="eastAsia" w:ascii="仿宋" w:hAnsi="仿宋" w:cs="仿宋_GB2312"/>
          <w:b/>
          <w:color w:val="000000" w:themeColor="text1"/>
          <w:szCs w:val="21"/>
          <w:highlight w:val="none"/>
          <w:u w:val="single"/>
          <w14:textFill>
            <w14:solidFill>
              <w14:schemeClr w14:val="tx1"/>
            </w14:solidFill>
          </w14:textFill>
        </w:rPr>
        <w:t>严格按照注册证规范填写设备名称及型号</w:t>
      </w:r>
      <w:r>
        <w:rPr>
          <w:rFonts w:hint="eastAsia" w:ascii="仿宋" w:hAnsi="仿宋" w:cs="仿宋_GB2312"/>
          <w:color w:val="000000" w:themeColor="text1"/>
          <w:szCs w:val="21"/>
          <w:highlight w:val="none"/>
          <w14:textFill>
            <w14:solidFill>
              <w14:schemeClr w14:val="tx1"/>
            </w14:solidFill>
          </w14:textFill>
        </w:rPr>
        <w:t>，完整一套设备按整套报总价，零件在配置清单中体现；涉及配套使用的有单独注册证的完整设备应以附属设备单独列项报价。</w:t>
      </w: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3、如涉及较大组件（注册证内组件与构成里可体现）</w:t>
      </w:r>
      <w:r>
        <w:rPr>
          <w:rFonts w:hint="eastAsia" w:ascii="仿宋" w:hAnsi="仿宋" w:cs="仿宋_GB2312"/>
          <w:b/>
          <w:color w:val="000000" w:themeColor="text1"/>
          <w:szCs w:val="21"/>
          <w:highlight w:val="none"/>
          <w:u w:val="single"/>
          <w14:textFill>
            <w14:solidFill>
              <w14:schemeClr w14:val="tx1"/>
            </w14:solidFill>
          </w14:textFill>
        </w:rPr>
        <w:t>详细配置可分项报价</w:t>
      </w:r>
      <w:r>
        <w:rPr>
          <w:rFonts w:hint="eastAsia" w:ascii="仿宋" w:hAnsi="仿宋" w:cs="仿宋_GB2312"/>
          <w:color w:val="000000" w:themeColor="text1"/>
          <w:szCs w:val="21"/>
          <w:highlight w:val="none"/>
          <w14:textFill>
            <w14:solidFill>
              <w14:schemeClr w14:val="tx1"/>
            </w14:solidFill>
          </w14:textFill>
        </w:rPr>
        <w:t>，但须与注册证完全一致，有</w:t>
      </w:r>
      <w:r>
        <w:rPr>
          <w:rFonts w:hint="eastAsia" w:ascii="仿宋" w:hAnsi="仿宋" w:cs="仿宋_GB2312"/>
          <w:b/>
          <w:color w:val="000000" w:themeColor="text1"/>
          <w:szCs w:val="21"/>
          <w:highlight w:val="none"/>
          <w:u w:val="single"/>
          <w14:textFill>
            <w14:solidFill>
              <w14:schemeClr w14:val="tx1"/>
            </w14:solidFill>
          </w14:textFill>
        </w:rPr>
        <w:t>亚型号</w:t>
      </w:r>
      <w:r>
        <w:rPr>
          <w:rFonts w:hint="eastAsia" w:ascii="仿宋" w:hAnsi="仿宋" w:cs="仿宋_GB2312"/>
          <w:color w:val="000000" w:themeColor="text1"/>
          <w:szCs w:val="21"/>
          <w:highlight w:val="none"/>
          <w14:textFill>
            <w14:solidFill>
              <w14:schemeClr w14:val="tx1"/>
            </w14:solidFill>
          </w14:textFill>
        </w:rPr>
        <w:t>的须在备注中体现。</w:t>
      </w: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4、如涉及注册证附页内容应</w:t>
      </w:r>
      <w:r>
        <w:rPr>
          <w:rFonts w:hint="eastAsia" w:ascii="仿宋" w:hAnsi="仿宋" w:cs="仿宋_GB2312"/>
          <w:b/>
          <w:color w:val="000000" w:themeColor="text1"/>
          <w:szCs w:val="21"/>
          <w:highlight w:val="none"/>
          <w:u w:val="single"/>
          <w14:textFill>
            <w14:solidFill>
              <w14:schemeClr w14:val="tx1"/>
            </w14:solidFill>
          </w14:textFill>
        </w:rPr>
        <w:t>完整体现附页亚型号及配置</w:t>
      </w:r>
      <w:r>
        <w:rPr>
          <w:rFonts w:hint="eastAsia" w:ascii="仿宋" w:hAnsi="仿宋" w:cs="仿宋_GB2312"/>
          <w:color w:val="000000" w:themeColor="text1"/>
          <w:szCs w:val="21"/>
          <w:highlight w:val="none"/>
          <w14:textFill>
            <w14:solidFill>
              <w14:schemeClr w14:val="tx1"/>
            </w14:solidFill>
          </w14:textFill>
        </w:rPr>
        <w:t>，在备注中体现。</w:t>
      </w: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请严格按照上述要求填列，由评审专家审核，否则将影响评标结果。</w:t>
      </w: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本项内容与后续设备协议签订、验收等各个环节相关，请注意认真填写</w:t>
      </w:r>
    </w:p>
    <w:p>
      <w:pPr>
        <w:adjustRightInd w:val="0"/>
        <w:snapToGrid w:val="0"/>
        <w:spacing w:line="360" w:lineRule="auto"/>
        <w:ind w:right="105" w:rightChars="50" w:firstLine="420" w:firstLineChars="20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adjustRightInd w:val="0"/>
        <w:snapToGrid w:val="0"/>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w:t>
      </w:r>
      <w:r>
        <w:rPr>
          <w:rFonts w:hint="eastAsia" w:ascii="仿宋" w:hAnsi="仿宋" w:cs="仿宋_GB2312"/>
          <w:color w:val="000000" w:themeColor="text1"/>
          <w:szCs w:val="21"/>
          <w:highlight w:val="none"/>
          <w14:textFill>
            <w14:solidFill>
              <w14:schemeClr w14:val="tx1"/>
            </w14:solidFill>
          </w14:textFill>
        </w:rPr>
        <w:t>非法人组织负责人）或</w:t>
      </w:r>
      <w:r>
        <w:rPr>
          <w:rFonts w:hint="eastAsia" w:ascii="仿宋" w:hAnsi="仿宋" w:cs="仿宋_GB2312"/>
          <w:color w:val="000000" w:themeColor="text1"/>
          <w:highlight w:val="none"/>
          <w14:textFill>
            <w14:solidFill>
              <w14:schemeClr w14:val="tx1"/>
            </w14:solidFill>
          </w14:textFill>
        </w:rPr>
        <w:t>其</w:t>
      </w: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w:t>
      </w:r>
      <w:r>
        <w:rPr>
          <w:rFonts w:hint="eastAsia" w:ascii="仿宋" w:hAnsi="仿宋" w:cs="仿宋_GB2312"/>
          <w:color w:val="000000" w:themeColor="text1"/>
          <w:highlight w:val="none"/>
          <w14:textFill>
            <w14:solidFill>
              <w14:schemeClr w14:val="tx1"/>
            </w14:solidFill>
          </w14:textFill>
        </w:rPr>
        <w:t>(签字或盖章)：</w:t>
      </w:r>
    </w:p>
    <w:p>
      <w:pPr>
        <w:adjustRightInd w:val="0"/>
        <w:snapToGrid w:val="0"/>
        <w:spacing w:line="480" w:lineRule="auto"/>
        <w:ind w:right="105" w:rightChars="5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r>
        <w:rPr>
          <w:rFonts w:ascii="仿宋" w:hAnsi="仿宋"/>
          <w:color w:val="000000" w:themeColor="text1"/>
          <w:highlight w:val="none"/>
          <w14:textFill>
            <w14:solidFill>
              <w14:schemeClr w14:val="tx1"/>
            </w14:solidFill>
          </w14:textFill>
        </w:rPr>
        <w:br w:type="page"/>
      </w:r>
    </w:p>
    <w:p>
      <w:pPr>
        <w:rPr>
          <w:rFonts w:ascii="仿宋" w:hAnsi="仿宋"/>
          <w:color w:val="000000" w:themeColor="text1"/>
          <w:highlight w:val="none"/>
          <w14:textFill>
            <w14:solidFill>
              <w14:schemeClr w14:val="tx1"/>
            </w14:solidFill>
          </w14:textFill>
        </w:rPr>
      </w:pPr>
    </w:p>
    <w:tbl>
      <w:tblPr>
        <w:tblStyle w:val="21"/>
        <w:tblW w:w="8506" w:type="dxa"/>
        <w:tblInd w:w="-127" w:type="dxa"/>
        <w:tblLayout w:type="autofit"/>
        <w:tblCellMar>
          <w:top w:w="0" w:type="dxa"/>
          <w:left w:w="0" w:type="dxa"/>
          <w:bottom w:w="0" w:type="dxa"/>
          <w:right w:w="0" w:type="dxa"/>
        </w:tblCellMar>
      </w:tblPr>
      <w:tblGrid>
        <w:gridCol w:w="3403"/>
        <w:gridCol w:w="1701"/>
        <w:gridCol w:w="1701"/>
        <w:gridCol w:w="1701"/>
      </w:tblGrid>
      <w:tr>
        <w:tblPrEx>
          <w:tblCellMar>
            <w:top w:w="0" w:type="dxa"/>
            <w:left w:w="0" w:type="dxa"/>
            <w:bottom w:w="0" w:type="dxa"/>
            <w:right w:w="0" w:type="dxa"/>
          </w:tblCellMar>
        </w:tblPrEx>
        <w:trPr>
          <w:trHeight w:val="1560" w:hRule="atLeast"/>
        </w:trPr>
        <w:tc>
          <w:tcPr>
            <w:tcW w:w="8506" w:type="dxa"/>
            <w:gridSpan w:val="4"/>
            <w:noWrap/>
            <w:tcMar>
              <w:top w:w="15" w:type="dxa"/>
              <w:left w:w="15" w:type="dxa"/>
              <w:bottom w:w="0" w:type="dxa"/>
              <w:right w:w="15" w:type="dxa"/>
            </w:tcMar>
            <w:vAlign w:val="center"/>
          </w:tcPr>
          <w:p>
            <w:pPr>
              <w:adjustRightInd w:val="0"/>
              <w:snapToGrid w:val="0"/>
              <w:spacing w:before="319" w:beforeLines="100" w:after="319" w:afterLines="100" w:line="360" w:lineRule="auto"/>
              <w:ind w:right="105" w:rightChars="50"/>
              <w:jc w:val="center"/>
              <w:rPr>
                <w:rFonts w:ascii="仿宋" w:hAnsi="仿宋" w:cs="仿宋_GB2312"/>
                <w:b/>
                <w:bCs/>
                <w:color w:val="000000" w:themeColor="text1"/>
                <w:sz w:val="32"/>
                <w:szCs w:val="32"/>
                <w:highlight w:val="none"/>
                <w14:textFill>
                  <w14:solidFill>
                    <w14:schemeClr w14:val="tx1"/>
                  </w14:solidFill>
                </w14:textFill>
              </w:rPr>
            </w:pPr>
            <w:r>
              <w:rPr>
                <w:rFonts w:hint="eastAsia" w:ascii="仿宋" w:hAnsi="仿宋" w:cs="仿宋_GB2312"/>
                <w:b/>
                <w:bCs/>
                <w:color w:val="000000" w:themeColor="text1"/>
                <w:sz w:val="32"/>
                <w:szCs w:val="32"/>
                <w:highlight w:val="none"/>
                <w14:textFill>
                  <w14:solidFill>
                    <w14:schemeClr w14:val="tx1"/>
                  </w14:solidFill>
                </w14:textFill>
              </w:rPr>
              <w:t>配置清单一览表</w:t>
            </w:r>
          </w:p>
        </w:tc>
      </w:tr>
      <w:tr>
        <w:tblPrEx>
          <w:tblCellMar>
            <w:top w:w="0" w:type="dxa"/>
            <w:left w:w="0" w:type="dxa"/>
            <w:bottom w:w="0" w:type="dxa"/>
            <w:right w:w="0" w:type="dxa"/>
          </w:tblCellMar>
        </w:tblPrEx>
        <w:trPr>
          <w:trHeight w:val="76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仿宋" w:hAnsi="仿宋" w:cs="宋体"/>
                <w:color w:val="000000" w:themeColor="text1"/>
                <w:sz w:val="24"/>
                <w:highlight w:val="none"/>
                <w14:textFill>
                  <w14:solidFill>
                    <w14:schemeClr w14:val="tx1"/>
                  </w14:solidFill>
                </w14:textFill>
              </w:rPr>
            </w:pPr>
            <w:r>
              <w:rPr>
                <w:rFonts w:hint="eastAsia" w:ascii="仿宋" w:hAnsi="仿宋" w:cs="宋体"/>
                <w:color w:val="000000" w:themeColor="text1"/>
                <w:kern w:val="0"/>
                <w:sz w:val="24"/>
                <w:highlight w:val="none"/>
                <w14:textFill>
                  <w14:solidFill>
                    <w14:schemeClr w14:val="tx1"/>
                  </w14:solidFill>
                </w14:textFill>
              </w:rPr>
              <w:t>备品或附属设备名称</w:t>
            </w: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仿宋" w:hAnsi="仿宋" w:cs="宋体"/>
                <w:color w:val="000000" w:themeColor="text1"/>
                <w:sz w:val="24"/>
                <w:highlight w:val="none"/>
                <w14:textFill>
                  <w14:solidFill>
                    <w14:schemeClr w14:val="tx1"/>
                  </w14:solidFill>
                </w14:textFill>
              </w:rPr>
            </w:pPr>
            <w:r>
              <w:rPr>
                <w:rFonts w:hint="eastAsia" w:ascii="仿宋" w:hAnsi="仿宋" w:cs="宋体"/>
                <w:color w:val="000000" w:themeColor="text1"/>
                <w:kern w:val="0"/>
                <w:sz w:val="24"/>
                <w:highlight w:val="none"/>
                <w14:textFill>
                  <w14:solidFill>
                    <w14:schemeClr w14:val="tx1"/>
                  </w14:solidFill>
                </w14:textFill>
              </w:rPr>
              <w:t>产品型号</w:t>
            </w: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仿宋" w:hAnsi="仿宋" w:cs="宋体"/>
                <w:color w:val="000000" w:themeColor="text1"/>
                <w:sz w:val="24"/>
                <w:highlight w:val="none"/>
                <w14:textFill>
                  <w14:solidFill>
                    <w14:schemeClr w14:val="tx1"/>
                  </w14:solidFill>
                </w14:textFill>
              </w:rPr>
            </w:pPr>
            <w:r>
              <w:rPr>
                <w:rFonts w:hint="eastAsia" w:ascii="仿宋" w:hAnsi="仿宋" w:cs="宋体"/>
                <w:color w:val="000000" w:themeColor="text1"/>
                <w:kern w:val="0"/>
                <w:sz w:val="24"/>
                <w:highlight w:val="none"/>
                <w14:textFill>
                  <w14:solidFill>
                    <w14:schemeClr w14:val="tx1"/>
                  </w14:solidFill>
                </w14:textFill>
              </w:rPr>
              <w:t>单位（台/件）</w:t>
            </w: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仿宋" w:hAnsi="仿宋" w:cs="宋体"/>
                <w:color w:val="000000" w:themeColor="text1"/>
                <w:sz w:val="24"/>
                <w:highlight w:val="none"/>
                <w14:textFill>
                  <w14:solidFill>
                    <w14:schemeClr w14:val="tx1"/>
                  </w14:solidFill>
                </w14:textFill>
              </w:rPr>
            </w:pPr>
            <w:r>
              <w:rPr>
                <w:rFonts w:hint="eastAsia" w:ascii="仿宋" w:hAnsi="仿宋" w:cs="宋体"/>
                <w:color w:val="000000" w:themeColor="text1"/>
                <w:kern w:val="0"/>
                <w:sz w:val="24"/>
                <w:highlight w:val="none"/>
                <w14:textFill>
                  <w14:solidFill>
                    <w14:schemeClr w14:val="tx1"/>
                  </w14:solidFill>
                </w14:textFill>
              </w:rPr>
              <w:t>数量</w:t>
            </w: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宋体"/>
                <w:color w:val="000000" w:themeColor="text1"/>
                <w:sz w:val="24"/>
                <w:highlight w:val="none"/>
                <w14:textFill>
                  <w14:solidFill>
                    <w14:schemeClr w14:val="tx1"/>
                  </w14:solidFill>
                </w14:textFill>
              </w:rPr>
            </w:pPr>
          </w:p>
        </w:tc>
      </w:tr>
    </w:tbl>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格式13</w:t>
      </w:r>
    </w:p>
    <w:p>
      <w:pPr>
        <w:adjustRightInd w:val="0"/>
        <w:snapToGrid w:val="0"/>
        <w:spacing w:before="319" w:beforeLines="100" w:line="360" w:lineRule="auto"/>
        <w:ind w:right="105" w:rightChars="50"/>
        <w:jc w:val="center"/>
        <w:rPr>
          <w:rFonts w:ascii="仿宋" w:hAnsi="仿宋" w:cs="仿宋_GB2312"/>
          <w:b/>
          <w:bCs/>
          <w:color w:val="000000" w:themeColor="text1"/>
          <w:sz w:val="32"/>
          <w:szCs w:val="32"/>
          <w:highlight w:val="none"/>
          <w14:textFill>
            <w14:solidFill>
              <w14:schemeClr w14:val="tx1"/>
            </w14:solidFill>
          </w14:textFill>
        </w:rPr>
      </w:pPr>
      <w:bookmarkStart w:id="121" w:name="_Toc31555_WPSOffice_Level2"/>
      <w:bookmarkStart w:id="122" w:name="_Toc9235_WPSOffice_Level2"/>
      <w:r>
        <w:rPr>
          <w:rFonts w:hint="eastAsia" w:ascii="仿宋" w:hAnsi="仿宋" w:cs="仿宋_GB2312"/>
          <w:b/>
          <w:bCs/>
          <w:color w:val="000000" w:themeColor="text1"/>
          <w:sz w:val="32"/>
          <w:szCs w:val="32"/>
          <w:highlight w:val="none"/>
          <w14:textFill>
            <w14:solidFill>
              <w14:schemeClr w14:val="tx1"/>
            </w14:solidFill>
          </w14:textFill>
        </w:rPr>
        <w:t>技术规格偏离表</w:t>
      </w:r>
      <w:bookmarkEnd w:id="121"/>
      <w:bookmarkEnd w:id="122"/>
    </w:p>
    <w:tbl>
      <w:tblPr>
        <w:tblStyle w:val="21"/>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序号：</w:t>
            </w:r>
          </w:p>
          <w:p>
            <w:pPr>
              <w:pStyle w:val="17"/>
              <w:widowControl w:val="0"/>
              <w:adjustRightInd w:val="0"/>
              <w:snapToGrid w:val="0"/>
              <w:spacing w:before="0" w:beforeAutospacing="0" w:after="0" w:afterAutospacing="0"/>
              <w:jc w:val="both"/>
              <w:rPr>
                <w:rFonts w:ascii="仿宋" w:hAnsi="仿宋" w:eastAsia="仿宋" w:cs="仿宋_GB2312"/>
                <w:color w:val="000000" w:themeColor="text1"/>
                <w:sz w:val="21"/>
                <w:szCs w:val="21"/>
                <w:highlight w:val="none"/>
                <w14:textFill>
                  <w14:solidFill>
                    <w14:schemeClr w14:val="tx1"/>
                  </w14:solidFill>
                </w14:textFill>
              </w:rPr>
            </w:pPr>
            <w:r>
              <w:rPr>
                <w:rFonts w:hint="eastAsia" w:ascii="仿宋" w:hAnsi="仿宋" w:eastAsia="仿宋" w:cs="仿宋_GB2312"/>
                <w:color w:val="000000" w:themeColor="text1"/>
                <w:sz w:val="21"/>
                <w:szCs w:val="21"/>
                <w:highlight w:val="none"/>
                <w14:textFill>
                  <w14:solidFill>
                    <w14:schemeClr w14:val="tx1"/>
                  </w14:solidFill>
                </w14:textFill>
              </w:rPr>
              <w:t>产品名称：</w:t>
            </w:r>
          </w:p>
          <w:p>
            <w:pPr>
              <w:pStyle w:val="17"/>
              <w:widowControl w:val="0"/>
              <w:adjustRightInd w:val="0"/>
              <w:snapToGrid w:val="0"/>
              <w:spacing w:before="0" w:beforeAutospacing="0" w:after="0" w:afterAutospacing="0"/>
              <w:jc w:val="both"/>
              <w:rPr>
                <w:rFonts w:ascii="仿宋" w:hAnsi="仿宋" w:eastAsia="仿宋" w:cs="仿宋_GB2312"/>
                <w:color w:val="000000" w:themeColor="text1"/>
                <w:sz w:val="21"/>
                <w:szCs w:val="21"/>
                <w:highlight w:val="none"/>
                <w14:textFill>
                  <w14:solidFill>
                    <w14:schemeClr w14:val="tx1"/>
                  </w14:solidFill>
                </w14:textFill>
              </w:rPr>
            </w:pPr>
            <w:r>
              <w:rPr>
                <w:rFonts w:hint="eastAsia" w:ascii="仿宋" w:hAnsi="仿宋" w:eastAsia="仿宋" w:cs="仿宋_GB2312"/>
                <w:color w:val="000000" w:themeColor="text1"/>
                <w:sz w:val="21"/>
                <w:szCs w:val="21"/>
                <w:highlight w:val="none"/>
                <w14:textFill>
                  <w14:solidFill>
                    <w14:schemeClr w14:val="tx1"/>
                  </w14:solidFill>
                </w14:textFill>
              </w:rPr>
              <w:t>数量：</w:t>
            </w:r>
          </w:p>
          <w:p>
            <w:pPr>
              <w:tabs>
                <w:tab w:val="left" w:pos="0"/>
              </w:tabs>
              <w:adjustRightInd w:val="0"/>
              <w:snapToGrid w:val="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是否为经过审批采购的进口产品：</w:t>
            </w:r>
          </w:p>
          <w:p>
            <w:pPr>
              <w:tabs>
                <w:tab w:val="left" w:pos="0"/>
              </w:tabs>
              <w:adjustRightInd w:val="0"/>
              <w:snapToGrid w:val="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是否为核心产品：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招标文件要求</w:t>
            </w:r>
          </w:p>
          <w:p>
            <w:pPr>
              <w:ind w:hanging="1"/>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b/>
                <w:color w:val="000000" w:themeColor="text1"/>
                <w:sz w:val="18"/>
                <w:szCs w:val="18"/>
                <w:highlight w:val="none"/>
                <w14:textFill>
                  <w14:solidFill>
                    <w14:schemeClr w14:val="tx1"/>
                  </w14:solidFill>
                </w14:textFill>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投标文件</w:t>
            </w:r>
          </w:p>
          <w:p>
            <w:pPr>
              <w:tabs>
                <w:tab w:val="left" w:pos="0"/>
              </w:tabs>
              <w:spacing w:line="240" w:lineRule="exact"/>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按采购需求填写</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 w:hAnsi="仿宋" w:cs="仿宋_GB2312"/>
                <w:color w:val="000000" w:themeColor="text1"/>
                <w:kern w:val="0"/>
                <w:szCs w:val="21"/>
                <w:highlight w:val="none"/>
                <w14:textFill>
                  <w14:solidFill>
                    <w14:schemeClr w14:val="tx1"/>
                  </w14:solidFill>
                </w14:textFill>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_GB2312"/>
                <w:color w:val="000000" w:themeColor="text1"/>
                <w:kern w:val="0"/>
                <w:szCs w:val="21"/>
                <w:highlight w:val="none"/>
                <w14:textFill>
                  <w14:solidFill>
                    <w14:schemeClr w14:val="tx1"/>
                  </w14:solidFill>
                </w14:textFill>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_GB2312"/>
                <w:color w:val="000000" w:themeColor="text1"/>
                <w:kern w:val="0"/>
                <w:szCs w:val="21"/>
                <w:highlight w:val="none"/>
                <w14:textFill>
                  <w14:solidFill>
                    <w14:schemeClr w14:val="tx1"/>
                  </w14:solidFill>
                </w14:textFill>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_GB2312"/>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其它</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4" w:rightChars="-26"/>
              <w:jc w:val="left"/>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_GB2312"/>
                <w:color w:val="000000" w:themeColor="text1"/>
                <w:kern w:val="0"/>
                <w:szCs w:val="21"/>
                <w:highlight w:val="none"/>
                <w14:textFill>
                  <w14:solidFill>
                    <w14:schemeClr w14:val="tx1"/>
                  </w14:solidFill>
                </w14:textFill>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_GB2312"/>
                <w:color w:val="000000" w:themeColor="text1"/>
                <w:kern w:val="0"/>
                <w:szCs w:val="21"/>
                <w:highlight w:val="none"/>
                <w14:textFill>
                  <w14:solidFill>
                    <w14:schemeClr w14:val="tx1"/>
                  </w14:solidFill>
                </w14:textFill>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_GB2312"/>
                <w:color w:val="000000" w:themeColor="text1"/>
                <w:kern w:val="0"/>
                <w:szCs w:val="21"/>
                <w:highlight w:val="none"/>
                <w14:textFill>
                  <w14:solidFill>
                    <w14:schemeClr w14:val="tx1"/>
                  </w14:solidFill>
                </w14:textFill>
              </w:rPr>
            </w:pPr>
          </w:p>
        </w:tc>
      </w:tr>
    </w:tbl>
    <w:p>
      <w:pPr>
        <w:adjustRightInd w:val="0"/>
        <w:snapToGrid w:val="0"/>
        <w:spacing w:line="360" w:lineRule="auto"/>
        <w:ind w:right="105" w:rightChars="50"/>
        <w:jc w:val="left"/>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b/>
          <w:color w:val="000000" w:themeColor="text1"/>
          <w:szCs w:val="21"/>
          <w:highlight w:val="none"/>
          <w14:textFill>
            <w14:solidFill>
              <w14:schemeClr w14:val="tx1"/>
            </w14:solidFill>
          </w14:textFill>
        </w:rPr>
        <w:t>填表要求：</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1．“投标文件响应内容”一栏由投标人按照招标文件要求填写并进行逐项响应。</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3．“偏离说明”一栏由投标人对偏离的情况做详细说明。</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p>
    <w:p>
      <w:pPr>
        <w:snapToGrid w:val="0"/>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snapToGrid w:val="0"/>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w:t>
      </w:r>
      <w:r>
        <w:rPr>
          <w:rFonts w:hint="eastAsia" w:ascii="仿宋" w:hAnsi="仿宋" w:cs="仿宋_GB2312"/>
          <w:color w:val="000000" w:themeColor="text1"/>
          <w:szCs w:val="21"/>
          <w:highlight w:val="none"/>
          <w14:textFill>
            <w14:solidFill>
              <w14:schemeClr w14:val="tx1"/>
            </w14:solidFill>
          </w14:textFill>
        </w:rPr>
        <w:t>非法人组织负责人）或</w:t>
      </w:r>
      <w:r>
        <w:rPr>
          <w:rFonts w:hint="eastAsia" w:ascii="仿宋" w:hAnsi="仿宋" w:cs="仿宋_GB2312"/>
          <w:color w:val="000000" w:themeColor="text1"/>
          <w:highlight w:val="none"/>
          <w14:textFill>
            <w14:solidFill>
              <w14:schemeClr w14:val="tx1"/>
            </w14:solidFill>
          </w14:textFill>
        </w:rPr>
        <w:t>其</w:t>
      </w: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w:t>
      </w:r>
      <w:r>
        <w:rPr>
          <w:rFonts w:hint="eastAsia" w:ascii="仿宋" w:hAnsi="仿宋" w:cs="仿宋_GB2312"/>
          <w:color w:val="000000" w:themeColor="text1"/>
          <w:highlight w:val="none"/>
          <w14:textFill>
            <w14:solidFill>
              <w14:schemeClr w14:val="tx1"/>
            </w14:solidFill>
          </w14:textFill>
        </w:rPr>
        <w:t>(签字或盖章)：</w:t>
      </w:r>
    </w:p>
    <w:p>
      <w:pPr>
        <w:adjustRightInd w:val="0"/>
        <w:snapToGrid w:val="0"/>
        <w:spacing w:line="480" w:lineRule="auto"/>
        <w:ind w:right="105" w:rightChars="50"/>
        <w:jc w:val="left"/>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b w:val="0"/>
          <w:color w:val="000000" w:themeColor="text1"/>
          <w:szCs w:val="28"/>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格式14</w:t>
      </w:r>
    </w:p>
    <w:p>
      <w:pPr>
        <w:adjustRightInd w:val="0"/>
        <w:snapToGrid w:val="0"/>
        <w:ind w:right="105" w:rightChars="50"/>
        <w:jc w:val="center"/>
        <w:rPr>
          <w:rFonts w:ascii="仿宋" w:hAnsi="仿宋" w:cs="仿宋_GB2312"/>
          <w:b/>
          <w:bCs/>
          <w:color w:val="000000" w:themeColor="text1"/>
          <w:sz w:val="32"/>
          <w:szCs w:val="32"/>
          <w:highlight w:val="none"/>
          <w14:textFill>
            <w14:solidFill>
              <w14:schemeClr w14:val="tx1"/>
            </w14:solidFill>
          </w14:textFill>
        </w:rPr>
      </w:pPr>
      <w:bookmarkStart w:id="123" w:name="_Toc8488_WPSOffice_Level2"/>
      <w:bookmarkStart w:id="124" w:name="_Toc4431_WPSOffice_Level2"/>
      <w:r>
        <w:rPr>
          <w:rFonts w:hint="eastAsia" w:ascii="仿宋" w:hAnsi="仿宋" w:cs="仿宋_GB2312"/>
          <w:b/>
          <w:bCs/>
          <w:color w:val="000000" w:themeColor="text1"/>
          <w:sz w:val="32"/>
          <w:szCs w:val="32"/>
          <w:highlight w:val="none"/>
          <w14:textFill>
            <w14:solidFill>
              <w14:schemeClr w14:val="tx1"/>
            </w14:solidFill>
          </w14:textFill>
        </w:rPr>
        <w:t>商务条款偏离表</w:t>
      </w:r>
      <w:bookmarkEnd w:id="123"/>
      <w:bookmarkEnd w:id="124"/>
    </w:p>
    <w:p>
      <w:pPr>
        <w:adjustRightInd w:val="0"/>
        <w:snapToGrid w:val="0"/>
        <w:spacing w:line="360" w:lineRule="auto"/>
        <w:ind w:right="105" w:rightChars="50"/>
        <w:jc w:val="left"/>
        <w:rPr>
          <w:rFonts w:ascii="仿宋" w:hAnsi="仿宋" w:cs="仿宋_GB2312"/>
          <w:b/>
          <w:bCs/>
          <w:color w:val="000000" w:themeColor="text1"/>
          <w:szCs w:val="21"/>
          <w:highlight w:val="none"/>
          <w14:textFill>
            <w14:solidFill>
              <w14:schemeClr w14:val="tx1"/>
            </w14:solidFill>
          </w14:textFill>
        </w:rPr>
      </w:pPr>
    </w:p>
    <w:tbl>
      <w:tblPr>
        <w:tblStyle w:val="21"/>
        <w:tblW w:w="10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5326"/>
        <w:gridCol w:w="2370"/>
        <w:gridCol w:w="926"/>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08" w:type="dxa"/>
            <w:vAlign w:val="center"/>
          </w:tcPr>
          <w:p>
            <w:pPr>
              <w:adjustRightInd w:val="0"/>
              <w:snapToGrid w:val="0"/>
              <w:ind w:right="-48" w:rightChars="-23"/>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序号</w:t>
            </w:r>
          </w:p>
        </w:tc>
        <w:tc>
          <w:tcPr>
            <w:tcW w:w="5326" w:type="dxa"/>
            <w:vAlign w:val="center"/>
          </w:tcPr>
          <w:p>
            <w:pPr>
              <w:adjustRightInd w:val="0"/>
              <w:snapToGrid w:val="0"/>
              <w:ind w:right="-73" w:rightChars="-35"/>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招标文件的商务条款</w:t>
            </w:r>
          </w:p>
          <w:p>
            <w:pPr>
              <w:adjustRightInd w:val="0"/>
              <w:snapToGrid w:val="0"/>
              <w:ind w:right="-73" w:rightChars="-35"/>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r>
              <w:rPr>
                <w:rFonts w:hint="eastAsia" w:ascii="仿宋" w:hAnsi="仿宋" w:cs="仿宋_GB2312"/>
                <w:b/>
                <w:color w:val="000000" w:themeColor="text1"/>
                <w:sz w:val="18"/>
                <w:szCs w:val="18"/>
                <w:highlight w:val="none"/>
                <w14:textFill>
                  <w14:solidFill>
                    <w14:schemeClr w14:val="tx1"/>
                  </w14:solidFill>
                </w14:textFill>
              </w:rPr>
              <w:t>实质性要求及重要指标用★标注，★标注项不得负偏离，如果负偏离，则投标文件无效。</w:t>
            </w:r>
            <w:r>
              <w:rPr>
                <w:rFonts w:hint="eastAsia" w:ascii="仿宋" w:hAnsi="仿宋" w:cs="仿宋_GB2312"/>
                <w:color w:val="000000" w:themeColor="text1"/>
                <w:szCs w:val="21"/>
                <w:highlight w:val="none"/>
                <w14:textFill>
                  <w14:solidFill>
                    <w14:schemeClr w14:val="tx1"/>
                  </w14:solidFill>
                </w14:textFill>
              </w:rPr>
              <w:t>）</w:t>
            </w:r>
          </w:p>
        </w:tc>
        <w:tc>
          <w:tcPr>
            <w:tcW w:w="2370" w:type="dxa"/>
            <w:vAlign w:val="center"/>
          </w:tcPr>
          <w:p>
            <w:pPr>
              <w:adjustRightInd w:val="0"/>
              <w:snapToGrid w:val="0"/>
              <w:ind w:right="-107" w:rightChars="-51"/>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投标文件响应内容</w:t>
            </w:r>
          </w:p>
        </w:tc>
        <w:tc>
          <w:tcPr>
            <w:tcW w:w="926" w:type="dxa"/>
            <w:vAlign w:val="center"/>
          </w:tcPr>
          <w:p>
            <w:pPr>
              <w:adjustRightInd w:val="0"/>
              <w:snapToGrid w:val="0"/>
              <w:ind w:left="-58" w:leftChars="-28" w:right="-105" w:rightChars="-5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偏离程度</w:t>
            </w:r>
          </w:p>
        </w:tc>
        <w:tc>
          <w:tcPr>
            <w:tcW w:w="936" w:type="dxa"/>
            <w:vAlign w:val="center"/>
          </w:tcPr>
          <w:p>
            <w:pPr>
              <w:adjustRightInd w:val="0"/>
              <w:snapToGrid w:val="0"/>
              <w:ind w:left="-58" w:leftChars="-28" w:right="-105" w:rightChars="-5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08" w:type="dxa"/>
            <w:vAlign w:val="center"/>
          </w:tcPr>
          <w:p>
            <w:pPr>
              <w:jc w:val="center"/>
              <w:rPr>
                <w:rFonts w:ascii="仿宋" w:hAnsi="仿宋"/>
                <w:color w:val="000000" w:themeColor="text1"/>
                <w:highlight w:val="none"/>
                <w14:textFill>
                  <w14:solidFill>
                    <w14:schemeClr w14:val="tx1"/>
                  </w14:solidFill>
                </w14:textFill>
              </w:rPr>
            </w:pPr>
            <w:bookmarkStart w:id="125" w:name="OLE_LINK3" w:colFirst="1" w:colLast="1"/>
            <w:bookmarkStart w:id="126" w:name="_Hlk85543166"/>
            <w:r>
              <w:rPr>
                <w:rFonts w:hint="eastAsia" w:ascii="仿宋" w:hAnsi="仿宋"/>
                <w:color w:val="000000" w:themeColor="text1"/>
                <w:highlight w:val="none"/>
                <w14:textFill>
                  <w14:solidFill>
                    <w14:schemeClr w14:val="tx1"/>
                  </w14:solidFill>
                </w14:textFill>
              </w:rPr>
              <w:t>1</w:t>
            </w:r>
          </w:p>
        </w:tc>
        <w:tc>
          <w:tcPr>
            <w:tcW w:w="5326" w:type="dxa"/>
            <w:vAlign w:val="center"/>
          </w:tcPr>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1.交货时间及地点：</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（1）交货时间：交货日期为自本合同签字日起国产设备1个月内，进口设备3个月内，以供货方将产品送达采购方指定到货地点、卸货并完成安装、调试的日期为准。</w:t>
            </w:r>
          </w:p>
          <w:p>
            <w:pPr>
              <w:widowControl/>
              <w:spacing w:line="360" w:lineRule="auto"/>
              <w:ind w:firstLine="420" w:firstLineChars="200"/>
              <w:jc w:val="left"/>
              <w:rPr>
                <w:rFonts w:ascii="仿宋" w:hAnsi="仿宋"/>
                <w:color w:val="000000" w:themeColor="text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（2）交付地点：大连医科大学附属第二医院指定。</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08" w:type="dxa"/>
            <w:vAlign w:val="center"/>
          </w:tcPr>
          <w:p>
            <w:pPr>
              <w:jc w:val="center"/>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2</w:t>
            </w:r>
          </w:p>
        </w:tc>
        <w:tc>
          <w:tcPr>
            <w:tcW w:w="5326" w:type="dxa"/>
            <w:vAlign w:val="center"/>
          </w:tcPr>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2.付款方式：</w:t>
            </w:r>
          </w:p>
          <w:p>
            <w:pPr>
              <w:widowControl/>
              <w:spacing w:line="360" w:lineRule="auto"/>
              <w:ind w:firstLine="420" w:firstLineChars="200"/>
              <w:jc w:val="left"/>
              <w:rPr>
                <w:rFonts w:ascii="仿宋" w:hAnsi="仿宋"/>
                <w:color w:val="000000" w:themeColor="text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本合同全部价款，将按照下述付款进度支付:(1)合同签订后7日内乙方需按照合同所附保函格式开具符合甲方要求的 30%合同金额预付款保函，乙方办理预付款保函的费用己包括在合同价格内。甲方应在收到预付款保函之日起【7】日内，向乙方指定帐户支付30%合同金额的预付款。(2)乙方需在合同签订后四个月内按照合同所附保函格式开具符合甲方要求的70%合同金额履约保函，乙方办理预付款保函的费用己包括在合同价格内。甲方应在收到履约保函之日起【7】日内，向乙方指定帐户支付70%合同金额的预付款。(3)设备到达甲方指定地点并收到乙方出具的正本全额增值税专用发票，甲方即退回70%履约保函，乙方提交发票的信息与合同中的收款单位、银行账户(包括银行账户名称、账号、开户行)等信息必须保持一致。乙方不得随意更改，否则影响付款的后果由乙方自行承担。乙方需按照合同所附保函格式开具符合甲方要求的预付款保函及履约保函，保函需由甲方认可的商业银行以书面形式出具，保函有效期自开立之日起生效至2025年9月底。</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08" w:type="dxa"/>
            <w:vAlign w:val="center"/>
          </w:tcPr>
          <w:p>
            <w:pPr>
              <w:jc w:val="center"/>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3</w:t>
            </w:r>
          </w:p>
        </w:tc>
        <w:tc>
          <w:tcPr>
            <w:tcW w:w="5326" w:type="dxa"/>
            <w:vAlign w:val="center"/>
          </w:tcPr>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3.需执行的国家相关标准、行业标准、地方标准或者其他标准、规范：</w:t>
            </w:r>
          </w:p>
          <w:p>
            <w:pPr>
              <w:widowControl/>
              <w:spacing w:line="360" w:lineRule="auto"/>
              <w:ind w:firstLine="420" w:firstLineChars="200"/>
              <w:jc w:val="left"/>
              <w:rPr>
                <w:rFonts w:ascii="仿宋" w:hAnsi="仿宋"/>
                <w:color w:val="000000" w:themeColor="text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执行国家相关标准、行业标准、地方标准或者其他标准、规范。根据国家或地方政府规定强制检验、检测、检疫、认证证明产生的费用由供货方承担。</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08" w:type="dxa"/>
            <w:vAlign w:val="center"/>
          </w:tcPr>
          <w:p>
            <w:pPr>
              <w:jc w:val="center"/>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4</w:t>
            </w:r>
          </w:p>
        </w:tc>
        <w:tc>
          <w:tcPr>
            <w:tcW w:w="5326" w:type="dxa"/>
            <w:vAlign w:val="center"/>
          </w:tcPr>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4.安装调试：</w:t>
            </w:r>
          </w:p>
          <w:p>
            <w:pPr>
              <w:widowControl/>
              <w:spacing w:line="360" w:lineRule="auto"/>
              <w:ind w:firstLine="420" w:firstLineChars="200"/>
              <w:jc w:val="left"/>
              <w:rPr>
                <w:rFonts w:ascii="仿宋" w:hAnsi="仿宋"/>
                <w:color w:val="000000" w:themeColor="text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货到后，供货方须在约定的时间内，到指定的地点免费为用户进行安装、调试。</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08" w:type="dxa"/>
            <w:vAlign w:val="center"/>
          </w:tcPr>
          <w:p>
            <w:pPr>
              <w:jc w:val="center"/>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5</w:t>
            </w:r>
          </w:p>
        </w:tc>
        <w:tc>
          <w:tcPr>
            <w:tcW w:w="5326" w:type="dxa"/>
            <w:vAlign w:val="center"/>
          </w:tcPr>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5.技术服务及培训：</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免费提供产品的中文使用说明、中文维修手册、中文操作手册和现场培训，并提供维护手册电子版文件，有标准的开放数字化接口（并配合甲方完成HIS系统的对接工作）等。</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自带独立软件操作系统的（一般为进口设备），需提供系统备份。</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特殊专科设备在现场培训的同时，应根据院方要求提供设备临床现场使用指导服务。</w:t>
            </w:r>
          </w:p>
          <w:p>
            <w:pPr>
              <w:widowControl/>
              <w:jc w:val="left"/>
              <w:rPr>
                <w:rFonts w:ascii="仿宋" w:hAnsi="仿宋"/>
                <w:color w:val="000000" w:themeColor="text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如产品属于特种设备，供货方应在产品安装前或者投入使用后1个月内配合相关科室完成特种设备使用登记，取得使用登记证书。</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08" w:type="dxa"/>
            <w:vAlign w:val="center"/>
          </w:tcPr>
          <w:p>
            <w:pPr>
              <w:jc w:val="center"/>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6</w:t>
            </w:r>
          </w:p>
        </w:tc>
        <w:tc>
          <w:tcPr>
            <w:tcW w:w="5326" w:type="dxa"/>
            <w:vAlign w:val="center"/>
          </w:tcPr>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6.验收标准及方法：</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本项目采购人及其委托的采购代理机构将严格按照政府采购相关法律法规以及《辽宁省政府采购履约验收管理办法》（辽财采〔2017〕603号）的要求进行验收。交付产品应为自验收之日前一年内生产的全新产品，否则不予验收。</w:t>
            </w:r>
          </w:p>
          <w:p>
            <w:pPr>
              <w:widowControl/>
              <w:jc w:val="left"/>
              <w:rPr>
                <w:rFonts w:ascii="仿宋" w:hAnsi="仿宋"/>
                <w:color w:val="000000" w:themeColor="text1"/>
                <w:highlight w:val="none"/>
                <w14:textFill>
                  <w14:solidFill>
                    <w14:schemeClr w14:val="tx1"/>
                  </w14:solidFill>
                </w14:textFill>
              </w:rPr>
            </w:pP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vAlign w:val="center"/>
          </w:tcPr>
          <w:p>
            <w:pPr>
              <w:jc w:val="center"/>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7</w:t>
            </w:r>
          </w:p>
        </w:tc>
        <w:tc>
          <w:tcPr>
            <w:tcW w:w="5326" w:type="dxa"/>
            <w:vAlign w:val="center"/>
          </w:tcPr>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7.质量保证和售后服务要求，需满足的服务标准、期限、效率等：</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bookmarkStart w:id="127" w:name="OLE_LINK5"/>
            <w:r>
              <w:rPr>
                <w:rFonts w:hint="eastAsia" w:ascii="仿宋" w:hAnsi="仿宋" w:cs="仿宋"/>
                <w:color w:val="000000" w:themeColor="text1"/>
                <w:szCs w:val="21"/>
                <w:highlight w:val="none"/>
                <w14:textFill>
                  <w14:solidFill>
                    <w14:schemeClr w14:val="tx1"/>
                  </w14:solidFill>
                </w14:textFill>
              </w:rPr>
              <w:t>产品原厂质量保证期为产品验收合格后</w:t>
            </w:r>
            <w:bookmarkEnd w:id="127"/>
            <w:r>
              <w:rPr>
                <w:rFonts w:hint="eastAsia" w:ascii="仿宋" w:hAnsi="仿宋" w:cs="仿宋"/>
                <w:color w:val="000000" w:themeColor="text1"/>
                <w:szCs w:val="21"/>
                <w:highlight w:val="none"/>
                <w14:textFill>
                  <w14:solidFill>
                    <w14:schemeClr w14:val="tx1"/>
                  </w14:solidFill>
                </w14:textFill>
              </w:rPr>
              <w:t>60个月。</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在质保期内因货物本身的质量问题发生故障，供货方应负责免费更换。对达不到技术要求及质量要求者（包括且不限于以下情况：①质保期内同类故障发生3次及以上产品；②质保期内发生故障，修复期超过14个工作日；③质保期内维修响应时间超过1天），院方可要求进行退货处理，供货方应退还采购方支付的全部合同款，同时应承担该货物的直接费用（运输、保险、检验、货款利息及银行手续费等）。</w:t>
            </w:r>
          </w:p>
          <w:p>
            <w:pPr>
              <w:spacing w:line="360" w:lineRule="auto"/>
              <w:ind w:firstLine="420" w:firstLineChars="200"/>
              <w:rPr>
                <w:rFonts w:ascii="仿宋" w:hAnsi="仿宋"/>
                <w:color w:val="000000" w:themeColor="text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质保期内，供货方必须在接到采购方报修通知后4小时内电话反馈，24小时内维修工程师到达现场，48小时内维修配件到达现场进行维修。在产品质保期内上门免费服务，须免费维护、维修或更换系统故障部件；超过质保期的机器设备,可终生提供技术服务及维修服务,维修时只收部件费，并承诺所收部件费为全国最低价。免费质保服务应包含“人工费”、“配件费”等全部费用。除本合同另有约定外，采购方不负责其他任何费用。</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vAlign w:val="center"/>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8</w:t>
            </w:r>
          </w:p>
        </w:tc>
        <w:tc>
          <w:tcPr>
            <w:tcW w:w="5326" w:type="dxa"/>
            <w:vAlign w:val="center"/>
          </w:tcPr>
          <w:p>
            <w:pPr>
              <w:widowControl/>
              <w:spacing w:line="360" w:lineRule="auto"/>
              <w:ind w:firstLine="420" w:firstLineChars="20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设备安装场地提前规划、踏勘      具备</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shd w:val="clear" w:color="auto" w:fill="auto"/>
            <w:vAlign w:val="center"/>
          </w:tcPr>
          <w:p>
            <w:pPr>
              <w:spacing w:line="360" w:lineRule="auto"/>
              <w:jc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w:t>
            </w:r>
          </w:p>
        </w:tc>
        <w:tc>
          <w:tcPr>
            <w:tcW w:w="5326" w:type="dxa"/>
            <w:vAlign w:val="center"/>
          </w:tcPr>
          <w:p>
            <w:pPr>
              <w:widowControl/>
              <w:spacing w:line="360" w:lineRule="auto"/>
              <w:ind w:firstLine="420" w:firstLineChars="200"/>
              <w:jc w:val="left"/>
              <w:rPr>
                <w:rFonts w:hint="eastAsia"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设备安装场地基础装修工程      具备</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shd w:val="clear" w:color="auto" w:fill="auto"/>
            <w:vAlign w:val="center"/>
          </w:tcPr>
          <w:p>
            <w:pPr>
              <w:spacing w:line="360" w:lineRule="auto"/>
              <w:jc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10</w:t>
            </w:r>
          </w:p>
        </w:tc>
        <w:tc>
          <w:tcPr>
            <w:tcW w:w="5326" w:type="dxa"/>
            <w:vAlign w:val="center"/>
          </w:tcPr>
          <w:p>
            <w:pPr>
              <w:widowControl/>
              <w:spacing w:line="360" w:lineRule="auto"/>
              <w:ind w:firstLine="420" w:firstLineChars="200"/>
              <w:jc w:val="left"/>
              <w:rPr>
                <w:rFonts w:hint="eastAsia"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设备安装场地辐射防护工程      具备</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shd w:val="clear" w:color="auto" w:fill="auto"/>
            <w:vAlign w:val="center"/>
          </w:tcPr>
          <w:p>
            <w:pPr>
              <w:spacing w:line="360" w:lineRule="auto"/>
              <w:jc w:val="center"/>
              <w:rPr>
                <w:rFonts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w:t>
            </w:r>
          </w:p>
        </w:tc>
        <w:tc>
          <w:tcPr>
            <w:tcW w:w="5326" w:type="dxa"/>
            <w:vAlign w:val="center"/>
          </w:tcPr>
          <w:p>
            <w:pPr>
              <w:widowControl/>
              <w:spacing w:line="360" w:lineRule="auto"/>
              <w:ind w:firstLine="420" w:firstLineChars="20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现场应用培训 ≥3次              具备</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shd w:val="clear" w:color="auto" w:fill="auto"/>
            <w:vAlign w:val="center"/>
          </w:tcPr>
          <w:p>
            <w:pPr>
              <w:spacing w:line="360" w:lineRule="auto"/>
              <w:jc w:val="center"/>
              <w:rPr>
                <w:rFonts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w:t>
            </w:r>
          </w:p>
        </w:tc>
        <w:tc>
          <w:tcPr>
            <w:tcW w:w="5326" w:type="dxa"/>
            <w:vAlign w:val="center"/>
          </w:tcPr>
          <w:p>
            <w:pPr>
              <w:widowControl/>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国内备件仓库                    具备</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shd w:val="clear" w:color="auto" w:fill="auto"/>
            <w:vAlign w:val="center"/>
          </w:tcPr>
          <w:p>
            <w:pPr>
              <w:spacing w:line="360" w:lineRule="auto"/>
              <w:jc w:val="center"/>
              <w:rPr>
                <w:rFonts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w:t>
            </w:r>
          </w:p>
        </w:tc>
        <w:tc>
          <w:tcPr>
            <w:tcW w:w="5326" w:type="dxa"/>
            <w:vAlign w:val="center"/>
          </w:tcPr>
          <w:p>
            <w:pPr>
              <w:widowControl/>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省内固定维修工程师              具备</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shd w:val="clear" w:color="auto" w:fill="auto"/>
            <w:vAlign w:val="center"/>
          </w:tcPr>
          <w:p>
            <w:pPr>
              <w:spacing w:line="360" w:lineRule="auto"/>
              <w:jc w:val="center"/>
              <w:rPr>
                <w:rFonts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14</w:t>
            </w:r>
          </w:p>
        </w:tc>
        <w:tc>
          <w:tcPr>
            <w:tcW w:w="5326" w:type="dxa"/>
            <w:vAlign w:val="center"/>
          </w:tcPr>
          <w:p>
            <w:pPr>
              <w:widowControl/>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400免费保修电话号码             具备</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vAlign w:val="center"/>
          </w:tcPr>
          <w:p>
            <w:pPr>
              <w:spacing w:line="360" w:lineRule="auto"/>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cs="仿宋"/>
                <w:color w:val="000000" w:themeColor="text1"/>
                <w:szCs w:val="21"/>
                <w:highlight w:val="none"/>
                <w:lang w:val="en-US" w:eastAsia="zh-CN"/>
                <w14:textFill>
                  <w14:solidFill>
                    <w14:schemeClr w14:val="tx1"/>
                  </w14:solidFill>
                </w14:textFill>
              </w:rPr>
              <w:t>15</w:t>
            </w:r>
          </w:p>
        </w:tc>
        <w:tc>
          <w:tcPr>
            <w:tcW w:w="5326" w:type="dxa"/>
            <w:vAlign w:val="center"/>
          </w:tcPr>
          <w:p>
            <w:pPr>
              <w:widowControl/>
              <w:spacing w:line="360" w:lineRule="auto"/>
              <w:ind w:firstLine="420" w:firstLineChars="20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科研、课题合作项目              具备，≥4项</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08" w:type="dxa"/>
            <w:vAlign w:val="center"/>
          </w:tcPr>
          <w:p>
            <w:pPr>
              <w:spacing w:line="360" w:lineRule="auto"/>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cs="仿宋"/>
                <w:color w:val="000000" w:themeColor="text1"/>
                <w:szCs w:val="21"/>
                <w:highlight w:val="none"/>
                <w:lang w:val="en-US" w:eastAsia="zh-CN"/>
                <w14:textFill>
                  <w14:solidFill>
                    <w14:schemeClr w14:val="tx1"/>
                  </w14:solidFill>
                </w14:textFill>
              </w:rPr>
              <w:t>16</w:t>
            </w:r>
          </w:p>
        </w:tc>
        <w:tc>
          <w:tcPr>
            <w:tcW w:w="5326" w:type="dxa"/>
            <w:vAlign w:val="center"/>
          </w:tcPr>
          <w:p>
            <w:pPr>
              <w:widowControl/>
              <w:spacing w:line="360" w:lineRule="auto"/>
              <w:ind w:firstLine="420" w:firstLineChars="20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高级应用培训              </w:t>
            </w:r>
            <w:r>
              <w:rPr>
                <w:rFonts w:ascii="仿宋" w:hAnsi="仿宋" w:cs="仿宋"/>
                <w:color w:val="000000" w:themeColor="text1"/>
                <w:szCs w:val="21"/>
                <w:highlight w:val="none"/>
                <w14:textFill>
                  <w14:solidFill>
                    <w14:schemeClr w14:val="tx1"/>
                  </w14:solidFill>
                </w14:textFill>
              </w:rPr>
              <w:t xml:space="preserve">     </w:t>
            </w:r>
            <w:r>
              <w:rPr>
                <w:rFonts w:hint="eastAsia" w:ascii="仿宋" w:hAnsi="仿宋" w:cs="仿宋"/>
                <w:color w:val="000000" w:themeColor="text1"/>
                <w:szCs w:val="21"/>
                <w:highlight w:val="none"/>
                <w14:textFill>
                  <w14:solidFill>
                    <w14:schemeClr w14:val="tx1"/>
                  </w14:solidFill>
                </w14:textFill>
              </w:rPr>
              <w:t>具备，≥4人次</w:t>
            </w:r>
          </w:p>
        </w:tc>
        <w:tc>
          <w:tcPr>
            <w:tcW w:w="2370"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bookmarkEnd w:id="125"/>
      <w:bookmarkEnd w:id="12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08" w:type="dxa"/>
            <w:vAlign w:val="center"/>
          </w:tcPr>
          <w:p>
            <w:pPr>
              <w:jc w:val="center"/>
              <w:rPr>
                <w:rFonts w:ascii="仿宋" w:hAnsi="仿宋"/>
                <w:color w:val="000000" w:themeColor="text1"/>
                <w:highlight w:val="none"/>
                <w14:textFill>
                  <w14:solidFill>
                    <w14:schemeClr w14:val="tx1"/>
                  </w14:solidFill>
                </w14:textFill>
              </w:rPr>
            </w:pPr>
          </w:p>
        </w:tc>
        <w:tc>
          <w:tcPr>
            <w:tcW w:w="5326" w:type="dxa"/>
            <w:vAlign w:val="center"/>
          </w:tcPr>
          <w:p>
            <w:pPr>
              <w:adjustRightInd w:val="0"/>
              <w:snapToGrid w:val="0"/>
              <w:ind w:hanging="1"/>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其它</w:t>
            </w:r>
          </w:p>
        </w:tc>
        <w:tc>
          <w:tcPr>
            <w:tcW w:w="2370" w:type="dxa"/>
            <w:vAlign w:val="center"/>
          </w:tcPr>
          <w:p>
            <w:pPr>
              <w:adjustRightInd w:val="0"/>
              <w:snapToGrid w:val="0"/>
              <w:ind w:left="-52" w:leftChars="-25" w:right="-16" w:rightChars="-8"/>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采购单位未提供需求而投标人认为需说明及补充的内容在此填列</w:t>
            </w:r>
          </w:p>
        </w:tc>
        <w:tc>
          <w:tcPr>
            <w:tcW w:w="92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c>
          <w:tcPr>
            <w:tcW w:w="936" w:type="dxa"/>
            <w:vAlign w:val="center"/>
          </w:tcPr>
          <w:p>
            <w:pPr>
              <w:adjustRightInd w:val="0"/>
              <w:snapToGrid w:val="0"/>
              <w:ind w:right="105" w:rightChars="50"/>
              <w:jc w:val="center"/>
              <w:rPr>
                <w:rFonts w:ascii="仿宋" w:hAnsi="仿宋" w:cs="仿宋_GB2312"/>
                <w:color w:val="000000" w:themeColor="text1"/>
                <w:szCs w:val="21"/>
                <w:highlight w:val="none"/>
                <w14:textFill>
                  <w14:solidFill>
                    <w14:schemeClr w14:val="tx1"/>
                  </w14:solidFill>
                </w14:textFill>
              </w:rPr>
            </w:pPr>
          </w:p>
        </w:tc>
      </w:tr>
    </w:tbl>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b/>
          <w:color w:val="000000" w:themeColor="text1"/>
          <w:szCs w:val="21"/>
          <w:highlight w:val="none"/>
          <w14:textFill>
            <w14:solidFill>
              <w14:schemeClr w14:val="tx1"/>
            </w14:solidFill>
          </w14:textFill>
        </w:rPr>
        <w:t>填表要求：</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1．“投标文件响应内容”一栏由投标人按照招标文件要求填写，进行响应。</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3．“偏离说明”一栏由投标人对偏离的情况做详细说明。</w:t>
      </w:r>
    </w:p>
    <w:p>
      <w:pPr>
        <w:adjustRightInd w:val="0"/>
        <w:snapToGrid w:val="0"/>
        <w:spacing w:line="360" w:lineRule="auto"/>
        <w:rPr>
          <w:rFonts w:ascii="仿宋" w:hAnsi="仿宋" w:cs="仿宋_GB2312"/>
          <w:color w:val="000000" w:themeColor="text1"/>
          <w:szCs w:val="21"/>
          <w:highlight w:val="none"/>
          <w14:textFill>
            <w14:solidFill>
              <w14:schemeClr w14:val="tx1"/>
            </w14:solidFill>
          </w14:textFill>
        </w:rPr>
      </w:pP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w:t>
      </w:r>
      <w:r>
        <w:rPr>
          <w:rFonts w:hint="eastAsia" w:ascii="仿宋" w:hAnsi="仿宋" w:cs="仿宋_GB2312"/>
          <w:color w:val="000000" w:themeColor="text1"/>
          <w:szCs w:val="21"/>
          <w:highlight w:val="none"/>
          <w14:textFill>
            <w14:solidFill>
              <w14:schemeClr w14:val="tx1"/>
            </w14:solidFill>
          </w14:textFill>
        </w:rPr>
        <w:t>非法人组织负责人）或</w:t>
      </w:r>
      <w:r>
        <w:rPr>
          <w:rFonts w:hint="eastAsia" w:ascii="仿宋" w:hAnsi="仿宋" w:cs="仿宋_GB2312"/>
          <w:color w:val="000000" w:themeColor="text1"/>
          <w:highlight w:val="none"/>
          <w14:textFill>
            <w14:solidFill>
              <w14:schemeClr w14:val="tx1"/>
            </w14:solidFill>
          </w14:textFill>
        </w:rPr>
        <w:t>其</w:t>
      </w: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w:t>
      </w:r>
      <w:r>
        <w:rPr>
          <w:rFonts w:hint="eastAsia" w:ascii="仿宋" w:hAnsi="仿宋" w:cs="仿宋_GB2312"/>
          <w:color w:val="000000" w:themeColor="text1"/>
          <w:highlight w:val="none"/>
          <w14:textFill>
            <w14:solidFill>
              <w14:schemeClr w14:val="tx1"/>
            </w14:solidFill>
          </w14:textFill>
        </w:rPr>
        <w:t>(签字或盖章)：</w:t>
      </w:r>
    </w:p>
    <w:p>
      <w:pPr>
        <w:spacing w:line="480" w:lineRule="auto"/>
        <w:rPr>
          <w:rFonts w:ascii="仿宋" w:hAnsi="仿宋" w:cs="仿宋_GB2312"/>
          <w:color w:val="000000" w:themeColor="text1"/>
          <w:highlight w:val="none"/>
          <w:u w:val="singl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ascii="仿宋" w:hAnsi="仿宋" w:cs="仿宋_GB2312"/>
          <w:color w:val="000000" w:themeColor="text1"/>
          <w:highlight w:val="none"/>
          <w:u w:val="singl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格式15</w:t>
      </w:r>
    </w:p>
    <w:p>
      <w:pPr>
        <w:adjustRightInd w:val="0"/>
        <w:snapToGrid w:val="0"/>
        <w:spacing w:before="319" w:beforeLines="100" w:after="319" w:afterLines="100" w:line="360" w:lineRule="auto"/>
        <w:ind w:right="105" w:rightChars="50"/>
        <w:jc w:val="center"/>
        <w:rPr>
          <w:rFonts w:ascii="仿宋" w:hAnsi="仿宋" w:cs="仿宋_GB2312"/>
          <w:b/>
          <w:bCs/>
          <w:color w:val="000000" w:themeColor="text1"/>
          <w:sz w:val="32"/>
          <w:szCs w:val="32"/>
          <w:highlight w:val="none"/>
          <w14:textFill>
            <w14:solidFill>
              <w14:schemeClr w14:val="tx1"/>
            </w14:solidFill>
          </w14:textFill>
        </w:rPr>
      </w:pPr>
      <w:bookmarkStart w:id="128" w:name="_Toc9410_WPSOffice_Level2"/>
      <w:bookmarkStart w:id="129" w:name="_Toc20929_WPSOffice_Level2"/>
      <w:r>
        <w:rPr>
          <w:rFonts w:hint="eastAsia" w:ascii="仿宋" w:hAnsi="仿宋" w:cs="仿宋_GB2312"/>
          <w:b/>
          <w:bCs/>
          <w:color w:val="000000" w:themeColor="text1"/>
          <w:sz w:val="32"/>
          <w:szCs w:val="32"/>
          <w:highlight w:val="none"/>
          <w14:textFill>
            <w14:solidFill>
              <w14:schemeClr w14:val="tx1"/>
            </w14:solidFill>
          </w14:textFill>
        </w:rPr>
        <w:t>投标人关联单位的说明</w:t>
      </w:r>
      <w:bookmarkEnd w:id="128"/>
      <w:bookmarkEnd w:id="129"/>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说明：投标人应当如实披露与本单位存在下列关联关系的单位名称：</w:t>
      </w: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bookmarkStart w:id="130" w:name="_Toc2074_WPSOffice_Level2"/>
      <w:bookmarkStart w:id="131" w:name="_Toc31070_WPSOffice_Level2"/>
      <w:r>
        <w:rPr>
          <w:rFonts w:hint="eastAsia" w:ascii="仿宋" w:hAnsi="仿宋" w:cs="仿宋_GB2312"/>
          <w:color w:val="000000" w:themeColor="text1"/>
          <w:szCs w:val="21"/>
          <w:highlight w:val="none"/>
          <w14:textFill>
            <w14:solidFill>
              <w14:schemeClr w14:val="tx1"/>
            </w14:solidFill>
          </w14:textFill>
        </w:rPr>
        <w:t>（1）与投标人单位法定代表人（或非法人组织负责人）为同一人的其他单位；</w:t>
      </w:r>
      <w:bookmarkEnd w:id="130"/>
      <w:bookmarkEnd w:id="131"/>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bookmarkStart w:id="132" w:name="_Toc27053_WPSOffice_Level2"/>
      <w:bookmarkStart w:id="133" w:name="_Toc889_WPSOffice_Level2"/>
      <w:r>
        <w:rPr>
          <w:rFonts w:hint="eastAsia" w:ascii="仿宋" w:hAnsi="仿宋" w:cs="仿宋_GB2312"/>
          <w:color w:val="000000" w:themeColor="text1"/>
          <w:szCs w:val="21"/>
          <w:highlight w:val="none"/>
          <w14:textFill>
            <w14:solidFill>
              <w14:schemeClr w14:val="tx1"/>
            </w14:solidFill>
          </w14:textFill>
        </w:rPr>
        <w:t>（2）与投标人存在直接控股、管理关系的其他单位。</w:t>
      </w:r>
      <w:bookmarkEnd w:id="132"/>
      <w:bookmarkEnd w:id="133"/>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hint="eastAsia"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注：若无此情形，写“无”即可；</w:t>
      </w:r>
    </w:p>
    <w:p>
      <w:pPr>
        <w:adjustRightInd w:val="0"/>
        <w:snapToGrid w:val="0"/>
        <w:spacing w:line="360" w:lineRule="auto"/>
        <w:ind w:right="105" w:rightChars="50" w:firstLine="476" w:firstLineChars="227"/>
        <w:jc w:val="left"/>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有无此以上情形（1、2条）都需附上相关软件查询截图（例如企查查、天眼查等，但不限于上述提及软件）或相关网站查询截图，以示证明投标人关联单位的说明的真实性。</w:t>
      </w: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投标人名称（加盖单位公章）：</w:t>
      </w: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w:t>
      </w:r>
      <w:r>
        <w:rPr>
          <w:rFonts w:hint="eastAsia" w:ascii="仿宋" w:hAnsi="仿宋" w:cs="仿宋_GB2312"/>
          <w:color w:val="000000" w:themeColor="text1"/>
          <w:szCs w:val="21"/>
          <w:highlight w:val="none"/>
          <w14:textFill>
            <w14:solidFill>
              <w14:schemeClr w14:val="tx1"/>
            </w14:solidFill>
          </w14:textFill>
        </w:rPr>
        <w:t>非法人组织负责人）或</w:t>
      </w:r>
      <w:r>
        <w:rPr>
          <w:rFonts w:hint="eastAsia" w:ascii="仿宋" w:hAnsi="仿宋" w:cs="仿宋_GB2312"/>
          <w:color w:val="000000" w:themeColor="text1"/>
          <w:highlight w:val="none"/>
          <w14:textFill>
            <w14:solidFill>
              <w14:schemeClr w14:val="tx1"/>
            </w14:solidFill>
          </w14:textFill>
        </w:rPr>
        <w:t>其</w:t>
      </w:r>
      <w:r>
        <w:rPr>
          <w:rFonts w:hint="eastAsia" w:ascii="仿宋" w:hAnsi="仿宋" w:cs="仿宋_GB2312"/>
          <w:color w:val="000000" w:themeColor="text1"/>
          <w:szCs w:val="21"/>
          <w:highlight w:val="none"/>
          <w14:textFill>
            <w14:solidFill>
              <w14:schemeClr w14:val="tx1"/>
            </w14:solidFill>
          </w14:textFill>
        </w:rPr>
        <w:t>授权</w:t>
      </w:r>
      <w:r>
        <w:rPr>
          <w:rFonts w:hint="eastAsia" w:ascii="仿宋" w:hAnsi="仿宋" w:cs="仿宋_GB2312"/>
          <w:color w:val="000000" w:themeColor="text1"/>
          <w:highlight w:val="none"/>
          <w14:textFill>
            <w14:solidFill>
              <w14:schemeClr w14:val="tx1"/>
            </w14:solidFill>
          </w14:textFill>
        </w:rPr>
        <w:t>委托</w:t>
      </w:r>
      <w:r>
        <w:rPr>
          <w:rFonts w:hint="eastAsia" w:ascii="仿宋" w:hAnsi="仿宋" w:cs="仿宋_GB2312"/>
          <w:color w:val="000000" w:themeColor="text1"/>
          <w:szCs w:val="21"/>
          <w:highlight w:val="none"/>
          <w14:textFill>
            <w14:solidFill>
              <w14:schemeClr w14:val="tx1"/>
            </w14:solidFill>
          </w14:textFill>
        </w:rPr>
        <w:t>人</w:t>
      </w:r>
      <w:r>
        <w:rPr>
          <w:rFonts w:hint="eastAsia" w:ascii="仿宋" w:hAnsi="仿宋" w:cs="仿宋_GB2312"/>
          <w:color w:val="000000" w:themeColor="text1"/>
          <w:highlight w:val="none"/>
          <w14:textFill>
            <w14:solidFill>
              <w14:schemeClr w14:val="tx1"/>
            </w14:solidFill>
          </w14:textFill>
        </w:rPr>
        <w:t>(签字或盖章)：</w:t>
      </w:r>
    </w:p>
    <w:p>
      <w:pPr>
        <w:spacing w:line="480" w:lineRule="auto"/>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日期：</w:t>
      </w:r>
    </w:p>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格式16</w:t>
      </w:r>
    </w:p>
    <w:p>
      <w:pPr>
        <w:spacing w:before="319" w:beforeLines="100" w:after="319" w:afterLines="100" w:line="360" w:lineRule="auto"/>
        <w:ind w:firstLine="640" w:firstLineChars="200"/>
        <w:jc w:val="center"/>
        <w:rPr>
          <w:rFonts w:ascii="仿宋" w:hAnsi="仿宋" w:cs="仿宋_GB2312"/>
          <w:b/>
          <w:bCs/>
          <w:color w:val="000000" w:themeColor="text1"/>
          <w:sz w:val="32"/>
          <w:szCs w:val="32"/>
          <w:highlight w:val="none"/>
          <w14:textFill>
            <w14:solidFill>
              <w14:schemeClr w14:val="tx1"/>
            </w14:solidFill>
          </w14:textFill>
        </w:rPr>
      </w:pPr>
      <w:bookmarkStart w:id="134" w:name="_Toc13329_WPSOffice_Level2"/>
      <w:bookmarkStart w:id="135" w:name="_Toc6847_WPSOffice_Level2"/>
      <w:r>
        <w:rPr>
          <w:rFonts w:hint="eastAsia" w:ascii="仿宋" w:hAnsi="仿宋" w:cs="仿宋_GB2312"/>
          <w:b/>
          <w:bCs/>
          <w:color w:val="000000" w:themeColor="text1"/>
          <w:sz w:val="32"/>
          <w:szCs w:val="32"/>
          <w:highlight w:val="none"/>
          <w14:textFill>
            <w14:solidFill>
              <w14:schemeClr w14:val="tx1"/>
            </w14:solidFill>
          </w14:textFill>
        </w:rPr>
        <w:t>进口产品制造厂家的授权书</w:t>
      </w:r>
      <w:bookmarkEnd w:id="134"/>
      <w:bookmarkEnd w:id="135"/>
    </w:p>
    <w:p>
      <w:pPr>
        <w:spacing w:line="360" w:lineRule="auto"/>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u w:val="single"/>
          <w14:textFill>
            <w14:solidFill>
              <w14:schemeClr w14:val="tx1"/>
            </w14:solidFill>
          </w14:textFill>
        </w:rPr>
        <w:t>（采购人或采购代理机构）：</w:t>
      </w:r>
    </w:p>
    <w:p>
      <w:pPr>
        <w:spacing w:line="360" w:lineRule="auto"/>
        <w:ind w:firstLine="840" w:firstLineChars="4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我们</w:t>
      </w:r>
      <w:r>
        <w:rPr>
          <w:rFonts w:hint="eastAsia" w:ascii="仿宋" w:hAnsi="仿宋" w:cs="仿宋_GB2312"/>
          <w:color w:val="000000" w:themeColor="text1"/>
          <w:szCs w:val="21"/>
          <w:highlight w:val="none"/>
          <w:u w:val="single"/>
          <w14:textFill>
            <w14:solidFill>
              <w14:schemeClr w14:val="tx1"/>
            </w14:solidFill>
          </w14:textFill>
        </w:rPr>
        <w:t>（制造商名称）</w:t>
      </w:r>
      <w:r>
        <w:rPr>
          <w:rFonts w:hint="eastAsia" w:ascii="仿宋" w:hAnsi="仿宋" w:cs="仿宋_GB2312"/>
          <w:color w:val="000000" w:themeColor="text1"/>
          <w:szCs w:val="21"/>
          <w:highlight w:val="none"/>
          <w14:textFill>
            <w14:solidFill>
              <w14:schemeClr w14:val="tx1"/>
            </w14:solidFill>
          </w14:textFill>
        </w:rPr>
        <w:t>是按</w:t>
      </w:r>
      <w:r>
        <w:rPr>
          <w:rFonts w:hint="eastAsia" w:ascii="仿宋" w:hAnsi="仿宋" w:cs="仿宋_GB2312"/>
          <w:color w:val="000000" w:themeColor="text1"/>
          <w:szCs w:val="21"/>
          <w:highlight w:val="none"/>
          <w:u w:val="single"/>
          <w14:textFill>
            <w14:solidFill>
              <w14:schemeClr w14:val="tx1"/>
            </w14:solidFill>
          </w14:textFill>
        </w:rPr>
        <w:t>（国家名称）</w:t>
      </w:r>
      <w:r>
        <w:rPr>
          <w:rFonts w:hint="eastAsia" w:ascii="仿宋" w:hAnsi="仿宋" w:cs="仿宋_GB2312"/>
          <w:color w:val="000000" w:themeColor="text1"/>
          <w:szCs w:val="21"/>
          <w:highlight w:val="none"/>
          <w14:textFill>
            <w14:solidFill>
              <w14:schemeClr w14:val="tx1"/>
            </w14:solidFill>
          </w14:textFill>
        </w:rPr>
        <w:t>法律成立的一家制造商，主要营业地点设在</w:t>
      </w:r>
      <w:r>
        <w:rPr>
          <w:rFonts w:hint="eastAsia" w:ascii="仿宋" w:hAnsi="仿宋" w:cs="仿宋_GB2312"/>
          <w:color w:val="000000" w:themeColor="text1"/>
          <w:szCs w:val="21"/>
          <w:highlight w:val="none"/>
          <w:u w:val="single"/>
          <w14:textFill>
            <w14:solidFill>
              <w14:schemeClr w14:val="tx1"/>
            </w14:solidFill>
          </w14:textFill>
        </w:rPr>
        <w:t>（制造商地址）</w:t>
      </w:r>
      <w:r>
        <w:rPr>
          <w:rFonts w:hint="eastAsia" w:ascii="仿宋" w:hAnsi="仿宋" w:cs="仿宋_GB2312"/>
          <w:color w:val="000000" w:themeColor="text1"/>
          <w:szCs w:val="21"/>
          <w:highlight w:val="none"/>
          <w14:textFill>
            <w14:solidFill>
              <w14:schemeClr w14:val="tx1"/>
            </w14:solidFill>
          </w14:textFill>
        </w:rPr>
        <w:t>。兹指派按</w:t>
      </w:r>
      <w:r>
        <w:rPr>
          <w:rFonts w:hint="eastAsia" w:ascii="仿宋" w:hAnsi="仿宋" w:cs="仿宋_GB2312"/>
          <w:color w:val="000000" w:themeColor="text1"/>
          <w:szCs w:val="21"/>
          <w:highlight w:val="none"/>
          <w:u w:val="single"/>
          <w14:textFill>
            <w14:solidFill>
              <w14:schemeClr w14:val="tx1"/>
            </w14:solidFill>
          </w14:textFill>
        </w:rPr>
        <w:t>（国家名称）</w:t>
      </w:r>
      <w:r>
        <w:rPr>
          <w:rFonts w:hint="eastAsia" w:ascii="仿宋" w:hAnsi="仿宋" w:cs="仿宋_GB2312"/>
          <w:color w:val="000000" w:themeColor="text1"/>
          <w:szCs w:val="21"/>
          <w:highlight w:val="none"/>
          <w14:textFill>
            <w14:solidFill>
              <w14:schemeClr w14:val="tx1"/>
            </w14:solidFill>
          </w14:textFill>
        </w:rPr>
        <w:t>的法律正式成立的，主要营业地点设在</w:t>
      </w:r>
      <w:r>
        <w:rPr>
          <w:rFonts w:hint="eastAsia" w:ascii="仿宋" w:hAnsi="仿宋" w:cs="仿宋_GB2312"/>
          <w:color w:val="000000" w:themeColor="text1"/>
          <w:szCs w:val="21"/>
          <w:highlight w:val="none"/>
          <w:u w:val="single"/>
          <w14:textFill>
            <w14:solidFill>
              <w14:schemeClr w14:val="tx1"/>
            </w14:solidFill>
          </w14:textFill>
        </w:rPr>
        <w:t>（投标人地址）</w:t>
      </w:r>
      <w:r>
        <w:rPr>
          <w:rFonts w:hint="eastAsia" w:ascii="仿宋" w:hAnsi="仿宋" w:cs="仿宋_GB2312"/>
          <w:color w:val="000000" w:themeColor="text1"/>
          <w:szCs w:val="21"/>
          <w:highlight w:val="none"/>
          <w14:textFill>
            <w14:solidFill>
              <w14:schemeClr w14:val="tx1"/>
            </w14:solidFill>
          </w14:textFill>
        </w:rPr>
        <w:t>的</w:t>
      </w:r>
      <w:r>
        <w:rPr>
          <w:rFonts w:hint="eastAsia" w:ascii="仿宋" w:hAnsi="仿宋" w:cs="仿宋_GB2312"/>
          <w:color w:val="000000" w:themeColor="text1"/>
          <w:szCs w:val="21"/>
          <w:highlight w:val="none"/>
          <w:u w:val="single"/>
          <w14:textFill>
            <w14:solidFill>
              <w14:schemeClr w14:val="tx1"/>
            </w14:solidFill>
          </w14:textFill>
        </w:rPr>
        <w:t>（投标人名称）</w:t>
      </w:r>
      <w:r>
        <w:rPr>
          <w:rFonts w:hint="eastAsia" w:ascii="仿宋" w:hAnsi="仿宋" w:cs="仿宋_GB2312"/>
          <w:color w:val="000000" w:themeColor="text1"/>
          <w:szCs w:val="21"/>
          <w:highlight w:val="none"/>
          <w14:textFill>
            <w14:solidFill>
              <w14:schemeClr w14:val="tx1"/>
            </w14:solidFill>
          </w14:textFill>
        </w:rPr>
        <w:t>作为我方真正的合法的代理人进行下列有效的活动：</w:t>
      </w:r>
    </w:p>
    <w:p>
      <w:pPr>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（1）代表我方办理贵方</w:t>
      </w:r>
      <w:r>
        <w:rPr>
          <w:rFonts w:hint="eastAsia" w:ascii="仿宋" w:hAnsi="仿宋" w:cs="仿宋_GB2312"/>
          <w:color w:val="000000" w:themeColor="text1"/>
          <w:szCs w:val="21"/>
          <w:highlight w:val="none"/>
          <w:u w:val="single"/>
          <w14:textFill>
            <w14:solidFill>
              <w14:schemeClr w14:val="tx1"/>
            </w14:solidFill>
          </w14:textFill>
        </w:rPr>
        <w:t xml:space="preserve"> （项目编号、项目名称、包号）</w:t>
      </w:r>
      <w:r>
        <w:rPr>
          <w:rFonts w:hint="eastAsia" w:ascii="仿宋" w:hAnsi="仿宋" w:cs="仿宋_GB2312"/>
          <w:color w:val="000000" w:themeColor="text1"/>
          <w:szCs w:val="21"/>
          <w:highlight w:val="none"/>
          <w14:textFill>
            <w14:solidFill>
              <w14:schemeClr w14:val="tx1"/>
            </w14:solidFill>
          </w14:textFill>
        </w:rPr>
        <w:t xml:space="preserve"> 投标邀请要求提供的由我方制造的货物的有关事宜，并对我方具有约束力。</w:t>
      </w:r>
    </w:p>
    <w:p>
      <w:pPr>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（2）作为制造商，我方保证以投标合作者来约束自己，并对该投标共同和分别承担招标文件中所规定的义务。</w:t>
      </w:r>
    </w:p>
    <w:p>
      <w:pPr>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（3）我方兹授予</w:t>
      </w:r>
      <w:r>
        <w:rPr>
          <w:rFonts w:hint="eastAsia" w:ascii="仿宋" w:hAnsi="仿宋" w:cs="仿宋_GB2312"/>
          <w:color w:val="000000" w:themeColor="text1"/>
          <w:szCs w:val="21"/>
          <w:highlight w:val="none"/>
          <w:u w:val="single"/>
          <w14:textFill>
            <w14:solidFill>
              <w14:schemeClr w14:val="tx1"/>
            </w14:solidFill>
          </w14:textFill>
        </w:rPr>
        <w:t xml:space="preserve"> （投标人名称） </w:t>
      </w:r>
      <w:r>
        <w:rPr>
          <w:rFonts w:hint="eastAsia" w:ascii="仿宋" w:hAnsi="仿宋" w:cs="仿宋_GB2312"/>
          <w:color w:val="000000" w:themeColor="text1"/>
          <w:szCs w:val="21"/>
          <w:highlight w:val="none"/>
          <w14:textFill>
            <w14:solidFill>
              <w14:schemeClr w14:val="tx1"/>
            </w14:solidFill>
          </w14:textFill>
        </w:rPr>
        <w:t xml:space="preserve">全权办理和履行上述我方为完成上述各点所必须的事宜，具有替换或撤销的全权。兹确认 </w:t>
      </w:r>
      <w:r>
        <w:rPr>
          <w:rFonts w:hint="eastAsia" w:ascii="仿宋" w:hAnsi="仿宋" w:cs="仿宋_GB2312"/>
          <w:color w:val="000000" w:themeColor="text1"/>
          <w:szCs w:val="21"/>
          <w:highlight w:val="none"/>
          <w:u w:val="single"/>
          <w14:textFill>
            <w14:solidFill>
              <w14:schemeClr w14:val="tx1"/>
            </w14:solidFill>
          </w14:textFill>
        </w:rPr>
        <w:t xml:space="preserve">（投标人名称） </w:t>
      </w:r>
      <w:r>
        <w:rPr>
          <w:rFonts w:hint="eastAsia" w:ascii="仿宋" w:hAnsi="仿宋" w:cs="仿宋_GB2312"/>
          <w:color w:val="000000" w:themeColor="text1"/>
          <w:szCs w:val="21"/>
          <w:highlight w:val="none"/>
          <w14:textFill>
            <w14:solidFill>
              <w14:schemeClr w14:val="tx1"/>
            </w14:solidFill>
          </w14:textFill>
        </w:rPr>
        <w:t>或其正式授权代表依此合法地办理一切事宜。</w:t>
      </w:r>
    </w:p>
    <w:p>
      <w:pPr>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（4）我方于</w:t>
      </w:r>
      <w:r>
        <w:rPr>
          <w:rFonts w:hint="eastAsia" w:ascii="仿宋" w:hAnsi="仿宋" w:cs="仿宋_GB2312"/>
          <w:color w:val="000000" w:themeColor="text1"/>
          <w:szCs w:val="21"/>
          <w:highlight w:val="none"/>
          <w:u w:val="single"/>
          <w14:textFill>
            <w14:solidFill>
              <w14:schemeClr w14:val="tx1"/>
            </w14:solidFill>
          </w14:textFill>
        </w:rPr>
        <w:t xml:space="preserve"> 年 月 日</w:t>
      </w:r>
      <w:r>
        <w:rPr>
          <w:rFonts w:hint="eastAsia" w:ascii="仿宋" w:hAnsi="仿宋" w:cs="仿宋_GB2312"/>
          <w:color w:val="000000" w:themeColor="text1"/>
          <w:szCs w:val="21"/>
          <w:highlight w:val="none"/>
          <w14:textFill>
            <w14:solidFill>
              <w14:schemeClr w14:val="tx1"/>
            </w14:solidFill>
          </w14:textFill>
        </w:rPr>
        <w:t>签署本文件，</w:t>
      </w:r>
      <w:r>
        <w:rPr>
          <w:rFonts w:hint="eastAsia" w:ascii="仿宋" w:hAnsi="仿宋" w:cs="仿宋_GB2312"/>
          <w:color w:val="000000" w:themeColor="text1"/>
          <w:szCs w:val="21"/>
          <w:highlight w:val="none"/>
          <w:u w:val="single"/>
          <w14:textFill>
            <w14:solidFill>
              <w14:schemeClr w14:val="tx1"/>
            </w14:solidFill>
          </w14:textFill>
        </w:rPr>
        <w:t xml:space="preserve"> （投标人名称）</w:t>
      </w:r>
      <w:r>
        <w:rPr>
          <w:rFonts w:hint="eastAsia" w:ascii="仿宋" w:hAnsi="仿宋" w:cs="仿宋_GB2312"/>
          <w:color w:val="000000" w:themeColor="text1"/>
          <w:szCs w:val="21"/>
          <w:highlight w:val="none"/>
          <w14:textFill>
            <w14:solidFill>
              <w14:schemeClr w14:val="tx1"/>
            </w14:solidFill>
          </w14:textFill>
        </w:rPr>
        <w:t>于年月日接受此件，以此为证。</w:t>
      </w:r>
    </w:p>
    <w:p>
      <w:pPr>
        <w:spacing w:line="360" w:lineRule="auto"/>
        <w:ind w:firstLine="420" w:firstLineChars="200"/>
        <w:rPr>
          <w:rFonts w:ascii="仿宋" w:hAnsi="仿宋" w:cs="仿宋_GB2312"/>
          <w:color w:val="000000" w:themeColor="text1"/>
          <w:szCs w:val="21"/>
          <w:highlight w:val="none"/>
          <w14:textFill>
            <w14:solidFill>
              <w14:schemeClr w14:val="tx1"/>
            </w14:solidFill>
          </w14:textFill>
        </w:rPr>
      </w:pPr>
    </w:p>
    <w:p>
      <w:pPr>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制造商名称（加盖单位公章）：</w:t>
      </w:r>
    </w:p>
    <w:p>
      <w:pPr>
        <w:spacing w:line="360" w:lineRule="auto"/>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签字人职务和部门：</w:t>
      </w:r>
    </w:p>
    <w:p>
      <w:pPr>
        <w:spacing w:line="360" w:lineRule="auto"/>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签字人姓名：</w:t>
      </w:r>
    </w:p>
    <w:p>
      <w:pPr>
        <w:spacing w:line="360" w:lineRule="auto"/>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签字人（签字）：</w:t>
      </w:r>
    </w:p>
    <w:p>
      <w:pPr>
        <w:spacing w:line="360" w:lineRule="auto"/>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日期：</w:t>
      </w:r>
    </w:p>
    <w:p>
      <w:pPr>
        <w:spacing w:line="360" w:lineRule="auto"/>
        <w:ind w:firstLine="420" w:firstLineChars="200"/>
        <w:rPr>
          <w:rFonts w:ascii="仿宋" w:hAnsi="仿宋" w:cs="仿宋_GB2312"/>
          <w:color w:val="000000" w:themeColor="text1"/>
          <w:szCs w:val="21"/>
          <w:highlight w:val="none"/>
          <w:u w:val="single"/>
          <w14:textFill>
            <w14:solidFill>
              <w14:schemeClr w14:val="tx1"/>
            </w14:solidFill>
          </w14:textFill>
        </w:rPr>
      </w:pPr>
    </w:p>
    <w:p>
      <w:pPr>
        <w:spacing w:line="360" w:lineRule="auto"/>
        <w:ind w:firstLine="420" w:firstLineChars="200"/>
        <w:rPr>
          <w:rFonts w:ascii="仿宋" w:hAnsi="仿宋" w:cs="仿宋_GB2312"/>
          <w:color w:val="000000" w:themeColor="text1"/>
          <w:szCs w:val="21"/>
          <w:highlight w:val="none"/>
          <w:u w:val="single"/>
          <w14:textFill>
            <w14:solidFill>
              <w14:schemeClr w14:val="tx1"/>
            </w14:solidFill>
          </w14:textFill>
        </w:rPr>
      </w:pPr>
    </w:p>
    <w:p>
      <w:pPr>
        <w:spacing w:line="360" w:lineRule="auto"/>
        <w:ind w:firstLine="420" w:firstLineChars="200"/>
        <w:rPr>
          <w:rFonts w:ascii="仿宋" w:hAnsi="仿宋" w:cs="仿宋_GB2312"/>
          <w:color w:val="000000" w:themeColor="text1"/>
          <w:szCs w:val="21"/>
          <w:highlight w:val="none"/>
          <w14:textFill>
            <w14:solidFill>
              <w14:schemeClr w14:val="tx1"/>
            </w14:solidFill>
          </w14:textFill>
        </w:rPr>
      </w:pPr>
    </w:p>
    <w:p>
      <w:pPr>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br w:type="page"/>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t>格式17</w:t>
      </w:r>
    </w:p>
    <w:p>
      <w:pPr>
        <w:adjustRightInd w:val="0"/>
        <w:snapToGrid w:val="0"/>
        <w:spacing w:line="480" w:lineRule="auto"/>
        <w:ind w:right="105" w:rightChars="50"/>
        <w:jc w:val="center"/>
        <w:rPr>
          <w:rFonts w:ascii="仿宋" w:hAnsi="仿宋" w:cs="仿宋_GB2312"/>
          <w:b/>
          <w:bCs/>
          <w:color w:val="000000" w:themeColor="text1"/>
          <w:sz w:val="32"/>
          <w:szCs w:val="32"/>
          <w:highlight w:val="none"/>
          <w14:textFill>
            <w14:solidFill>
              <w14:schemeClr w14:val="tx1"/>
            </w14:solidFill>
          </w14:textFill>
        </w:rPr>
      </w:pPr>
      <w:bookmarkStart w:id="136" w:name="_Hlk73968874"/>
      <w:bookmarkStart w:id="137" w:name="_Hlk73969205"/>
      <w:r>
        <w:rPr>
          <w:rFonts w:hint="eastAsia" w:ascii="仿宋" w:hAnsi="仿宋" w:cs="仿宋_GB2312"/>
          <w:b/>
          <w:bCs/>
          <w:color w:val="000000" w:themeColor="text1"/>
          <w:sz w:val="32"/>
          <w:szCs w:val="32"/>
          <w:highlight w:val="none"/>
          <w14:textFill>
            <w14:solidFill>
              <w14:schemeClr w14:val="tx1"/>
            </w14:solidFill>
          </w14:textFill>
        </w:rPr>
        <w:t>中小企业声明函</w:t>
      </w:r>
    </w:p>
    <w:bookmarkEnd w:id="136"/>
    <w:p>
      <w:pPr>
        <w:ind w:firstLine="420" w:firstLineChars="200"/>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本公司（联合体）郑重声明，根据《政府采购促进中小企业发展管理办法》（财库</w:t>
      </w:r>
      <w:r>
        <w:rPr>
          <w:rFonts w:hint="eastAsia" w:ascii="仿宋" w:hAnsi="仿宋" w:cs="微软雅黑"/>
          <w:color w:val="000000" w:themeColor="text1"/>
          <w:highlight w:val="none"/>
          <w14:textFill>
            <w14:solidFill>
              <w14:schemeClr w14:val="tx1"/>
            </w14:solidFill>
          </w14:textFill>
        </w:rPr>
        <w:t>﹝</w:t>
      </w:r>
      <w:r>
        <w:rPr>
          <w:rFonts w:hint="eastAsia" w:ascii="仿宋" w:hAnsi="仿宋"/>
          <w:color w:val="000000" w:themeColor="text1"/>
          <w:highlight w:val="none"/>
          <w14:textFill>
            <w14:solidFill>
              <w14:schemeClr w14:val="tx1"/>
            </w14:solidFill>
          </w14:textFill>
        </w:rPr>
        <w:t>2020</w:t>
      </w:r>
      <w:r>
        <w:rPr>
          <w:rFonts w:hint="eastAsia" w:ascii="仿宋" w:hAnsi="仿宋" w:cs="微软雅黑"/>
          <w:color w:val="000000" w:themeColor="text1"/>
          <w:highlight w:val="none"/>
          <w14:textFill>
            <w14:solidFill>
              <w14:schemeClr w14:val="tx1"/>
            </w14:solidFill>
          </w14:textFill>
        </w:rPr>
        <w:t>﹞</w:t>
      </w:r>
      <w:r>
        <w:rPr>
          <w:rFonts w:hint="eastAsia" w:ascii="仿宋" w:hAnsi="仿宋"/>
          <w:color w:val="000000" w:themeColor="text1"/>
          <w:highlight w:val="none"/>
          <w14:textFill>
            <w14:solidFill>
              <w14:schemeClr w14:val="tx1"/>
            </w14:solidFill>
          </w14:textFill>
        </w:rPr>
        <w:t>46 号）的规定，本公司（联合体）参加 （单位名称） 的 （项目名称） 采购活动，提</w:t>
      </w:r>
    </w:p>
    <w:p>
      <w:pPr>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供的货物全部由符合政策要求的中小企业制造。相关企业（含联合体中的中小企业、签订分包意向协议的中小企业）的具体情况如下：</w:t>
      </w:r>
    </w:p>
    <w:p>
      <w:pPr>
        <w:ind w:firstLine="420" w:firstLineChars="200"/>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1.（标的名称） ，属于 （采购文件中明确的所属行业）行业 ；制造商为 （企业名称） ，从业人员 人，营业收入为 万元，资产总额为 万元① ，属于 （中型企业、小型企业、微型企业） ；</w:t>
      </w:r>
    </w:p>
    <w:p>
      <w:pPr>
        <w:ind w:firstLine="420" w:firstLineChars="200"/>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2.（标的名称） ，属于 （采购文件中明确的所属行业）行业 ；制造商为 （企业名称） ，从业人员 人，营业收入为 万元，资产总额为 万元，属于（中型企业、小型企业、微型企业） ；</w:t>
      </w:r>
    </w:p>
    <w:p>
      <w:pPr>
        <w:ind w:firstLine="420" w:firstLineChars="200"/>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w:t>
      </w:r>
    </w:p>
    <w:p>
      <w:pPr>
        <w:ind w:firstLine="420" w:firstLineChars="200"/>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pPr>
        <w:ind w:firstLine="420" w:firstLineChars="200"/>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本企业对上述声明内容的真实性负责。如有虚假，将依法承担相应责任。</w:t>
      </w:r>
    </w:p>
    <w:p>
      <w:pPr>
        <w:rPr>
          <w:rFonts w:ascii="仿宋" w:hAnsi="仿宋"/>
          <w:color w:val="000000" w:themeColor="text1"/>
          <w:highlight w:val="none"/>
          <w14:textFill>
            <w14:solidFill>
              <w14:schemeClr w14:val="tx1"/>
            </w14:solidFill>
          </w14:textFill>
        </w:rPr>
      </w:pPr>
    </w:p>
    <w:p>
      <w:pPr>
        <w:ind w:firstLine="3360" w:firstLineChars="1600"/>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 xml:space="preserve">     企业名称（盖章）：</w:t>
      </w:r>
    </w:p>
    <w:p>
      <w:pPr>
        <w:ind w:firstLine="3990" w:firstLineChars="1900"/>
        <w:rPr>
          <w:rFonts w:ascii="仿宋" w:hAnsi="仿宋"/>
          <w:color w:val="000000" w:themeColor="text1"/>
          <w:highlight w:val="none"/>
          <w14:textFill>
            <w14:solidFill>
              <w14:schemeClr w14:val="tx1"/>
            </w14:solidFill>
          </w14:textFill>
        </w:rPr>
      </w:pPr>
      <w:r>
        <w:rPr>
          <w:rFonts w:hint="eastAsia" w:ascii="仿宋" w:hAnsi="仿宋"/>
          <w:color w:val="000000" w:themeColor="text1"/>
          <w:highlight w:val="none"/>
          <w14:textFill>
            <w14:solidFill>
              <w14:schemeClr w14:val="tx1"/>
            </w14:solidFill>
          </w14:textFill>
        </w:rPr>
        <w:t>日 期：</w:t>
      </w:r>
    </w:p>
    <w:p>
      <w:pPr>
        <w:ind w:firstLine="3780" w:firstLineChars="1800"/>
        <w:rPr>
          <w:rFonts w:ascii="仿宋" w:hAnsi="仿宋"/>
          <w:color w:val="000000" w:themeColor="text1"/>
          <w:highlight w:val="none"/>
          <w14:textFill>
            <w14:solidFill>
              <w14:schemeClr w14:val="tx1"/>
            </w14:solidFill>
          </w14:textFill>
        </w:rPr>
      </w:pPr>
    </w:p>
    <w:p>
      <w:pPr>
        <w:pStyle w:val="46"/>
        <w:numPr>
          <w:ilvl w:val="0"/>
          <w:numId w:val="3"/>
        </w:numPr>
        <w:adjustRightInd w:val="0"/>
        <w:snapToGrid w:val="0"/>
        <w:spacing w:line="480" w:lineRule="auto"/>
        <w:ind w:right="105" w:rightChars="50" w:firstLineChars="0"/>
        <w:jc w:val="left"/>
        <w:rPr>
          <w:rFonts w:ascii="仿宋" w:hAnsi="仿宋" w:cs="仿宋_GB2312"/>
          <w:color w:val="000000" w:themeColor="text1"/>
          <w:szCs w:val="21"/>
          <w:highlight w:val="none"/>
          <w:u w:val="single"/>
          <w14:textFill>
            <w14:solidFill>
              <w14:schemeClr w14:val="tx1"/>
            </w14:solidFill>
          </w14:textFill>
        </w:rPr>
      </w:pPr>
      <w:r>
        <w:rPr>
          <w:rFonts w:hint="eastAsia" w:ascii="仿宋" w:hAnsi="仿宋"/>
          <w:color w:val="000000" w:themeColor="text1"/>
          <w:highlight w:val="none"/>
          <w14:textFill>
            <w14:solidFill>
              <w14:schemeClr w14:val="tx1"/>
            </w14:solidFill>
          </w14:textFill>
        </w:rPr>
        <w:t>从业人员、营业收入、资产总额填报上一年度数据，无上一年度数据的新成立企业可不填报。</w:t>
      </w:r>
      <w:bookmarkEnd w:id="137"/>
    </w:p>
    <w:p>
      <w:pPr>
        <w:adjustRightInd w:val="0"/>
        <w:snapToGrid w:val="0"/>
        <w:spacing w:line="480" w:lineRule="auto"/>
        <w:ind w:right="105" w:rightChars="50"/>
        <w:jc w:val="left"/>
        <w:rPr>
          <w:rFonts w:ascii="仿宋" w:hAnsi="仿宋" w:cs="仿宋_GB2312"/>
          <w:color w:val="000000" w:themeColor="text1"/>
          <w:szCs w:val="21"/>
          <w:highlight w:val="none"/>
          <w:u w:val="single"/>
          <w14:textFill>
            <w14:solidFill>
              <w14:schemeClr w14:val="tx1"/>
            </w14:solidFill>
          </w14:textFill>
        </w:rPr>
      </w:pPr>
    </w:p>
    <w:p>
      <w:pPr>
        <w:adjustRightInd w:val="0"/>
        <w:snapToGrid w:val="0"/>
        <w:spacing w:line="480" w:lineRule="auto"/>
        <w:ind w:right="105" w:rightChars="5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br w:type="page"/>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szCs w:val="28"/>
          <w:highlight w:val="none"/>
          <w14:textFill>
            <w14:solidFill>
              <w14:schemeClr w14:val="tx1"/>
            </w14:solidFill>
          </w14:textFill>
        </w:rPr>
        <w:t>格式18</w:t>
      </w:r>
    </w:p>
    <w:p>
      <w:pPr>
        <w:adjustRightInd w:val="0"/>
        <w:snapToGrid w:val="0"/>
        <w:spacing w:before="319" w:beforeLines="100" w:after="319" w:afterLines="100" w:line="360" w:lineRule="auto"/>
        <w:ind w:right="105" w:rightChars="50"/>
        <w:jc w:val="center"/>
        <w:rPr>
          <w:rFonts w:ascii="仿宋" w:hAnsi="仿宋" w:cs="仿宋_GB2312"/>
          <w:b/>
          <w:bCs/>
          <w:color w:val="000000" w:themeColor="text1"/>
          <w:sz w:val="32"/>
          <w:szCs w:val="32"/>
          <w:highlight w:val="none"/>
          <w14:textFill>
            <w14:solidFill>
              <w14:schemeClr w14:val="tx1"/>
            </w14:solidFill>
          </w14:textFill>
        </w:rPr>
      </w:pPr>
      <w:bookmarkStart w:id="138" w:name="_Toc13566_WPSOffice_Level2"/>
      <w:bookmarkStart w:id="139" w:name="_Toc29880_WPSOffice_Level2"/>
      <w:r>
        <w:rPr>
          <w:rFonts w:hint="eastAsia" w:ascii="仿宋" w:hAnsi="仿宋" w:cs="仿宋_GB2312"/>
          <w:b/>
          <w:bCs/>
          <w:color w:val="000000" w:themeColor="text1"/>
          <w:sz w:val="32"/>
          <w:szCs w:val="32"/>
          <w:highlight w:val="none"/>
          <w14:textFill>
            <w14:solidFill>
              <w14:schemeClr w14:val="tx1"/>
            </w14:solidFill>
          </w14:textFill>
        </w:rPr>
        <w:t>残疾人福利性单位声明函</w:t>
      </w:r>
      <w:bookmarkEnd w:id="138"/>
      <w:bookmarkEnd w:id="139"/>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本单位对上述声明的真实性负责。如有虚假，将依法承担相应责任。</w:t>
      </w:r>
    </w:p>
    <w:tbl>
      <w:tblPr>
        <w:tblStyle w:val="21"/>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序号</w:t>
            </w:r>
          </w:p>
        </w:tc>
        <w:tc>
          <w:tcPr>
            <w:tcW w:w="1582"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品  名</w:t>
            </w:r>
          </w:p>
        </w:tc>
        <w:tc>
          <w:tcPr>
            <w:tcW w:w="1587" w:type="dxa"/>
            <w:vAlign w:val="center"/>
          </w:tcPr>
          <w:p>
            <w:pPr>
              <w:widowControl/>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数量</w:t>
            </w: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规格</w:t>
            </w:r>
          </w:p>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型号</w:t>
            </w: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生产</w:t>
            </w:r>
          </w:p>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厂家</w:t>
            </w:r>
          </w:p>
        </w:tc>
        <w:tc>
          <w:tcPr>
            <w:tcW w:w="1344"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w:t>
            </w:r>
          </w:p>
        </w:tc>
        <w:tc>
          <w:tcPr>
            <w:tcW w:w="1582"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58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344" w:type="dxa"/>
            <w:vAlign w:val="center"/>
          </w:tcPr>
          <w:p>
            <w:pPr>
              <w:spacing w:line="360" w:lineRule="auto"/>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w:t>
            </w:r>
          </w:p>
        </w:tc>
        <w:tc>
          <w:tcPr>
            <w:tcW w:w="1582"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58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344" w:type="dxa"/>
            <w:vAlign w:val="center"/>
          </w:tcPr>
          <w:p>
            <w:pPr>
              <w:spacing w:line="360" w:lineRule="auto"/>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w:t>
            </w:r>
          </w:p>
        </w:tc>
        <w:tc>
          <w:tcPr>
            <w:tcW w:w="1582"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58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344" w:type="dxa"/>
            <w:vAlign w:val="center"/>
          </w:tcPr>
          <w:p>
            <w:pPr>
              <w:spacing w:line="360" w:lineRule="auto"/>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w:t>
            </w:r>
          </w:p>
        </w:tc>
        <w:tc>
          <w:tcPr>
            <w:tcW w:w="1582"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58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427" w:type="dxa"/>
            <w:vAlign w:val="center"/>
          </w:tcPr>
          <w:p>
            <w:pPr>
              <w:jc w:val="center"/>
              <w:rPr>
                <w:rFonts w:ascii="仿宋" w:hAnsi="仿宋" w:cs="仿宋_GB2312"/>
                <w:color w:val="000000" w:themeColor="text1"/>
                <w:szCs w:val="21"/>
                <w:highlight w:val="none"/>
                <w14:textFill>
                  <w14:solidFill>
                    <w14:schemeClr w14:val="tx1"/>
                  </w14:solidFill>
                </w14:textFill>
              </w:rPr>
            </w:pPr>
          </w:p>
        </w:tc>
        <w:tc>
          <w:tcPr>
            <w:tcW w:w="1344" w:type="dxa"/>
            <w:vAlign w:val="center"/>
          </w:tcPr>
          <w:p>
            <w:pPr>
              <w:spacing w:line="360" w:lineRule="auto"/>
              <w:rPr>
                <w:rFonts w:ascii="仿宋" w:hAnsi="仿宋" w:cs="仿宋_GB2312"/>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pPr>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b/>
                <w:color w:val="000000" w:themeColor="text1"/>
                <w:szCs w:val="21"/>
                <w:highlight w:val="none"/>
                <w:lang w:val="zh-CN"/>
                <w14:textFill>
                  <w14:solidFill>
                    <w14:schemeClr w14:val="tx1"/>
                  </w14:solidFill>
                </w14:textFill>
              </w:rPr>
              <w:t>投标文件中所提供投标的以上伴随产品为我单位生产的产品，</w:t>
            </w:r>
            <w:r>
              <w:rPr>
                <w:rFonts w:hint="eastAsia" w:ascii="仿宋" w:hAnsi="仿宋" w:cs="仿宋_GB2312"/>
                <w:b/>
                <w:color w:val="000000" w:themeColor="text1"/>
                <w:szCs w:val="21"/>
                <w:highlight w:val="none"/>
                <w14:textFill>
                  <w14:solidFill>
                    <w14:schemeClr w14:val="tx1"/>
                  </w14:solidFill>
                </w14:textFill>
              </w:rPr>
              <w:t>如有虚假</w:t>
            </w:r>
            <w:r>
              <w:rPr>
                <w:rFonts w:hint="eastAsia" w:ascii="仿宋" w:hAnsi="仿宋" w:cs="仿宋_GB2312"/>
                <w:b/>
                <w:color w:val="000000" w:themeColor="text1"/>
                <w:szCs w:val="21"/>
                <w:highlight w:val="none"/>
                <w:lang w:val="zh-CN"/>
                <w14:textFill>
                  <w14:solidFill>
                    <w14:schemeClr w14:val="tx1"/>
                  </w14:solidFill>
                </w14:textFill>
              </w:rPr>
              <w:t>，我单位承担由此产生的一切后果</w:t>
            </w:r>
            <w:r>
              <w:rPr>
                <w:rFonts w:hint="eastAsia" w:ascii="仿宋" w:hAnsi="仿宋" w:cs="仿宋_GB2312"/>
                <w:color w:val="000000" w:themeColor="text1"/>
                <w:szCs w:val="21"/>
                <w:highlight w:val="none"/>
                <w:lang w:val="zh-CN"/>
                <w14:textFill>
                  <w14:solidFill>
                    <w14:schemeClr w14:val="tx1"/>
                  </w14:solidFill>
                </w14:textFill>
              </w:rPr>
              <w:t>。</w:t>
            </w:r>
          </w:p>
        </w:tc>
      </w:tr>
    </w:tbl>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注：1、供应商为非残疾人福利性单位的，无需填写此声明函。</w:t>
      </w: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3、如为本项目提供本单位伴随产品的，请填写此表格。</w:t>
      </w:r>
    </w:p>
    <w:p>
      <w:pPr>
        <w:adjustRightInd w:val="0"/>
        <w:snapToGrid w:val="0"/>
        <w:spacing w:line="360" w:lineRule="auto"/>
        <w:ind w:right="105" w:rightChars="50" w:firstLine="476" w:firstLineChars="227"/>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360" w:lineRule="auto"/>
        <w:ind w:right="105" w:rightChars="50"/>
        <w:jc w:val="left"/>
        <w:rPr>
          <w:rFonts w:ascii="仿宋" w:hAnsi="仿宋" w:cs="仿宋_GB2312"/>
          <w:color w:val="000000" w:themeColor="text1"/>
          <w:szCs w:val="21"/>
          <w:highlight w:val="none"/>
          <w14:textFill>
            <w14:solidFill>
              <w14:schemeClr w14:val="tx1"/>
            </w14:solidFill>
          </w14:textFill>
        </w:rPr>
      </w:pPr>
    </w:p>
    <w:p>
      <w:pPr>
        <w:adjustRightInd w:val="0"/>
        <w:snapToGrid w:val="0"/>
        <w:spacing w:line="480" w:lineRule="auto"/>
        <w:ind w:right="105" w:rightChars="5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投标人名称（加盖单位公章）：</w:t>
      </w:r>
    </w:p>
    <w:p>
      <w:pPr>
        <w:adjustRightInd w:val="0"/>
        <w:snapToGrid w:val="0"/>
        <w:spacing w:line="480" w:lineRule="auto"/>
        <w:ind w:right="105" w:rightChars="5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日 期：</w:t>
      </w:r>
    </w:p>
    <w:p>
      <w:pPr>
        <w:widowControl/>
        <w:jc w:val="left"/>
        <w:rPr>
          <w:rFonts w:ascii="仿宋" w:hAnsi="仿宋" w:cs="仿宋_GB2312"/>
          <w:color w:val="000000" w:themeColor="text1"/>
          <w:szCs w:val="2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br w:type="page"/>
      </w:r>
      <w:bookmarkStart w:id="140" w:name="_Toc4498_WPSOffice_Level1"/>
    </w:p>
    <w:p>
      <w:pPr>
        <w:pStyle w:val="17"/>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格式19：</w:t>
      </w:r>
    </w:p>
    <w:p>
      <w:pPr>
        <w:adjustRightInd w:val="0"/>
        <w:snapToGrid w:val="0"/>
        <w:spacing w:before="319" w:beforeLines="100" w:after="319" w:afterLines="100" w:line="360" w:lineRule="auto"/>
        <w:jc w:val="center"/>
        <w:rPr>
          <w:rFonts w:ascii="仿宋_GB2312" w:hAnsi="仿宋_GB2312" w:eastAsia="仿宋_GB2312" w:cs="仿宋_GB2312"/>
          <w:b/>
          <w:bCs/>
          <w:color w:val="000000"/>
          <w:sz w:val="32"/>
          <w:szCs w:val="32"/>
          <w:highlight w:val="none"/>
        </w:rPr>
      </w:pPr>
      <w:r>
        <w:rPr>
          <w:rFonts w:hint="eastAsia" w:ascii="仿宋_GB2312" w:hAnsi="仿宋_GB2312" w:eastAsia="仿宋_GB2312" w:cs="仿宋_GB2312"/>
          <w:b/>
          <w:bCs/>
          <w:color w:val="000000"/>
          <w:sz w:val="32"/>
          <w:szCs w:val="32"/>
          <w:highlight w:val="none"/>
        </w:rPr>
        <w:t>无串通投标行为的承诺函</w:t>
      </w:r>
    </w:p>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一、有下列情形之一的，属于恶意串通投标：</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（一）投标人直接或者间接从采购人或者采购代理机构处获得其他投标人的相关情况并修改其投标文件或者响应文件；</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（二）投标人按照采购人或者采购代理机构的授意撤换、修改投标文件或者响应文件；</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（三）投标人之间协商报价、技术方案等投标文件或者响应文件的实质性内容；</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（四）属于同一集团、协会、商会等组织成员的投标人按照该组织要求协同参加政府采购活动；</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（五）投标人之间事先约定由某一特定投标人中标、成交；</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（六）投标人之间商定部分投标人放弃参加政府采购活动或者放弃中标、成交；</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（七）投标人与采购人或者采购代理机构之间、投标人相互之间，为谋求特定投标人中标、成交或者排斥其他投标人的其他串通行为。</w:t>
      </w:r>
    </w:p>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二、有下列情形之一的，视为投标人串通投标，其投标无效：</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（一）不同投标人的投标文件由同一单位或者个人编制；</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（二）不同投标人委托同一单位或者个人办理投标事宜；</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（三）不同投标人的投标文件载明的项目管理成员或者联系人员为同一人；</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（四）不同投标人的投标文件异常一致或者投标报价呈规律性差异；</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（五）不同投标人的投标文件相互混装；</w:t>
      </w:r>
    </w:p>
    <w:p>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（六）不同投标人的投标保证金从同一单位或者个人的账户转出。</w:t>
      </w:r>
    </w:p>
    <w:p>
      <w:pPr>
        <w:adjustRightInd w:val="0"/>
        <w:snapToGrid w:val="0"/>
        <w:spacing w:before="159" w:beforeLines="5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本单位承诺：不存在上述情形，如出现上述情形的，依照政府采购法第七十七条第一款的规定追究法律责任。</w:t>
      </w:r>
    </w:p>
    <w:p>
      <w:pPr>
        <w:adjustRightInd w:val="0"/>
        <w:snapToGrid w:val="0"/>
        <w:spacing w:before="159" w:beforeLines="5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投标人：                                （盖单位章）</w:t>
      </w:r>
    </w:p>
    <w:p>
      <w:pPr>
        <w:adjustRightInd w:val="0"/>
        <w:snapToGrid w:val="0"/>
        <w:spacing w:before="159" w:beforeLines="5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 xml:space="preserve">法定代表人或其委托代理人：              （签字或盖章）        </w:t>
      </w:r>
    </w:p>
    <w:p>
      <w:pPr>
        <w:adjustRightInd w:val="0"/>
        <w:snapToGrid w:val="0"/>
        <w:spacing w:before="319" w:beforeLines="100" w:after="319" w:afterLines="100" w:line="360" w:lineRule="auto"/>
        <w:ind w:firstLine="6000" w:firstLineChars="2500"/>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日期： 年 月 日</w:t>
      </w:r>
    </w:p>
    <w:p>
      <w:pPr>
        <w:pStyle w:val="17"/>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格式19-1：</w:t>
      </w:r>
    </w:p>
    <w:p>
      <w:pPr>
        <w:adjustRightInd w:val="0"/>
        <w:snapToGrid w:val="0"/>
        <w:spacing w:before="319" w:beforeLines="100" w:after="319" w:afterLines="100" w:line="360" w:lineRule="auto"/>
        <w:jc w:val="center"/>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投标人在职人员情况表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2"/>
        <w:gridCol w:w="1703"/>
        <w:gridCol w:w="1703"/>
        <w:gridCol w:w="1704"/>
        <w:gridCol w:w="1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 xml:space="preserve">序号 </w:t>
            </w:r>
          </w:p>
        </w:tc>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 xml:space="preserve">姓名 </w:t>
            </w:r>
          </w:p>
        </w:tc>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性别</w:t>
            </w:r>
          </w:p>
        </w:tc>
        <w:tc>
          <w:tcPr>
            <w:tcW w:w="1705"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职务</w:t>
            </w:r>
          </w:p>
        </w:tc>
        <w:tc>
          <w:tcPr>
            <w:tcW w:w="1705"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5"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5"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5"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5"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4"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5"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c>
          <w:tcPr>
            <w:tcW w:w="1705" w:type="dxa"/>
          </w:tcPr>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p>
        </w:tc>
      </w:tr>
    </w:tbl>
    <w:p>
      <w:pPr>
        <w:adjustRightInd w:val="0"/>
        <w:snapToGrid w:val="0"/>
        <w:spacing w:before="319" w:beforeLines="100" w:after="319" w:afterLines="100" w:line="240" w:lineRule="auto"/>
        <w:jc w:val="left"/>
        <w:rPr>
          <w:rFonts w:hint="eastAsia" w:ascii="仿宋_GB2312" w:hAnsi="仿宋_GB2312" w:eastAsia="仿宋_GB2312" w:cs="仿宋_GB2312"/>
          <w:b/>
          <w:bCs/>
          <w:color w:val="000000" w:themeColor="text1"/>
          <w:sz w:val="24"/>
          <w:highlight w:val="none"/>
          <w14:textFill>
            <w14:solidFill>
              <w14:schemeClr w14:val="tx1"/>
            </w14:solidFill>
          </w14:textFill>
        </w:rPr>
      </w:pPr>
      <w:r>
        <w:rPr>
          <w:rFonts w:hint="eastAsia" w:ascii="仿宋_GB2312" w:hAnsi="仿宋_GB2312" w:eastAsia="仿宋_GB2312" w:cs="仿宋_GB2312"/>
          <w:b/>
          <w:bCs/>
          <w:color w:val="000000"/>
          <w:sz w:val="24"/>
          <w:highlight w:val="none"/>
        </w:rPr>
        <w:t xml:space="preserve"> </w:t>
      </w:r>
      <w:r>
        <w:rPr>
          <w:rFonts w:hint="eastAsia" w:ascii="仿宋_GB2312" w:hAnsi="仿宋_GB2312" w:eastAsia="仿宋_GB2312" w:cs="仿宋_GB2312"/>
          <w:b/>
          <w:bCs/>
          <w:color w:val="000000" w:themeColor="text1"/>
          <w:sz w:val="24"/>
          <w:highlight w:val="none"/>
          <w14:textFill>
            <w14:solidFill>
              <w14:schemeClr w14:val="tx1"/>
            </w14:solidFill>
          </w14:textFill>
        </w:rPr>
        <w:t xml:space="preserve">  注：1、投标人须如实填写本公司在此次投标中涉及的所有在职人员，并且提供此次投标所有相关人员的社保证明材料（注：需要体现缴费单位名称、被缴费人员姓名、缴纳明细、缴纳时间的社保证明。个人缴费除外。）(包括但不限于法定代表人、投标代表人及本项目投入的其他人员，法定代表人即使不在投标供应商单位缴纳社保，也必须提供其社保证明)。如果因退休等原因不能提供的，可以附加相关证明材料。</w:t>
      </w:r>
    </w:p>
    <w:p>
      <w:pPr>
        <w:adjustRightInd w:val="0"/>
        <w:snapToGrid w:val="0"/>
        <w:spacing w:before="319" w:beforeLines="100" w:after="319" w:afterLines="100" w:line="240" w:lineRule="auto"/>
        <w:jc w:val="left"/>
        <w:rPr>
          <w:rFonts w:ascii="仿宋_GB2312" w:hAnsi="仿宋_GB2312" w:eastAsia="仿宋_GB2312" w:cs="仿宋_GB2312"/>
          <w:b/>
          <w:bCs/>
          <w:color w:val="000000" w:themeColor="text1"/>
          <w:sz w:val="24"/>
          <w:highlight w:val="none"/>
          <w14:textFill>
            <w14:solidFill>
              <w14:schemeClr w14:val="tx1"/>
            </w14:solidFill>
          </w14:textFill>
        </w:rPr>
      </w:pPr>
    </w:p>
    <w:p>
      <w:pPr>
        <w:adjustRightInd w:val="0"/>
        <w:snapToGrid w:val="0"/>
        <w:spacing w:before="319" w:beforeLines="100" w:after="319" w:afterLines="100" w:line="240" w:lineRule="auto"/>
        <w:jc w:val="left"/>
        <w:rPr>
          <w:rFonts w:ascii="仿宋_GB2312" w:hAnsi="仿宋_GB2312" w:eastAsia="仿宋_GB2312" w:cs="仿宋_GB2312"/>
          <w:b/>
          <w:bCs/>
          <w:color w:val="000000" w:themeColor="text1"/>
          <w:sz w:val="24"/>
          <w:highlight w:val="none"/>
          <w14:textFill>
            <w14:solidFill>
              <w14:schemeClr w14:val="tx1"/>
            </w14:solidFill>
          </w14:textFill>
        </w:rPr>
      </w:pPr>
      <w:r>
        <w:rPr>
          <w:rFonts w:hint="eastAsia" w:ascii="仿宋_GB2312" w:hAnsi="仿宋_GB2312" w:eastAsia="仿宋_GB2312" w:cs="仿宋_GB2312"/>
          <w:b/>
          <w:bCs/>
          <w:color w:val="000000" w:themeColor="text1"/>
          <w:sz w:val="24"/>
          <w:highlight w:val="none"/>
          <w14:textFill>
            <w14:solidFill>
              <w14:schemeClr w14:val="tx1"/>
            </w14:solidFill>
          </w14:textFill>
        </w:rPr>
        <w:t>★2、评标委员会如发现投标人提供的在职人员与其他投标人所提供的在职人员存在重复的，相关投标均按不实质性响应招标文件要求处理。</w:t>
      </w:r>
    </w:p>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投标人： （盖单位章）</w:t>
      </w:r>
    </w:p>
    <w:p>
      <w:pPr>
        <w:adjustRightInd w:val="0"/>
        <w:snapToGrid w:val="0"/>
        <w:spacing w:before="319" w:beforeLines="100" w:after="319" w:afterLines="100" w:line="360" w:lineRule="auto"/>
        <w:jc w:val="left"/>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法定代表人或其委托代理人： （签字或盖章）</w:t>
      </w:r>
    </w:p>
    <w:p>
      <w:pPr>
        <w:adjustRightInd w:val="0"/>
        <w:snapToGrid w:val="0"/>
        <w:spacing w:before="319" w:beforeLines="100" w:after="319" w:afterLines="100" w:line="360" w:lineRule="auto"/>
        <w:ind w:firstLine="6240" w:firstLineChars="2600"/>
        <w:jc w:val="left"/>
        <w:rPr>
          <w:rFonts w:hint="eastAsia"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日期： 年 月 日</w:t>
      </w:r>
    </w:p>
    <w:p>
      <w:pPr>
        <w:adjustRightInd w:val="0"/>
        <w:snapToGrid w:val="0"/>
        <w:spacing w:before="319" w:beforeLines="100" w:after="319" w:afterLines="100" w:line="360" w:lineRule="auto"/>
        <w:ind w:firstLine="0" w:firstLineChars="0"/>
        <w:jc w:val="left"/>
        <w:rPr>
          <w:rFonts w:hint="eastAsia" w:ascii="仿宋_GB2312" w:hAnsi="仿宋_GB2312" w:eastAsia="仿宋_GB2312" w:cs="仿宋_GB2312"/>
          <w:b/>
          <w:bCs/>
          <w:color w:val="000000"/>
          <w:sz w:val="24"/>
          <w:highlight w:val="none"/>
        </w:rPr>
      </w:pPr>
      <w:r>
        <w:rPr>
          <w:rFonts w:hint="eastAsia" w:ascii="Arial" w:hAnsi="Arial" w:eastAsia="仿宋" w:cs="Arial"/>
          <w:color w:val="auto"/>
          <w:szCs w:val="21"/>
          <w:highlight w:val="none"/>
        </w:rPr>
        <w:t>备注：</w:t>
      </w:r>
      <w:r>
        <w:rPr>
          <w:rFonts w:ascii="Arial" w:hAnsi="Arial" w:eastAsia="仿宋" w:cs="Arial"/>
          <w:color w:val="auto"/>
          <w:szCs w:val="21"/>
          <w:highlight w:val="none"/>
        </w:rPr>
        <w:t>本表可根据实际情况</w:t>
      </w:r>
      <w:r>
        <w:rPr>
          <w:rFonts w:hint="eastAsia" w:ascii="Arial" w:hAnsi="Arial" w:eastAsia="仿宋" w:cs="Arial"/>
          <w:color w:val="auto"/>
          <w:szCs w:val="21"/>
          <w:highlight w:val="none"/>
        </w:rPr>
        <w:t>增加行数</w:t>
      </w:r>
      <w:r>
        <w:rPr>
          <w:rFonts w:ascii="Arial" w:hAnsi="Arial" w:eastAsia="仿宋" w:cs="Arial"/>
          <w:color w:val="auto"/>
          <w:szCs w:val="21"/>
          <w:highlight w:val="none"/>
        </w:rPr>
        <w:t>。</w:t>
      </w:r>
    </w:p>
    <w:p>
      <w:pPr>
        <w:widowControl/>
        <w:jc w:val="left"/>
        <w:rPr>
          <w:rFonts w:ascii="仿宋" w:hAnsi="仿宋" w:cs="仿宋_GB2312"/>
          <w:b/>
          <w:color w:val="000000" w:themeColor="text1"/>
          <w:kern w:val="44"/>
          <w:sz w:val="44"/>
          <w:highlight w:val="none"/>
          <w14:textFill>
            <w14:solidFill>
              <w14:schemeClr w14:val="tx1"/>
            </w14:solidFill>
          </w14:textFill>
        </w:rPr>
      </w:pPr>
    </w:p>
    <w:p>
      <w:pPr>
        <w:pStyle w:val="2"/>
        <w:numPr>
          <w:ilvl w:val="0"/>
          <w:numId w:val="0"/>
        </w:numPr>
        <w:snapToGrid w:val="0"/>
        <w:spacing w:before="319" w:beforeLines="100" w:after="319" w:afterLines="100" w:line="360" w:lineRule="auto"/>
        <w:jc w:val="both"/>
        <w:rPr>
          <w:rFonts w:ascii="仿宋" w:hAnsi="仿宋"/>
          <w:color w:val="000000" w:themeColor="text1"/>
          <w:highlight w:val="none"/>
          <w14:textFill>
            <w14:solidFill>
              <w14:schemeClr w14:val="tx1"/>
            </w14:solidFill>
          </w14:textFill>
        </w:rPr>
      </w:pPr>
      <w:bookmarkStart w:id="141" w:name="_Toc17590"/>
    </w:p>
    <w:p>
      <w:pPr>
        <w:pStyle w:val="2"/>
        <w:numPr>
          <w:ilvl w:val="0"/>
          <w:numId w:val="0"/>
        </w:numPr>
        <w:snapToGrid w:val="0"/>
        <w:spacing w:before="319" w:beforeLines="100" w:after="319" w:afterLines="100" w:line="360" w:lineRule="auto"/>
        <w:jc w:val="both"/>
        <w:rPr>
          <w:rFonts w:ascii="仿宋" w:hAnsi="仿宋" w:cs="仿宋_GB2312"/>
          <w:color w:val="000000" w:themeColor="text1"/>
          <w:highlight w:val="none"/>
          <w14:textFill>
            <w14:solidFill>
              <w14:schemeClr w14:val="tx1"/>
            </w14:solidFill>
          </w14:textFill>
        </w:rPr>
      </w:pPr>
    </w:p>
    <w:p>
      <w:pPr>
        <w:pStyle w:val="2"/>
        <w:numPr>
          <w:ilvl w:val="0"/>
          <w:numId w:val="0"/>
        </w:numPr>
        <w:snapToGrid w:val="0"/>
        <w:spacing w:before="319" w:beforeLines="100" w:after="319" w:afterLines="100" w:line="360" w:lineRule="auto"/>
        <w:jc w:val="both"/>
        <w:rPr>
          <w:rFonts w:ascii="仿宋" w:hAnsi="仿宋" w:cs="仿宋_GB2312"/>
          <w:color w:val="000000" w:themeColor="text1"/>
          <w:highlight w:val="none"/>
          <w14:textFill>
            <w14:solidFill>
              <w14:schemeClr w14:val="tx1"/>
            </w14:solidFill>
          </w14:textFill>
        </w:rPr>
      </w:pPr>
    </w:p>
    <w:p>
      <w:pPr>
        <w:pStyle w:val="2"/>
        <w:numPr>
          <w:ilvl w:val="0"/>
          <w:numId w:val="0"/>
        </w:numPr>
        <w:snapToGrid w:val="0"/>
        <w:spacing w:before="319" w:beforeLines="100" w:after="319" w:afterLines="100" w:line="360" w:lineRule="auto"/>
        <w:ind w:firstLine="2578" w:firstLineChars="586"/>
        <w:jc w:val="both"/>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第三章 货物需求</w:t>
      </w:r>
      <w:bookmarkEnd w:id="140"/>
      <w:bookmarkEnd w:id="141"/>
    </w:p>
    <w:p>
      <w:pPr>
        <w:adjustRightInd w:val="0"/>
        <w:snapToGrid w:val="0"/>
        <w:ind w:right="105" w:rightChars="50" w:firstLine="476" w:firstLineChars="227"/>
        <w:jc w:val="left"/>
        <w:rPr>
          <w:rFonts w:ascii="仿宋" w:hAnsi="仿宋" w:cs="仿宋_GB2312"/>
          <w:b/>
          <w:bCs/>
          <w:color w:val="000000" w:themeColor="text1"/>
          <w:szCs w:val="21"/>
          <w:highlight w:val="none"/>
          <w14:textFill>
            <w14:solidFill>
              <w14:schemeClr w14:val="tx1"/>
            </w14:solidFill>
          </w14:textFill>
        </w:rPr>
      </w:pPr>
    </w:p>
    <w:p>
      <w:pPr>
        <w:jc w:val="center"/>
        <w:rPr>
          <w:rFonts w:ascii="仿宋" w:hAnsi="仿宋" w:cs="仿宋"/>
          <w:color w:val="000000"/>
          <w:kern w:val="0"/>
          <w:sz w:val="32"/>
          <w:szCs w:val="32"/>
          <w:highlight w:val="none"/>
          <w:lang w:bidi="ar"/>
        </w:rPr>
      </w:pPr>
      <w:r>
        <w:rPr>
          <w:rFonts w:ascii="仿宋" w:hAnsi="仿宋" w:cs="仿宋_GB2312"/>
          <w:color w:val="000000" w:themeColor="text1"/>
          <w:highlight w:val="none"/>
          <w14:textFill>
            <w14:solidFill>
              <w14:schemeClr w14:val="tx1"/>
            </w14:solidFill>
          </w14:textFill>
        </w:rPr>
        <w:br w:type="page"/>
      </w:r>
      <w:bookmarkStart w:id="142" w:name="_Toc25237"/>
      <w:bookmarkStart w:id="143" w:name="_Toc2821_WPSOffice_Level1"/>
      <w:r>
        <w:rPr>
          <w:rFonts w:hint="eastAsia" w:ascii="仿宋" w:hAnsi="仿宋" w:cs="仿宋"/>
          <w:color w:val="000000"/>
          <w:kern w:val="0"/>
          <w:sz w:val="32"/>
          <w:szCs w:val="32"/>
          <w:highlight w:val="none"/>
          <w:lang w:bidi="ar"/>
        </w:rPr>
        <w:t>64排(128层)以上螺旋CT参数</w:t>
      </w:r>
    </w:p>
    <w:p>
      <w:pPr>
        <w:pStyle w:val="10"/>
        <w:rPr>
          <w:sz w:val="21"/>
          <w:szCs w:val="21"/>
          <w:highlight w:val="none"/>
        </w:rPr>
      </w:pPr>
      <w:r>
        <w:rPr>
          <w:rFonts w:hint="eastAsia"/>
          <w:sz w:val="21"/>
          <w:szCs w:val="21"/>
          <w:highlight w:val="none"/>
        </w:rPr>
        <w:t>一、技术要求：</w:t>
      </w:r>
    </w:p>
    <w:tbl>
      <w:tblPr>
        <w:tblStyle w:val="21"/>
        <w:tblW w:w="10470" w:type="dxa"/>
        <w:jc w:val="center"/>
        <w:tblLayout w:type="fixed"/>
        <w:tblCellMar>
          <w:top w:w="0" w:type="dxa"/>
          <w:left w:w="108" w:type="dxa"/>
          <w:bottom w:w="0" w:type="dxa"/>
          <w:right w:w="108" w:type="dxa"/>
        </w:tblCellMar>
      </w:tblPr>
      <w:tblGrid>
        <w:gridCol w:w="330"/>
        <w:gridCol w:w="1140"/>
        <w:gridCol w:w="3870"/>
        <w:gridCol w:w="5130"/>
      </w:tblGrid>
      <w:tr>
        <w:tblPrEx>
          <w:tblCellMar>
            <w:top w:w="0" w:type="dxa"/>
            <w:left w:w="108" w:type="dxa"/>
            <w:bottom w:w="0" w:type="dxa"/>
            <w:right w:w="108" w:type="dxa"/>
          </w:tblCellMar>
        </w:tblPrEx>
        <w:trPr>
          <w:trHeight w:val="319" w:hRule="atLeast"/>
          <w:jc w:val="center"/>
        </w:trPr>
        <w:tc>
          <w:tcPr>
            <w:tcW w:w="10470" w:type="dxa"/>
            <w:gridSpan w:val="4"/>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cs="仿宋"/>
                <w:color w:val="000000"/>
                <w:szCs w:val="21"/>
                <w:highlight w:val="none"/>
              </w:rPr>
            </w:pP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一、</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设备名称：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X 射线计算机断层摄影设备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二、</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产品资质：</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提供NMPA注册证</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三、</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注册证最后认证时间：</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不可早于2020年01月01日</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四、</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生产厂商：</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国产</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五、</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技术参数</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参数需求</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w:t>
            </w:r>
          </w:p>
        </w:tc>
        <w:tc>
          <w:tcPr>
            <w:tcW w:w="9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机架系统</w:t>
            </w:r>
          </w:p>
        </w:tc>
      </w:tr>
      <w:tr>
        <w:tblPrEx>
          <w:tblCellMar>
            <w:top w:w="0" w:type="dxa"/>
            <w:left w:w="108" w:type="dxa"/>
            <w:bottom w:w="0" w:type="dxa"/>
            <w:right w:w="108" w:type="dxa"/>
          </w:tblCellMar>
        </w:tblPrEx>
        <w:trPr>
          <w:trHeight w:val="322"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机架孔径</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≥70cm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机架倾角</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≥±30°</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滑环类型</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低压滑环</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机架控制面板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≥4套</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焦点到探测器的距离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≥1,000mm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机架冷却方式</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风冷</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w:t>
            </w:r>
          </w:p>
        </w:tc>
        <w:tc>
          <w:tcPr>
            <w:tcW w:w="9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X线系统</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球管阳极热容量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≥30MHU</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阳极最大散热率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≥1600KHU/min</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焦点个数</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≥2个</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球管小焦点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≤0.7mm×0.7mm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球管大焦点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≤1.1mm×1.2mm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高压发生器功率</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≥100kW</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球管电流范围</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≥800mA</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球管最低电压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≤60kV</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2.10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球管最高电压</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≥140kV</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2.11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球管电压选择范围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≥6档</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2.12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焦点至扫描野等中心距离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≥550 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2.13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智能四重采样技术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在X轴及Z轴同时实现双倍采样</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w:t>
            </w:r>
          </w:p>
        </w:tc>
        <w:tc>
          <w:tcPr>
            <w:tcW w:w="9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数据采集系统</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探测器类型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固体稀土陶瓷探测器或其他新型探测器</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探测器排数</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≥128排</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每排探测器物理个数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≥660个</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每层面探测器采集通道数</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≥1300个</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数据采样率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≥4640采样/360°</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轴位扫描成像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≥256层/360°</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探测器总宽度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≥80mm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w:t>
            </w:r>
          </w:p>
        </w:tc>
        <w:tc>
          <w:tcPr>
            <w:tcW w:w="9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扫描床</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最大可移动范围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≥1700mm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床水平移动最大速度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≥400mm/s</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床水平移动最小速度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≤0.375mm/s</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床面可降至离地面最低距离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≤500mm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床面可升至离地面最高距离</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≥900 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检查床承重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≥200 kg </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w:t>
            </w:r>
          </w:p>
        </w:tc>
        <w:tc>
          <w:tcPr>
            <w:tcW w:w="9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控制台</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操作系统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Windows 10</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高性能主控台计算机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≥4核</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高性能建像机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≥16核</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主机内存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≥16GB</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建像机内存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≥256GB</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建像机硬盘空间</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≥4TB</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图像存储空间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≥2TB</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图像存储量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≥1,920,000幅（512矩阵不压缩的图像）</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24英寸液晶平板彩色显示器</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≥2台</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5.10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显示器分辨率</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≥1920×1200</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w:t>
            </w:r>
          </w:p>
        </w:tc>
        <w:tc>
          <w:tcPr>
            <w:tcW w:w="9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高级影像后处理工作站</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操作系统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Windows 10</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内存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≥32GB</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硬盘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≥2TB</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图像存储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≥3,840,000幅</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24英寸液晶平板彩色显示器</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≥2台</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显示器分辨率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≥1920×1200</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w:t>
            </w:r>
          </w:p>
        </w:tc>
        <w:tc>
          <w:tcPr>
            <w:tcW w:w="9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扫描参数与图像重建</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螺旋扫描速度（360度）</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≤0.26秒</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最小扫描层厚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≤0.625mm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扫描视野FOV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25cm, 33cm, 50cm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重建视野FOV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包含5-50cm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图像重建速度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≥60幅/秒</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图像重建矩阵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≥512×512,且具备1024矩阵</w:t>
            </w:r>
          </w:p>
        </w:tc>
      </w:tr>
      <w:tr>
        <w:tblPrEx>
          <w:tblCellMar>
            <w:top w:w="0" w:type="dxa"/>
            <w:left w:w="108" w:type="dxa"/>
            <w:bottom w:w="0" w:type="dxa"/>
            <w:right w:w="108" w:type="dxa"/>
          </w:tblCellMar>
        </w:tblPrEx>
        <w:trPr>
          <w:trHeight w:val="300"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拓展CT 值范围</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-32768 ~ 32767</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单次连续扫描时间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≥100秒</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最大定位片长度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≥1,740mm </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7.10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最大可扫描长度</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≥1,770mm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7.11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最小重建层厚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≤0.3125mm</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7.12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扫描螺距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0.13-1.5（连续）</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7.13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X-Y平面空间分辨率</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≥30lp/cm@0%MTF</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7.14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密度分辨率 </w:t>
            </w:r>
          </w:p>
        </w:tc>
        <w:tc>
          <w:tcPr>
            <w:tcW w:w="5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≥2mm@0.3％ </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临床应用软件</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基础软件功能：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3D VR重组技术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多平面重建MPR</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曲面重建CPR</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最大密度投影MIP</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最小密度投影MinIP</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平均密度投影AIP</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表面遮盖显示SSD</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三维容积显示VR</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透明显示骨骼功能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图像融合技术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模拟手术刀技术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1024大矩阵重建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轮廓分割功能 </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CTA血管造影技术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CTU尿路造影技术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肝脏三期扫描技术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智能对比剂追踪技术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对比剂追踪自动扫描触发功能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动态扫描CT时间密度曲线</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8.1.20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对比剂剂量报告存储功能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仿真内窥镜功能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570"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8.2.01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气管、血管、胃肠空腔器官的仿真内窥镜</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570"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8.2.02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自定义漫游路径，并支持自动，手动漫游</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8.2.03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支持Dicom格式 Video录制</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血管分析功能 </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8.3.01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自动去除床板</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8.3.02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自动去除各个检查部位的骨骼</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8.3.03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自动提取感兴趣的分支血管</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570"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8.3.04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随鼠标指针移动，自动显示主要血管名称</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8.3.05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自动血管拉直</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570"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8.3.06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自动血管测量管腔面积，直径、狭窄率等</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CTDSA数字减影功能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570"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8.4.01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自动同步增强和平扫序列，进行数字减影</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8.4.02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自动去除骨骼等结构</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8.4.03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支持不少于2种减影模式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低剂量扫描技术： </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60kV低剂量扫描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60kV低剂量肺癌筛查</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60kV儿童关爱扫描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60kV大范围血管检查</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8.5.05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迭代函数算法</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8.5.06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深度学习算法</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8.5.07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智能毫安技术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8.5.08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ECG剂量调制</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8.5.09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智能kV技术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8.5.10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儿童低剂量扫描协议 </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8.5.11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敏感器官保护功能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8.5.12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剂量报告</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齿科软件包 ： </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8.6.01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全景牙齿平铺显示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8.6.02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单个牙齿垂直显示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8.6.03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自动标注牙齿序号</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虚拟结肠镜功能：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8.7.01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一键分割结肠组织</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8.7.02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结肠段曲线编辑，中心线编辑</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8.7.03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结肠腔内漫游</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8.7.04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多模式显示、自动平铺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8.7.05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结肠息肉分析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肺结节分析：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8.8.01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肺结节提取</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8.8.02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结节相关特征参数</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8.8.03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量化体积变化、倍增时间等</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肺密度分析软件：</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8.9.01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自动分割左肺，右肺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8.9.02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自动显示肺气肿区域</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8.9.03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计算肺气肿的体积，百分比</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肿瘤评估软件：</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一键病灶提取，并自动计算大小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VR显示病灶的形态，解剖位置</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8.10.03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随访功能，并自动进行病灶对比</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脂肪分析软件：</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自动分割脂肪</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8.11.02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自动计算脂肪面积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灌注功能：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8.12.01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4D灌注，反复双向床位移动</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8.12.02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头灌注、体灌注扫描及分析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8.12.03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专用肝脏灌注功能包</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8.12.04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肝动脉，门静脉同时检测</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8.12.05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专用肿瘤灌注功能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8.12.06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灌注结果显示分析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去伪影技术：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8.13.01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去运动伪影技术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8.13.02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去后颅窝伪影技术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8.13.03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去金属伪影技术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8.13.04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去射线束硬化伪影技术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心脏成像功能：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单个心动周期心脏扫描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内置心电监护装置</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前瞻性门控扫描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回顾性门控扫描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8.14.05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早搏校正功能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8.14.06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冠脉运动补偿</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8.14.07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心脏成像时间分辨率 ：25毫秒</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8.14.08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物理单扇区时间分辨率：0.13s</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8.14.09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多种扇区自适应</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心电编辑功能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整个序列多期相重建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单幅图像多期相重建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自动选择最佳期相</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冠脉钙化分析软件</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一键冠脉提取</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主要血管自动命名：3支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自动识别血管中心线，并可编辑</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自动识别舒张末期、收缩末期</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8.14.19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心脏4D电影显示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冠脉及心脏的三维成像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冠状动脉狭窄分析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血管拉直分析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自动显示主要血管名称</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冠状动脉斑块分析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四腔心分割</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左心室长轴，短轴显示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全心功能分析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射血分数分析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8.14.29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心室舒张、收缩末期容积分析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搏输出量分析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室壁厚度牛眼图</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室壁增厚率牛眼图</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室壁运动牛眼图等</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心脏轴位显示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心脏腔室显示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不同期相的心脏图像对比功能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冠脉彩色编码技术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自动心肌灌注分析功能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8.14.39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经导管主动脉瓣置换手术规划</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8.14.40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提供主动脉瓣测量模板</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8.14.41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自动分割并定位评估手术入路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8.14.42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提供面积，角度，长度的测量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骨密度分析功能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8.15.01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有体模和无体模两种模式分析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8.15.02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提供腰椎和股骨颈两种测量模式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8.15.03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二维骨密度测量功能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8.15.04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三维半自动腰椎骨密度测量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8.15.05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三维半自动股骨密度测量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8.15.06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骨密度平均值和T值、Z值测量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胸痛三联征专用分析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8.16.01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胸痛三联征一站式扫描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8.16.02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提供血管总览分析模式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8.16.03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主动脉单独分析模式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8.16.04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肺动脉单独分析模式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8.16.05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冠脉单独分析模式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高级脑卒中分析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8.17.01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脑出血病灶识别及测量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8.17.02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缺血性脑卒中一站式扫描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8.17.03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脑灌注参数</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8.17.04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脑缺血责任血管评估</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8.17.05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标注梗死核心区和缺血半暗带</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8.17.06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提供Mismatch体积和比值的计算</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肝脏分析功能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8.18.01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肝脏分割、分段、肝组织提取，</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8.18.02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肝脏内血管的自动提取</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8.18.03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虚拟切割功能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8.18.04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多期相图像的融合</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超级融合：</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8.19.01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同一患者数据的多应用分割融合</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8.19.02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提供配准工具</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8.20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自动语音功能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8.21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视觉引导功能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8.22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自动胶片打印功能 </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8.23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自动降噪技术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CT能谱成像技术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支持单能量图伪彩显示</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支持能谱曲线</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有效原子序数图及电子密度图</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9.4</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最佳对比噪声比（CNR）曲线图</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提供水、碘、钙的物质分离图</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可进行物质密度测定</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9.7</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可提供物质成分直方图</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9.8</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能谱基物质成像</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9.9</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基物质图像上标注物质密度信息</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9.10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提供虚拟平扫功能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90"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9.11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 xml:space="preserve">单能量功能分析并导出平台 </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9.12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主机和工作站上具备能谱分析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10</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b/>
                <w:bCs/>
                <w:color w:val="000000"/>
                <w:szCs w:val="21"/>
                <w:highlight w:val="none"/>
              </w:rPr>
            </w:pPr>
            <w:r>
              <w:rPr>
                <w:rFonts w:hint="eastAsia" w:ascii="仿宋" w:hAnsi="仿宋" w:cs="仿宋"/>
                <w:b/>
                <w:bCs/>
                <w:color w:val="000000"/>
                <w:kern w:val="0"/>
                <w:szCs w:val="21"/>
                <w:highlight w:val="none"/>
                <w:lang w:bidi="ar"/>
              </w:rPr>
              <w:t>配套设备</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570"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10.01</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智能辅助扫描定位系统</w:t>
            </w:r>
            <w:r>
              <w:rPr>
                <w:rFonts w:hint="eastAsia" w:ascii="仿宋" w:hAnsi="仿宋" w:cs="仿宋"/>
                <w:color w:val="000000"/>
                <w:kern w:val="0"/>
                <w:szCs w:val="21"/>
                <w:highlight w:val="none"/>
                <w:lang w:bidi="ar"/>
              </w:rPr>
              <w:br w:type="textWrapping"/>
            </w:r>
            <w:r>
              <w:rPr>
                <w:rFonts w:hint="eastAsia" w:ascii="仿宋" w:hAnsi="仿宋" w:cs="仿宋"/>
                <w:color w:val="000000"/>
                <w:kern w:val="0"/>
                <w:szCs w:val="21"/>
                <w:highlight w:val="none"/>
                <w:lang w:bidi="ar"/>
              </w:rPr>
              <w:t>（天眼功能）</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具备</w:t>
            </w:r>
          </w:p>
        </w:tc>
      </w:tr>
      <w:tr>
        <w:tblPrEx>
          <w:tblCellMar>
            <w:top w:w="0" w:type="dxa"/>
            <w:left w:w="108" w:type="dxa"/>
            <w:bottom w:w="0" w:type="dxa"/>
            <w:right w:w="108" w:type="dxa"/>
          </w:tblCellMar>
        </w:tblPrEx>
        <w:trPr>
          <w:trHeight w:val="285" w:hRule="atLeast"/>
          <w:jc w:val="center"/>
        </w:trPr>
        <w:tc>
          <w:tcPr>
            <w:tcW w:w="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cs="仿宋"/>
                <w:color w:val="000000"/>
                <w:szCs w:val="21"/>
                <w:highlight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10.02</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首次维保期限</w:t>
            </w:r>
          </w:p>
        </w:tc>
        <w:tc>
          <w:tcPr>
            <w:tcW w:w="5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cs="仿宋"/>
                <w:color w:val="000000"/>
                <w:szCs w:val="21"/>
                <w:highlight w:val="none"/>
              </w:rPr>
            </w:pPr>
            <w:r>
              <w:rPr>
                <w:rFonts w:hint="eastAsia" w:ascii="仿宋" w:hAnsi="仿宋" w:cs="仿宋"/>
                <w:color w:val="000000"/>
                <w:kern w:val="0"/>
                <w:szCs w:val="21"/>
                <w:highlight w:val="none"/>
                <w:lang w:bidi="ar"/>
              </w:rPr>
              <w:t>5年</w:t>
            </w:r>
          </w:p>
        </w:tc>
      </w:tr>
    </w:tbl>
    <w:p>
      <w:pPr>
        <w:pStyle w:val="10"/>
        <w:rPr>
          <w:sz w:val="21"/>
          <w:szCs w:val="21"/>
          <w:highlight w:val="none"/>
        </w:rPr>
      </w:pPr>
      <w:r>
        <w:rPr>
          <w:rFonts w:hint="eastAsia"/>
          <w:sz w:val="21"/>
          <w:szCs w:val="21"/>
          <w:highlight w:val="none"/>
        </w:rPr>
        <w:t>二、商务要求：</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1.交货时间及地点：</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（1）交货时间：交货日期为自本合同签字日起国产设备1个月内，进口设备3个月内，以供货方将产品送达采购方指定到货地点、卸货并完成安装、调试的日期为准。</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（2）交付地点：大连医科大学附属第二医院指定。</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2.付款方式：</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本合同全部价款，将按照下述付款进度支付:(1)合同签订后7日内乙方需按照合同所附保函格式开具符合甲方要求的 30%合同金额预付款保函，乙方办理预付款保函的费用己包括在合同价格内。甲方应在收到预付款保函之日起【7】日内，向乙方指定帐户支付30%合同金额的预付款。(2)乙方需在合同签订后四个月内按照合同所附保函格式开具符合甲方要求的70%合同金额履约保函，乙方办理预付款保函的费用己包括在合同价格内。甲方应在收到履约保函之日起【7】日内，向乙方指定帐户支付70%合同金额的预付款。(3)设备到达甲方指定地点并收到乙方出具的正本全额增值税专用发票，甲方即退回70%履约保函，乙方提交发票的信息与合同中的收款单位、银行账户(包括银行账户名称、账号、开户行)等信息必须保持一致。乙方不得随意更改，否则影响付款的后果由乙方自行承担。乙方需按照合同所附保函格式开具符合甲方要求的预付款保函及履约保函，保函需由甲方认可的商业银行以书面形式出具，保函有效期自开立之日起生效至2025年9月底。</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3.需执行的国家相关标准、行业标准、地方标准或者其他标准、规范：</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执行国家相关标准、行业标准、地方标准或者其他标准、规范。根据国家或地方政府规定强制检验、检测、检疫、认证证明产生的费用由供货方承担。</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4.安装调试：</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货到后，供货方须在约定的时间内，到指定的地点免费为用户进行安装、调试。</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5.技术服务及培训：</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免费提供产品的中文使用说明、中文维修手册、中文操作手册和现场培训，并提供维护手册电子版文件，有标准的开放数字化接口（并配合甲方完成HIS系统的对接工作）等。</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自带独立软件操作系统的（一般为进口设备），需提供系统备份。</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特殊专科设备在现场培训的同时，应根据院方要求提供设备临床现场使用指导服务。</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如产品属于特种设备，供货方应在产品安装前或者投入使用后1个月内配合相关科室完成特种设备使用登记，取得使用登记证书。</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6.验收标准及方法：</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本项目采购人及其委托的采购代理机构将严格按照政府采购相关法律法规以及《辽宁省政府采购履约验收管理办法》（辽财采〔2017〕603号）的要求进行验收。交付产品应为自验收之日前一年内生产的全新产品，否则不予验收。</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7.质量保证和售后服务要求，需满足的服务标准、期限、效率等：</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产品原厂质量保证期为产品验收合格后 60个月。</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在质保期内因货物本身的质量问题发生故障，供货方应负责免费更换。对达不到技术要求及质量要求者（包括且不限于以下情况：①质保期内同类故障发生3次及以上产品；②质保期内发生故障，修复期超过14个工作日；③质保期内维修响应时间超过1天），院方可要求进行退货处理，供货方应退还采购方支付的全部合同款，同时应承担该货物的直接费用（运输、保险、检验、货款利息及银行手续费等）。</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质保期内，供货方必须在接到采购方报修通知后4小时内电话反馈，24小时内维修工程师到达现场，48小时内维修配件到达现场进行维修。在产品质保期内上门免费服务，须免费维护、维修或更换系统故障部件；超过质保期的机器设备,可终生提供技术服务及维修服务,维修时只收部件费，并承诺所收部件费为全国最低价。免费质保服务应包含“人工费”、“配件费”等全部费用。除本合同另有约定外，采购方不负责其他任何费用。</w:t>
      </w:r>
    </w:p>
    <w:p>
      <w:pPr>
        <w:spacing w:line="360" w:lineRule="auto"/>
        <w:ind w:firstLine="0" w:firstLineChars="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8</w:t>
      </w:r>
      <w:r>
        <w:rPr>
          <w:rFonts w:ascii="仿宋" w:hAnsi="仿宋" w:cs="仿宋"/>
          <w:color w:val="000000" w:themeColor="text1"/>
          <w:szCs w:val="21"/>
          <w:highlight w:val="none"/>
          <w14:textFill>
            <w14:solidFill>
              <w14:schemeClr w14:val="tx1"/>
            </w14:solidFill>
          </w14:textFill>
        </w:rPr>
        <w:t>.</w:t>
      </w:r>
      <w:r>
        <w:rPr>
          <w:rFonts w:hint="eastAsia" w:ascii="仿宋" w:hAnsi="仿宋" w:cs="仿宋"/>
          <w:color w:val="000000" w:themeColor="text1"/>
          <w:szCs w:val="21"/>
          <w:highlight w:val="none"/>
          <w14:textFill>
            <w14:solidFill>
              <w14:schemeClr w14:val="tx1"/>
            </w14:solidFill>
          </w14:textFill>
        </w:rPr>
        <w:t xml:space="preserve"> 设备安装场地提前规划、踏勘 </w:t>
      </w:r>
      <w:r>
        <w:rPr>
          <w:rFonts w:ascii="仿宋" w:hAnsi="仿宋" w:cs="仿宋"/>
          <w:color w:val="000000" w:themeColor="text1"/>
          <w:szCs w:val="21"/>
          <w:highlight w:val="none"/>
          <w14:textFill>
            <w14:solidFill>
              <w14:schemeClr w14:val="tx1"/>
            </w14:solidFill>
          </w14:textFill>
        </w:rPr>
        <w:t xml:space="preserve"> </w:t>
      </w:r>
    </w:p>
    <w:p>
      <w:pPr>
        <w:spacing w:line="360" w:lineRule="auto"/>
        <w:ind w:firstLine="0" w:firstLineChars="0"/>
        <w:rPr>
          <w:rFonts w:hint="eastAsia"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 设备安装场地基础装修工程</w:t>
      </w:r>
    </w:p>
    <w:p>
      <w:pPr>
        <w:spacing w:line="360" w:lineRule="auto"/>
        <w:ind w:firstLine="0" w:firstLineChars="0"/>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cs="仿宋"/>
          <w:color w:val="000000" w:themeColor="text1"/>
          <w:szCs w:val="21"/>
          <w:highlight w:val="none"/>
          <w:lang w:val="en-US" w:eastAsia="zh-CN"/>
          <w14:textFill>
            <w14:solidFill>
              <w14:schemeClr w14:val="tx1"/>
            </w14:solidFill>
          </w14:textFill>
        </w:rPr>
        <w:t>10.设备安装场地辐射防护工程</w:t>
      </w:r>
    </w:p>
    <w:p>
      <w:pPr>
        <w:spacing w:line="360" w:lineRule="auto"/>
        <w:ind w:firstLine="0" w:firstLineChars="0"/>
        <w:rPr>
          <w:rFonts w:hint="eastAsia"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lang w:val="en-US" w:eastAsia="zh-CN"/>
          <w14:textFill>
            <w14:solidFill>
              <w14:schemeClr w14:val="tx1"/>
            </w14:solidFill>
          </w14:textFill>
        </w:rPr>
        <w:t>11.</w:t>
      </w:r>
      <w:r>
        <w:rPr>
          <w:rFonts w:hint="eastAsia" w:ascii="仿宋" w:hAnsi="仿宋" w:cs="仿宋"/>
          <w:color w:val="000000" w:themeColor="text1"/>
          <w:szCs w:val="21"/>
          <w:highlight w:val="none"/>
          <w14:textFill>
            <w14:solidFill>
              <w14:schemeClr w14:val="tx1"/>
            </w14:solidFill>
          </w14:textFill>
        </w:rPr>
        <w:t>现场应用培训 ≥3次</w:t>
      </w:r>
    </w:p>
    <w:p>
      <w:pPr>
        <w:spacing w:line="360" w:lineRule="auto"/>
        <w:ind w:firstLine="0" w:firstLineChars="0"/>
        <w:rPr>
          <w:rFonts w:hint="eastAsia"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w:t>
      </w:r>
      <w:r>
        <w:rPr>
          <w:rFonts w:hint="eastAsia" w:ascii="仿宋" w:hAnsi="仿宋" w:cs="仿宋"/>
          <w:color w:val="000000" w:themeColor="text1"/>
          <w:szCs w:val="21"/>
          <w:highlight w:val="none"/>
          <w:lang w:val="en-US" w:eastAsia="zh-CN"/>
          <w14:textFill>
            <w14:solidFill>
              <w14:schemeClr w14:val="tx1"/>
            </w14:solidFill>
          </w14:textFill>
        </w:rPr>
        <w:t>2</w:t>
      </w:r>
      <w:r>
        <w:rPr>
          <w:rFonts w:hint="eastAsia" w:ascii="仿宋" w:hAnsi="仿宋" w:cs="仿宋"/>
          <w:color w:val="000000" w:themeColor="text1"/>
          <w:szCs w:val="21"/>
          <w:highlight w:val="none"/>
          <w14:textFill>
            <w14:solidFill>
              <w14:schemeClr w14:val="tx1"/>
            </w14:solidFill>
          </w14:textFill>
        </w:rPr>
        <w:t>. 具备国内备件仓库</w:t>
      </w:r>
    </w:p>
    <w:p>
      <w:pPr>
        <w:spacing w:line="360" w:lineRule="auto"/>
        <w:ind w:firstLine="0" w:firstLineChars="0"/>
        <w:rPr>
          <w:rFonts w:hint="eastAsia"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w:t>
      </w:r>
      <w:r>
        <w:rPr>
          <w:rFonts w:hint="eastAsia" w:ascii="仿宋" w:hAnsi="仿宋" w:cs="仿宋"/>
          <w:color w:val="000000" w:themeColor="text1"/>
          <w:szCs w:val="21"/>
          <w:highlight w:val="none"/>
          <w:lang w:val="en-US" w:eastAsia="zh-CN"/>
          <w14:textFill>
            <w14:solidFill>
              <w14:schemeClr w14:val="tx1"/>
            </w14:solidFill>
          </w14:textFill>
        </w:rPr>
        <w:t>3</w:t>
      </w:r>
      <w:r>
        <w:rPr>
          <w:rFonts w:hint="eastAsia" w:ascii="仿宋" w:hAnsi="仿宋" w:cs="仿宋"/>
          <w:color w:val="000000" w:themeColor="text1"/>
          <w:szCs w:val="21"/>
          <w:highlight w:val="none"/>
          <w14:textFill>
            <w14:solidFill>
              <w14:schemeClr w14:val="tx1"/>
            </w14:solidFill>
          </w14:textFill>
        </w:rPr>
        <w:t>. 具备省内固定维修工程师</w:t>
      </w:r>
    </w:p>
    <w:p>
      <w:pPr>
        <w:spacing w:line="360" w:lineRule="auto"/>
        <w:ind w:firstLine="0" w:firstLineChars="0"/>
        <w:rPr>
          <w:rFonts w:hint="eastAsia"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w:t>
      </w:r>
      <w:r>
        <w:rPr>
          <w:rFonts w:hint="eastAsia" w:ascii="仿宋" w:hAnsi="仿宋" w:cs="仿宋"/>
          <w:color w:val="000000" w:themeColor="text1"/>
          <w:szCs w:val="21"/>
          <w:highlight w:val="none"/>
          <w:lang w:val="en-US" w:eastAsia="zh-CN"/>
          <w14:textFill>
            <w14:solidFill>
              <w14:schemeClr w14:val="tx1"/>
            </w14:solidFill>
          </w14:textFill>
        </w:rPr>
        <w:t>4</w:t>
      </w:r>
      <w:r>
        <w:rPr>
          <w:rFonts w:hint="eastAsia" w:ascii="仿宋" w:hAnsi="仿宋" w:cs="仿宋"/>
          <w:color w:val="000000" w:themeColor="text1"/>
          <w:szCs w:val="21"/>
          <w:highlight w:val="none"/>
          <w14:textFill>
            <w14:solidFill>
              <w14:schemeClr w14:val="tx1"/>
            </w14:solidFill>
          </w14:textFill>
        </w:rPr>
        <w:t>. 具备400免费保修电话号码</w:t>
      </w:r>
    </w:p>
    <w:p>
      <w:pPr>
        <w:spacing w:line="360" w:lineRule="auto"/>
        <w:ind w:firstLine="0" w:firstLineChars="0"/>
        <w:rPr>
          <w:rFonts w:hint="eastAsia"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w:t>
      </w:r>
      <w:r>
        <w:rPr>
          <w:rFonts w:hint="eastAsia" w:ascii="仿宋" w:hAnsi="仿宋" w:cs="仿宋"/>
          <w:color w:val="000000" w:themeColor="text1"/>
          <w:szCs w:val="21"/>
          <w:highlight w:val="none"/>
          <w:lang w:val="en-US" w:eastAsia="zh-CN"/>
          <w14:textFill>
            <w14:solidFill>
              <w14:schemeClr w14:val="tx1"/>
            </w14:solidFill>
          </w14:textFill>
        </w:rPr>
        <w:t>5</w:t>
      </w:r>
      <w:r>
        <w:rPr>
          <w:rFonts w:hint="eastAsia" w:ascii="仿宋" w:hAnsi="仿宋" w:cs="仿宋"/>
          <w:color w:val="000000" w:themeColor="text1"/>
          <w:szCs w:val="21"/>
          <w:highlight w:val="none"/>
          <w14:textFill>
            <w14:solidFill>
              <w14:schemeClr w14:val="tx1"/>
            </w14:solidFill>
          </w14:textFill>
        </w:rPr>
        <w:t>. 具备科研、课题合作项目，≥4项</w:t>
      </w:r>
    </w:p>
    <w:p>
      <w:pPr>
        <w:spacing w:line="360" w:lineRule="auto"/>
        <w:ind w:firstLine="0" w:firstLineChars="0"/>
        <w:rPr>
          <w:rFonts w:hint="eastAsia"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w:t>
      </w:r>
      <w:r>
        <w:rPr>
          <w:rFonts w:hint="eastAsia" w:ascii="仿宋" w:hAnsi="仿宋" w:cs="仿宋"/>
          <w:color w:val="000000" w:themeColor="text1"/>
          <w:szCs w:val="21"/>
          <w:highlight w:val="none"/>
          <w:lang w:val="en-US" w:eastAsia="zh-CN"/>
          <w14:textFill>
            <w14:solidFill>
              <w14:schemeClr w14:val="tx1"/>
            </w14:solidFill>
          </w14:textFill>
        </w:rPr>
        <w:t>6</w:t>
      </w:r>
      <w:r>
        <w:rPr>
          <w:rFonts w:hint="eastAsia" w:ascii="仿宋" w:hAnsi="仿宋" w:cs="仿宋"/>
          <w:color w:val="000000" w:themeColor="text1"/>
          <w:szCs w:val="21"/>
          <w:highlight w:val="none"/>
          <w14:textFill>
            <w14:solidFill>
              <w14:schemeClr w14:val="tx1"/>
            </w14:solidFill>
          </w14:textFill>
        </w:rPr>
        <w:t>. 具备高级应用培训，≥4人次</w:t>
      </w:r>
    </w:p>
    <w:p>
      <w:pPr>
        <w:numPr>
          <w:ilvl w:val="0"/>
          <w:numId w:val="0"/>
        </w:numPr>
        <w:snapToGrid w:val="0"/>
        <w:spacing w:before="319" w:beforeLines="100" w:after="319" w:afterLines="100" w:line="360" w:lineRule="auto"/>
        <w:ind w:firstLine="1037" w:firstLineChars="494"/>
        <w:jc w:val="both"/>
        <w:rPr>
          <w:rFonts w:hint="eastAsia"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br w:type="page"/>
      </w:r>
    </w:p>
    <w:p>
      <w:pPr>
        <w:pStyle w:val="2"/>
        <w:numPr>
          <w:ilvl w:val="0"/>
          <w:numId w:val="0"/>
        </w:numPr>
        <w:snapToGrid w:val="0"/>
        <w:spacing w:before="319" w:beforeLines="100" w:after="319" w:afterLines="100" w:line="360" w:lineRule="auto"/>
        <w:ind w:firstLine="2173" w:firstLineChars="494"/>
        <w:jc w:val="both"/>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第四章 评标方法</w:t>
      </w:r>
      <w:bookmarkEnd w:id="142"/>
      <w:bookmarkEnd w:id="143"/>
    </w:p>
    <w:p>
      <w:pPr>
        <w:adjustRightInd w:val="0"/>
        <w:snapToGrid w:val="0"/>
        <w:spacing w:line="360" w:lineRule="auto"/>
        <w:ind w:firstLine="420" w:firstLineChars="200"/>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bCs/>
          <w:color w:val="000000" w:themeColor="text1"/>
          <w:kern w:val="0"/>
          <w:szCs w:val="21"/>
          <w:highlight w:val="none"/>
          <w14:textFill>
            <w14:solidFill>
              <w14:schemeClr w14:val="tx1"/>
            </w14:solidFill>
          </w14:textFill>
        </w:rPr>
        <w:t>本项目将按照招标文件第一章投标人须知中“六 开标及评标”、“七 确定中标”及本章的规定评标。</w:t>
      </w:r>
    </w:p>
    <w:p>
      <w:pPr>
        <w:adjustRightInd w:val="0"/>
        <w:snapToGrid w:val="0"/>
        <w:spacing w:line="360" w:lineRule="auto"/>
        <w:ind w:firstLine="420" w:firstLineChars="200"/>
        <w:rPr>
          <w:rFonts w:ascii="仿宋" w:hAnsi="仿宋" w:cs="仿宋_GB2312"/>
          <w:b/>
          <w:color w:val="000000" w:themeColor="text1"/>
          <w:kern w:val="0"/>
          <w:szCs w:val="21"/>
          <w:highlight w:val="none"/>
          <w14:textFill>
            <w14:solidFill>
              <w14:schemeClr w14:val="tx1"/>
            </w14:solidFill>
          </w14:textFill>
        </w:rPr>
      </w:pPr>
      <w:bookmarkStart w:id="144" w:name="_Toc22313_WPSOffice_Level2"/>
      <w:r>
        <w:rPr>
          <w:rFonts w:hint="eastAsia" w:ascii="仿宋" w:hAnsi="仿宋" w:cs="仿宋_GB2312"/>
          <w:b/>
          <w:color w:val="000000" w:themeColor="text1"/>
          <w:kern w:val="0"/>
          <w:szCs w:val="21"/>
          <w:highlight w:val="none"/>
          <w14:textFill>
            <w14:solidFill>
              <w14:schemeClr w14:val="tx1"/>
            </w14:solidFill>
          </w14:textFill>
        </w:rPr>
        <w:t>一、评标方法</w:t>
      </w:r>
      <w:bookmarkEnd w:id="144"/>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本项目采用</w:t>
      </w:r>
      <w:r>
        <w:rPr>
          <w:rFonts w:hint="eastAsia" w:ascii="仿宋" w:hAnsi="仿宋" w:cs="仿宋_GB2312"/>
          <w:color w:val="000000" w:themeColor="text1"/>
          <w:kern w:val="0"/>
          <w:szCs w:val="21"/>
          <w:highlight w:val="none"/>
          <w:u w:val="single"/>
          <w14:textFill>
            <w14:solidFill>
              <w14:schemeClr w14:val="tx1"/>
            </w14:solidFill>
          </w14:textFill>
        </w:rPr>
        <w:t>综合评分法</w:t>
      </w:r>
      <w:r>
        <w:rPr>
          <w:rFonts w:hint="eastAsia" w:ascii="仿宋" w:hAnsi="仿宋" w:cs="仿宋_GB2312"/>
          <w:color w:val="000000" w:themeColor="text1"/>
          <w:kern w:val="0"/>
          <w:szCs w:val="21"/>
          <w:highlight w:val="none"/>
          <w14:textFill>
            <w14:solidFill>
              <w14:schemeClr w14:val="tx1"/>
            </w14:solidFill>
          </w14:textFill>
        </w:rPr>
        <w:t>进行评标。</w:t>
      </w:r>
    </w:p>
    <w:p>
      <w:pPr>
        <w:adjustRightInd w:val="0"/>
        <w:snapToGrid w:val="0"/>
        <w:spacing w:line="360" w:lineRule="auto"/>
        <w:ind w:firstLine="420" w:firstLineChars="200"/>
        <w:textAlignment w:val="baseline"/>
        <w:rPr>
          <w:rFonts w:ascii="仿宋" w:hAnsi="仿宋" w:cs="仿宋_GB2312"/>
          <w:b/>
          <w:color w:val="000000" w:themeColor="text1"/>
          <w:kern w:val="0"/>
          <w:szCs w:val="21"/>
          <w:highlight w:val="none"/>
          <w14:textFill>
            <w14:solidFill>
              <w14:schemeClr w14:val="tx1"/>
            </w14:solidFill>
          </w14:textFill>
        </w:rPr>
      </w:pPr>
      <w:bookmarkStart w:id="145" w:name="_Toc21368_WPSOffice_Level2"/>
      <w:r>
        <w:rPr>
          <w:rFonts w:hint="eastAsia" w:ascii="仿宋" w:hAnsi="仿宋" w:cs="仿宋_GB2312"/>
          <w:b/>
          <w:color w:val="000000" w:themeColor="text1"/>
          <w:kern w:val="0"/>
          <w:szCs w:val="21"/>
          <w:highlight w:val="none"/>
          <w14:textFill>
            <w14:solidFill>
              <w14:schemeClr w14:val="tx1"/>
            </w14:solidFill>
          </w14:textFill>
        </w:rPr>
        <w:t>二、评标原则及程序</w:t>
      </w:r>
      <w:bookmarkEnd w:id="145"/>
    </w:p>
    <w:p>
      <w:pPr>
        <w:adjustRightInd w:val="0"/>
        <w:snapToGrid w:val="0"/>
        <w:spacing w:line="360" w:lineRule="auto"/>
        <w:ind w:firstLine="420" w:firstLineChars="200"/>
        <w:textAlignment w:val="baseline"/>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（一）评标原则</w:t>
      </w:r>
    </w:p>
    <w:p>
      <w:pPr>
        <w:adjustRightInd w:val="0"/>
        <w:snapToGrid w:val="0"/>
        <w:spacing w:line="360" w:lineRule="auto"/>
        <w:ind w:firstLine="420" w:firstLineChars="200"/>
        <w:textAlignment w:val="baseline"/>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highlight w:val="none"/>
          <w14:textFill>
            <w14:solidFill>
              <w14:schemeClr w14:val="tx1"/>
            </w14:solidFill>
          </w14:textFill>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pPr>
        <w:adjustRightInd w:val="0"/>
        <w:snapToGrid w:val="0"/>
        <w:spacing w:line="360" w:lineRule="auto"/>
        <w:ind w:firstLine="420" w:firstLineChars="200"/>
        <w:textAlignment w:val="baseline"/>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（二）评标程序</w:t>
      </w:r>
    </w:p>
    <w:p>
      <w:pPr>
        <w:adjustRightInd w:val="0"/>
        <w:snapToGrid w:val="0"/>
        <w:spacing w:line="360" w:lineRule="auto"/>
        <w:ind w:firstLine="420" w:firstLineChars="200"/>
        <w:textAlignment w:val="baseline"/>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★1、资格审查</w:t>
      </w:r>
    </w:p>
    <w:p>
      <w:pPr>
        <w:adjustRightInd w:val="0"/>
        <w:snapToGrid w:val="0"/>
        <w:spacing w:line="360" w:lineRule="auto"/>
        <w:ind w:firstLine="420" w:firstLineChars="200"/>
        <w:textAlignment w:val="baseline"/>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1.1详见投标人须知22条。资格审查表详见本章附件1。</w:t>
      </w:r>
    </w:p>
    <w:p>
      <w:pPr>
        <w:adjustRightInd w:val="0"/>
        <w:snapToGrid w:val="0"/>
        <w:spacing w:line="360" w:lineRule="auto"/>
        <w:ind w:firstLine="420" w:firstLineChars="200"/>
        <w:rPr>
          <w:rFonts w:ascii="仿宋" w:hAnsi="仿宋" w:cs="仿宋_GB2312"/>
          <w:b/>
          <w:bCs/>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w:t>
      </w:r>
      <w:r>
        <w:rPr>
          <w:rFonts w:hint="eastAsia" w:ascii="仿宋" w:hAnsi="仿宋" w:cs="仿宋_GB2312"/>
          <w:b/>
          <w:bCs/>
          <w:color w:val="000000" w:themeColor="text1"/>
          <w:kern w:val="0"/>
          <w:szCs w:val="21"/>
          <w:highlight w:val="none"/>
          <w14:textFill>
            <w14:solidFill>
              <w14:schemeClr w14:val="tx1"/>
            </w14:solidFill>
          </w14:textFill>
        </w:rPr>
        <w:t>2、符合性审查</w:t>
      </w:r>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2.1详见投标人须知23条。符合性审查表详见本章附件2。</w:t>
      </w:r>
    </w:p>
    <w:p>
      <w:pPr>
        <w:adjustRightInd w:val="0"/>
        <w:snapToGrid w:val="0"/>
        <w:spacing w:line="360" w:lineRule="auto"/>
        <w:ind w:firstLine="420" w:firstLineChars="200"/>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3、样品及演示</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3.1</w:t>
      </w:r>
      <w:r>
        <w:rPr>
          <w:rFonts w:hint="eastAsia" w:ascii="仿宋" w:hAnsi="仿宋" w:cs="仿宋_GB2312"/>
          <w:color w:val="000000" w:themeColor="text1"/>
          <w:kern w:val="0"/>
          <w:szCs w:val="21"/>
          <w:highlight w:val="none"/>
          <w14:textFill>
            <w14:solidFill>
              <w14:schemeClr w14:val="tx1"/>
            </w14:solidFill>
          </w14:textFill>
        </w:rPr>
        <w:t>投标人须知表11.3条</w:t>
      </w:r>
      <w:r>
        <w:rPr>
          <w:rFonts w:hint="eastAsia" w:ascii="仿宋" w:hAnsi="仿宋" w:cs="仿宋_GB2312"/>
          <w:color w:val="000000" w:themeColor="text1"/>
          <w:szCs w:val="21"/>
          <w:highlight w:val="none"/>
          <w14:textFill>
            <w14:solidFill>
              <w14:schemeClr w14:val="tx1"/>
            </w14:solidFill>
          </w14:textFill>
        </w:rPr>
        <w:t>中要求投标人提供样品或演示的，按照</w:t>
      </w:r>
      <w:r>
        <w:rPr>
          <w:rFonts w:hint="eastAsia" w:ascii="仿宋" w:hAnsi="仿宋" w:cs="仿宋_GB2312"/>
          <w:color w:val="000000" w:themeColor="text1"/>
          <w:kern w:val="0"/>
          <w:szCs w:val="21"/>
          <w:highlight w:val="none"/>
          <w14:textFill>
            <w14:solidFill>
              <w14:schemeClr w14:val="tx1"/>
            </w14:solidFill>
          </w14:textFill>
        </w:rPr>
        <w:t>投标人须知表25.1条</w:t>
      </w:r>
      <w:r>
        <w:rPr>
          <w:rFonts w:hint="eastAsia" w:ascii="仿宋" w:hAnsi="仿宋" w:cs="仿宋_GB2312"/>
          <w:color w:val="000000" w:themeColor="text1"/>
          <w:szCs w:val="21"/>
          <w:highlight w:val="none"/>
          <w14:textFill>
            <w14:solidFill>
              <w14:schemeClr w14:val="tx1"/>
            </w14:solidFill>
          </w14:textFill>
        </w:rPr>
        <w:t>中确定的评审方法以及评审标准进行评审。(样品或演示属于符合性审查的，按照</w:t>
      </w:r>
      <w:r>
        <w:rPr>
          <w:rFonts w:hint="eastAsia" w:ascii="仿宋" w:hAnsi="仿宋" w:cs="仿宋_GB2312"/>
          <w:color w:val="000000" w:themeColor="text1"/>
          <w:kern w:val="0"/>
          <w:szCs w:val="21"/>
          <w:highlight w:val="none"/>
          <w14:textFill>
            <w14:solidFill>
              <w14:schemeClr w14:val="tx1"/>
            </w14:solidFill>
          </w14:textFill>
        </w:rPr>
        <w:t>投标人须知23条</w:t>
      </w:r>
      <w:r>
        <w:rPr>
          <w:rFonts w:hint="eastAsia" w:ascii="仿宋" w:hAnsi="仿宋" w:cs="仿宋_GB2312"/>
          <w:color w:val="000000" w:themeColor="text1"/>
          <w:szCs w:val="21"/>
          <w:highlight w:val="none"/>
          <w14:textFill>
            <w14:solidFill>
              <w14:schemeClr w14:val="tx1"/>
            </w14:solidFill>
          </w14:textFill>
        </w:rPr>
        <w:t>规定执行）</w:t>
      </w:r>
    </w:p>
    <w:p>
      <w:pPr>
        <w:adjustRightInd w:val="0"/>
        <w:snapToGrid w:val="0"/>
        <w:spacing w:line="360" w:lineRule="auto"/>
        <w:ind w:firstLine="420" w:firstLineChars="200"/>
        <w:rPr>
          <w:rFonts w:ascii="仿宋" w:hAnsi="仿宋" w:cs="仿宋_GB2312"/>
          <w:b/>
          <w:bCs/>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★4</w:t>
      </w:r>
      <w:r>
        <w:rPr>
          <w:rFonts w:hint="eastAsia" w:ascii="仿宋" w:hAnsi="仿宋" w:cs="仿宋_GB2312"/>
          <w:b/>
          <w:bCs/>
          <w:color w:val="000000" w:themeColor="text1"/>
          <w:kern w:val="0"/>
          <w:szCs w:val="21"/>
          <w:highlight w:val="none"/>
          <w14:textFill>
            <w14:solidFill>
              <w14:schemeClr w14:val="tx1"/>
            </w14:solidFill>
          </w14:textFill>
        </w:rPr>
        <w:t>、同一品牌产品</w:t>
      </w:r>
    </w:p>
    <w:p>
      <w:pPr>
        <w:adjustRightInd w:val="0"/>
        <w:snapToGrid w:val="0"/>
        <w:spacing w:line="360" w:lineRule="auto"/>
        <w:ind w:firstLine="420" w:firstLineChars="200"/>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4.1通过资格审查、符合性审查的不同品牌投标人不足3家的，按照</w:t>
      </w:r>
      <w:r>
        <w:rPr>
          <w:rFonts w:hint="eastAsia" w:ascii="仿宋" w:hAnsi="仿宋" w:cs="仿宋_GB2312"/>
          <w:color w:val="000000" w:themeColor="text1"/>
          <w:kern w:val="0"/>
          <w:szCs w:val="21"/>
          <w:highlight w:val="none"/>
          <w14:textFill>
            <w14:solidFill>
              <w14:schemeClr w14:val="tx1"/>
            </w14:solidFill>
          </w14:textFill>
        </w:rPr>
        <w:t>投标人须知28条第（1）款</w:t>
      </w:r>
      <w:r>
        <w:rPr>
          <w:rFonts w:hint="eastAsia" w:ascii="仿宋" w:hAnsi="仿宋" w:cs="仿宋_GB2312"/>
          <w:color w:val="000000" w:themeColor="text1"/>
          <w:szCs w:val="21"/>
          <w:highlight w:val="none"/>
          <w14:textFill>
            <w14:solidFill>
              <w14:schemeClr w14:val="tx1"/>
            </w14:solidFill>
          </w14:textFill>
        </w:rPr>
        <w:t>执行</w:t>
      </w:r>
      <w:r>
        <w:rPr>
          <w:rFonts w:hint="eastAsia" w:ascii="仿宋" w:hAnsi="仿宋" w:cs="仿宋_GB2312"/>
          <w:color w:val="000000" w:themeColor="text1"/>
          <w:kern w:val="0"/>
          <w:szCs w:val="21"/>
          <w:highlight w:val="none"/>
          <w14:textFill>
            <w14:solidFill>
              <w14:schemeClr w14:val="tx1"/>
            </w14:solidFill>
          </w14:textFill>
        </w:rPr>
        <w:t>。</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4.2提供相同品牌产品且通过资格审查、符合性审查的不同投标人，按一家投标人计算。</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4.3如一个分包内只有一种产品，不同投标人所投产品为同一品牌的，按如下方式处理：</w:t>
      </w:r>
    </w:p>
    <w:p>
      <w:pPr>
        <w:numPr>
          <w:ilvl w:val="0"/>
          <w:numId w:val="4"/>
        </w:num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如本项目使用最低评标价法，提供相同品牌产品的不同投标人以其中通过资格审查、符合性审查且报价最低的参加比较及评价；报价相同的，按</w:t>
      </w:r>
      <w:r>
        <w:rPr>
          <w:rFonts w:hint="eastAsia" w:ascii="仿宋" w:hAnsi="仿宋" w:cs="仿宋_GB2312"/>
          <w:color w:val="000000" w:themeColor="text1"/>
          <w:kern w:val="0"/>
          <w:szCs w:val="21"/>
          <w:highlight w:val="none"/>
          <w14:textFill>
            <w14:solidFill>
              <w14:schemeClr w14:val="tx1"/>
            </w14:solidFill>
          </w14:textFill>
        </w:rPr>
        <w:t>本章第8条</w:t>
      </w:r>
      <w:r>
        <w:rPr>
          <w:rFonts w:hint="eastAsia" w:ascii="仿宋" w:hAnsi="仿宋" w:cs="仿宋_GB2312"/>
          <w:color w:val="000000" w:themeColor="text1"/>
          <w:szCs w:val="21"/>
          <w:highlight w:val="none"/>
          <w14:textFill>
            <w14:solidFill>
              <w14:schemeClr w14:val="tx1"/>
            </w14:solidFill>
          </w14:textFill>
        </w:rPr>
        <w:t>“推荐中标候选人的原则”规定执行；未规定的采取随机抽取方式确定，其他</w:t>
      </w:r>
      <w:r>
        <w:rPr>
          <w:rFonts w:hint="eastAsia" w:ascii="仿宋" w:hAnsi="仿宋" w:cs="仿宋_GB2312"/>
          <w:b/>
          <w:bCs/>
          <w:color w:val="000000" w:themeColor="text1"/>
          <w:szCs w:val="21"/>
          <w:highlight w:val="none"/>
          <w14:textFill>
            <w14:solidFill>
              <w14:schemeClr w14:val="tx1"/>
            </w14:solidFill>
          </w14:textFill>
        </w:rPr>
        <w:t>投标无效</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4.4如一个分包内包含多种产品的，采购人或采购代理机构将在招标文件中载明核心产品，多家投标人提供的核心产品品牌相同的，</w:t>
      </w:r>
      <w:r>
        <w:rPr>
          <w:rFonts w:hint="eastAsia" w:ascii="仿宋" w:hAnsi="仿宋" w:cs="仿宋_GB2312"/>
          <w:color w:val="000000" w:themeColor="text1"/>
          <w:kern w:val="0"/>
          <w:szCs w:val="21"/>
          <w:highlight w:val="none"/>
          <w14:textFill>
            <w14:solidFill>
              <w14:schemeClr w14:val="tx1"/>
            </w14:solidFill>
          </w14:textFill>
        </w:rPr>
        <w:t>按本章第4.3条规定处理。</w:t>
      </w:r>
    </w:p>
    <w:p>
      <w:pPr>
        <w:adjustRightInd w:val="0"/>
        <w:snapToGrid w:val="0"/>
        <w:spacing w:line="360" w:lineRule="auto"/>
        <w:ind w:firstLine="420" w:firstLineChars="200"/>
        <w:rPr>
          <w:rFonts w:ascii="仿宋" w:hAnsi="仿宋" w:cs="仿宋_GB2312"/>
          <w:b/>
          <w:bCs/>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★5</w:t>
      </w:r>
      <w:r>
        <w:rPr>
          <w:rFonts w:hint="eastAsia" w:ascii="仿宋" w:hAnsi="仿宋" w:cs="仿宋_GB2312"/>
          <w:b/>
          <w:bCs/>
          <w:color w:val="000000" w:themeColor="text1"/>
          <w:kern w:val="0"/>
          <w:szCs w:val="21"/>
          <w:highlight w:val="none"/>
          <w14:textFill>
            <w14:solidFill>
              <w14:schemeClr w14:val="tx1"/>
            </w14:solidFill>
          </w14:textFill>
        </w:rPr>
        <w:t>、比较及评价</w:t>
      </w:r>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5.1评标委员会对通过符合性审查的投标文件进行比较和评价。</w:t>
      </w:r>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5.2在评标期间，对投标文件的澄清按投标人须知24条内容执行。</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5.3评标委员会认为投标人的报价明显低于其他通过符合性审查的投标人报价，有可能影响产品质量或者不能诚信履约的，评标委员会应当要求其在评标现场合理的时间（</w:t>
      </w:r>
      <w:r>
        <w:rPr>
          <w:rFonts w:hint="eastAsia" w:ascii="仿宋" w:hAnsi="仿宋" w:cs="仿宋_GB2312"/>
          <w:color w:val="000000" w:themeColor="text1"/>
          <w:kern w:val="0"/>
          <w:szCs w:val="21"/>
          <w:highlight w:val="none"/>
          <w14:textFill>
            <w14:solidFill>
              <w14:schemeClr w14:val="tx1"/>
            </w14:solidFill>
          </w14:textFill>
        </w:rPr>
        <w:t>接到通知后</w:t>
      </w:r>
      <w:r>
        <w:rPr>
          <w:rFonts w:ascii="仿宋" w:hAnsi="仿宋" w:cs="仿宋_GB2312"/>
          <w:color w:val="000000" w:themeColor="text1"/>
          <w:kern w:val="0"/>
          <w:szCs w:val="21"/>
          <w:highlight w:val="none"/>
          <w:u w:val="single"/>
          <w14:textFill>
            <w14:solidFill>
              <w14:schemeClr w14:val="tx1"/>
            </w14:solidFill>
          </w14:textFill>
        </w:rPr>
        <w:t>0.5</w:t>
      </w:r>
      <w:r>
        <w:rPr>
          <w:rFonts w:hint="eastAsia" w:ascii="仿宋" w:hAnsi="仿宋" w:cs="仿宋_GB2312"/>
          <w:color w:val="000000" w:themeColor="text1"/>
          <w:kern w:val="0"/>
          <w:szCs w:val="21"/>
          <w:highlight w:val="none"/>
          <w14:textFill>
            <w14:solidFill>
              <w14:schemeClr w14:val="tx1"/>
            </w14:solidFill>
          </w14:textFill>
        </w:rPr>
        <w:t>小时</w:t>
      </w:r>
      <w:r>
        <w:rPr>
          <w:rFonts w:hint="eastAsia" w:ascii="仿宋" w:hAnsi="仿宋" w:cs="仿宋_GB2312"/>
          <w:color w:val="000000" w:themeColor="text1"/>
          <w:szCs w:val="21"/>
          <w:highlight w:val="none"/>
          <w14:textFill>
            <w14:solidFill>
              <w14:schemeClr w14:val="tx1"/>
            </w14:solidFill>
          </w14:textFill>
        </w:rPr>
        <w:t>）内提供书面说明，并提交相关证明材料，</w:t>
      </w:r>
      <w:r>
        <w:rPr>
          <w:rFonts w:hint="eastAsia" w:ascii="仿宋" w:hAnsi="仿宋" w:cs="仿宋_GB2312"/>
          <w:color w:val="000000" w:themeColor="text1"/>
          <w:kern w:val="0"/>
          <w:szCs w:val="21"/>
          <w:highlight w:val="none"/>
          <w14:textFill>
            <w14:solidFill>
              <w14:schemeClr w14:val="tx1"/>
            </w14:solidFill>
          </w14:textFill>
        </w:rPr>
        <w:t>投标人不能证明其报价合理性的，评标委员会应当将</w:t>
      </w:r>
      <w:r>
        <w:rPr>
          <w:rFonts w:hint="eastAsia" w:ascii="仿宋" w:hAnsi="仿宋" w:cs="仿宋_GB2312"/>
          <w:color w:val="000000" w:themeColor="text1"/>
          <w:szCs w:val="21"/>
          <w:highlight w:val="none"/>
          <w14:textFill>
            <w14:solidFill>
              <w14:schemeClr w14:val="tx1"/>
            </w14:solidFill>
          </w14:textFill>
        </w:rPr>
        <w:t>其投标作为</w:t>
      </w:r>
      <w:r>
        <w:rPr>
          <w:rFonts w:hint="eastAsia" w:ascii="仿宋" w:hAnsi="仿宋" w:cs="仿宋_GB2312"/>
          <w:b/>
          <w:bCs/>
          <w:color w:val="000000" w:themeColor="text1"/>
          <w:szCs w:val="21"/>
          <w:highlight w:val="none"/>
          <w14:textFill>
            <w14:solidFill>
              <w14:schemeClr w14:val="tx1"/>
            </w14:solidFill>
          </w14:textFill>
        </w:rPr>
        <w:t>无效投标处理</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5"/>
        </w:num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拒绝或者变相拒绝提供有效书面说明；</w:t>
      </w:r>
    </w:p>
    <w:p>
      <w:pPr>
        <w:numPr>
          <w:ilvl w:val="0"/>
          <w:numId w:val="5"/>
        </w:num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书面说明不能证明其报价合理性的；</w:t>
      </w:r>
    </w:p>
    <w:p>
      <w:pPr>
        <w:numPr>
          <w:ilvl w:val="0"/>
          <w:numId w:val="5"/>
        </w:num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未在规定时间内递交有效书面说明书的。</w:t>
      </w:r>
    </w:p>
    <w:p>
      <w:pPr>
        <w:adjustRightInd w:val="0"/>
        <w:snapToGrid w:val="0"/>
        <w:spacing w:line="360" w:lineRule="auto"/>
        <w:ind w:firstLine="420" w:firstLineChars="200"/>
        <w:rPr>
          <w:rFonts w:ascii="仿宋" w:hAnsi="仿宋" w:cs="仿宋_GB2312"/>
          <w:b/>
          <w:bCs/>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★6</w:t>
      </w:r>
      <w:r>
        <w:rPr>
          <w:rFonts w:hint="eastAsia" w:ascii="仿宋" w:hAnsi="仿宋" w:cs="仿宋_GB2312"/>
          <w:b/>
          <w:bCs/>
          <w:color w:val="000000" w:themeColor="text1"/>
          <w:kern w:val="0"/>
          <w:szCs w:val="21"/>
          <w:highlight w:val="none"/>
          <w14:textFill>
            <w14:solidFill>
              <w14:schemeClr w14:val="tx1"/>
            </w14:solidFill>
          </w14:textFill>
        </w:rPr>
        <w:t>、需落实的政府采购政策性规定：</w:t>
      </w:r>
    </w:p>
    <w:p>
      <w:pPr>
        <w:adjustRightInd w:val="0"/>
        <w:snapToGrid w:val="0"/>
        <w:spacing w:line="360" w:lineRule="auto"/>
        <w:ind w:firstLine="420" w:firstLineChars="200"/>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6.1对于中小微企业的相关规定</w:t>
      </w:r>
    </w:p>
    <w:p>
      <w:pPr>
        <w:adjustRightInd w:val="0"/>
        <w:snapToGri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6.1.1对于非专门面向中小企业的项目，在满足价格扣除条件且在投标文件中按要求提交了《中小企业声明函》</w:t>
      </w:r>
      <w:r>
        <w:rPr>
          <w:rFonts w:hint="eastAsia" w:ascii="仿宋" w:hAnsi="仿宋" w:cs="仿宋_GB2312"/>
          <w:color w:val="000000" w:themeColor="text1"/>
          <w:kern w:val="0"/>
          <w:szCs w:val="21"/>
          <w:highlight w:val="none"/>
          <w14:textFill>
            <w14:solidFill>
              <w14:schemeClr w14:val="tx1"/>
            </w14:solidFill>
          </w14:textFill>
        </w:rPr>
        <w:t>的，</w:t>
      </w:r>
      <w:r>
        <w:rPr>
          <w:rFonts w:hint="eastAsia" w:ascii="仿宋" w:hAnsi="仿宋" w:cs="仿宋_GB2312"/>
          <w:color w:val="000000" w:themeColor="text1"/>
          <w:szCs w:val="21"/>
          <w:highlight w:val="none"/>
          <w14:textFill>
            <w14:solidFill>
              <w14:schemeClr w14:val="tx1"/>
            </w14:solidFill>
          </w14:textFill>
        </w:rPr>
        <w:t>对投标报价给予价格扣除，用扣除后的价格参与评审。投标报价扣除比例如下：</w:t>
      </w:r>
    </w:p>
    <w:p>
      <w:pPr>
        <w:adjustRightInd w:val="0"/>
        <w:snapToGrid w:val="0"/>
        <w:spacing w:line="360" w:lineRule="auto"/>
        <w:ind w:firstLine="210" w:firstLineChars="1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（1）非联合体投标</w:t>
      </w:r>
    </w:p>
    <w:p>
      <w:pPr>
        <w:adjustRightInd w:val="0"/>
        <w:snapToGrid w:val="0"/>
        <w:spacing w:line="360" w:lineRule="auto"/>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       小型和微型企业相应产品、服务投标报价的</w:t>
      </w:r>
      <w:r>
        <w:rPr>
          <w:rFonts w:ascii="仿宋" w:hAnsi="仿宋" w:cs="仿宋_GB2312"/>
          <w:color w:val="000000" w:themeColor="text1"/>
          <w:kern w:val="0"/>
          <w:szCs w:val="21"/>
          <w:highlight w:val="none"/>
          <w:u w:val="single"/>
          <w14:textFill>
            <w14:solidFill>
              <w14:schemeClr w14:val="tx1"/>
            </w14:solidFill>
          </w14:textFill>
        </w:rPr>
        <w:t>10</w:t>
      </w:r>
      <w:r>
        <w:rPr>
          <w:rFonts w:hint="eastAsia" w:ascii="仿宋" w:hAnsi="仿宋" w:cs="仿宋_GB2312"/>
          <w:color w:val="000000" w:themeColor="text1"/>
          <w:kern w:val="0"/>
          <w:szCs w:val="21"/>
          <w:highlight w:val="none"/>
          <w:u w:val="single"/>
          <w14:textFill>
            <w14:solidFill>
              <w14:schemeClr w14:val="tx1"/>
            </w14:solidFill>
          </w14:textFill>
        </w:rPr>
        <w:t>%</w:t>
      </w:r>
      <w:r>
        <w:rPr>
          <w:rFonts w:hint="eastAsia" w:ascii="仿宋" w:hAnsi="仿宋" w:cs="仿宋_GB2312"/>
          <w:color w:val="000000" w:themeColor="text1"/>
          <w:kern w:val="0"/>
          <w:szCs w:val="21"/>
          <w:highlight w:val="none"/>
          <w14:textFill>
            <w14:solidFill>
              <w14:schemeClr w14:val="tx1"/>
            </w14:solidFill>
          </w14:textFill>
        </w:rPr>
        <w:t>（</w:t>
      </w:r>
      <w:r>
        <w:rPr>
          <w:rFonts w:hint="eastAsia" w:ascii="仿宋" w:hAnsi="仿宋" w:cs="仿宋_GB2312"/>
          <w:color w:val="000000" w:themeColor="text1"/>
          <w:szCs w:val="21"/>
          <w:highlight w:val="none"/>
          <w14:textFill>
            <w14:solidFill>
              <w14:schemeClr w14:val="tx1"/>
            </w14:solidFill>
          </w14:textFill>
        </w:rPr>
        <w:t>10-20%）</w:t>
      </w:r>
    </w:p>
    <w:p>
      <w:pPr>
        <w:adjustRightInd w:val="0"/>
        <w:snapToGrid w:val="0"/>
        <w:spacing w:line="360" w:lineRule="auto"/>
        <w:ind w:firstLine="210" w:firstLineChars="1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（2）联合体投标</w:t>
      </w:r>
    </w:p>
    <w:p>
      <w:pPr>
        <w:adjustRightInd w:val="0"/>
        <w:snapToGri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ascii="仿宋" w:hAnsi="仿宋" w:cs="仿宋_GB2312"/>
          <w:color w:val="000000" w:themeColor="text1"/>
          <w:kern w:val="0"/>
          <w:szCs w:val="21"/>
          <w:highlight w:val="none"/>
          <w:u w:val="single"/>
          <w14:textFill>
            <w14:solidFill>
              <w14:schemeClr w14:val="tx1"/>
            </w14:solidFill>
          </w14:textFill>
        </w:rPr>
        <w:t>/</w:t>
      </w:r>
      <w:r>
        <w:rPr>
          <w:rFonts w:hint="eastAsia" w:ascii="仿宋" w:hAnsi="仿宋" w:cs="仿宋_GB2312"/>
          <w:color w:val="000000" w:themeColor="text1"/>
          <w:kern w:val="0"/>
          <w:szCs w:val="21"/>
          <w:highlight w:val="none"/>
          <w14:textFill>
            <w14:solidFill>
              <w14:schemeClr w14:val="tx1"/>
            </w14:solidFill>
          </w14:textFill>
        </w:rPr>
        <w:t>（</w:t>
      </w:r>
      <w:r>
        <w:rPr>
          <w:rFonts w:hint="eastAsia" w:ascii="仿宋" w:hAnsi="仿宋" w:cs="仿宋_GB2312"/>
          <w:color w:val="000000" w:themeColor="text1"/>
          <w:szCs w:val="21"/>
          <w:highlight w:val="none"/>
          <w14:textFill>
            <w14:solidFill>
              <w14:schemeClr w14:val="tx1"/>
            </w14:solidFill>
          </w14:textFill>
        </w:rPr>
        <w:t>4-</w:t>
      </w:r>
      <w:bookmarkStart w:id="146" w:name="_Hlk49950968"/>
      <w:r>
        <w:rPr>
          <w:rFonts w:hint="eastAsia" w:ascii="仿宋" w:hAnsi="仿宋" w:cs="仿宋_GB2312"/>
          <w:color w:val="000000" w:themeColor="text1"/>
          <w:szCs w:val="21"/>
          <w:highlight w:val="none"/>
          <w14:textFill>
            <w14:solidFill>
              <w14:schemeClr w14:val="tx1"/>
            </w14:solidFill>
          </w14:textFill>
        </w:rPr>
        <w:t>6%</w:t>
      </w:r>
      <w:bookmarkEnd w:id="146"/>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pPr>
        <w:adjustRightInd w:val="0"/>
        <w:snapToGri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 w:hAnsi="仿宋" w:cs="仿宋_GB2312"/>
          <w:color w:val="000000" w:themeColor="text1"/>
          <w:kern w:val="0"/>
          <w:szCs w:val="21"/>
          <w:highlight w:val="none"/>
          <w14:textFill>
            <w14:solidFill>
              <w14:schemeClr w14:val="tx1"/>
            </w14:solidFill>
          </w14:textFill>
        </w:rPr>
        <w:t>用扣除后的价格参与评审</w:t>
      </w:r>
      <w:r>
        <w:rPr>
          <w:rFonts w:hint="eastAsia" w:ascii="仿宋" w:hAnsi="仿宋" w:cs="仿宋_GB2312"/>
          <w:color w:val="000000" w:themeColor="text1"/>
          <w:szCs w:val="21"/>
          <w:highlight w:val="none"/>
          <w14:textFill>
            <w14:solidFill>
              <w14:schemeClr w14:val="tx1"/>
            </w14:solidFill>
          </w14:textFill>
        </w:rPr>
        <w:t>。</w:t>
      </w:r>
    </w:p>
    <w:p>
      <w:pPr>
        <w:adjustRightInd w:val="0"/>
        <w:snapToGri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6.1.3</w:t>
      </w:r>
      <w:r>
        <w:rPr>
          <w:rFonts w:hint="eastAsia" w:ascii="仿宋" w:hAnsi="仿宋" w:cs="仿宋_GB2312"/>
          <w:color w:val="000000" w:themeColor="text1"/>
          <w:szCs w:val="21"/>
          <w:highlight w:val="none"/>
          <w14:textFill>
            <w14:solidFill>
              <w14:schemeClr w14:val="tx1"/>
            </w14:solidFill>
          </w14:textFill>
        </w:rPr>
        <w:t>残疾人福利性单位视同小型、微型企业，在满足价格扣除条件且在</w:t>
      </w:r>
      <w:r>
        <w:rPr>
          <w:rFonts w:hint="eastAsia" w:ascii="仿宋" w:hAnsi="仿宋" w:cs="仿宋_GB2312"/>
          <w:color w:val="000000" w:themeColor="text1"/>
          <w:kern w:val="0"/>
          <w:szCs w:val="21"/>
          <w:highlight w:val="none"/>
          <w14:textFill>
            <w14:solidFill>
              <w14:schemeClr w14:val="tx1"/>
            </w14:solidFill>
          </w14:textFill>
        </w:rPr>
        <w:t>投标文件中提供了《残疾人福利性单位声明函》的，</w:t>
      </w:r>
      <w:r>
        <w:rPr>
          <w:rFonts w:hint="eastAsia" w:ascii="仿宋" w:hAnsi="仿宋" w:cs="仿宋_GB2312"/>
          <w:color w:val="000000" w:themeColor="text1"/>
          <w:szCs w:val="21"/>
          <w:highlight w:val="none"/>
          <w14:textFill>
            <w14:solidFill>
              <w14:schemeClr w14:val="tx1"/>
            </w14:solidFill>
          </w14:textFill>
        </w:rPr>
        <w:t>对其投标报价按本章6.1.1条款的比例予以扣除</w:t>
      </w:r>
      <w:r>
        <w:rPr>
          <w:rFonts w:hint="eastAsia" w:ascii="仿宋" w:hAnsi="仿宋" w:cs="仿宋_GB2312"/>
          <w:color w:val="000000" w:themeColor="text1"/>
          <w:kern w:val="0"/>
          <w:szCs w:val="21"/>
          <w:highlight w:val="none"/>
          <w14:textFill>
            <w14:solidFill>
              <w14:schemeClr w14:val="tx1"/>
            </w14:solidFill>
          </w14:textFill>
        </w:rPr>
        <w:t>，用扣除后的价格参与评审。</w:t>
      </w:r>
    </w:p>
    <w:p>
      <w:pPr>
        <w:adjustRightInd w:val="0"/>
        <w:snapToGrid w:val="0"/>
        <w:spacing w:line="360" w:lineRule="auto"/>
        <w:ind w:firstLine="420" w:firstLineChars="20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b/>
          <w:color w:val="000000" w:themeColor="text1"/>
          <w:szCs w:val="21"/>
          <w:highlight w:val="none"/>
          <w14:textFill>
            <w14:solidFill>
              <w14:schemeClr w14:val="tx1"/>
            </w14:solidFill>
          </w14:textFill>
        </w:rPr>
        <w:t>6.1.4残疾人福利性单位属于小型、微型企业的，不重复享受政策。</w:t>
      </w:r>
    </w:p>
    <w:p>
      <w:pPr>
        <w:adjustRightInd w:val="0"/>
        <w:snapToGrid w:val="0"/>
        <w:spacing w:line="360" w:lineRule="auto"/>
        <w:ind w:firstLine="420" w:firstLineChars="200"/>
        <w:rPr>
          <w:rFonts w:ascii="仿宋" w:hAnsi="仿宋" w:cs="仿宋_GB2312"/>
          <w:b/>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6.2对于节能产品、环境标志产品的相关规定</w:t>
      </w:r>
    </w:p>
    <w:p>
      <w:pPr>
        <w:numPr>
          <w:ilvl w:val="0"/>
          <w:numId w:val="6"/>
        </w:numPr>
        <w:adjustRightInd w:val="0"/>
        <w:snapToGri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节能产品或环境标志产品，依据品目清单和认证证书实施政府优先采购。</w:t>
      </w:r>
      <w:r>
        <w:rPr>
          <w:rFonts w:hint="eastAsia" w:ascii="仿宋" w:hAnsi="仿宋" w:cs="仿宋_GB2312"/>
          <w:color w:val="000000" w:themeColor="text1"/>
          <w:highlight w:val="none"/>
          <w14:textFill>
            <w14:solidFill>
              <w14:schemeClr w14:val="tx1"/>
            </w14:solidFill>
          </w14:textFill>
        </w:rPr>
        <w:t>供应商</w:t>
      </w:r>
      <w:r>
        <w:rPr>
          <w:rFonts w:hint="eastAsia" w:ascii="仿宋" w:hAnsi="仿宋" w:cs="仿宋_GB2312"/>
          <w:color w:val="000000" w:themeColor="text1"/>
          <w:szCs w:val="21"/>
          <w:highlight w:val="none"/>
          <w14:textFill>
            <w14:solidFill>
              <w14:schemeClr w14:val="tx1"/>
            </w14:solidFill>
          </w14:textFill>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采用综合评分法评标的项目，对清单中产品给予相应的加分。（详见评分细则）</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（2）供应商应同时提供品目清单网络截图，并以明确标注所报产品信息和位置的方式，用以方便评审。</w:t>
      </w:r>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（3）认证机构和获证产品信息发布媒体：详见中国政府采购网（www.ccgp.gov.cn）建立的与认证结果信息发布平台的链接。</w:t>
      </w:r>
    </w:p>
    <w:p>
      <w:pPr>
        <w:adjustRightInd w:val="0"/>
        <w:spacing w:line="360" w:lineRule="auto"/>
        <w:ind w:firstLine="420" w:firstLineChars="200"/>
        <w:jc w:val="left"/>
        <w:rPr>
          <w:rFonts w:ascii="仿宋" w:hAnsi="仿宋" w:cs="仿宋_GB2312"/>
          <w:b/>
          <w:bCs/>
          <w:color w:val="000000" w:themeColor="text1"/>
          <w:szCs w:val="21"/>
          <w:highlight w:val="none"/>
          <w14:textFill>
            <w14:solidFill>
              <w14:schemeClr w14:val="tx1"/>
            </w14:solidFill>
          </w14:textFill>
        </w:rPr>
      </w:pPr>
      <w:r>
        <w:rPr>
          <w:rFonts w:hint="eastAsia" w:ascii="仿宋" w:hAnsi="仿宋" w:cs="仿宋_GB2312"/>
          <w:b/>
          <w:bCs/>
          <w:color w:val="000000" w:themeColor="text1"/>
          <w:szCs w:val="21"/>
          <w:highlight w:val="none"/>
          <w14:textFill>
            <w14:solidFill>
              <w14:schemeClr w14:val="tx1"/>
            </w14:solidFill>
          </w14:textFill>
        </w:rPr>
        <w:t>6.3对于列入《</w:t>
      </w:r>
      <w:r>
        <w:rPr>
          <w:rFonts w:hint="eastAsia" w:ascii="仿宋" w:hAnsi="仿宋" w:cs="仿宋_GB2312"/>
          <w:b/>
          <w:bCs/>
          <w:color w:val="000000" w:themeColor="text1"/>
          <w:szCs w:val="21"/>
          <w:highlight w:val="none"/>
          <w:lang w:eastAsia="zh-CN"/>
          <w14:textFill>
            <w14:solidFill>
              <w14:schemeClr w14:val="tx1"/>
            </w14:solidFill>
          </w14:textFill>
        </w:rPr>
        <w:t>创新产品和服务目录</w:t>
      </w:r>
      <w:r>
        <w:rPr>
          <w:rFonts w:hint="eastAsia" w:ascii="仿宋" w:hAnsi="仿宋" w:cs="仿宋_GB2312"/>
          <w:b/>
          <w:bCs/>
          <w:color w:val="000000" w:themeColor="text1"/>
          <w:szCs w:val="21"/>
          <w:highlight w:val="none"/>
          <w14:textFill>
            <w14:solidFill>
              <w14:schemeClr w14:val="tx1"/>
            </w14:solidFill>
          </w14:textFill>
        </w:rPr>
        <w:t>》内的产品、服务的相关规定</w:t>
      </w:r>
    </w:p>
    <w:p>
      <w:pPr>
        <w:adjustRightInd w:val="0"/>
        <w:spacing w:line="360" w:lineRule="auto"/>
        <w:ind w:firstLine="420" w:firstLineChars="20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采用最低评标价法的：对列入《</w:t>
      </w:r>
      <w:r>
        <w:rPr>
          <w:rFonts w:hint="eastAsia" w:ascii="仿宋" w:hAnsi="仿宋" w:cs="仿宋_GB2312"/>
          <w:color w:val="000000" w:themeColor="text1"/>
          <w:szCs w:val="21"/>
          <w:highlight w:val="none"/>
          <w:lang w:eastAsia="zh-CN"/>
          <w14:textFill>
            <w14:solidFill>
              <w14:schemeClr w14:val="tx1"/>
            </w14:solidFill>
          </w14:textFill>
        </w:rPr>
        <w:t>创新产品和服务目录</w:t>
      </w:r>
      <w:r>
        <w:rPr>
          <w:rFonts w:hint="eastAsia" w:ascii="仿宋" w:hAnsi="仿宋" w:cs="仿宋_GB2312"/>
          <w:color w:val="000000" w:themeColor="text1"/>
          <w:szCs w:val="21"/>
          <w:highlight w:val="none"/>
          <w14:textFill>
            <w14:solidFill>
              <w14:schemeClr w14:val="tx1"/>
            </w14:solidFill>
          </w14:textFill>
        </w:rPr>
        <w:t>》内的投标产品、服务给予其投标报价</w:t>
      </w:r>
      <w:r>
        <w:rPr>
          <w:rFonts w:ascii="仿宋" w:hAnsi="仿宋" w:cs="仿宋_GB2312"/>
          <w:color w:val="000000" w:themeColor="text1"/>
          <w:szCs w:val="21"/>
          <w:highlight w:val="none"/>
          <w:u w:val="single"/>
          <w14:textFill>
            <w14:solidFill>
              <w14:schemeClr w14:val="tx1"/>
            </w14:solidFill>
          </w14:textFill>
        </w:rPr>
        <w:t>6</w:t>
      </w:r>
      <w:r>
        <w:rPr>
          <w:rFonts w:hint="eastAsia" w:ascii="仿宋" w:hAnsi="仿宋" w:cs="仿宋_GB2312"/>
          <w:color w:val="000000" w:themeColor="text1"/>
          <w:szCs w:val="21"/>
          <w:highlight w:val="none"/>
          <w14:textFill>
            <w14:solidFill>
              <w14:schemeClr w14:val="tx1"/>
            </w14:solidFill>
          </w14:textFill>
        </w:rPr>
        <w:t>%（6-8%）的价格扣除，用扣除后的价格参与评审。</w:t>
      </w:r>
    </w:p>
    <w:p>
      <w:pPr>
        <w:adjustRightInd w:val="0"/>
        <w:spacing w:line="360" w:lineRule="auto"/>
        <w:ind w:firstLine="420" w:firstLineChars="200"/>
        <w:jc w:val="left"/>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采用综合评分法评标的：对列入《</w:t>
      </w:r>
      <w:r>
        <w:rPr>
          <w:rFonts w:hint="eastAsia" w:ascii="仿宋" w:hAnsi="仿宋" w:cs="仿宋_GB2312"/>
          <w:color w:val="000000" w:themeColor="text1"/>
          <w:szCs w:val="21"/>
          <w:highlight w:val="none"/>
          <w:lang w:eastAsia="zh-CN"/>
          <w14:textFill>
            <w14:solidFill>
              <w14:schemeClr w14:val="tx1"/>
            </w14:solidFill>
          </w14:textFill>
        </w:rPr>
        <w:t>创新产品和服务目录</w:t>
      </w:r>
      <w:r>
        <w:rPr>
          <w:rFonts w:hint="eastAsia" w:ascii="仿宋" w:hAnsi="仿宋" w:cs="仿宋_GB2312"/>
          <w:color w:val="000000" w:themeColor="text1"/>
          <w:szCs w:val="21"/>
          <w:highlight w:val="none"/>
          <w14:textFill>
            <w14:solidFill>
              <w14:schemeClr w14:val="tx1"/>
            </w14:solidFill>
          </w14:textFill>
        </w:rPr>
        <w:t>》内的投标产品、服务给予</w:t>
      </w:r>
      <w:r>
        <w:rPr>
          <w:rFonts w:ascii="仿宋" w:hAnsi="仿宋" w:cs="仿宋_GB2312"/>
          <w:color w:val="000000" w:themeColor="text1"/>
          <w:szCs w:val="21"/>
          <w:highlight w:val="none"/>
          <w:u w:val="single"/>
          <w14:textFill>
            <w14:solidFill>
              <w14:schemeClr w14:val="tx1"/>
            </w14:solidFill>
          </w14:textFill>
        </w:rPr>
        <w:t>6</w:t>
      </w:r>
      <w:r>
        <w:rPr>
          <w:rFonts w:hint="eastAsia" w:ascii="仿宋" w:hAnsi="仿宋" w:cs="仿宋_GB2312"/>
          <w:color w:val="000000" w:themeColor="text1"/>
          <w:szCs w:val="21"/>
          <w:highlight w:val="none"/>
          <w14:textFill>
            <w14:solidFill>
              <w14:schemeClr w14:val="tx1"/>
            </w14:solidFill>
          </w14:textFill>
        </w:rPr>
        <w:t>%（6-8%）的评审加分。</w:t>
      </w:r>
    </w:p>
    <w:p>
      <w:pPr>
        <w:adjustRightInd w:val="0"/>
        <w:snapToGrid w:val="0"/>
        <w:spacing w:line="360" w:lineRule="auto"/>
        <w:ind w:firstLine="420" w:firstLineChars="200"/>
        <w:rPr>
          <w:rFonts w:ascii="仿宋" w:hAnsi="仿宋" w:cs="仿宋_GB2312"/>
          <w:b/>
          <w:bCs/>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★7</w:t>
      </w:r>
      <w:r>
        <w:rPr>
          <w:rFonts w:hint="eastAsia" w:ascii="仿宋" w:hAnsi="仿宋" w:cs="仿宋_GB2312"/>
          <w:b/>
          <w:bCs/>
          <w:color w:val="000000" w:themeColor="text1"/>
          <w:kern w:val="0"/>
          <w:szCs w:val="21"/>
          <w:highlight w:val="none"/>
          <w14:textFill>
            <w14:solidFill>
              <w14:schemeClr w14:val="tx1"/>
            </w14:solidFill>
          </w14:textFill>
        </w:rPr>
        <w:t>、投标无效情况详见投标人须知。</w:t>
      </w:r>
    </w:p>
    <w:p>
      <w:pPr>
        <w:adjustRightInd w:val="0"/>
        <w:snapToGrid w:val="0"/>
        <w:spacing w:line="360" w:lineRule="auto"/>
        <w:ind w:firstLine="420" w:firstLineChars="200"/>
        <w:rPr>
          <w:rFonts w:ascii="仿宋" w:hAnsi="仿宋" w:cs="仿宋_GB2312"/>
          <w:b/>
          <w:bCs/>
          <w:color w:val="000000" w:themeColor="text1"/>
          <w:kern w:val="0"/>
          <w:szCs w:val="21"/>
          <w:highlight w:val="none"/>
          <w14:textFill>
            <w14:solidFill>
              <w14:schemeClr w14:val="tx1"/>
            </w14:solidFill>
          </w14:textFill>
        </w:rPr>
      </w:pPr>
      <w:r>
        <w:rPr>
          <w:rFonts w:hint="eastAsia" w:ascii="仿宋" w:hAnsi="仿宋" w:cs="仿宋_GB2312"/>
          <w:b/>
          <w:color w:val="000000" w:themeColor="text1"/>
          <w:kern w:val="0"/>
          <w:szCs w:val="21"/>
          <w:highlight w:val="none"/>
          <w14:textFill>
            <w14:solidFill>
              <w14:schemeClr w14:val="tx1"/>
            </w14:solidFill>
          </w14:textFill>
        </w:rPr>
        <w:t>★8</w:t>
      </w:r>
      <w:r>
        <w:rPr>
          <w:rFonts w:hint="eastAsia" w:ascii="仿宋" w:hAnsi="仿宋" w:cs="仿宋_GB2312"/>
          <w:b/>
          <w:bCs/>
          <w:color w:val="000000" w:themeColor="text1"/>
          <w:kern w:val="0"/>
          <w:szCs w:val="21"/>
          <w:highlight w:val="none"/>
          <w14:textFill>
            <w14:solidFill>
              <w14:schemeClr w14:val="tx1"/>
            </w14:solidFill>
          </w14:textFill>
        </w:rPr>
        <w:t>、推荐中标候选人的原则</w:t>
      </w:r>
    </w:p>
    <w:p>
      <w:pPr>
        <w:adjustRightInd w:val="0"/>
        <w:snapToGrid w:val="0"/>
        <w:spacing w:line="360" w:lineRule="auto"/>
        <w:ind w:firstLine="420" w:firstLineChars="200"/>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详见第一章投标人须知第29条，具体处理办法如下：</w:t>
      </w:r>
    </w:p>
    <w:p>
      <w:pPr>
        <w:numPr>
          <w:ilvl w:val="0"/>
          <w:numId w:val="7"/>
        </w:num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采用最低评标价法的：</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扣除后的投标报价相同时，按投标报价由低至高排序；</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按前款不能区分的，优先采购节能产品、环境标志产品；</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按前款不能区分的，按技术指标优劣排序；</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其他情况，由评标委员会投票处理。</w:t>
      </w:r>
    </w:p>
    <w:p>
      <w:pPr>
        <w:numPr>
          <w:ilvl w:val="0"/>
          <w:numId w:val="7"/>
        </w:num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采用综合评分法的：</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得分相同的，按扣除后的投标报价由低到高顺序排序；</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按前款不能区分的，按投标报价由低至高顺序排序；</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按前款不能区分的，优先采购节能产品、环保产品；</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按前款不能区分的，按技术指标优劣排序；</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其他情况，由评标委员会投票处理。</w:t>
      </w:r>
    </w:p>
    <w:p>
      <w:pPr>
        <w:adjustRightInd w:val="0"/>
        <w:snapToGrid w:val="0"/>
        <w:spacing w:line="360" w:lineRule="auto"/>
        <w:ind w:firstLine="420" w:firstLineChars="200"/>
        <w:rPr>
          <w:rFonts w:ascii="仿宋" w:hAnsi="仿宋" w:cs="仿宋_GB2312"/>
          <w:b/>
          <w:color w:val="000000" w:themeColor="text1"/>
          <w:kern w:val="0"/>
          <w:szCs w:val="21"/>
          <w:highlight w:val="none"/>
          <w14:textFill>
            <w14:solidFill>
              <w14:schemeClr w14:val="tx1"/>
            </w14:solidFill>
          </w14:textFill>
        </w:rPr>
      </w:pPr>
      <w:bookmarkStart w:id="147" w:name="_Toc30297_WPSOffice_Level2"/>
      <w:r>
        <w:rPr>
          <w:rFonts w:hint="eastAsia" w:ascii="仿宋" w:hAnsi="仿宋" w:cs="仿宋_GB2312"/>
          <w:b/>
          <w:color w:val="000000" w:themeColor="text1"/>
          <w:szCs w:val="21"/>
          <w:highlight w:val="none"/>
          <w14:textFill>
            <w14:solidFill>
              <w14:schemeClr w14:val="tx1"/>
            </w14:solidFill>
          </w14:textFill>
        </w:rPr>
        <w:t>三、</w:t>
      </w:r>
      <w:r>
        <w:rPr>
          <w:rFonts w:hint="eastAsia" w:ascii="仿宋" w:hAnsi="仿宋" w:cs="仿宋_GB2312"/>
          <w:b/>
          <w:color w:val="000000" w:themeColor="text1"/>
          <w:kern w:val="0"/>
          <w:szCs w:val="21"/>
          <w:highlight w:val="none"/>
          <w14:textFill>
            <w14:solidFill>
              <w14:schemeClr w14:val="tx1"/>
            </w14:solidFill>
          </w14:textFill>
        </w:rPr>
        <w:t>确定中标人</w:t>
      </w:r>
      <w:bookmarkEnd w:id="147"/>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采购人按照评标报告确定的中标候选人名单按顺序确定中标人，或由采购人委托评标委员会按照第一章投标人须知第31条规定的方式确定中标人。</w:t>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br w:type="page"/>
      </w:r>
      <w:bookmarkStart w:id="148" w:name="_Toc32318_WPSOffice_Level2"/>
      <w:r>
        <w:rPr>
          <w:rFonts w:hint="eastAsia" w:ascii="仿宋" w:hAnsi="仿宋" w:cs="仿宋_GB2312"/>
          <w:color w:val="000000" w:themeColor="text1"/>
          <w:szCs w:val="28"/>
          <w:highlight w:val="none"/>
          <w14:textFill>
            <w14:solidFill>
              <w14:schemeClr w14:val="tx1"/>
            </w14:solidFill>
          </w14:textFill>
        </w:rPr>
        <w:t xml:space="preserve">附件1 </w:t>
      </w:r>
    </w:p>
    <w:p>
      <w:pPr>
        <w:jc w:val="center"/>
        <w:rPr>
          <w:rFonts w:ascii="仿宋" w:hAnsi="仿宋" w:cs="仿宋_GB2312"/>
          <w:b/>
          <w:color w:val="000000" w:themeColor="text1"/>
          <w:sz w:val="32"/>
          <w:szCs w:val="32"/>
          <w:highlight w:val="none"/>
          <w14:textFill>
            <w14:solidFill>
              <w14:schemeClr w14:val="tx1"/>
            </w14:solidFill>
          </w14:textFill>
        </w:rPr>
      </w:pPr>
      <w:r>
        <w:rPr>
          <w:rFonts w:hint="eastAsia" w:ascii="仿宋" w:hAnsi="仿宋" w:cs="仿宋_GB2312"/>
          <w:b/>
          <w:color w:val="000000" w:themeColor="text1"/>
          <w:sz w:val="32"/>
          <w:szCs w:val="32"/>
          <w:highlight w:val="none"/>
          <w14:textFill>
            <w14:solidFill>
              <w14:schemeClr w14:val="tx1"/>
            </w14:solidFill>
          </w14:textFill>
        </w:rPr>
        <w:t>资格审查表</w:t>
      </w:r>
      <w:bookmarkEnd w:id="148"/>
    </w:p>
    <w:tbl>
      <w:tblPr>
        <w:tblStyle w:val="21"/>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pPr>
              <w:ind w:left="-96" w:leftChars="-46" w:right="-86" w:rightChars="-41"/>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序号</w:t>
            </w:r>
          </w:p>
        </w:tc>
        <w:tc>
          <w:tcPr>
            <w:tcW w:w="3837" w:type="dxa"/>
            <w:vMerge w:val="restart"/>
            <w:vAlign w:val="center"/>
          </w:tcPr>
          <w:p>
            <w:pPr>
              <w:pStyle w:val="3"/>
              <w:numPr>
                <w:ilvl w:val="0"/>
                <w:numId w:val="0"/>
              </w:numPr>
              <w:adjustRightInd w:val="0"/>
              <w:snapToGrid w:val="0"/>
              <w:spacing w:before="0" w:after="0" w:line="240" w:lineRule="auto"/>
              <w:ind w:left="-97" w:right="-86" w:rightChars="-41"/>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审查项目</w:t>
            </w:r>
          </w:p>
        </w:tc>
        <w:tc>
          <w:tcPr>
            <w:tcW w:w="1982" w:type="dxa"/>
            <w:vMerge w:val="restart"/>
            <w:vAlign w:val="center"/>
          </w:tcPr>
          <w:p>
            <w:pPr>
              <w:pStyle w:val="3"/>
              <w:numPr>
                <w:ilvl w:val="0"/>
                <w:numId w:val="0"/>
              </w:numPr>
              <w:adjustRightInd w:val="0"/>
              <w:snapToGrid w:val="0"/>
              <w:spacing w:before="0" w:after="0" w:line="240" w:lineRule="auto"/>
              <w:ind w:left="-97" w:right="-86" w:rightChars="-41"/>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审查标准</w:t>
            </w:r>
          </w:p>
        </w:tc>
        <w:tc>
          <w:tcPr>
            <w:tcW w:w="2836" w:type="dxa"/>
            <w:gridSpan w:val="3"/>
            <w:vAlign w:val="center"/>
          </w:tcPr>
          <w:p>
            <w:pPr>
              <w:pStyle w:val="3"/>
              <w:numPr>
                <w:ilvl w:val="0"/>
                <w:numId w:val="0"/>
              </w:numPr>
              <w:adjustRightInd w:val="0"/>
              <w:snapToGrid w:val="0"/>
              <w:spacing w:before="0" w:after="0" w:line="240" w:lineRule="auto"/>
              <w:ind w:left="-97" w:right="-86" w:rightChars="-41"/>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pPr>
              <w:pStyle w:val="3"/>
              <w:adjustRightInd w:val="0"/>
              <w:snapToGrid w:val="0"/>
              <w:spacing w:before="0" w:after="0" w:line="240" w:lineRule="auto"/>
              <w:rPr>
                <w:rFonts w:ascii="仿宋" w:hAnsi="仿宋" w:cs="仿宋_GB2312"/>
                <w:color w:val="000000" w:themeColor="text1"/>
                <w:highlight w:val="none"/>
                <w14:textFill>
                  <w14:solidFill>
                    <w14:schemeClr w14:val="tx1"/>
                  </w14:solidFill>
                </w14:textFill>
              </w:rPr>
            </w:pPr>
          </w:p>
        </w:tc>
        <w:tc>
          <w:tcPr>
            <w:tcW w:w="3837" w:type="dxa"/>
            <w:vMerge w:val="continue"/>
            <w:vAlign w:val="center"/>
          </w:tcPr>
          <w:p>
            <w:pPr>
              <w:pStyle w:val="3"/>
              <w:adjustRightInd w:val="0"/>
              <w:snapToGrid w:val="0"/>
              <w:spacing w:before="0" w:after="0" w:line="240" w:lineRule="auto"/>
              <w:rPr>
                <w:rFonts w:ascii="仿宋" w:hAnsi="仿宋" w:cs="仿宋_GB2312"/>
                <w:color w:val="000000" w:themeColor="text1"/>
                <w:sz w:val="21"/>
                <w:szCs w:val="21"/>
                <w:highlight w:val="none"/>
                <w14:textFill>
                  <w14:solidFill>
                    <w14:schemeClr w14:val="tx1"/>
                  </w14:solidFill>
                </w14:textFill>
              </w:rPr>
            </w:pPr>
          </w:p>
        </w:tc>
        <w:tc>
          <w:tcPr>
            <w:tcW w:w="1982" w:type="dxa"/>
            <w:vMerge w:val="continue"/>
            <w:vAlign w:val="center"/>
          </w:tcPr>
          <w:p>
            <w:pPr>
              <w:pStyle w:val="3"/>
              <w:adjustRightInd w:val="0"/>
              <w:snapToGrid w:val="0"/>
              <w:spacing w:before="0" w:after="0" w:line="240" w:lineRule="auto"/>
              <w:rPr>
                <w:rFonts w:ascii="仿宋" w:hAnsi="仿宋" w:cs="仿宋_GB2312"/>
                <w:color w:val="000000" w:themeColor="text1"/>
                <w:sz w:val="21"/>
                <w:szCs w:val="21"/>
                <w:highlight w:val="none"/>
                <w14:textFill>
                  <w14:solidFill>
                    <w14:schemeClr w14:val="tx1"/>
                  </w14:solidFill>
                </w14:textFill>
              </w:rPr>
            </w:pPr>
          </w:p>
        </w:tc>
        <w:tc>
          <w:tcPr>
            <w:tcW w:w="986" w:type="dxa"/>
            <w:vAlign w:val="center"/>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vAlign w:val="center"/>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vAlign w:val="center"/>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pPr>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1</w:t>
            </w:r>
          </w:p>
        </w:tc>
        <w:tc>
          <w:tcPr>
            <w:tcW w:w="3837" w:type="dxa"/>
            <w:vAlign w:val="center"/>
          </w:tcPr>
          <w:p>
            <w:pPr>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营业执照或事业单位法人证书或执业许可证等证明文件或自然人的身份证明</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1.按要求提供</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2.合法有效</w:t>
            </w:r>
          </w:p>
        </w:tc>
        <w:tc>
          <w:tcPr>
            <w:tcW w:w="986" w:type="dxa"/>
            <w:vAlign w:val="center"/>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vAlign w:val="center"/>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vAlign w:val="center"/>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pPr>
              <w:widowControl/>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2</w:t>
            </w:r>
          </w:p>
        </w:tc>
        <w:tc>
          <w:tcPr>
            <w:tcW w:w="3837" w:type="dxa"/>
            <w:vAlign w:val="center"/>
          </w:tcPr>
          <w:p>
            <w:pPr>
              <w:widowControl/>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组织机构代码证</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1.按要求提供</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2.合法有效</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widowControl/>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3</w:t>
            </w:r>
          </w:p>
        </w:tc>
        <w:tc>
          <w:tcPr>
            <w:tcW w:w="3837" w:type="dxa"/>
            <w:vAlign w:val="center"/>
          </w:tcPr>
          <w:p>
            <w:pPr>
              <w:widowControl/>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税务登记证</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1.按要求提供</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2.合法有效</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widowControl/>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4</w:t>
            </w:r>
          </w:p>
        </w:tc>
        <w:tc>
          <w:tcPr>
            <w:tcW w:w="3837" w:type="dxa"/>
            <w:vAlign w:val="center"/>
          </w:tcPr>
          <w:p>
            <w:pPr>
              <w:widowControl/>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法定代表人（或非法人组织负责人）身份证明书</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1.按给定格式填写</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2.按规定签章</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pPr>
              <w:widowControl/>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5</w:t>
            </w:r>
          </w:p>
        </w:tc>
        <w:tc>
          <w:tcPr>
            <w:tcW w:w="3837" w:type="dxa"/>
            <w:vAlign w:val="center"/>
          </w:tcPr>
          <w:p>
            <w:pPr>
              <w:widowControl/>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法定代表人（或非法人组织</w:t>
            </w:r>
            <w:r>
              <w:rPr>
                <w:rFonts w:hint="eastAsia" w:ascii="仿宋" w:hAnsi="仿宋" w:cs="仿宋_GB2312"/>
                <w:color w:val="000000" w:themeColor="text1"/>
                <w:szCs w:val="21"/>
                <w:highlight w:val="none"/>
                <w14:textFill>
                  <w14:solidFill>
                    <w14:schemeClr w14:val="tx1"/>
                  </w14:solidFill>
                </w14:textFill>
              </w:rPr>
              <w:t>负责人）</w:t>
            </w:r>
            <w:r>
              <w:rPr>
                <w:rFonts w:hint="eastAsia" w:ascii="仿宋" w:hAnsi="仿宋" w:cs="仿宋_GB2312"/>
                <w:color w:val="000000" w:themeColor="text1"/>
                <w:highlight w:val="none"/>
                <w14:textFill>
                  <w14:solidFill>
                    <w14:schemeClr w14:val="tx1"/>
                  </w14:solidFill>
                </w14:textFill>
              </w:rPr>
              <w:t>授权委托书</w:t>
            </w:r>
            <w:r>
              <w:rPr>
                <w:rFonts w:hint="eastAsia" w:ascii="仿宋" w:hAnsi="仿宋" w:cs="仿宋_GB2312"/>
                <w:color w:val="000000" w:themeColor="text1"/>
                <w:szCs w:val="21"/>
                <w:highlight w:val="none"/>
                <w14:textFill>
                  <w14:solidFill>
                    <w14:schemeClr w14:val="tx1"/>
                  </w14:solidFill>
                </w14:textFill>
              </w:rPr>
              <w:t>（授权委托人参加投标的须提供）</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1.按给定格式填写</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2.按规定签章</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pPr>
              <w:widowControl/>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6</w:t>
            </w:r>
          </w:p>
        </w:tc>
        <w:tc>
          <w:tcPr>
            <w:tcW w:w="3837" w:type="dxa"/>
            <w:vAlign w:val="center"/>
          </w:tcPr>
          <w:p>
            <w:pPr>
              <w:widowControl/>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具有良好的商业信誉和健全的财务会计制度的承诺函</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1.信息完整</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2.按规定签章</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7</w:t>
            </w:r>
          </w:p>
        </w:tc>
        <w:tc>
          <w:tcPr>
            <w:tcW w:w="3837" w:type="dxa"/>
            <w:vAlign w:val="center"/>
          </w:tcPr>
          <w:p>
            <w:pPr>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开标时间前六个月内任一个月的依法缴纳税收的缴款凭据</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1.按要求提供</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2.合法有效</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8</w:t>
            </w:r>
          </w:p>
        </w:tc>
        <w:tc>
          <w:tcPr>
            <w:tcW w:w="3837" w:type="dxa"/>
            <w:vAlign w:val="center"/>
          </w:tcPr>
          <w:p>
            <w:pPr>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开标时间前六个月内任一个月的依法缴纳社会保障资金的缴款凭据</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1.按要求提供</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2.合法有效</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pPr>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9</w:t>
            </w:r>
          </w:p>
        </w:tc>
        <w:tc>
          <w:tcPr>
            <w:tcW w:w="3837" w:type="dxa"/>
            <w:vAlign w:val="center"/>
          </w:tcPr>
          <w:p>
            <w:pPr>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具备履行合同所必需的设备和专业技术能力声明函</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1.信息完整</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2.按规定签章</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10</w:t>
            </w:r>
          </w:p>
        </w:tc>
        <w:tc>
          <w:tcPr>
            <w:tcW w:w="3837" w:type="dxa"/>
            <w:vAlign w:val="center"/>
          </w:tcPr>
          <w:p>
            <w:pPr>
              <w:snapToGrid w:val="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参加政府采购活动前3年内在经营活动中没有重大违法记录的书面声明</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1.按给定格式填写</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2.按规定签章</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snapToGrid w:val="0"/>
              <w:jc w:val="center"/>
              <w:rPr>
                <w:rFonts w:ascii="仿宋" w:hAnsi="仿宋" w:cs="仿宋_GB2312"/>
                <w:color w:val="000000" w:themeColor="text1"/>
                <w:highlight w:val="none"/>
                <w14:textFill>
                  <w14:solidFill>
                    <w14:schemeClr w14:val="tx1"/>
                  </w14:solidFill>
                </w14:textFill>
              </w:rPr>
            </w:pPr>
            <w:r>
              <w:rPr>
                <w:rFonts w:ascii="仿宋" w:hAnsi="仿宋" w:cs="仿宋_GB2312"/>
                <w:color w:val="000000" w:themeColor="text1"/>
                <w:szCs w:val="21"/>
                <w:highlight w:val="none"/>
                <w14:textFill>
                  <w14:solidFill>
                    <w14:schemeClr w14:val="tx1"/>
                  </w14:solidFill>
                </w14:textFill>
              </w:rPr>
              <w:t>11</w:t>
            </w:r>
          </w:p>
        </w:tc>
        <w:tc>
          <w:tcPr>
            <w:tcW w:w="3837" w:type="dxa"/>
            <w:vAlign w:val="center"/>
          </w:tcPr>
          <w:p>
            <w:pPr>
              <w:snapToGrid w:val="0"/>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其它资格证明文件（按投标人须知表1.3.4要求描述）</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1.按要求提供</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2.合法有效</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 w:hAnsi="仿宋" w:cs="仿宋_GB2312"/>
                <w:color w:val="000000" w:themeColor="text1"/>
                <w:highlight w:val="none"/>
                <w14:textFill>
                  <w14:solidFill>
                    <w14:schemeClr w14:val="tx1"/>
                  </w14:solidFill>
                </w14:textFill>
              </w:rPr>
            </w:pPr>
            <w:r>
              <w:rPr>
                <w:rFonts w:ascii="仿宋" w:hAnsi="仿宋" w:cs="仿宋_GB2312"/>
                <w:color w:val="000000" w:themeColor="text1"/>
                <w:highlight w:val="none"/>
                <w14:textFill>
                  <w14:solidFill>
                    <w14:schemeClr w14:val="tx1"/>
                  </w14:solidFill>
                </w14:textFill>
              </w:rPr>
              <w:t>12</w:t>
            </w:r>
          </w:p>
        </w:tc>
        <w:tc>
          <w:tcPr>
            <w:tcW w:w="3837" w:type="dxa"/>
            <w:vAlign w:val="center"/>
          </w:tcPr>
          <w:p>
            <w:pPr>
              <w:snapToGrid w:val="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信用记录（</w:t>
            </w:r>
            <w:r>
              <w:rPr>
                <w:rFonts w:hint="eastAsia" w:ascii="仿宋" w:hAnsi="仿宋" w:cs="仿宋_GB2312"/>
                <w:color w:val="000000" w:themeColor="text1"/>
                <w:szCs w:val="21"/>
                <w:highlight w:val="none"/>
                <w14:textFill>
                  <w14:solidFill>
                    <w14:schemeClr w14:val="tx1"/>
                  </w14:solidFill>
                </w14:textFill>
              </w:rPr>
              <w:t>采购人或采购代理机构将按照招标文件规定的审查期间内进行查询</w:t>
            </w:r>
            <w:r>
              <w:rPr>
                <w:rFonts w:hint="eastAsia" w:ascii="仿宋" w:hAnsi="仿宋" w:cs="仿宋_GB2312"/>
                <w:color w:val="000000" w:themeColor="text1"/>
                <w:highlight w:val="none"/>
                <w14:textFill>
                  <w14:solidFill>
                    <w14:schemeClr w14:val="tx1"/>
                  </w14:solidFill>
                </w14:textFill>
              </w:rPr>
              <w:t>）</w:t>
            </w:r>
          </w:p>
        </w:tc>
        <w:tc>
          <w:tcPr>
            <w:tcW w:w="1982"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无投标须知22.2.1所述的不良记录</w:t>
            </w: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 w:hAnsi="仿宋" w:cs="仿宋_GB2312"/>
                <w:color w:val="000000" w:themeColor="text1"/>
                <w:highlight w:val="none"/>
                <w14:textFill>
                  <w14:solidFill>
                    <w14:schemeClr w14:val="tx1"/>
                  </w14:solidFill>
                </w14:textFill>
              </w:rPr>
            </w:pPr>
          </w:p>
        </w:tc>
        <w:tc>
          <w:tcPr>
            <w:tcW w:w="3837" w:type="dxa"/>
            <w:vAlign w:val="center"/>
          </w:tcPr>
          <w:p>
            <w:pPr>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结论</w:t>
            </w:r>
          </w:p>
        </w:tc>
        <w:tc>
          <w:tcPr>
            <w:tcW w:w="1982" w:type="dxa"/>
          </w:tcPr>
          <w:p>
            <w:pPr>
              <w:pStyle w:val="3"/>
              <w:numPr>
                <w:ilvl w:val="0"/>
                <w:numId w:val="0"/>
              </w:numPr>
              <w:adjustRightInd w:val="0"/>
              <w:snapToGrid w:val="0"/>
              <w:spacing w:before="0" w:after="0" w:line="240" w:lineRule="auto"/>
              <w:rPr>
                <w:rFonts w:ascii="仿宋" w:hAnsi="仿宋" w:cs="仿宋_GB2312"/>
                <w:color w:val="000000" w:themeColor="text1"/>
                <w:sz w:val="21"/>
                <w:szCs w:val="21"/>
                <w:highlight w:val="none"/>
                <w14:textFill>
                  <w14:solidFill>
                    <w14:schemeClr w14:val="tx1"/>
                  </w14:solidFill>
                </w14:textFill>
              </w:rPr>
            </w:pPr>
          </w:p>
        </w:tc>
        <w:tc>
          <w:tcPr>
            <w:tcW w:w="986"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62"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888"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r>
    </w:tbl>
    <w:p>
      <w:pPr>
        <w:jc w:val="center"/>
        <w:rPr>
          <w:rFonts w:ascii="仿宋" w:hAnsi="仿宋" w:cs="仿宋_GB2312"/>
          <w:b/>
          <w:color w:val="000000" w:themeColor="text1"/>
          <w:sz w:val="32"/>
          <w:szCs w:val="32"/>
          <w:highlight w:val="none"/>
          <w14:textFill>
            <w14:solidFill>
              <w14:schemeClr w14:val="tx1"/>
            </w14:solidFill>
          </w14:textFill>
        </w:rPr>
      </w:pPr>
    </w:p>
    <w:p>
      <w:pPr>
        <w:snapToGrid w:val="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填表说明：1、每项内容审查合格，在表中填写“√”；不合格填写“×”</w:t>
      </w:r>
    </w:p>
    <w:p>
      <w:pPr>
        <w:snapToGrid w:val="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 xml:space="preserve">          2、审查结论填写“通过”或“不通过”</w:t>
      </w: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pStyle w:val="17"/>
        <w:widowControl w:val="0"/>
        <w:snapToGrid w:val="0"/>
        <w:spacing w:before="0" w:beforeAutospacing="0" w:after="0" w:afterAutospacing="0" w:line="480" w:lineRule="auto"/>
        <w:jc w:val="both"/>
        <w:rPr>
          <w:rFonts w:ascii="仿宋" w:hAnsi="仿宋" w:eastAsia="仿宋" w:cs="仿宋_GB2312"/>
          <w:color w:val="000000" w:themeColor="text1"/>
          <w:sz w:val="21"/>
          <w:szCs w:val="21"/>
          <w:highlight w:val="none"/>
          <w14:textFill>
            <w14:solidFill>
              <w14:schemeClr w14:val="tx1"/>
            </w14:solidFill>
          </w14:textFill>
        </w:rPr>
      </w:pPr>
      <w:r>
        <w:rPr>
          <w:rFonts w:hint="eastAsia" w:ascii="仿宋" w:hAnsi="仿宋" w:eastAsia="仿宋" w:cs="仿宋_GB2312"/>
          <w:color w:val="000000" w:themeColor="text1"/>
          <w:sz w:val="21"/>
          <w:szCs w:val="21"/>
          <w:highlight w:val="none"/>
          <w14:textFill>
            <w14:solidFill>
              <w14:schemeClr w14:val="tx1"/>
            </w14:solidFill>
          </w14:textFill>
        </w:rPr>
        <w:t>审查人签字：</w:t>
      </w:r>
    </w:p>
    <w:p>
      <w:pPr>
        <w:pStyle w:val="17"/>
        <w:widowControl w:val="0"/>
        <w:snapToGrid w:val="0"/>
        <w:spacing w:before="0" w:beforeAutospacing="0" w:after="0" w:afterAutospacing="0" w:line="480" w:lineRule="auto"/>
        <w:jc w:val="both"/>
        <w:rPr>
          <w:rFonts w:ascii="仿宋" w:hAnsi="仿宋" w:eastAsia="仿宋" w:cs="仿宋_GB2312"/>
          <w:bCs/>
          <w:color w:val="000000" w:themeColor="text1"/>
          <w:sz w:val="21"/>
          <w:szCs w:val="21"/>
          <w:highlight w:val="none"/>
          <w14:textFill>
            <w14:solidFill>
              <w14:schemeClr w14:val="tx1"/>
            </w14:solidFill>
          </w14:textFill>
        </w:rPr>
      </w:pPr>
      <w:r>
        <w:rPr>
          <w:rFonts w:hint="eastAsia" w:ascii="仿宋" w:hAnsi="仿宋" w:eastAsia="仿宋" w:cs="仿宋_GB2312"/>
          <w:bCs/>
          <w:color w:val="000000" w:themeColor="text1"/>
          <w:sz w:val="21"/>
          <w:szCs w:val="21"/>
          <w:highlight w:val="none"/>
          <w14:textFill>
            <w14:solidFill>
              <w14:schemeClr w14:val="tx1"/>
            </w14:solidFill>
          </w14:textFill>
        </w:rPr>
        <w:t>日      期：</w:t>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r>
        <w:rPr>
          <w:rFonts w:ascii="仿宋" w:hAnsi="仿宋" w:cs="仿宋_GB2312"/>
          <w:bCs/>
          <w:color w:val="000000" w:themeColor="text1"/>
          <w:sz w:val="21"/>
          <w:szCs w:val="21"/>
          <w:highlight w:val="none"/>
          <w14:textFill>
            <w14:solidFill>
              <w14:schemeClr w14:val="tx1"/>
            </w14:solidFill>
          </w14:textFill>
        </w:rPr>
        <w:br w:type="page"/>
      </w:r>
      <w:bookmarkStart w:id="149" w:name="_Toc11558_WPSOffice_Level2"/>
      <w:r>
        <w:rPr>
          <w:rFonts w:hint="eastAsia" w:ascii="仿宋" w:hAnsi="仿宋" w:cs="仿宋_GB2312"/>
          <w:color w:val="000000" w:themeColor="text1"/>
          <w:szCs w:val="28"/>
          <w:highlight w:val="none"/>
          <w14:textFill>
            <w14:solidFill>
              <w14:schemeClr w14:val="tx1"/>
            </w14:solidFill>
          </w14:textFill>
        </w:rPr>
        <w:t xml:space="preserve">附件2                  </w:t>
      </w:r>
    </w:p>
    <w:p>
      <w:pPr>
        <w:jc w:val="center"/>
        <w:rPr>
          <w:rFonts w:ascii="仿宋" w:hAnsi="仿宋" w:cs="仿宋_GB2312"/>
          <w:b/>
          <w:color w:val="000000" w:themeColor="text1"/>
          <w:sz w:val="32"/>
          <w:szCs w:val="32"/>
          <w:highlight w:val="none"/>
          <w14:textFill>
            <w14:solidFill>
              <w14:schemeClr w14:val="tx1"/>
            </w14:solidFill>
          </w14:textFill>
        </w:rPr>
      </w:pPr>
      <w:r>
        <w:rPr>
          <w:rFonts w:hint="eastAsia" w:ascii="仿宋" w:hAnsi="仿宋" w:cs="仿宋_GB2312"/>
          <w:b/>
          <w:color w:val="000000" w:themeColor="text1"/>
          <w:sz w:val="32"/>
          <w:szCs w:val="32"/>
          <w:highlight w:val="none"/>
          <w14:textFill>
            <w14:solidFill>
              <w14:schemeClr w14:val="tx1"/>
            </w14:solidFill>
          </w14:textFill>
        </w:rPr>
        <w:t>符合性审查表</w:t>
      </w:r>
      <w:bookmarkEnd w:id="149"/>
    </w:p>
    <w:tbl>
      <w:tblPr>
        <w:tblStyle w:val="21"/>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95"/>
        <w:gridCol w:w="2989"/>
        <w:gridCol w:w="1095"/>
        <w:gridCol w:w="985"/>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pPr>
              <w:ind w:left="-84" w:leftChars="-40" w:right="-75" w:rightChars="-36"/>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序号</w:t>
            </w:r>
          </w:p>
        </w:tc>
        <w:tc>
          <w:tcPr>
            <w:tcW w:w="2695" w:type="dxa"/>
            <w:vMerge w:val="restart"/>
            <w:vAlign w:val="center"/>
          </w:tcPr>
          <w:p>
            <w:pPr>
              <w:ind w:left="-84" w:leftChars="-40" w:right="-75" w:rightChars="-36"/>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审查项目</w:t>
            </w:r>
          </w:p>
        </w:tc>
        <w:tc>
          <w:tcPr>
            <w:tcW w:w="2989" w:type="dxa"/>
            <w:vMerge w:val="restart"/>
            <w:vAlign w:val="center"/>
          </w:tcPr>
          <w:p>
            <w:pPr>
              <w:ind w:left="-84" w:leftChars="-40" w:right="-75" w:rightChars="-36"/>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审查标准</w:t>
            </w:r>
          </w:p>
        </w:tc>
        <w:tc>
          <w:tcPr>
            <w:tcW w:w="2992" w:type="dxa"/>
            <w:gridSpan w:val="3"/>
            <w:vAlign w:val="center"/>
          </w:tcPr>
          <w:p>
            <w:pPr>
              <w:ind w:left="-84" w:leftChars="-40" w:right="-75" w:rightChars="-36"/>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pPr>
              <w:pStyle w:val="3"/>
              <w:adjustRightInd w:val="0"/>
              <w:snapToGrid w:val="0"/>
              <w:spacing w:before="0" w:after="0" w:line="240" w:lineRule="auto"/>
              <w:rPr>
                <w:rFonts w:ascii="仿宋" w:hAnsi="仿宋" w:cs="仿宋_GB2312"/>
                <w:color w:val="000000" w:themeColor="text1"/>
                <w:highlight w:val="none"/>
                <w14:textFill>
                  <w14:solidFill>
                    <w14:schemeClr w14:val="tx1"/>
                  </w14:solidFill>
                </w14:textFill>
              </w:rPr>
            </w:pPr>
          </w:p>
        </w:tc>
        <w:tc>
          <w:tcPr>
            <w:tcW w:w="2695" w:type="dxa"/>
            <w:vMerge w:val="continue"/>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2989" w:type="dxa"/>
            <w:vMerge w:val="continue"/>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1095"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kern w:val="0"/>
                <w:sz w:val="20"/>
                <w:szCs w:val="21"/>
                <w:highlight w:val="none"/>
                <w14:textFill>
                  <w14:solidFill>
                    <w14:schemeClr w14:val="tx1"/>
                  </w14:solidFill>
                </w14:textFill>
              </w:rPr>
              <w:t>1</w:t>
            </w:r>
          </w:p>
        </w:tc>
        <w:tc>
          <w:tcPr>
            <w:tcW w:w="2695" w:type="dxa"/>
            <w:vAlign w:val="center"/>
          </w:tcPr>
          <w:p>
            <w:pPr>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投标函</w:t>
            </w:r>
          </w:p>
        </w:tc>
        <w:tc>
          <w:tcPr>
            <w:tcW w:w="2989" w:type="dxa"/>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1.按给定格式填写</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2.响应招标文件实质性要求</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3.按规定签章</w:t>
            </w:r>
          </w:p>
        </w:tc>
        <w:tc>
          <w:tcPr>
            <w:tcW w:w="1095"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pPr>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2</w:t>
            </w:r>
          </w:p>
        </w:tc>
        <w:tc>
          <w:tcPr>
            <w:tcW w:w="2695" w:type="dxa"/>
            <w:shd w:val="clear" w:color="auto" w:fill="auto"/>
            <w:vAlign w:val="center"/>
          </w:tcPr>
          <w:p>
            <w:pPr>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开标一览表</w:t>
            </w:r>
          </w:p>
        </w:tc>
        <w:tc>
          <w:tcPr>
            <w:tcW w:w="2989" w:type="dxa"/>
            <w:shd w:val="clear" w:color="auto" w:fill="auto"/>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1.按给定格式填写</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2.响应招标文件实质性要求</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3.按规定签章</w:t>
            </w:r>
          </w:p>
        </w:tc>
        <w:tc>
          <w:tcPr>
            <w:tcW w:w="109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pPr>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3</w:t>
            </w:r>
          </w:p>
        </w:tc>
        <w:tc>
          <w:tcPr>
            <w:tcW w:w="2695" w:type="dxa"/>
            <w:shd w:val="clear" w:color="auto" w:fill="auto"/>
            <w:vAlign w:val="center"/>
          </w:tcPr>
          <w:p>
            <w:pPr>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分项报价表</w:t>
            </w:r>
          </w:p>
        </w:tc>
        <w:tc>
          <w:tcPr>
            <w:tcW w:w="2989" w:type="dxa"/>
            <w:shd w:val="clear" w:color="auto" w:fill="auto"/>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1.按给定格式填写，信息完整</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2.响应招标文件实质性要求</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3.按规定签章</w:t>
            </w:r>
          </w:p>
        </w:tc>
        <w:tc>
          <w:tcPr>
            <w:tcW w:w="109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4</w:t>
            </w:r>
          </w:p>
        </w:tc>
        <w:tc>
          <w:tcPr>
            <w:tcW w:w="2695" w:type="dxa"/>
            <w:shd w:val="clear" w:color="auto" w:fill="auto"/>
            <w:vAlign w:val="center"/>
          </w:tcPr>
          <w:p>
            <w:pPr>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技术规格偏离表</w:t>
            </w:r>
          </w:p>
        </w:tc>
        <w:tc>
          <w:tcPr>
            <w:tcW w:w="2989" w:type="dxa"/>
            <w:shd w:val="clear" w:color="auto" w:fill="auto"/>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1.按给定格式及填表要求填写</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2.响应招标文件实质性要求</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3.按规定签章</w:t>
            </w:r>
          </w:p>
        </w:tc>
        <w:tc>
          <w:tcPr>
            <w:tcW w:w="109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5</w:t>
            </w:r>
          </w:p>
        </w:tc>
        <w:tc>
          <w:tcPr>
            <w:tcW w:w="2695" w:type="dxa"/>
            <w:shd w:val="clear" w:color="auto" w:fill="auto"/>
            <w:vAlign w:val="center"/>
          </w:tcPr>
          <w:p>
            <w:pPr>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商务条款偏离表</w:t>
            </w:r>
          </w:p>
        </w:tc>
        <w:tc>
          <w:tcPr>
            <w:tcW w:w="2989" w:type="dxa"/>
            <w:shd w:val="clear" w:color="auto" w:fill="auto"/>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1.按给定格式及填表要求填写</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2.响应招标文件实质性要求</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3.按规定签章</w:t>
            </w:r>
          </w:p>
        </w:tc>
        <w:tc>
          <w:tcPr>
            <w:tcW w:w="109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6</w:t>
            </w:r>
          </w:p>
        </w:tc>
        <w:tc>
          <w:tcPr>
            <w:tcW w:w="2695" w:type="dxa"/>
            <w:shd w:val="clear" w:color="auto" w:fill="auto"/>
            <w:vAlign w:val="center"/>
          </w:tcPr>
          <w:p>
            <w:pPr>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投标人关联单位说明</w:t>
            </w:r>
          </w:p>
        </w:tc>
        <w:tc>
          <w:tcPr>
            <w:tcW w:w="2989" w:type="dxa"/>
            <w:shd w:val="clear" w:color="auto" w:fill="auto"/>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无投标须知1.5所述情形</w:t>
            </w:r>
          </w:p>
        </w:tc>
        <w:tc>
          <w:tcPr>
            <w:tcW w:w="109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tcPr>
          <w:p>
            <w:pPr>
              <w:pStyle w:val="3"/>
              <w:numPr>
                <w:ilvl w:val="0"/>
                <w:numId w:val="0"/>
              </w:numPr>
              <w:adjustRightInd w:val="0"/>
              <w:snapToGrid w:val="0"/>
              <w:spacing w:before="0" w:after="0" w:line="240" w:lineRule="auto"/>
              <w:ind w:left="851"/>
              <w:jc w:val="both"/>
              <w:rPr>
                <w:rFonts w:ascii="仿宋" w:hAnsi="仿宋" w:cs="仿宋_GB2312"/>
                <w:color w:val="000000" w:themeColor="text1"/>
                <w:sz w:val="21"/>
                <w:szCs w:val="21"/>
                <w:highlight w:val="none"/>
                <w14:textFill>
                  <w14:solidFill>
                    <w14:schemeClr w14:val="tx1"/>
                  </w14:solidFill>
                </w14:textFill>
              </w:rPr>
            </w:pPr>
          </w:p>
        </w:tc>
        <w:tc>
          <w:tcPr>
            <w:tcW w:w="912"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pPr>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7</w:t>
            </w:r>
          </w:p>
        </w:tc>
        <w:tc>
          <w:tcPr>
            <w:tcW w:w="2695" w:type="dxa"/>
            <w:shd w:val="clear" w:color="auto" w:fill="auto"/>
            <w:vAlign w:val="center"/>
          </w:tcPr>
          <w:p>
            <w:pPr>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其他符合性证明材料</w:t>
            </w:r>
          </w:p>
        </w:tc>
        <w:tc>
          <w:tcPr>
            <w:tcW w:w="2989" w:type="dxa"/>
            <w:shd w:val="clear" w:color="auto" w:fill="auto"/>
            <w:vAlign w:val="center"/>
          </w:tcPr>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响应招标文件实质性要求</w:t>
            </w:r>
          </w:p>
        </w:tc>
        <w:tc>
          <w:tcPr>
            <w:tcW w:w="109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vAlign w:val="center"/>
          </w:tcPr>
          <w:p>
            <w:pPr>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8</w:t>
            </w:r>
          </w:p>
        </w:tc>
        <w:tc>
          <w:tcPr>
            <w:tcW w:w="2695" w:type="dxa"/>
            <w:shd w:val="clear" w:color="auto" w:fill="auto"/>
            <w:vAlign w:val="center"/>
          </w:tcPr>
          <w:p>
            <w:pP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格式19无串通投标行为的承诺函、格式19-1</w:t>
            </w:r>
            <w:r>
              <w:rPr>
                <w:rFonts w:hint="eastAsia" w:ascii="仿宋" w:hAnsi="仿宋" w:cs="仿宋_GB2312"/>
                <w:color w:val="000000" w:themeColor="text1"/>
                <w:kern w:val="0"/>
                <w:szCs w:val="21"/>
                <w:highlight w:val="none"/>
                <w14:textFill>
                  <w14:solidFill>
                    <w14:schemeClr w14:val="tx1"/>
                  </w14:solidFill>
                </w14:textFill>
              </w:rPr>
              <w:t>投标人在职人员情况表</w:t>
            </w:r>
          </w:p>
        </w:tc>
        <w:tc>
          <w:tcPr>
            <w:tcW w:w="2989" w:type="dxa"/>
            <w:shd w:val="clear" w:color="auto" w:fill="auto"/>
            <w:vAlign w:val="center"/>
          </w:tcPr>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1.按给定格式及填表要求填写</w:t>
            </w:r>
          </w:p>
        </w:tc>
        <w:tc>
          <w:tcPr>
            <w:tcW w:w="109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vAlign w:val="center"/>
          </w:tcPr>
          <w:p>
            <w:pPr>
              <w:jc w:val="center"/>
              <w:rPr>
                <w:rFonts w:ascii="仿宋" w:hAnsi="仿宋" w:cs="仿宋_GB2312"/>
                <w:color w:val="000000" w:themeColor="text1"/>
                <w:kern w:val="0"/>
                <w:szCs w:val="21"/>
                <w:highlight w:val="none"/>
                <w14:textFill>
                  <w14:solidFill>
                    <w14:schemeClr w14:val="tx1"/>
                  </w14:solidFill>
                </w14:textFill>
              </w:rPr>
            </w:pPr>
            <w:r>
              <w:rPr>
                <w:rFonts w:hint="eastAsia" w:ascii="仿宋" w:hAnsi="仿宋" w:cs="仿宋_GB2312"/>
                <w:color w:val="000000" w:themeColor="text1"/>
                <w:kern w:val="0"/>
                <w:szCs w:val="21"/>
                <w:highlight w:val="none"/>
                <w14:textFill>
                  <w14:solidFill>
                    <w14:schemeClr w14:val="tx1"/>
                  </w14:solidFill>
                </w14:textFill>
              </w:rPr>
              <w:t>9</w:t>
            </w:r>
          </w:p>
        </w:tc>
        <w:tc>
          <w:tcPr>
            <w:tcW w:w="2695" w:type="dxa"/>
            <w:shd w:val="clear" w:color="auto" w:fill="auto"/>
            <w:vAlign w:val="center"/>
          </w:tcPr>
          <w:p>
            <w:pPr>
              <w:snapToGrid w:val="0"/>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投标报价</w:t>
            </w:r>
          </w:p>
        </w:tc>
        <w:tc>
          <w:tcPr>
            <w:tcW w:w="2989" w:type="dxa"/>
            <w:shd w:val="clear" w:color="auto" w:fill="auto"/>
            <w:vAlign w:val="center"/>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1.响应招标文件实质性要求</w:t>
            </w:r>
          </w:p>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2.无投标须知26.2所述情形</w:t>
            </w:r>
          </w:p>
        </w:tc>
        <w:tc>
          <w:tcPr>
            <w:tcW w:w="109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pPr>
              <w:snapToGrid w:val="0"/>
              <w:jc w:val="cente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10</w:t>
            </w:r>
          </w:p>
        </w:tc>
        <w:tc>
          <w:tcPr>
            <w:tcW w:w="2695" w:type="dxa"/>
            <w:shd w:val="clear" w:color="auto" w:fill="auto"/>
            <w:vAlign w:val="center"/>
          </w:tcPr>
          <w:p>
            <w:pPr>
              <w:snapToGrid w:val="0"/>
              <w:jc w:val="left"/>
              <w:rPr>
                <w:rFonts w:ascii="仿宋" w:hAnsi="仿宋" w:cs="仿宋_GB2312"/>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核心产品</w:t>
            </w:r>
          </w:p>
        </w:tc>
        <w:tc>
          <w:tcPr>
            <w:tcW w:w="2989" w:type="dxa"/>
            <w:shd w:val="clear" w:color="auto" w:fill="auto"/>
          </w:tcPr>
          <w:p>
            <w:pPr>
              <w:pStyle w:val="3"/>
              <w:numPr>
                <w:ilvl w:val="0"/>
                <w:numId w:val="0"/>
              </w:numPr>
              <w:adjustRightInd w:val="0"/>
              <w:snapToGrid w:val="0"/>
              <w:spacing w:before="0" w:after="0" w:line="240" w:lineRule="auto"/>
              <w:jc w:val="both"/>
              <w:rPr>
                <w:rFonts w:ascii="仿宋" w:hAnsi="仿宋" w:cs="仿宋_GB2312"/>
                <w:b w:val="0"/>
                <w:color w:val="000000" w:themeColor="text1"/>
                <w:sz w:val="21"/>
                <w:szCs w:val="21"/>
                <w:highlight w:val="none"/>
                <w14:textFill>
                  <w14:solidFill>
                    <w14:schemeClr w14:val="tx1"/>
                  </w14:solidFill>
                </w14:textFill>
              </w:rPr>
            </w:pPr>
            <w:r>
              <w:rPr>
                <w:rFonts w:hint="eastAsia" w:ascii="仿宋" w:hAnsi="仿宋" w:cs="仿宋_GB2312"/>
                <w:b w:val="0"/>
                <w:color w:val="000000" w:themeColor="text1"/>
                <w:sz w:val="21"/>
                <w:szCs w:val="21"/>
                <w:highlight w:val="none"/>
                <w14:textFill>
                  <w14:solidFill>
                    <w14:schemeClr w14:val="tx1"/>
                  </w14:solidFill>
                </w14:textFill>
              </w:rPr>
              <w:t>各投标人所投核心产品的品牌是否达到三家以上</w:t>
            </w:r>
          </w:p>
        </w:tc>
        <w:tc>
          <w:tcPr>
            <w:tcW w:w="109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pPr>
              <w:snapToGrid w:val="0"/>
              <w:jc w:val="center"/>
              <w:rPr>
                <w:rFonts w:ascii="仿宋" w:hAnsi="仿宋" w:cs="仿宋_GB2312"/>
                <w:color w:val="000000" w:themeColor="text1"/>
                <w:highlight w:val="none"/>
                <w14:textFill>
                  <w14:solidFill>
                    <w14:schemeClr w14:val="tx1"/>
                  </w14:solidFill>
                </w14:textFill>
              </w:rPr>
            </w:pPr>
          </w:p>
        </w:tc>
        <w:tc>
          <w:tcPr>
            <w:tcW w:w="2695" w:type="dxa"/>
            <w:vAlign w:val="center"/>
          </w:tcPr>
          <w:p>
            <w:pPr>
              <w:snapToGrid w:val="0"/>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结论</w:t>
            </w:r>
          </w:p>
        </w:tc>
        <w:tc>
          <w:tcPr>
            <w:tcW w:w="2989"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1095"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85"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c>
          <w:tcPr>
            <w:tcW w:w="912" w:type="dxa"/>
            <w:vAlign w:val="center"/>
          </w:tcPr>
          <w:p>
            <w:pPr>
              <w:pStyle w:val="3"/>
              <w:numPr>
                <w:ilvl w:val="0"/>
                <w:numId w:val="0"/>
              </w:numPr>
              <w:adjustRightInd w:val="0"/>
              <w:snapToGrid w:val="0"/>
              <w:spacing w:before="0" w:after="0" w:line="240" w:lineRule="auto"/>
              <w:ind w:left="851"/>
              <w:rPr>
                <w:rFonts w:ascii="仿宋" w:hAnsi="仿宋" w:cs="仿宋_GB2312"/>
                <w:color w:val="000000" w:themeColor="text1"/>
                <w:sz w:val="21"/>
                <w:szCs w:val="21"/>
                <w:highlight w:val="none"/>
                <w14:textFill>
                  <w14:solidFill>
                    <w14:schemeClr w14:val="tx1"/>
                  </w14:solidFill>
                </w14:textFill>
              </w:rPr>
            </w:pPr>
          </w:p>
        </w:tc>
      </w:tr>
    </w:tbl>
    <w:p>
      <w:pPr>
        <w:ind w:right="-630" w:rightChars="-3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注：1、进口产品的制造厂家的授权书（可视具体情况调整至符合性证明材料及符合性审查表中）</w:t>
      </w:r>
    </w:p>
    <w:p>
      <w:pPr>
        <w:ind w:firstLine="420" w:firstLineChars="200"/>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2、《</w:t>
      </w:r>
      <w:r>
        <w:rPr>
          <w:rFonts w:hint="eastAsia" w:ascii="仿宋" w:hAnsi="仿宋" w:cs="仿宋_GB2312"/>
          <w:color w:val="000000" w:themeColor="text1"/>
          <w:highlight w:val="none"/>
          <w:lang w:eastAsia="zh-CN"/>
          <w14:textFill>
            <w14:solidFill>
              <w14:schemeClr w14:val="tx1"/>
            </w14:solidFill>
          </w14:textFill>
        </w:rPr>
        <w:t>创新产品和服务目录</w:t>
      </w:r>
      <w:r>
        <w:rPr>
          <w:rFonts w:hint="eastAsia" w:ascii="仿宋" w:hAnsi="仿宋" w:cs="仿宋_GB2312"/>
          <w:color w:val="000000" w:themeColor="text1"/>
          <w:highlight w:val="none"/>
          <w14:textFill>
            <w14:solidFill>
              <w14:schemeClr w14:val="tx1"/>
            </w14:solidFill>
          </w14:textFill>
        </w:rPr>
        <w:t>》内产品、服务证明材料（可视具体情况调整至符合性证明材料及符合性审查表中）</w:t>
      </w:r>
    </w:p>
    <w:p>
      <w:pP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填表说明：1、每项内容审查合格，在表中填写“√”；不合格填写“×”</w:t>
      </w:r>
    </w:p>
    <w:p>
      <w:pPr>
        <w:rPr>
          <w:rFonts w:ascii="仿宋" w:hAnsi="仿宋" w:cs="仿宋_GB2312"/>
          <w:color w:val="000000" w:themeColor="text1"/>
          <w:highlight w:val="none"/>
          <w14:textFill>
            <w14:solidFill>
              <w14:schemeClr w14:val="tx1"/>
            </w14:solidFill>
          </w14:textFill>
        </w:rPr>
      </w:pPr>
      <w:r>
        <w:rPr>
          <w:rFonts w:hint="eastAsia" w:ascii="仿宋" w:hAnsi="仿宋" w:cs="仿宋_GB2312"/>
          <w:color w:val="000000" w:themeColor="text1"/>
          <w:highlight w:val="none"/>
          <w14:textFill>
            <w14:solidFill>
              <w14:schemeClr w14:val="tx1"/>
            </w14:solidFill>
          </w14:textFill>
        </w:rPr>
        <w:t xml:space="preserve">          2、审查结论填写“通过”或“不通过”</w:t>
      </w:r>
    </w:p>
    <w:p>
      <w:pPr>
        <w:pStyle w:val="17"/>
        <w:widowControl w:val="0"/>
        <w:snapToGrid w:val="0"/>
        <w:spacing w:before="0" w:beforeAutospacing="0" w:after="0" w:afterAutospacing="0" w:line="480" w:lineRule="auto"/>
        <w:ind w:left="5880" w:hanging="5880" w:hangingChars="2800"/>
        <w:rPr>
          <w:rFonts w:ascii="仿宋" w:hAnsi="仿宋" w:eastAsia="仿宋" w:cs="仿宋_GB2312"/>
          <w:color w:val="000000" w:themeColor="text1"/>
          <w:sz w:val="21"/>
          <w:szCs w:val="21"/>
          <w:highlight w:val="none"/>
          <w14:textFill>
            <w14:solidFill>
              <w14:schemeClr w14:val="tx1"/>
            </w14:solidFill>
          </w14:textFill>
        </w:rPr>
      </w:pPr>
      <w:r>
        <w:rPr>
          <w:rFonts w:hint="eastAsia" w:ascii="仿宋" w:hAnsi="仿宋" w:eastAsia="仿宋" w:cs="仿宋_GB2312"/>
          <w:color w:val="000000" w:themeColor="text1"/>
          <w:sz w:val="21"/>
          <w:szCs w:val="21"/>
          <w:highlight w:val="none"/>
          <w14:textFill>
            <w14:solidFill>
              <w14:schemeClr w14:val="tx1"/>
            </w14:solidFill>
          </w14:textFill>
        </w:rPr>
        <w:t xml:space="preserve">审查人签字： </w:t>
      </w:r>
    </w:p>
    <w:p>
      <w:pPr>
        <w:pStyle w:val="17"/>
        <w:widowControl w:val="0"/>
        <w:snapToGrid w:val="0"/>
        <w:spacing w:before="0" w:beforeAutospacing="0" w:after="0" w:afterAutospacing="0" w:line="480" w:lineRule="auto"/>
        <w:ind w:left="5880" w:hanging="5880" w:hangingChars="2800"/>
        <w:rPr>
          <w:rFonts w:ascii="仿宋" w:hAnsi="仿宋" w:eastAsia="仿宋" w:cs="仿宋_GB2312"/>
          <w:b/>
          <w:color w:val="000000" w:themeColor="text1"/>
          <w:sz w:val="21"/>
          <w:szCs w:val="21"/>
          <w:highlight w:val="none"/>
          <w14:textFill>
            <w14:solidFill>
              <w14:schemeClr w14:val="tx1"/>
            </w14:solidFill>
          </w14:textFill>
        </w:rPr>
      </w:pPr>
      <w:r>
        <w:rPr>
          <w:rFonts w:hint="eastAsia" w:ascii="仿宋" w:hAnsi="仿宋" w:eastAsia="仿宋" w:cs="仿宋_GB2312"/>
          <w:bCs/>
          <w:color w:val="000000" w:themeColor="text1"/>
          <w:sz w:val="21"/>
          <w:szCs w:val="21"/>
          <w:highlight w:val="none"/>
          <w14:textFill>
            <w14:solidFill>
              <w14:schemeClr w14:val="tx1"/>
            </w14:solidFill>
          </w14:textFill>
        </w:rPr>
        <w:t>日      期：</w:t>
      </w:r>
    </w:p>
    <w:p>
      <w:pPr>
        <w:pStyle w:val="3"/>
        <w:numPr>
          <w:ilvl w:val="0"/>
          <w:numId w:val="0"/>
        </w:numPr>
        <w:adjustRightInd w:val="0"/>
        <w:snapToGrid w:val="0"/>
        <w:spacing w:before="0" w:after="0" w:line="240" w:lineRule="auto"/>
        <w:jc w:val="left"/>
        <w:rPr>
          <w:rFonts w:ascii="仿宋" w:hAnsi="仿宋" w:cs="仿宋_GB2312"/>
          <w:color w:val="000000" w:themeColor="text1"/>
          <w:szCs w:val="28"/>
          <w:highlight w:val="none"/>
          <w14:textFill>
            <w14:solidFill>
              <w14:schemeClr w14:val="tx1"/>
            </w14:solidFill>
          </w14:textFill>
        </w:rPr>
      </w:pPr>
      <w:bookmarkStart w:id="150" w:name="_Toc17433_WPSOffice_Level2"/>
      <w:bookmarkStart w:id="151" w:name="_Hlk73624703"/>
      <w:r>
        <w:rPr>
          <w:rFonts w:ascii="仿宋" w:hAnsi="仿宋" w:cs="仿宋_GB2312"/>
          <w:color w:val="000000" w:themeColor="text1"/>
          <w:szCs w:val="28"/>
          <w:highlight w:val="none"/>
          <w14:textFill>
            <w14:solidFill>
              <w14:schemeClr w14:val="tx1"/>
            </w14:solidFill>
          </w14:textFill>
        </w:rPr>
        <w:br w:type="page"/>
      </w:r>
      <w:r>
        <w:rPr>
          <w:rFonts w:hint="eastAsia" w:ascii="仿宋" w:hAnsi="仿宋" w:cs="仿宋_GB2312"/>
          <w:color w:val="000000" w:themeColor="text1"/>
          <w:szCs w:val="28"/>
          <w:highlight w:val="none"/>
          <w14:textFill>
            <w14:solidFill>
              <w14:schemeClr w14:val="tx1"/>
            </w14:solidFill>
          </w14:textFill>
        </w:rPr>
        <w:t xml:space="preserve">附件3                   </w:t>
      </w:r>
    </w:p>
    <w:p>
      <w:pPr>
        <w:jc w:val="center"/>
        <w:rPr>
          <w:rFonts w:ascii="仿宋" w:hAnsi="仿宋" w:cs="仿宋_GB2312"/>
          <w:b/>
          <w:color w:val="000000" w:themeColor="text1"/>
          <w:sz w:val="32"/>
          <w:szCs w:val="32"/>
          <w:highlight w:val="none"/>
          <w14:textFill>
            <w14:solidFill>
              <w14:schemeClr w14:val="tx1"/>
            </w14:solidFill>
          </w14:textFill>
        </w:rPr>
      </w:pPr>
      <w:r>
        <w:rPr>
          <w:rFonts w:hint="eastAsia" w:ascii="仿宋" w:hAnsi="仿宋" w:cs="仿宋_GB2312"/>
          <w:b/>
          <w:color w:val="000000" w:themeColor="text1"/>
          <w:sz w:val="32"/>
          <w:szCs w:val="32"/>
          <w:highlight w:val="none"/>
          <w14:textFill>
            <w14:solidFill>
              <w14:schemeClr w14:val="tx1"/>
            </w14:solidFill>
          </w14:textFill>
        </w:rPr>
        <w:t>评分细则</w:t>
      </w:r>
      <w:bookmarkEnd w:id="150"/>
    </w:p>
    <w:p>
      <w:pPr>
        <w:jc w:val="left"/>
        <w:rPr>
          <w:rFonts w:ascii="仿宋" w:hAnsi="仿宋" w:cs="仿宋_GB2312"/>
          <w:b/>
          <w:color w:val="000000" w:themeColor="text1"/>
          <w:sz w:val="28"/>
          <w:szCs w:val="28"/>
          <w:highlight w:val="none"/>
          <w14:textFill>
            <w14:solidFill>
              <w14:schemeClr w14:val="tx1"/>
            </w14:solidFill>
          </w14:textFill>
        </w:rPr>
      </w:pPr>
      <w:r>
        <w:rPr>
          <w:rFonts w:hint="eastAsia" w:ascii="仿宋" w:hAnsi="仿宋" w:cs="仿宋_GB2312"/>
          <w:b/>
          <w:color w:val="000000" w:themeColor="text1"/>
          <w:szCs w:val="21"/>
          <w:highlight w:val="none"/>
          <w14:textFill>
            <w14:solidFill>
              <w14:schemeClr w14:val="tx1"/>
            </w14:solidFill>
          </w14:textFill>
        </w:rPr>
        <w:t>（一）基本评分标准</w:t>
      </w:r>
    </w:p>
    <w:bookmarkEnd w:id="151"/>
    <w:tbl>
      <w:tblPr>
        <w:tblStyle w:val="21"/>
        <w:tblpPr w:leftFromText="180" w:rightFromText="180" w:vertAnchor="text" w:horzAnchor="margin" w:tblpX="-456" w:tblpY="10"/>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275"/>
        <w:gridCol w:w="6001"/>
        <w:gridCol w:w="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Align w:val="center"/>
          </w:tcPr>
          <w:p>
            <w:pPr>
              <w:pStyle w:val="17"/>
              <w:snapToGrid w:val="0"/>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包号</w:t>
            </w:r>
          </w:p>
        </w:tc>
        <w:tc>
          <w:tcPr>
            <w:tcW w:w="7977" w:type="dxa"/>
            <w:gridSpan w:val="3"/>
            <w:vAlign w:val="center"/>
          </w:tcPr>
          <w:p>
            <w:pPr>
              <w:pStyle w:val="17"/>
              <w:adjustRightInd w:val="0"/>
              <w:snapToGrid w:val="0"/>
              <w:spacing w:before="0" w:beforeAutospacing="0" w:after="0" w:afterAutospacing="0"/>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Align w:val="center"/>
          </w:tcPr>
          <w:p>
            <w:pPr>
              <w:pStyle w:val="17"/>
              <w:snapToGrid w:val="0"/>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项目</w:t>
            </w:r>
          </w:p>
        </w:tc>
        <w:tc>
          <w:tcPr>
            <w:tcW w:w="1275" w:type="dxa"/>
            <w:vAlign w:val="center"/>
          </w:tcPr>
          <w:p>
            <w:pPr>
              <w:pStyle w:val="17"/>
              <w:adjustRightInd w:val="0"/>
              <w:snapToGrid w:val="0"/>
              <w:spacing w:before="0" w:beforeAutospacing="0" w:after="0" w:afterAutospacing="0"/>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分项名称</w:t>
            </w:r>
          </w:p>
        </w:tc>
        <w:tc>
          <w:tcPr>
            <w:tcW w:w="6001" w:type="dxa"/>
            <w:vAlign w:val="center"/>
          </w:tcPr>
          <w:p>
            <w:pPr>
              <w:pStyle w:val="17"/>
              <w:adjustRightInd w:val="0"/>
              <w:snapToGrid w:val="0"/>
              <w:spacing w:before="0" w:beforeAutospacing="0" w:after="0" w:afterAutospacing="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评分标准</w:t>
            </w:r>
          </w:p>
        </w:tc>
        <w:tc>
          <w:tcPr>
            <w:tcW w:w="701" w:type="dxa"/>
            <w:vAlign w:val="center"/>
          </w:tcPr>
          <w:p>
            <w:pPr>
              <w:pStyle w:val="17"/>
              <w:adjustRightInd w:val="0"/>
              <w:snapToGrid w:val="0"/>
              <w:spacing w:before="0" w:beforeAutospacing="0" w:after="0" w:afterAutospacing="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Align w:val="center"/>
          </w:tcPr>
          <w:p>
            <w:pPr>
              <w:pStyle w:val="17"/>
              <w:snapToGrid w:val="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价格部分</w:t>
            </w:r>
          </w:p>
          <w:p>
            <w:pPr>
              <w:pStyle w:val="17"/>
              <w:snapToGrid w:val="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（30）</w:t>
            </w:r>
          </w:p>
        </w:tc>
        <w:tc>
          <w:tcPr>
            <w:tcW w:w="1275" w:type="dxa"/>
            <w:vAlign w:val="center"/>
          </w:tcPr>
          <w:p>
            <w:pPr>
              <w:pStyle w:val="17"/>
              <w:adjustRightInd w:val="0"/>
              <w:snapToGrid w:val="0"/>
              <w:spacing w:before="0" w:beforeAutospacing="0" w:after="0" w:afterAutospacing="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价格得分</w:t>
            </w:r>
          </w:p>
        </w:tc>
        <w:tc>
          <w:tcPr>
            <w:tcW w:w="6001" w:type="dxa"/>
            <w:vAlign w:val="center"/>
          </w:tcPr>
          <w:p>
            <w:pPr>
              <w:adjustRightInd w:val="0"/>
              <w:jc w:val="left"/>
              <w:rPr>
                <w:rFonts w:ascii="仿宋" w:hAnsi="仿宋" w:cs="仿宋"/>
                <w:color w:val="000000" w:themeColor="text1"/>
                <w:kern w:val="0"/>
                <w:szCs w:val="21"/>
                <w:highlight w:val="none"/>
                <w14:textFill>
                  <w14:solidFill>
                    <w14:schemeClr w14:val="tx1"/>
                  </w14:solidFill>
                </w14:textFill>
              </w:rPr>
            </w:pPr>
            <w:r>
              <w:rPr>
                <w:rFonts w:hint="eastAsia" w:ascii="仿宋" w:hAnsi="仿宋" w:cs="仿宋"/>
                <w:color w:val="000000" w:themeColor="text1"/>
                <w:kern w:val="0"/>
                <w:szCs w:val="21"/>
                <w:highlight w:val="none"/>
                <w14:textFill>
                  <w14:solidFill>
                    <w14:schemeClr w14:val="tx1"/>
                  </w14:solidFill>
                </w14:textFill>
              </w:rPr>
              <w:t>投标人报价得分＝（评标基准价/投标报价）×30</w:t>
            </w:r>
          </w:p>
          <w:p>
            <w:pPr>
              <w:adjustRightInd w:val="0"/>
              <w:jc w:val="left"/>
              <w:rPr>
                <w:rFonts w:ascii="仿宋" w:hAnsi="仿宋" w:cs="仿宋"/>
                <w:color w:val="000000" w:themeColor="text1"/>
                <w:kern w:val="0"/>
                <w:szCs w:val="21"/>
                <w:highlight w:val="none"/>
                <w14:textFill>
                  <w14:solidFill>
                    <w14:schemeClr w14:val="tx1"/>
                  </w14:solidFill>
                </w14:textFill>
              </w:rPr>
            </w:pPr>
            <w:r>
              <w:rPr>
                <w:rFonts w:hint="eastAsia" w:ascii="仿宋" w:hAnsi="仿宋" w:cs="仿宋"/>
                <w:color w:val="000000" w:themeColor="text1"/>
                <w:kern w:val="0"/>
                <w:szCs w:val="21"/>
                <w:highlight w:val="none"/>
                <w14:textFill>
                  <w14:solidFill>
                    <w14:schemeClr w14:val="tx1"/>
                  </w14:solidFill>
                </w14:textFill>
              </w:rPr>
              <w:t>注解：</w:t>
            </w:r>
          </w:p>
          <w:p>
            <w:pPr>
              <w:adjustRightInd w:val="0"/>
              <w:jc w:val="left"/>
              <w:rPr>
                <w:rFonts w:ascii="仿宋" w:hAnsi="仿宋" w:cs="仿宋"/>
                <w:color w:val="000000" w:themeColor="text1"/>
                <w:kern w:val="0"/>
                <w:szCs w:val="21"/>
                <w:highlight w:val="none"/>
                <w14:textFill>
                  <w14:solidFill>
                    <w14:schemeClr w14:val="tx1"/>
                  </w14:solidFill>
                </w14:textFill>
              </w:rPr>
            </w:pPr>
            <w:r>
              <w:rPr>
                <w:rFonts w:hint="eastAsia" w:ascii="仿宋" w:hAnsi="仿宋" w:cs="仿宋"/>
                <w:color w:val="000000" w:themeColor="text1"/>
                <w:kern w:val="0"/>
                <w:szCs w:val="21"/>
                <w:highlight w:val="none"/>
                <w14:textFill>
                  <w14:solidFill>
                    <w14:schemeClr w14:val="tx1"/>
                  </w14:solidFill>
                </w14:textFill>
              </w:rPr>
              <w:t>1、评标基准价为满足招标文件要求且投标价格最低的投标报价；</w:t>
            </w:r>
          </w:p>
          <w:p>
            <w:pPr>
              <w:adjustRightInd w:val="0"/>
              <w:jc w:val="left"/>
              <w:rPr>
                <w:rFonts w:ascii="仿宋" w:hAnsi="仿宋" w:cs="仿宋"/>
                <w:color w:val="000000" w:themeColor="text1"/>
                <w:kern w:val="0"/>
                <w:szCs w:val="21"/>
                <w:highlight w:val="none"/>
                <w14:textFill>
                  <w14:solidFill>
                    <w14:schemeClr w14:val="tx1"/>
                  </w14:solidFill>
                </w14:textFill>
              </w:rPr>
            </w:pPr>
            <w:r>
              <w:rPr>
                <w:rFonts w:hint="eastAsia" w:ascii="仿宋" w:hAnsi="仿宋" w:cs="仿宋"/>
                <w:color w:val="000000" w:themeColor="text1"/>
                <w:kern w:val="0"/>
                <w:szCs w:val="21"/>
                <w:highlight w:val="none"/>
                <w14:textFill>
                  <w14:solidFill>
                    <w14:schemeClr w14:val="tx1"/>
                  </w14:solidFill>
                </w14:textFill>
              </w:rPr>
              <w:t>2、投标人报价为投标函中投标总价。</w:t>
            </w:r>
          </w:p>
          <w:p>
            <w:pPr>
              <w:adjustRightInd w:val="0"/>
              <w:jc w:val="left"/>
              <w:rPr>
                <w:rFonts w:ascii="仿宋" w:hAnsi="仿宋" w:cs="仿宋"/>
                <w:color w:val="000000" w:themeColor="text1"/>
                <w:kern w:val="0"/>
                <w:szCs w:val="21"/>
                <w:highlight w:val="none"/>
                <w14:textFill>
                  <w14:solidFill>
                    <w14:schemeClr w14:val="tx1"/>
                  </w14:solidFill>
                </w14:textFill>
              </w:rPr>
            </w:pPr>
            <w:r>
              <w:rPr>
                <w:rFonts w:hint="eastAsia" w:ascii="仿宋" w:hAnsi="仿宋" w:cs="仿宋"/>
                <w:color w:val="000000" w:themeColor="text1"/>
                <w:kern w:val="0"/>
                <w:szCs w:val="21"/>
                <w:highlight w:val="none"/>
                <w14:textFill>
                  <w14:solidFill>
                    <w14:schemeClr w14:val="tx1"/>
                  </w14:solidFill>
                </w14:textFill>
              </w:rPr>
              <w:t>注：根据相关政策，对投标报价给与价格扣除的，用扣除后的价格参与评审</w:t>
            </w:r>
            <w:r>
              <w:rPr>
                <w:rFonts w:hint="eastAsia" w:ascii="仿宋" w:hAnsi="仿宋" w:cs="仿宋"/>
                <w:color w:val="000000" w:themeColor="text1"/>
                <w:szCs w:val="21"/>
                <w:highlight w:val="none"/>
                <w14:textFill>
                  <w14:solidFill>
                    <w14:schemeClr w14:val="tx1"/>
                  </w14:solidFill>
                </w14:textFill>
              </w:rPr>
              <w:t>。</w:t>
            </w:r>
          </w:p>
        </w:tc>
        <w:tc>
          <w:tcPr>
            <w:tcW w:w="701" w:type="dxa"/>
            <w:vAlign w:val="center"/>
          </w:tcPr>
          <w:p>
            <w:pPr>
              <w:pStyle w:val="17"/>
              <w:adjustRightInd w:val="0"/>
              <w:snapToGrid w:val="0"/>
              <w:spacing w:before="0" w:beforeAutospacing="0" w:after="0" w:afterAutospacing="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101" w:type="dxa"/>
            <w:vMerge w:val="restart"/>
            <w:vAlign w:val="center"/>
          </w:tcPr>
          <w:p>
            <w:pPr>
              <w:pStyle w:val="17"/>
              <w:snapToGrid w:val="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技术部分</w:t>
            </w:r>
          </w:p>
          <w:p>
            <w:pPr>
              <w:pStyle w:val="17"/>
              <w:snapToGrid w:val="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（48）</w:t>
            </w:r>
          </w:p>
        </w:tc>
        <w:tc>
          <w:tcPr>
            <w:tcW w:w="1275" w:type="dxa"/>
            <w:vAlign w:val="center"/>
          </w:tcPr>
          <w:p>
            <w:pPr>
              <w:pStyle w:val="17"/>
              <w:adjustRightInd w:val="0"/>
              <w:snapToGrid w:val="0"/>
              <w:spacing w:before="0" w:beforeAutospacing="0" w:after="0" w:afterAutospacing="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满足产品技术参数规格及性能</w:t>
            </w:r>
          </w:p>
        </w:tc>
        <w:tc>
          <w:tcPr>
            <w:tcW w:w="6001" w:type="dxa"/>
            <w:vAlign w:val="center"/>
          </w:tcPr>
          <w:p>
            <w:pPr>
              <w:adjustRightInd w:val="0"/>
              <w:rPr>
                <w:rFonts w:ascii="仿宋" w:hAnsi="仿宋" w:cs="仿宋"/>
                <w:b/>
                <w:color w:val="000000" w:themeColor="text1"/>
                <w:szCs w:val="21"/>
                <w:highlight w:val="none"/>
                <w14:textFill>
                  <w14:solidFill>
                    <w14:schemeClr w14:val="tx1"/>
                  </w14:solidFill>
                </w14:textFill>
              </w:rPr>
            </w:pPr>
            <w:r>
              <w:rPr>
                <w:rStyle w:val="64"/>
                <w:rFonts w:hint="eastAsia" w:ascii="仿宋" w:hAnsi="仿宋" w:cs="仿宋"/>
                <w:color w:val="000000" w:themeColor="text1"/>
                <w:szCs w:val="21"/>
                <w:highlight w:val="none"/>
                <w14:textFill>
                  <w14:solidFill>
                    <w14:schemeClr w14:val="tx1"/>
                  </w14:solidFill>
                </w14:textFill>
              </w:rPr>
              <w:t>根据各投标人提供的技术参数偏离表，对照招标要求的技术参数进行比较，技术参数全部满足招标要求的得满分：普通技术要求每负偏离一项扣0.1分</w:t>
            </w:r>
            <w:r>
              <w:rPr>
                <w:rStyle w:val="64"/>
                <w:rFonts w:hint="eastAsia" w:ascii="仿宋" w:hAnsi="仿宋" w:cs="仿宋"/>
                <w:color w:val="000000" w:themeColor="text1"/>
                <w:szCs w:val="21"/>
                <w:highlight w:val="none"/>
                <w:lang w:eastAsia="zh-CN"/>
                <w14:textFill>
                  <w14:solidFill>
                    <w14:schemeClr w14:val="tx1"/>
                  </w14:solidFill>
                </w14:textFill>
              </w:rPr>
              <w:t>（</w:t>
            </w:r>
            <w:r>
              <w:rPr>
                <w:rStyle w:val="64"/>
                <w:rFonts w:hint="eastAsia" w:ascii="仿宋" w:hAnsi="仿宋" w:cs="仿宋"/>
                <w:color w:val="000000" w:themeColor="text1"/>
                <w:szCs w:val="21"/>
                <w:highlight w:val="none"/>
                <w:lang w:val="en-US" w:eastAsia="zh-CN"/>
                <w14:textFill>
                  <w14:solidFill>
                    <w14:schemeClr w14:val="tx1"/>
                  </w14:solidFill>
                </w14:textFill>
              </w:rPr>
              <w:t>共计234项</w:t>
            </w:r>
            <w:r>
              <w:rPr>
                <w:rStyle w:val="64"/>
                <w:rFonts w:hint="eastAsia" w:ascii="仿宋" w:hAnsi="仿宋" w:cs="仿宋"/>
                <w:color w:val="000000" w:themeColor="text1"/>
                <w:szCs w:val="21"/>
                <w:highlight w:val="none"/>
                <w:lang w:eastAsia="zh-CN"/>
                <w14:textFill>
                  <w14:solidFill>
                    <w14:schemeClr w14:val="tx1"/>
                  </w14:solidFill>
                </w14:textFill>
              </w:rPr>
              <w:t>）</w:t>
            </w:r>
            <w:r>
              <w:rPr>
                <w:rStyle w:val="64"/>
                <w:rFonts w:hint="eastAsia" w:ascii="仿宋" w:hAnsi="仿宋" w:cs="仿宋"/>
                <w:color w:val="000000" w:themeColor="text1"/>
                <w:szCs w:val="21"/>
                <w:highlight w:val="none"/>
                <w14:textFill>
                  <w14:solidFill>
                    <w14:schemeClr w14:val="tx1"/>
                  </w14:solidFill>
                </w14:textFill>
              </w:rPr>
              <w:t>，“▲”项技术要求不满足，每负偏离一项扣2分</w:t>
            </w:r>
            <w:r>
              <w:rPr>
                <w:rStyle w:val="64"/>
                <w:rFonts w:hint="eastAsia" w:ascii="仿宋" w:hAnsi="仿宋" w:cs="仿宋"/>
                <w:color w:val="000000" w:themeColor="text1"/>
                <w:szCs w:val="21"/>
                <w:highlight w:val="none"/>
                <w:lang w:eastAsia="zh-CN"/>
                <w14:textFill>
                  <w14:solidFill>
                    <w14:schemeClr w14:val="tx1"/>
                  </w14:solidFill>
                </w14:textFill>
              </w:rPr>
              <w:t>（</w:t>
            </w:r>
            <w:r>
              <w:rPr>
                <w:rStyle w:val="64"/>
                <w:rFonts w:hint="eastAsia" w:ascii="仿宋" w:hAnsi="仿宋" w:cs="仿宋"/>
                <w:color w:val="000000" w:themeColor="text1"/>
                <w:szCs w:val="21"/>
                <w:highlight w:val="none"/>
                <w:lang w:val="en-US" w:eastAsia="zh-CN"/>
                <w14:textFill>
                  <w14:solidFill>
                    <w14:schemeClr w14:val="tx1"/>
                  </w14:solidFill>
                </w14:textFill>
              </w:rPr>
              <w:t>共计4项</w:t>
            </w:r>
            <w:r>
              <w:rPr>
                <w:rStyle w:val="64"/>
                <w:rFonts w:hint="eastAsia" w:ascii="仿宋" w:hAnsi="仿宋" w:cs="仿宋"/>
                <w:color w:val="000000" w:themeColor="text1"/>
                <w:szCs w:val="21"/>
                <w:highlight w:val="none"/>
                <w:lang w:eastAsia="zh-CN"/>
                <w14:textFill>
                  <w14:solidFill>
                    <w14:schemeClr w14:val="tx1"/>
                  </w14:solidFill>
                </w14:textFill>
              </w:rPr>
              <w:t>），</w:t>
            </w:r>
            <w:r>
              <w:rPr>
                <w:rStyle w:val="64"/>
                <w:rFonts w:hint="eastAsia" w:ascii="仿宋" w:hAnsi="仿宋" w:cs="仿宋"/>
                <w:color w:val="000000" w:themeColor="text1"/>
                <w:szCs w:val="21"/>
                <w:highlight w:val="none"/>
                <w14:textFill>
                  <w14:solidFill>
                    <w14:schemeClr w14:val="tx1"/>
                  </w14:solidFill>
                </w14:textFill>
              </w:rPr>
              <w:t>“</w:t>
            </w:r>
            <w:r>
              <w:rPr>
                <w:rFonts w:hint="eastAsia" w:ascii="仿宋" w:hAnsi="仿宋" w:cs="仿宋"/>
                <w:b/>
                <w:color w:val="000000" w:themeColor="text1"/>
                <w:kern w:val="0"/>
                <w:szCs w:val="21"/>
                <w:highlight w:val="none"/>
                <w14:textFill>
                  <w14:solidFill>
                    <w14:schemeClr w14:val="tx1"/>
                  </w14:solidFill>
                </w14:textFill>
              </w:rPr>
              <w:t>★</w:t>
            </w:r>
            <w:r>
              <w:rPr>
                <w:rStyle w:val="64"/>
                <w:rFonts w:hint="eastAsia" w:ascii="仿宋" w:hAnsi="仿宋" w:cs="仿宋"/>
                <w:color w:val="000000" w:themeColor="text1"/>
                <w:szCs w:val="21"/>
                <w:highlight w:val="none"/>
                <w14:textFill>
                  <w14:solidFill>
                    <w14:schemeClr w14:val="tx1"/>
                  </w14:solidFill>
                </w14:textFill>
              </w:rPr>
              <w:t>”项不满足，投标文件将被视为无效投标文件。</w:t>
            </w:r>
          </w:p>
        </w:tc>
        <w:tc>
          <w:tcPr>
            <w:tcW w:w="701" w:type="dxa"/>
            <w:vAlign w:val="center"/>
          </w:tcPr>
          <w:p>
            <w:pPr>
              <w:pStyle w:val="17"/>
              <w:adjustRightInd w:val="0"/>
              <w:snapToGrid w:val="0"/>
              <w:spacing w:before="0" w:beforeAutospacing="0" w:after="0" w:afterAutospacing="0"/>
              <w:jc w:val="center"/>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31.4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101" w:type="dxa"/>
            <w:vMerge w:val="continue"/>
            <w:vAlign w:val="center"/>
          </w:tcPr>
          <w:p>
            <w:pPr>
              <w:pStyle w:val="17"/>
              <w:snapToGrid w:val="0"/>
              <w:jc w:val="center"/>
              <w:rPr>
                <w:rFonts w:ascii="仿宋" w:hAnsi="仿宋" w:eastAsia="仿宋" w:cs="仿宋"/>
                <w:color w:val="000000" w:themeColor="text1"/>
                <w:sz w:val="21"/>
                <w:szCs w:val="21"/>
                <w:highlight w:val="none"/>
                <w14:textFill>
                  <w14:solidFill>
                    <w14:schemeClr w14:val="tx1"/>
                  </w14:solidFill>
                </w14:textFill>
              </w:rPr>
            </w:pPr>
          </w:p>
        </w:tc>
        <w:tc>
          <w:tcPr>
            <w:tcW w:w="1275" w:type="dxa"/>
            <w:vAlign w:val="center"/>
          </w:tcPr>
          <w:p>
            <w:pPr>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产品质量</w:t>
            </w:r>
            <w:r>
              <w:rPr>
                <w:rFonts w:hint="eastAsia" w:ascii="仿宋" w:hAnsi="仿宋" w:cs="仿宋"/>
                <w:color w:val="000000" w:themeColor="text1"/>
                <w:szCs w:val="21"/>
                <w:highlight w:val="none"/>
                <w:lang w:val="en-US" w:eastAsia="zh-CN"/>
                <w14:textFill>
                  <w14:solidFill>
                    <w14:schemeClr w14:val="tx1"/>
                  </w14:solidFill>
                </w14:textFill>
              </w:rPr>
              <w:t>技术方案</w:t>
            </w:r>
          </w:p>
        </w:tc>
        <w:tc>
          <w:tcPr>
            <w:tcW w:w="6001" w:type="dxa"/>
            <w:vAlign w:val="center"/>
          </w:tcPr>
          <w:p>
            <w:pPr>
              <w:spacing w:line="260" w:lineRule="exact"/>
              <w:rPr>
                <w:rFonts w:hint="eastAsia" w:ascii="仿宋" w:hAnsi="仿宋" w:eastAsia="仿宋" w:cs="仿宋"/>
                <w:szCs w:val="21"/>
              </w:rPr>
            </w:pPr>
            <w:r>
              <w:rPr>
                <w:rFonts w:hint="eastAsia" w:ascii="仿宋" w:hAnsi="仿宋" w:eastAsia="仿宋" w:cs="仿宋"/>
                <w:szCs w:val="21"/>
                <w:lang w:val="en-US" w:eastAsia="zh-CN"/>
              </w:rPr>
              <w:t>投标供应商提供的产品</w:t>
            </w:r>
            <w:r>
              <w:rPr>
                <w:rFonts w:hint="eastAsia" w:ascii="仿宋" w:hAnsi="仿宋" w:eastAsia="仿宋" w:cs="仿宋"/>
                <w:szCs w:val="21"/>
              </w:rPr>
              <w:t>质量保证措施</w:t>
            </w:r>
            <w:r>
              <w:rPr>
                <w:rFonts w:hint="eastAsia" w:ascii="仿宋" w:hAnsi="仿宋" w:eastAsia="仿宋" w:cs="仿宋"/>
                <w:szCs w:val="21"/>
                <w:lang w:val="en-US" w:eastAsia="zh-CN"/>
              </w:rPr>
              <w:t>方案</w:t>
            </w:r>
            <w:r>
              <w:rPr>
                <w:rFonts w:hint="eastAsia" w:ascii="仿宋" w:hAnsi="仿宋" w:eastAsia="仿宋" w:cs="仿宋"/>
                <w:szCs w:val="21"/>
                <w:lang w:eastAsia="zh-CN"/>
              </w:rPr>
              <w:t>，</w:t>
            </w:r>
            <w:r>
              <w:rPr>
                <w:rFonts w:hint="eastAsia" w:ascii="仿宋" w:hAnsi="仿宋" w:eastAsia="仿宋" w:cs="仿宋"/>
                <w:szCs w:val="21"/>
              </w:rPr>
              <w:t>包括但不限于1.明确</w:t>
            </w:r>
            <w:r>
              <w:rPr>
                <w:rFonts w:hint="eastAsia" w:ascii="仿宋" w:hAnsi="仿宋" w:eastAsia="仿宋" w:cs="仿宋"/>
                <w:szCs w:val="21"/>
                <w:lang w:val="en-US" w:eastAsia="zh-CN"/>
              </w:rPr>
              <w:t>产品</w:t>
            </w:r>
            <w:r>
              <w:rPr>
                <w:rFonts w:hint="eastAsia" w:ascii="仿宋" w:hAnsi="仿宋" w:eastAsia="仿宋" w:cs="仿宋"/>
                <w:szCs w:val="21"/>
              </w:rPr>
              <w:t>质量目标；2.</w:t>
            </w:r>
            <w:r>
              <w:rPr>
                <w:rFonts w:hint="eastAsia" w:ascii="仿宋" w:hAnsi="仿宋" w:eastAsia="仿宋" w:cs="仿宋"/>
                <w:szCs w:val="21"/>
                <w:lang w:val="en-US" w:eastAsia="zh-CN"/>
              </w:rPr>
              <w:t>产品</w:t>
            </w:r>
            <w:r>
              <w:rPr>
                <w:rFonts w:hint="eastAsia" w:ascii="仿宋" w:hAnsi="仿宋" w:eastAsia="仿宋" w:cs="仿宋"/>
                <w:szCs w:val="21"/>
              </w:rPr>
              <w:t>质量管理措施；3.</w:t>
            </w:r>
            <w:r>
              <w:rPr>
                <w:rFonts w:hint="eastAsia" w:ascii="仿宋" w:hAnsi="仿宋" w:eastAsia="仿宋" w:cs="仿宋"/>
                <w:szCs w:val="21"/>
                <w:lang w:val="en-US" w:eastAsia="zh-CN"/>
              </w:rPr>
              <w:t>产品</w:t>
            </w:r>
            <w:r>
              <w:rPr>
                <w:rFonts w:hint="eastAsia" w:ascii="仿宋" w:hAnsi="仿宋" w:eastAsia="仿宋" w:cs="仿宋"/>
                <w:szCs w:val="21"/>
              </w:rPr>
              <w:t>质量控制流程</w:t>
            </w:r>
            <w:r>
              <w:rPr>
                <w:rFonts w:hint="eastAsia" w:ascii="仿宋" w:hAnsi="仿宋" w:eastAsia="仿宋" w:cs="仿宋"/>
                <w:szCs w:val="21"/>
                <w:lang w:eastAsia="zh-CN"/>
              </w:rPr>
              <w:t>；</w:t>
            </w:r>
            <w:r>
              <w:rPr>
                <w:rFonts w:hint="eastAsia" w:ascii="仿宋" w:hAnsi="仿宋" w:eastAsia="仿宋" w:cs="仿宋"/>
                <w:szCs w:val="21"/>
                <w:lang w:val="en-US" w:eastAsia="zh-CN"/>
              </w:rPr>
              <w:t>4.产品质量管理制度</w:t>
            </w:r>
            <w:r>
              <w:rPr>
                <w:rFonts w:hint="eastAsia" w:ascii="仿宋" w:hAnsi="仿宋" w:eastAsia="仿宋" w:cs="仿宋"/>
                <w:szCs w:val="21"/>
              </w:rPr>
              <w:t>等</w:t>
            </w:r>
            <w:r>
              <w:rPr>
                <w:rFonts w:hint="eastAsia" w:ascii="仿宋" w:hAnsi="仿宋" w:eastAsia="仿宋" w:cs="仿宋"/>
                <w:szCs w:val="21"/>
                <w:lang w:val="en-US" w:eastAsia="zh-CN"/>
              </w:rPr>
              <w:t>内容</w:t>
            </w:r>
            <w:r>
              <w:rPr>
                <w:rFonts w:hint="eastAsia" w:ascii="仿宋" w:hAnsi="仿宋" w:eastAsia="仿宋" w:cs="仿宋"/>
                <w:szCs w:val="21"/>
              </w:rPr>
              <w:t>：</w:t>
            </w:r>
          </w:p>
          <w:p>
            <w:pPr>
              <w:spacing w:line="260" w:lineRule="exact"/>
              <w:rPr>
                <w:rFonts w:hint="eastAsia" w:ascii="仿宋" w:hAnsi="仿宋" w:eastAsia="仿宋" w:cs="仿宋"/>
                <w:szCs w:val="21"/>
              </w:rPr>
            </w:pPr>
            <w:r>
              <w:rPr>
                <w:rFonts w:hint="eastAsia" w:ascii="仿宋" w:hAnsi="仿宋" w:eastAsia="仿宋" w:cs="仿宋"/>
                <w:szCs w:val="21"/>
              </w:rPr>
              <w:t>（1）提供符合采购需求全面详实的有效方案，无缺陷得</w:t>
            </w:r>
            <w:r>
              <w:rPr>
                <w:rFonts w:hint="eastAsia" w:ascii="仿宋" w:hAnsi="仿宋" w:cs="仿宋"/>
                <w:szCs w:val="21"/>
                <w:lang w:val="en-US" w:eastAsia="zh-CN"/>
              </w:rPr>
              <w:t>16.6</w:t>
            </w:r>
            <w:r>
              <w:rPr>
                <w:rFonts w:hint="eastAsia" w:ascii="仿宋" w:hAnsi="仿宋" w:eastAsia="仿宋" w:cs="仿宋"/>
                <w:szCs w:val="21"/>
              </w:rPr>
              <w:t>分；</w:t>
            </w:r>
          </w:p>
          <w:p>
            <w:pPr>
              <w:spacing w:line="260" w:lineRule="exact"/>
              <w:rPr>
                <w:rFonts w:hint="eastAsia" w:ascii="仿宋" w:hAnsi="仿宋" w:eastAsia="仿宋" w:cs="仿宋"/>
                <w:szCs w:val="21"/>
              </w:rPr>
            </w:pPr>
            <w:r>
              <w:rPr>
                <w:rFonts w:hint="eastAsia" w:ascii="仿宋" w:hAnsi="仿宋" w:eastAsia="仿宋" w:cs="仿宋"/>
                <w:szCs w:val="21"/>
              </w:rPr>
              <w:t>（2）方案内容存在缺陷的得</w:t>
            </w:r>
            <w:r>
              <w:rPr>
                <w:rFonts w:hint="eastAsia" w:ascii="仿宋" w:hAnsi="仿宋" w:cs="仿宋"/>
                <w:szCs w:val="21"/>
                <w:lang w:val="en-US" w:eastAsia="zh-CN"/>
              </w:rPr>
              <w:t>10</w:t>
            </w:r>
            <w:r>
              <w:rPr>
                <w:rFonts w:hint="eastAsia" w:ascii="仿宋" w:hAnsi="仿宋" w:eastAsia="仿宋" w:cs="仿宋"/>
                <w:szCs w:val="21"/>
              </w:rPr>
              <w:t>分；</w:t>
            </w:r>
          </w:p>
          <w:p>
            <w:pPr>
              <w:spacing w:line="260" w:lineRule="exact"/>
              <w:rPr>
                <w:rFonts w:hint="eastAsia" w:ascii="仿宋" w:hAnsi="仿宋" w:eastAsia="仿宋" w:cs="仿宋"/>
                <w:szCs w:val="21"/>
              </w:rPr>
            </w:pPr>
            <w:r>
              <w:rPr>
                <w:rFonts w:hint="eastAsia" w:ascii="仿宋" w:hAnsi="仿宋" w:eastAsia="仿宋" w:cs="仿宋"/>
                <w:szCs w:val="21"/>
              </w:rPr>
              <w:t>（3）方案内容存在不符合项目需求的得</w:t>
            </w:r>
            <w:r>
              <w:rPr>
                <w:rFonts w:hint="eastAsia" w:ascii="仿宋" w:hAnsi="仿宋" w:cs="仿宋"/>
                <w:szCs w:val="21"/>
                <w:lang w:val="en-US" w:eastAsia="zh-CN"/>
              </w:rPr>
              <w:t>5</w:t>
            </w:r>
            <w:r>
              <w:rPr>
                <w:rFonts w:hint="eastAsia" w:ascii="仿宋" w:hAnsi="仿宋" w:eastAsia="仿宋" w:cs="仿宋"/>
                <w:szCs w:val="21"/>
              </w:rPr>
              <w:t>分；</w:t>
            </w:r>
          </w:p>
          <w:p>
            <w:pPr>
              <w:spacing w:line="260" w:lineRule="exact"/>
              <w:rPr>
                <w:rFonts w:hint="eastAsia" w:ascii="仿宋" w:hAnsi="仿宋" w:eastAsia="仿宋" w:cs="仿宋"/>
                <w:szCs w:val="21"/>
              </w:rPr>
            </w:pPr>
            <w:r>
              <w:rPr>
                <w:rFonts w:hint="eastAsia" w:ascii="仿宋" w:hAnsi="仿宋" w:eastAsia="仿宋" w:cs="仿宋"/>
                <w:szCs w:val="21"/>
              </w:rPr>
              <w:t>（4）与采购需求无关或未提供或方案中缺少上述4项中任意一项内容不得分。</w:t>
            </w:r>
          </w:p>
          <w:p>
            <w:pPr>
              <w:adjustRightInd w:val="0"/>
              <w:jc w:val="left"/>
              <w:rPr>
                <w:rStyle w:val="64"/>
                <w:rFonts w:hint="eastAsia" w:ascii="仿宋" w:hAnsi="仿宋" w:cs="仿宋"/>
                <w:b/>
                <w:bCs/>
                <w:color w:val="000000" w:themeColor="text1"/>
                <w:szCs w:val="21"/>
                <w:highlight w:val="none"/>
                <w14:textFill>
                  <w14:solidFill>
                    <w14:schemeClr w14:val="tx1"/>
                  </w14:solidFill>
                </w14:textFill>
              </w:rPr>
            </w:pPr>
            <w:r>
              <w:rPr>
                <w:rFonts w:hint="eastAsia" w:ascii="仿宋" w:hAnsi="仿宋" w:eastAsia="仿宋" w:cs="仿宋"/>
                <w:szCs w:val="21"/>
              </w:rPr>
              <w:t>注：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701" w:type="dxa"/>
            <w:vAlign w:val="center"/>
          </w:tcPr>
          <w:p>
            <w:pPr>
              <w:pStyle w:val="17"/>
              <w:adjustRightInd w:val="0"/>
              <w:snapToGrid w:val="0"/>
              <w:spacing w:before="0" w:beforeAutospacing="0" w:after="0" w:afterAutospacing="0"/>
              <w:jc w:val="center"/>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Merge w:val="restart"/>
            <w:vAlign w:val="center"/>
          </w:tcPr>
          <w:p>
            <w:pPr>
              <w:pStyle w:val="17"/>
              <w:snapToGrid w:val="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商务部分（22）</w:t>
            </w:r>
          </w:p>
        </w:tc>
        <w:tc>
          <w:tcPr>
            <w:tcW w:w="1275" w:type="dxa"/>
            <w:vAlign w:val="center"/>
          </w:tcPr>
          <w:p>
            <w:pPr>
              <w:widowControl/>
              <w:adjustRightInd w:val="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供货、安装方案及计划</w:t>
            </w:r>
          </w:p>
        </w:tc>
        <w:tc>
          <w:tcPr>
            <w:tcW w:w="6001" w:type="dxa"/>
            <w:vAlign w:val="center"/>
          </w:tcPr>
          <w:p>
            <w:pPr>
              <w:widowControl/>
              <w:numPr>
                <w:ilvl w:val="255"/>
                <w:numId w:val="0"/>
              </w:numPr>
              <w:adjustRightInd w:val="0"/>
              <w:jc w:val="left"/>
              <w:rPr>
                <w:rFonts w:ascii="仿宋" w:hAnsi="仿宋" w:cs="仿宋"/>
                <w:color w:val="000000" w:themeColor="text1"/>
                <w:szCs w:val="21"/>
                <w:highlight w:val="none"/>
                <w:lang w:bidi="ar"/>
                <w14:textFill>
                  <w14:solidFill>
                    <w14:schemeClr w14:val="tx1"/>
                  </w14:solidFill>
                </w14:textFill>
              </w:rPr>
            </w:pPr>
            <w:r>
              <w:rPr>
                <w:rFonts w:hint="eastAsia" w:ascii="仿宋" w:hAnsi="仿宋" w:cs="仿宋"/>
                <w:color w:val="000000" w:themeColor="text1"/>
                <w:szCs w:val="21"/>
                <w:highlight w:val="none"/>
                <w:lang w:bidi="ar"/>
                <w14:textFill>
                  <w14:solidFill>
                    <w14:schemeClr w14:val="tx1"/>
                  </w14:solidFill>
                </w14:textFill>
              </w:rPr>
              <w:t>在满足采购文件服务要求的基础上，投标人需要根据本采购项目提供的</w:t>
            </w:r>
            <w:r>
              <w:rPr>
                <w:rFonts w:hint="eastAsia" w:ascii="仿宋" w:hAnsi="仿宋" w:cs="仿宋"/>
                <w:color w:val="000000" w:themeColor="text1"/>
                <w:szCs w:val="21"/>
                <w:highlight w:val="none"/>
                <w14:textFill>
                  <w14:solidFill>
                    <w14:schemeClr w14:val="tx1"/>
                  </w14:solidFill>
                </w14:textFill>
              </w:rPr>
              <w:t>供货、安装方案及计划</w:t>
            </w:r>
            <w:r>
              <w:rPr>
                <w:rFonts w:hint="eastAsia" w:ascii="仿宋" w:hAnsi="仿宋" w:cs="仿宋"/>
                <w:color w:val="000000" w:themeColor="text1"/>
                <w:szCs w:val="21"/>
                <w:highlight w:val="none"/>
                <w:lang w:bidi="ar"/>
                <w14:textFill>
                  <w14:solidFill>
                    <w14:schemeClr w14:val="tx1"/>
                  </w14:solidFill>
                </w14:textFill>
              </w:rPr>
              <w:t>。</w:t>
            </w:r>
            <w:r>
              <w:rPr>
                <w:rFonts w:hint="eastAsia" w:ascii="仿宋" w:hAnsi="仿宋" w:cs="仿宋"/>
                <w:color w:val="000000" w:themeColor="text1"/>
                <w:szCs w:val="21"/>
                <w:highlight w:val="none"/>
                <w14:textFill>
                  <w14:solidFill>
                    <w14:schemeClr w14:val="tx1"/>
                  </w14:solidFill>
                </w14:textFill>
              </w:rPr>
              <w:t>供货、安装方案及计划</w:t>
            </w:r>
            <w:r>
              <w:rPr>
                <w:rFonts w:hint="eastAsia" w:ascii="仿宋" w:hAnsi="仿宋" w:cs="仿宋"/>
                <w:color w:val="000000" w:themeColor="text1"/>
                <w:szCs w:val="21"/>
                <w:highlight w:val="none"/>
                <w:lang w:bidi="ar"/>
                <w14:textFill>
                  <w14:solidFill>
                    <w14:schemeClr w14:val="tx1"/>
                  </w14:solidFill>
                </w14:textFill>
              </w:rPr>
              <w:t>应包括以下内容：人员配备、设备配备、供货时间、应急预案等内容。</w:t>
            </w:r>
            <w:r>
              <w:rPr>
                <w:rFonts w:hint="eastAsia" w:ascii="仿宋" w:hAnsi="仿宋" w:cs="仿宋"/>
                <w:color w:val="000000" w:themeColor="text1"/>
                <w:szCs w:val="21"/>
                <w:highlight w:val="none"/>
                <w14:textFill>
                  <w14:solidFill>
                    <w14:schemeClr w14:val="tx1"/>
                  </w14:solidFill>
                </w14:textFill>
              </w:rPr>
              <w:t>评标委员会根据</w:t>
            </w:r>
            <w:r>
              <w:rPr>
                <w:rFonts w:hint="eastAsia" w:ascii="仿宋" w:hAnsi="仿宋" w:cs="仿宋"/>
                <w:color w:val="000000" w:themeColor="text1"/>
                <w:szCs w:val="21"/>
                <w:highlight w:val="none"/>
                <w:lang w:bidi="ar"/>
                <w14:textFill>
                  <w14:solidFill>
                    <w14:schemeClr w14:val="tx1"/>
                  </w14:solidFill>
                </w14:textFill>
              </w:rPr>
              <w:t>到货安装方案</w:t>
            </w:r>
            <w:r>
              <w:rPr>
                <w:rFonts w:hint="eastAsia" w:ascii="仿宋" w:hAnsi="仿宋" w:cs="仿宋"/>
                <w:color w:val="000000" w:themeColor="text1"/>
                <w:szCs w:val="21"/>
                <w:highlight w:val="none"/>
                <w14:textFill>
                  <w14:solidFill>
                    <w14:schemeClr w14:val="tx1"/>
                  </w14:solidFill>
                </w14:textFill>
              </w:rPr>
              <w:t>完善度、</w:t>
            </w:r>
            <w:r>
              <w:rPr>
                <w:rFonts w:hint="eastAsia" w:ascii="仿宋" w:hAnsi="仿宋" w:cs="仿宋"/>
                <w:color w:val="000000" w:themeColor="text1"/>
                <w:szCs w:val="21"/>
                <w:highlight w:val="none"/>
                <w:lang w:bidi="ar"/>
                <w14:textFill>
                  <w14:solidFill>
                    <w14:schemeClr w14:val="tx1"/>
                  </w14:solidFill>
                </w14:textFill>
              </w:rPr>
              <w:t>供货时间、</w:t>
            </w:r>
            <w:r>
              <w:rPr>
                <w:rFonts w:hint="eastAsia" w:ascii="仿宋" w:hAnsi="仿宋" w:cs="仿宋"/>
                <w:color w:val="000000" w:themeColor="text1"/>
                <w:szCs w:val="21"/>
                <w:highlight w:val="none"/>
                <w14:textFill>
                  <w14:solidFill>
                    <w14:schemeClr w14:val="tx1"/>
                  </w14:solidFill>
                </w14:textFill>
              </w:rPr>
              <w:t>措施详细度、表述清晰度、针对性、可行性、充分满足用户需求进行评审。</w:t>
            </w:r>
          </w:p>
          <w:p>
            <w:pPr>
              <w:widowControl/>
              <w:adjustRightInd w:val="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val="en-US" w:eastAsia="zh-CN" w:bidi="ar"/>
                <w14:textFill>
                  <w14:solidFill>
                    <w14:schemeClr w14:val="tx1"/>
                  </w14:solidFill>
                </w14:textFill>
              </w:rPr>
              <w:t>1</w:t>
            </w: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bidi="ar"/>
                <w14:textFill>
                  <w14:solidFill>
                    <w14:schemeClr w14:val="tx1"/>
                  </w14:solidFill>
                </w14:textFill>
              </w:rPr>
              <w:t xml:space="preserve">方案完善、承诺供货时间最短且保障措施详细、表述清晰、完整、严谨，针对性强，方案非常全面、合理、可行的，得9分； </w:t>
            </w:r>
          </w:p>
          <w:p>
            <w:pPr>
              <w:widowControl/>
              <w:adjustRightInd w:val="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val="en-US" w:eastAsia="zh-CN" w:bidi="ar"/>
                <w14:textFill>
                  <w14:solidFill>
                    <w14:schemeClr w14:val="tx1"/>
                  </w14:solidFill>
                </w14:textFill>
              </w:rPr>
              <w:t>2</w:t>
            </w: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bidi="ar"/>
                <w14:textFill>
                  <w14:solidFill>
                    <w14:schemeClr w14:val="tx1"/>
                  </w14:solidFill>
                </w14:textFill>
              </w:rPr>
              <w:t>方案各项均有详细描述，承诺供货时间次短于招标文件要求的交货期且保障措施</w:t>
            </w:r>
            <w:r>
              <w:rPr>
                <w:rFonts w:hint="eastAsia" w:ascii="仿宋" w:hAnsi="仿宋" w:cs="仿宋"/>
                <w:color w:val="000000" w:themeColor="text1"/>
                <w:szCs w:val="21"/>
                <w:highlight w:val="none"/>
                <w:lang w:val="en-US" w:eastAsia="zh-CN" w:bidi="ar"/>
                <w14:textFill>
                  <w14:solidFill>
                    <w14:schemeClr w14:val="tx1"/>
                  </w14:solidFill>
                </w14:textFill>
              </w:rPr>
              <w:t>基本</w:t>
            </w:r>
            <w:r>
              <w:rPr>
                <w:rFonts w:hint="eastAsia" w:ascii="仿宋" w:hAnsi="仿宋" w:cs="仿宋"/>
                <w:color w:val="000000" w:themeColor="text1"/>
                <w:szCs w:val="21"/>
                <w:highlight w:val="none"/>
                <w:lang w:bidi="ar"/>
                <w14:textFill>
                  <w14:solidFill>
                    <w14:schemeClr w14:val="tx1"/>
                  </w14:solidFill>
                </w14:textFill>
              </w:rPr>
              <w:t>完整、针对性</w:t>
            </w:r>
            <w:r>
              <w:rPr>
                <w:rFonts w:hint="eastAsia" w:ascii="仿宋" w:hAnsi="仿宋" w:cs="仿宋"/>
                <w:color w:val="000000" w:themeColor="text1"/>
                <w:szCs w:val="21"/>
                <w:highlight w:val="none"/>
                <w:lang w:val="en-US" w:eastAsia="zh-CN" w:bidi="ar"/>
                <w14:textFill>
                  <w14:solidFill>
                    <w14:schemeClr w14:val="tx1"/>
                  </w14:solidFill>
                </w14:textFill>
              </w:rPr>
              <w:t>不强</w:t>
            </w:r>
            <w:r>
              <w:rPr>
                <w:rFonts w:hint="eastAsia" w:ascii="仿宋" w:hAnsi="仿宋" w:cs="仿宋"/>
                <w:color w:val="000000" w:themeColor="text1"/>
                <w:szCs w:val="21"/>
                <w:highlight w:val="none"/>
                <w:lang w:bidi="ar"/>
                <w14:textFill>
                  <w14:solidFill>
                    <w14:schemeClr w14:val="tx1"/>
                  </w14:solidFill>
                </w14:textFill>
              </w:rPr>
              <w:t>，方案</w:t>
            </w:r>
            <w:r>
              <w:rPr>
                <w:rFonts w:hint="eastAsia" w:ascii="仿宋" w:hAnsi="仿宋" w:cs="仿宋"/>
                <w:color w:val="000000" w:themeColor="text1"/>
                <w:szCs w:val="21"/>
                <w:highlight w:val="none"/>
                <w:lang w:val="en-US" w:eastAsia="zh-CN" w:bidi="ar"/>
                <w14:textFill>
                  <w14:solidFill>
                    <w14:schemeClr w14:val="tx1"/>
                  </w14:solidFill>
                </w14:textFill>
              </w:rPr>
              <w:t>基本</w:t>
            </w:r>
            <w:r>
              <w:rPr>
                <w:rFonts w:hint="eastAsia" w:ascii="仿宋" w:hAnsi="仿宋" w:cs="仿宋"/>
                <w:color w:val="000000" w:themeColor="text1"/>
                <w:szCs w:val="21"/>
                <w:highlight w:val="none"/>
                <w:lang w:bidi="ar"/>
                <w14:textFill>
                  <w14:solidFill>
                    <w14:schemeClr w14:val="tx1"/>
                  </w14:solidFill>
                </w14:textFill>
              </w:rPr>
              <w:t xml:space="preserve">全面、合理、可行的得5分； </w:t>
            </w:r>
          </w:p>
          <w:p>
            <w:pPr>
              <w:widowControl/>
              <w:adjustRightInd w:val="0"/>
              <w:jc w:val="left"/>
              <w:rPr>
                <w:rFonts w:ascii="仿宋" w:hAnsi="仿宋" w:cs="仿宋"/>
                <w:color w:val="000000" w:themeColor="text1"/>
                <w:szCs w:val="21"/>
                <w:highlight w:val="none"/>
                <w:lang w:bidi="ar"/>
                <w14:textFill>
                  <w14:solidFill>
                    <w14:schemeClr w14:val="tx1"/>
                  </w14:solidFill>
                </w14:textFill>
              </w:rPr>
            </w:pP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val="en-US" w:eastAsia="zh-CN" w:bidi="ar"/>
                <w14:textFill>
                  <w14:solidFill>
                    <w14:schemeClr w14:val="tx1"/>
                  </w14:solidFill>
                </w14:textFill>
              </w:rPr>
              <w:t>3</w:t>
            </w: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bidi="ar"/>
                <w14:textFill>
                  <w14:solidFill>
                    <w14:schemeClr w14:val="tx1"/>
                  </w14:solidFill>
                </w14:textFill>
              </w:rPr>
              <w:t>方案各项均有描述缺失不具体，承诺</w:t>
            </w:r>
            <w:r>
              <w:rPr>
                <w:rFonts w:hint="eastAsia" w:ascii="仿宋" w:hAnsi="仿宋" w:cs="仿宋"/>
                <w:color w:val="000000" w:themeColor="text1"/>
                <w:szCs w:val="21"/>
                <w:highlight w:val="none"/>
                <w14:textFill>
                  <w14:solidFill>
                    <w14:schemeClr w14:val="tx1"/>
                  </w14:solidFill>
                </w14:textFill>
              </w:rPr>
              <w:t>交货时间仅</w:t>
            </w:r>
            <w:r>
              <w:rPr>
                <w:rFonts w:hint="eastAsia" w:ascii="仿宋" w:hAnsi="仿宋" w:cs="仿宋"/>
                <w:color w:val="000000" w:themeColor="text1"/>
                <w:szCs w:val="21"/>
                <w:highlight w:val="none"/>
                <w:lang w:bidi="ar"/>
                <w14:textFill>
                  <w14:solidFill>
                    <w14:schemeClr w14:val="tx1"/>
                  </w14:solidFill>
                </w14:textFill>
              </w:rPr>
              <w:t>符合招标文件要求的交货期且保障措施不完整、针对性</w:t>
            </w: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bidi="ar"/>
                <w14:textFill>
                  <w14:solidFill>
                    <w14:schemeClr w14:val="tx1"/>
                  </w14:solidFill>
                </w14:textFill>
              </w:rPr>
              <w:t>合理性</w:t>
            </w: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bidi="ar"/>
                <w14:textFill>
                  <w14:solidFill>
                    <w14:schemeClr w14:val="tx1"/>
                  </w14:solidFill>
                </w14:textFill>
              </w:rPr>
              <w:t>可行性欠缺</w:t>
            </w: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bidi="ar"/>
                <w14:textFill>
                  <w14:solidFill>
                    <w14:schemeClr w14:val="tx1"/>
                  </w14:solidFill>
                </w14:textFill>
              </w:rPr>
              <w:t>得2分；</w:t>
            </w:r>
          </w:p>
          <w:p>
            <w:pPr>
              <w:widowControl/>
              <w:adjustRightInd w:val="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val="en-US" w:eastAsia="zh-CN" w:bidi="ar"/>
                <w14:textFill>
                  <w14:solidFill>
                    <w14:schemeClr w14:val="tx1"/>
                  </w14:solidFill>
                </w14:textFill>
              </w:rPr>
              <w:t>4</w:t>
            </w:r>
            <w:r>
              <w:rPr>
                <w:rFonts w:hint="eastAsia" w:ascii="仿宋" w:hAnsi="仿宋" w:cs="仿宋"/>
                <w:color w:val="000000" w:themeColor="text1"/>
                <w:szCs w:val="21"/>
                <w:highlight w:val="none"/>
                <w:lang w:eastAsia="zh-CN" w:bidi="ar"/>
                <w14:textFill>
                  <w14:solidFill>
                    <w14:schemeClr w14:val="tx1"/>
                  </w14:solidFill>
                </w14:textFill>
              </w:rPr>
              <w:t>）</w:t>
            </w:r>
            <w:r>
              <w:rPr>
                <w:rFonts w:hint="eastAsia" w:ascii="仿宋" w:hAnsi="仿宋" w:cs="仿宋"/>
                <w:color w:val="000000" w:themeColor="text1"/>
                <w:szCs w:val="21"/>
                <w:highlight w:val="none"/>
                <w:lang w:bidi="ar"/>
                <w14:textFill>
                  <w14:solidFill>
                    <w14:schemeClr w14:val="tx1"/>
                  </w14:solidFill>
                </w14:textFill>
              </w:rPr>
              <w:t>不提供方案不得分</w:t>
            </w:r>
          </w:p>
        </w:tc>
        <w:tc>
          <w:tcPr>
            <w:tcW w:w="701" w:type="dxa"/>
            <w:vAlign w:val="center"/>
          </w:tcPr>
          <w:p>
            <w:pPr>
              <w:pStyle w:val="17"/>
              <w:adjustRightInd w:val="0"/>
              <w:snapToGrid w:val="0"/>
              <w:spacing w:before="0" w:beforeAutospacing="0" w:after="0" w:afterAutospacing="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Merge w:val="continue"/>
            <w:vAlign w:val="center"/>
          </w:tcPr>
          <w:p>
            <w:pPr>
              <w:widowControl/>
              <w:jc w:val="left"/>
              <w:rPr>
                <w:rFonts w:ascii="仿宋" w:hAnsi="仿宋" w:cs="仿宋"/>
                <w:color w:val="000000" w:themeColor="text1"/>
                <w:szCs w:val="21"/>
                <w:highlight w:val="none"/>
                <w14:textFill>
                  <w14:solidFill>
                    <w14:schemeClr w14:val="tx1"/>
                  </w14:solidFill>
                </w14:textFill>
              </w:rPr>
            </w:pPr>
          </w:p>
        </w:tc>
        <w:tc>
          <w:tcPr>
            <w:tcW w:w="1275" w:type="dxa"/>
            <w:vAlign w:val="center"/>
          </w:tcPr>
          <w:p>
            <w:pPr>
              <w:pStyle w:val="17"/>
              <w:adjustRightInd w:val="0"/>
              <w:snapToGrid w:val="0"/>
              <w:spacing w:before="0" w:beforeAutospacing="0" w:after="0" w:afterAutospacing="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售后服务能力</w:t>
            </w:r>
          </w:p>
        </w:tc>
        <w:tc>
          <w:tcPr>
            <w:tcW w:w="6001" w:type="dxa"/>
            <w:vAlign w:val="center"/>
          </w:tcPr>
          <w:p>
            <w:pPr>
              <w:numPr>
                <w:ilvl w:val="0"/>
                <w:numId w:val="0"/>
              </w:numPr>
              <w:ind w:leftChars="0"/>
              <w:rPr>
                <w:rFonts w:hint="eastAsia" w:ascii="仿宋" w:hAnsi="仿宋" w:eastAsia="仿宋" w:cs="仿宋"/>
                <w:color w:val="auto"/>
                <w:sz w:val="21"/>
                <w:szCs w:val="21"/>
              </w:rPr>
            </w:pPr>
            <w:r>
              <w:rPr>
                <w:rFonts w:hint="eastAsia" w:ascii="仿宋" w:hAnsi="仿宋" w:eastAsia="仿宋" w:cs="仿宋"/>
                <w:color w:val="auto"/>
                <w:sz w:val="21"/>
                <w:szCs w:val="21"/>
              </w:rPr>
              <w:t>投标供应商</w:t>
            </w:r>
            <w:r>
              <w:rPr>
                <w:rFonts w:hint="eastAsia" w:ascii="仿宋" w:hAnsi="仿宋" w:eastAsia="仿宋" w:cs="仿宋"/>
                <w:color w:val="auto"/>
                <w:sz w:val="21"/>
                <w:szCs w:val="21"/>
                <w:lang w:val="en-US" w:eastAsia="zh-CN"/>
              </w:rPr>
              <w:t>提供</w:t>
            </w:r>
            <w:r>
              <w:rPr>
                <w:rFonts w:hint="eastAsia" w:ascii="仿宋" w:hAnsi="仿宋" w:eastAsia="仿宋" w:cs="仿宋"/>
                <w:color w:val="auto"/>
                <w:sz w:val="21"/>
                <w:szCs w:val="21"/>
              </w:rPr>
              <w:t>的售后服务</w:t>
            </w:r>
            <w:r>
              <w:rPr>
                <w:rFonts w:hint="eastAsia" w:ascii="仿宋" w:hAnsi="仿宋" w:eastAsia="仿宋" w:cs="仿宋"/>
                <w:color w:val="auto"/>
                <w:sz w:val="21"/>
                <w:szCs w:val="21"/>
                <w:lang w:val="en-US" w:eastAsia="zh-CN"/>
              </w:rPr>
              <w:t>保障</w:t>
            </w:r>
            <w:r>
              <w:rPr>
                <w:rFonts w:hint="eastAsia" w:ascii="仿宋" w:hAnsi="仿宋" w:eastAsia="仿宋" w:cs="仿宋"/>
                <w:color w:val="auto"/>
                <w:sz w:val="21"/>
                <w:szCs w:val="21"/>
              </w:rPr>
              <w:t>方案</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包含但不限于：</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rPr>
              <w:t>服务范围</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服务保证</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人员配备</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保障措施</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服务体系</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6.维修响应时效,（包括分级响应，解决故障时间，人员及备件到场时效）</w:t>
            </w:r>
            <w:r>
              <w:rPr>
                <w:rFonts w:hint="eastAsia" w:ascii="仿宋" w:hAnsi="仿宋" w:eastAsia="仿宋" w:cs="仿宋"/>
                <w:color w:val="auto"/>
                <w:sz w:val="21"/>
                <w:szCs w:val="21"/>
              </w:rPr>
              <w:t>等</w:t>
            </w:r>
            <w:r>
              <w:rPr>
                <w:rFonts w:hint="eastAsia" w:ascii="仿宋" w:hAnsi="仿宋" w:eastAsia="仿宋" w:cs="仿宋"/>
                <w:color w:val="auto"/>
                <w:sz w:val="21"/>
                <w:szCs w:val="21"/>
                <w:lang w:val="en-US" w:eastAsia="zh-CN"/>
              </w:rPr>
              <w:t>内容：</w:t>
            </w:r>
          </w:p>
          <w:p>
            <w:pPr>
              <w:spacing w:line="260" w:lineRule="exact"/>
              <w:rPr>
                <w:rFonts w:hint="eastAsia" w:ascii="仿宋" w:hAnsi="仿宋" w:eastAsia="仿宋" w:cs="仿宋"/>
                <w:szCs w:val="21"/>
              </w:rPr>
            </w:pPr>
            <w:r>
              <w:rPr>
                <w:rFonts w:hint="eastAsia" w:ascii="仿宋" w:hAnsi="仿宋" w:eastAsia="仿宋" w:cs="仿宋"/>
                <w:szCs w:val="21"/>
              </w:rPr>
              <w:t>（1）提供符合采购需求全面详实的有效方案，无缺陷得</w:t>
            </w:r>
            <w:r>
              <w:rPr>
                <w:rFonts w:hint="eastAsia" w:ascii="仿宋" w:hAnsi="仿宋" w:cs="仿宋"/>
                <w:szCs w:val="21"/>
                <w:lang w:val="en-US" w:eastAsia="zh-CN"/>
              </w:rPr>
              <w:t>8</w:t>
            </w:r>
            <w:r>
              <w:rPr>
                <w:rFonts w:hint="eastAsia" w:ascii="仿宋" w:hAnsi="仿宋" w:eastAsia="仿宋" w:cs="仿宋"/>
                <w:szCs w:val="21"/>
              </w:rPr>
              <w:t>分；</w:t>
            </w:r>
          </w:p>
          <w:p>
            <w:pPr>
              <w:spacing w:line="260" w:lineRule="exact"/>
              <w:rPr>
                <w:rFonts w:hint="eastAsia" w:ascii="仿宋" w:hAnsi="仿宋" w:eastAsia="仿宋" w:cs="仿宋"/>
                <w:szCs w:val="21"/>
              </w:rPr>
            </w:pPr>
            <w:r>
              <w:rPr>
                <w:rFonts w:hint="eastAsia" w:ascii="仿宋" w:hAnsi="仿宋" w:eastAsia="仿宋" w:cs="仿宋"/>
                <w:szCs w:val="21"/>
              </w:rPr>
              <w:t>（2）方案内容存在缺陷的得</w:t>
            </w:r>
            <w:r>
              <w:rPr>
                <w:rFonts w:hint="eastAsia" w:ascii="仿宋" w:hAnsi="仿宋" w:eastAsia="仿宋" w:cs="仿宋"/>
                <w:szCs w:val="21"/>
                <w:lang w:val="en-US" w:eastAsia="zh-CN"/>
              </w:rPr>
              <w:t>4</w:t>
            </w:r>
            <w:r>
              <w:rPr>
                <w:rFonts w:hint="eastAsia" w:ascii="仿宋" w:hAnsi="仿宋" w:eastAsia="仿宋" w:cs="仿宋"/>
                <w:szCs w:val="21"/>
              </w:rPr>
              <w:t>分；</w:t>
            </w:r>
          </w:p>
          <w:p>
            <w:pPr>
              <w:spacing w:line="260" w:lineRule="exact"/>
              <w:rPr>
                <w:rFonts w:hint="eastAsia" w:ascii="仿宋" w:hAnsi="仿宋" w:eastAsia="仿宋" w:cs="仿宋"/>
                <w:szCs w:val="21"/>
              </w:rPr>
            </w:pPr>
            <w:r>
              <w:rPr>
                <w:rFonts w:hint="eastAsia" w:ascii="仿宋" w:hAnsi="仿宋" w:eastAsia="仿宋" w:cs="仿宋"/>
                <w:szCs w:val="21"/>
              </w:rPr>
              <w:t>（3）方案内容存在不符合项目需求的得</w:t>
            </w:r>
            <w:r>
              <w:rPr>
                <w:rFonts w:hint="eastAsia" w:ascii="仿宋" w:hAnsi="仿宋" w:eastAsia="仿宋" w:cs="仿宋"/>
                <w:szCs w:val="21"/>
                <w:lang w:val="en-US" w:eastAsia="zh-CN"/>
              </w:rPr>
              <w:t>1</w:t>
            </w:r>
            <w:r>
              <w:rPr>
                <w:rFonts w:hint="eastAsia" w:ascii="仿宋" w:hAnsi="仿宋" w:eastAsia="仿宋" w:cs="仿宋"/>
                <w:szCs w:val="21"/>
              </w:rPr>
              <w:t>分；</w:t>
            </w:r>
          </w:p>
          <w:p>
            <w:pPr>
              <w:spacing w:line="260" w:lineRule="exact"/>
              <w:rPr>
                <w:rFonts w:hint="eastAsia" w:ascii="仿宋" w:hAnsi="仿宋" w:eastAsia="仿宋" w:cs="仿宋"/>
                <w:szCs w:val="21"/>
              </w:rPr>
            </w:pPr>
            <w:r>
              <w:rPr>
                <w:rFonts w:hint="eastAsia" w:ascii="仿宋" w:hAnsi="仿宋" w:eastAsia="仿宋" w:cs="仿宋"/>
                <w:szCs w:val="21"/>
              </w:rPr>
              <w:t>（4）与采购需求无关或未提供或方案中缺少上述</w:t>
            </w:r>
            <w:r>
              <w:rPr>
                <w:rFonts w:hint="eastAsia" w:ascii="仿宋" w:hAnsi="仿宋" w:eastAsia="仿宋" w:cs="仿宋"/>
                <w:szCs w:val="21"/>
                <w:lang w:val="en-US" w:eastAsia="zh-CN"/>
              </w:rPr>
              <w:t>6</w:t>
            </w:r>
            <w:r>
              <w:rPr>
                <w:rFonts w:hint="eastAsia" w:ascii="仿宋" w:hAnsi="仿宋" w:eastAsia="仿宋" w:cs="仿宋"/>
                <w:szCs w:val="21"/>
              </w:rPr>
              <w:t>项中任意一项内容不得分。</w:t>
            </w:r>
          </w:p>
          <w:p>
            <w:pPr>
              <w:pStyle w:val="17"/>
              <w:adjustRightInd w:val="0"/>
              <w:snapToGrid w:val="0"/>
              <w:spacing w:before="0" w:beforeAutospacing="0" w:after="0" w:afterAutospacing="0"/>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sz w:val="21"/>
                <w:szCs w:val="21"/>
              </w:rPr>
              <w:t>注：缺陷指方案内容与项目需求不一致、存在相互矛盾内容以及未针对本项目编写的任意一种情形。不符合项目需求是指存在与本项目执行无关的内容、存在相关内容在实际操作中不能运用的任意一种情形。</w:t>
            </w:r>
          </w:p>
        </w:tc>
        <w:tc>
          <w:tcPr>
            <w:tcW w:w="701" w:type="dxa"/>
            <w:vAlign w:val="center"/>
          </w:tcPr>
          <w:p>
            <w:pPr>
              <w:pStyle w:val="17"/>
              <w:adjustRightInd w:val="0"/>
              <w:snapToGrid w:val="0"/>
              <w:spacing w:before="0" w:beforeAutospacing="0" w:after="0" w:afterAutospacing="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Merge w:val="continue"/>
            <w:vAlign w:val="center"/>
          </w:tcPr>
          <w:p>
            <w:pPr>
              <w:widowControl/>
              <w:jc w:val="left"/>
              <w:rPr>
                <w:rFonts w:ascii="仿宋" w:hAnsi="仿宋" w:cs="仿宋"/>
                <w:color w:val="000000" w:themeColor="text1"/>
                <w:szCs w:val="21"/>
                <w:highlight w:val="none"/>
                <w14:textFill>
                  <w14:solidFill>
                    <w14:schemeClr w14:val="tx1"/>
                  </w14:solidFill>
                </w14:textFill>
              </w:rPr>
            </w:pPr>
          </w:p>
        </w:tc>
        <w:tc>
          <w:tcPr>
            <w:tcW w:w="1275" w:type="dxa"/>
            <w:vAlign w:val="center"/>
          </w:tcPr>
          <w:p>
            <w:pPr>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投标人业绩</w:t>
            </w:r>
          </w:p>
        </w:tc>
        <w:tc>
          <w:tcPr>
            <w:tcW w:w="6001" w:type="dxa"/>
            <w:vAlign w:val="center"/>
          </w:tcPr>
          <w:p>
            <w:pPr>
              <w:adjustRightInd w:val="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投标人每提供一份（2022年5月1日至今）相关业绩得0.5分，满分5分。(以供货合同或中标通知书为准)</w:t>
            </w:r>
          </w:p>
        </w:tc>
        <w:tc>
          <w:tcPr>
            <w:tcW w:w="701" w:type="dxa"/>
            <w:vAlign w:val="center"/>
          </w:tcPr>
          <w:p>
            <w:pPr>
              <w:pStyle w:val="17"/>
              <w:adjustRightInd w:val="0"/>
              <w:snapToGrid w:val="0"/>
              <w:spacing w:before="0" w:beforeAutospacing="0" w:after="0" w:afterAutospacing="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8377" w:type="dxa"/>
            <w:gridSpan w:val="3"/>
            <w:vAlign w:val="center"/>
          </w:tcPr>
          <w:p>
            <w:pPr>
              <w:pStyle w:val="17"/>
              <w:snapToGrid w:val="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合  计</w:t>
            </w:r>
          </w:p>
        </w:tc>
        <w:tc>
          <w:tcPr>
            <w:tcW w:w="701" w:type="dxa"/>
            <w:vAlign w:val="center"/>
          </w:tcPr>
          <w:p>
            <w:pPr>
              <w:pStyle w:val="17"/>
              <w:adjustRightInd w:val="0"/>
              <w:snapToGrid w:val="0"/>
              <w:spacing w:before="0" w:beforeAutospacing="0" w:after="0" w:afterAutospacing="0"/>
              <w:jc w:val="center"/>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100</w:t>
            </w:r>
          </w:p>
        </w:tc>
      </w:tr>
    </w:tbl>
    <w:p>
      <w:pPr>
        <w:widowControl/>
        <w:shd w:val="clear" w:color="auto" w:fill="FFFFFF"/>
        <w:spacing w:line="240" w:lineRule="exact"/>
        <w:jc w:val="left"/>
        <w:rPr>
          <w:rFonts w:ascii="仿宋" w:hAnsi="仿宋" w:cs="仿宋_GB2312"/>
          <w:color w:val="000000" w:themeColor="text1"/>
          <w:kern w:val="0"/>
          <w:szCs w:val="21"/>
          <w:highlight w:val="none"/>
          <w14:textFill>
            <w14:solidFill>
              <w14:schemeClr w14:val="tx1"/>
            </w14:solidFill>
          </w14:textFill>
        </w:rPr>
      </w:pPr>
    </w:p>
    <w:p>
      <w:pPr>
        <w:widowControl/>
        <w:shd w:val="clear" w:color="auto" w:fill="FFFFFF"/>
        <w:spacing w:line="240" w:lineRule="exact"/>
        <w:jc w:val="left"/>
        <w:rPr>
          <w:rFonts w:ascii="仿宋" w:hAnsi="仿宋" w:cs="仿宋_GB2312"/>
          <w:color w:val="000000" w:themeColor="text1"/>
          <w:kern w:val="0"/>
          <w:szCs w:val="21"/>
          <w:highlight w:val="none"/>
          <w14:textFill>
            <w14:solidFill>
              <w14:schemeClr w14:val="tx1"/>
            </w14:solidFill>
          </w14:textFill>
        </w:rPr>
      </w:pPr>
      <w:r>
        <w:rPr>
          <w:rFonts w:ascii="仿宋" w:hAnsi="仿宋" w:cs="仿宋_GB2312"/>
          <w:color w:val="000000" w:themeColor="text1"/>
          <w:kern w:val="0"/>
          <w:szCs w:val="21"/>
          <w:highlight w:val="none"/>
          <w14:textFill>
            <w14:solidFill>
              <w14:schemeClr w14:val="tx1"/>
            </w14:solidFill>
          </w14:textFill>
        </w:rPr>
        <w:br w:type="page"/>
      </w:r>
    </w:p>
    <w:p>
      <w:pPr>
        <w:numPr>
          <w:ilvl w:val="0"/>
          <w:numId w:val="8"/>
        </w:numPr>
        <w:rPr>
          <w:rFonts w:ascii="仿宋" w:hAnsi="仿宋" w:cs="仿宋_GB2312"/>
          <w:b/>
          <w:color w:val="000000" w:themeColor="text1"/>
          <w:szCs w:val="21"/>
          <w:highlight w:val="none"/>
          <w14:textFill>
            <w14:solidFill>
              <w14:schemeClr w14:val="tx1"/>
            </w14:solidFill>
          </w14:textFill>
        </w:rPr>
      </w:pPr>
      <w:r>
        <w:rPr>
          <w:rFonts w:hint="eastAsia" w:ascii="仿宋" w:hAnsi="仿宋" w:cs="仿宋_GB2312"/>
          <w:b/>
          <w:color w:val="000000" w:themeColor="text1"/>
          <w:szCs w:val="21"/>
          <w:highlight w:val="none"/>
          <w14:textFill>
            <w14:solidFill>
              <w14:schemeClr w14:val="tx1"/>
            </w14:solidFill>
          </w14:textFill>
        </w:rPr>
        <w:t>加分项评分标准</w:t>
      </w:r>
    </w:p>
    <w:tbl>
      <w:tblPr>
        <w:tblStyle w:val="21"/>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加分</w:t>
            </w:r>
          </w:p>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因素</w:t>
            </w:r>
          </w:p>
        </w:tc>
        <w:tc>
          <w:tcPr>
            <w:tcW w:w="759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节能</w:t>
            </w:r>
          </w:p>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产品</w:t>
            </w:r>
          </w:p>
        </w:tc>
        <w:tc>
          <w:tcPr>
            <w:tcW w:w="7591" w:type="dxa"/>
            <w:tcBorders>
              <w:top w:val="single" w:color="auto" w:sz="4" w:space="0"/>
              <w:left w:val="single" w:color="auto" w:sz="4" w:space="0"/>
              <w:bottom w:val="single" w:color="auto" w:sz="4" w:space="0"/>
              <w:right w:val="single" w:color="auto" w:sz="4" w:space="0"/>
            </w:tcBorders>
            <w:vAlign w:val="center"/>
          </w:tcPr>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对于清单中的投标产品价格给予价格部分总分值</w:t>
            </w:r>
            <w:r>
              <w:rPr>
                <w:rFonts w:hint="eastAsia" w:ascii="仿宋" w:hAnsi="仿宋" w:cs="仿宋_GB2312"/>
                <w:color w:val="000000" w:themeColor="text1"/>
                <w:kern w:val="0"/>
                <w:szCs w:val="21"/>
                <w:highlight w:val="none"/>
                <w:u w:val="single"/>
                <w14:textFill>
                  <w14:solidFill>
                    <w14:schemeClr w14:val="tx1"/>
                  </w14:solidFill>
                </w14:textFill>
              </w:rPr>
              <w:t>3</w:t>
            </w:r>
            <w:r>
              <w:rPr>
                <w:rFonts w:hint="eastAsia" w:ascii="仿宋" w:hAnsi="仿宋" w:cs="仿宋_GB2312"/>
                <w:color w:val="000000" w:themeColor="text1"/>
                <w:kern w:val="0"/>
                <w:szCs w:val="21"/>
                <w:highlight w:val="none"/>
                <w14:textFill>
                  <w14:solidFill>
                    <w14:schemeClr w14:val="tx1"/>
                  </w14:solidFill>
                </w14:textFill>
              </w:rPr>
              <w:t>%</w:t>
            </w:r>
            <w:r>
              <w:rPr>
                <w:rFonts w:hint="eastAsia" w:ascii="仿宋" w:hAnsi="仿宋" w:cs="仿宋_GB2312"/>
                <w:color w:val="000000" w:themeColor="text1"/>
                <w:szCs w:val="21"/>
                <w:highlight w:val="none"/>
                <w14:textFill>
                  <w14:solidFill>
                    <w14:schemeClr w14:val="tx1"/>
                  </w14:solidFill>
                </w14:textFill>
              </w:rPr>
              <w:t>的加分，计算公式如下：</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节能产品加分＝（节能产品投标报价之和/投标总价）×价格部分总分值</w:t>
            </w:r>
            <w:r>
              <w:rPr>
                <w:rFonts w:hint="eastAsia" w:ascii="仿宋" w:hAnsi="仿宋" w:cs="仿宋_GB2312"/>
                <w:color w:val="000000" w:themeColor="text1"/>
                <w:szCs w:val="21"/>
                <w:highlight w:val="none"/>
                <w:lang w:val="en-US" w:eastAsia="zh-CN"/>
                <w14:textFill>
                  <w14:solidFill>
                    <w14:schemeClr w14:val="tx1"/>
                  </w14:solidFill>
                </w14:textFill>
              </w:rPr>
              <w:t>*</w:t>
            </w:r>
            <w:r>
              <w:rPr>
                <w:rFonts w:ascii="仿宋" w:hAnsi="仿宋" w:cs="仿宋_GB2312"/>
                <w:color w:val="000000" w:themeColor="text1"/>
                <w:szCs w:val="21"/>
                <w:highlight w:val="none"/>
                <w14:textFill>
                  <w14:solidFill>
                    <w14:schemeClr w14:val="tx1"/>
                  </w14:solidFill>
                </w14:textFill>
              </w:rPr>
              <w:t>3</w:t>
            </w:r>
            <w:r>
              <w:rPr>
                <w:rFonts w:hint="eastAsia" w:ascii="仿宋" w:hAnsi="仿宋" w:cs="仿宋_GB2312"/>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环保</w:t>
            </w:r>
          </w:p>
          <w:p>
            <w:pPr>
              <w:jc w:val="cente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产品</w:t>
            </w:r>
          </w:p>
        </w:tc>
        <w:tc>
          <w:tcPr>
            <w:tcW w:w="7591" w:type="dxa"/>
            <w:tcBorders>
              <w:top w:val="single" w:color="auto" w:sz="4" w:space="0"/>
              <w:left w:val="single" w:color="auto" w:sz="4" w:space="0"/>
              <w:bottom w:val="single" w:color="auto" w:sz="4" w:space="0"/>
              <w:right w:val="single" w:color="auto" w:sz="4" w:space="0"/>
            </w:tcBorders>
            <w:vAlign w:val="center"/>
          </w:tcPr>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对于清单中的投标产品价格给予价格部分总分值</w:t>
            </w:r>
            <w:r>
              <w:rPr>
                <w:rFonts w:hint="eastAsia" w:ascii="仿宋" w:hAnsi="仿宋" w:cs="仿宋_GB2312"/>
                <w:color w:val="000000" w:themeColor="text1"/>
                <w:szCs w:val="21"/>
                <w:highlight w:val="none"/>
                <w:u w:val="single"/>
                <w14:textFill>
                  <w14:solidFill>
                    <w14:schemeClr w14:val="tx1"/>
                  </w14:solidFill>
                </w14:textFill>
              </w:rPr>
              <w:t>3</w:t>
            </w:r>
            <w:r>
              <w:rPr>
                <w:rFonts w:hint="eastAsia" w:ascii="仿宋" w:hAnsi="仿宋" w:cs="仿宋_GB2312"/>
                <w:color w:val="000000" w:themeColor="text1"/>
                <w:szCs w:val="21"/>
                <w:highlight w:val="none"/>
                <w14:textFill>
                  <w14:solidFill>
                    <w14:schemeClr w14:val="tx1"/>
                  </w14:solidFill>
                </w14:textFill>
              </w:rPr>
              <w:t>%的加分，计算公式如下：</w:t>
            </w:r>
          </w:p>
          <w:p>
            <w:pPr>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t>环保产品加分＝（环保产品投标报价之和/投标总价）×价格部分总分值</w:t>
            </w:r>
            <w:r>
              <w:rPr>
                <w:rFonts w:hint="eastAsia" w:ascii="仿宋" w:hAnsi="仿宋" w:cs="仿宋_GB2312"/>
                <w:color w:val="000000" w:themeColor="text1"/>
                <w:szCs w:val="21"/>
                <w:highlight w:val="none"/>
                <w:lang w:val="en-US" w:eastAsia="zh-CN"/>
                <w14:textFill>
                  <w14:solidFill>
                    <w14:schemeClr w14:val="tx1"/>
                  </w14:solidFill>
                </w14:textFill>
              </w:rPr>
              <w:t>*</w:t>
            </w:r>
            <w:r>
              <w:rPr>
                <w:rFonts w:hint="eastAsia" w:ascii="仿宋" w:hAnsi="仿宋" w:cs="仿宋_GB2312"/>
                <w:color w:val="000000" w:themeColor="text1"/>
                <w:szCs w:val="21"/>
                <w:highlight w:val="none"/>
                <w14:textFill>
                  <w14:solidFill>
                    <w14:schemeClr w14:val="tx1"/>
                  </w14:solidFill>
                </w14:textFill>
              </w:rPr>
              <w:t>3%。</w:t>
            </w:r>
          </w:p>
        </w:tc>
      </w:tr>
    </w:tbl>
    <w:p>
      <w:pPr>
        <w:wordWrap w:val="0"/>
        <w:adjustRightInd w:val="0"/>
        <w:snapToGrid w:val="0"/>
        <w:spacing w:line="360" w:lineRule="auto"/>
        <w:jc w:val="right"/>
        <w:rPr>
          <w:rFonts w:ascii="仿宋" w:hAnsi="仿宋" w:cs="仿宋_GB2312"/>
          <w:color w:val="000000" w:themeColor="text1"/>
          <w:szCs w:val="21"/>
          <w:highlight w:val="none"/>
          <w14:textFill>
            <w14:solidFill>
              <w14:schemeClr w14:val="tx1"/>
            </w14:solidFill>
          </w14:textFill>
        </w:rPr>
      </w:pPr>
      <w:r>
        <w:rPr>
          <w:rFonts w:hint="eastAsia" w:ascii="仿宋" w:hAnsi="仿宋" w:cs="仿宋_GB2312"/>
          <w:color w:val="000000" w:themeColor="text1"/>
          <w:szCs w:val="21"/>
          <w:highlight w:val="none"/>
          <w14:textFill>
            <w14:solidFill>
              <w14:schemeClr w14:val="tx1"/>
            </w14:solidFill>
          </w14:textFill>
        </w:rPr>
        <w:br w:type="page"/>
      </w:r>
    </w:p>
    <w:p>
      <w:pPr>
        <w:rPr>
          <w:rFonts w:ascii="仿宋" w:hAnsi="仿宋" w:cs="仿宋_GB2312"/>
          <w:color w:val="000000" w:themeColor="text1"/>
          <w:highlight w:val="none"/>
          <w14:textFill>
            <w14:solidFill>
              <w14:schemeClr w14:val="tx1"/>
            </w14:solidFill>
          </w14:textFill>
        </w:rPr>
      </w:pPr>
      <w:bookmarkStart w:id="152" w:name="_Toc25922_WPSOffice_Level1"/>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pStyle w:val="2"/>
        <w:numPr>
          <w:ilvl w:val="0"/>
          <w:numId w:val="0"/>
        </w:numPr>
        <w:adjustRightInd w:val="0"/>
        <w:snapToGrid w:val="0"/>
        <w:spacing w:before="319" w:beforeLines="100" w:after="319" w:afterLines="100"/>
        <w:ind w:firstLine="1311" w:firstLineChars="298"/>
        <w:jc w:val="both"/>
        <w:rPr>
          <w:rFonts w:ascii="仿宋" w:hAnsi="仿宋" w:cs="仿宋_GB2312"/>
          <w:color w:val="000000" w:themeColor="text1"/>
          <w:highlight w:val="none"/>
          <w14:textFill>
            <w14:solidFill>
              <w14:schemeClr w14:val="tx1"/>
            </w14:solidFill>
          </w14:textFill>
        </w:rPr>
      </w:pPr>
      <w:bookmarkStart w:id="153" w:name="_Toc19588"/>
      <w:r>
        <w:rPr>
          <w:rFonts w:hint="eastAsia" w:ascii="仿宋" w:hAnsi="仿宋" w:cs="仿宋_GB2312"/>
          <w:color w:val="000000" w:themeColor="text1"/>
          <w:highlight w:val="none"/>
          <w14:textFill>
            <w14:solidFill>
              <w14:schemeClr w14:val="tx1"/>
            </w14:solidFill>
          </w14:textFill>
        </w:rPr>
        <w:t>第五章 政府采购合同条款</w:t>
      </w:r>
      <w:bookmarkEnd w:id="152"/>
      <w:r>
        <w:rPr>
          <w:rFonts w:hint="eastAsia" w:ascii="仿宋" w:hAnsi="仿宋" w:cs="仿宋_GB2312"/>
          <w:color w:val="000000" w:themeColor="text1"/>
          <w:highlight w:val="none"/>
          <w14:textFill>
            <w14:solidFill>
              <w14:schemeClr w14:val="tx1"/>
            </w14:solidFill>
          </w14:textFill>
        </w:rPr>
        <w:t>及格式</w:t>
      </w:r>
      <w:bookmarkEnd w:id="153"/>
    </w:p>
    <w:p>
      <w:pPr>
        <w:rPr>
          <w:rFonts w:ascii="仿宋" w:hAnsi="仿宋" w:cs="仿宋_GB2312"/>
          <w:color w:val="000000" w:themeColor="text1"/>
          <w:highlight w:val="none"/>
          <w14:textFill>
            <w14:solidFill>
              <w14:schemeClr w14:val="tx1"/>
            </w14:solidFill>
          </w14:textFill>
        </w:rPr>
      </w:pPr>
    </w:p>
    <w:p>
      <w:pPr>
        <w:rPr>
          <w:rFonts w:ascii="仿宋" w:hAnsi="仿宋" w:cs="仿宋_GB2312"/>
          <w:color w:val="000000" w:themeColor="text1"/>
          <w:highlight w:val="none"/>
          <w14:textFill>
            <w14:solidFill>
              <w14:schemeClr w14:val="tx1"/>
            </w14:solidFill>
          </w14:textFill>
        </w:rPr>
      </w:pPr>
    </w:p>
    <w:p>
      <w:pPr>
        <w:widowControl/>
        <w:ind w:firstLine="5880" w:firstLineChars="2800"/>
        <w:jc w:val="left"/>
        <w:rPr>
          <w:rFonts w:ascii="Times New Roman" w:hAnsi="Times New Roman" w:eastAsia="宋体" w:cs="Times New Roman"/>
          <w:color w:val="000000" w:themeColor="text1"/>
          <w:szCs w:val="21"/>
          <w:highlight w:val="none"/>
          <w14:textFill>
            <w14:solidFill>
              <w14:schemeClr w14:val="tx1"/>
            </w14:solidFill>
          </w14:textFill>
        </w:rPr>
      </w:pPr>
      <w:bookmarkStart w:id="154" w:name="_Toc23704_WPSOffice_Level1"/>
      <w:r>
        <w:rPr>
          <w:rFonts w:hint="eastAsia" w:ascii="仿宋" w:hAnsi="仿宋" w:cs="仿宋_GB2312"/>
          <w:color w:val="000000" w:themeColor="text1"/>
          <w:szCs w:val="28"/>
          <w:highlight w:val="none"/>
          <w14:textFill>
            <w14:solidFill>
              <w14:schemeClr w14:val="tx1"/>
            </w14:solidFill>
          </w14:textFill>
        </w:rPr>
        <w:br w:type="page"/>
      </w:r>
    </w:p>
    <w:p>
      <w:pPr>
        <w:pStyle w:val="3"/>
        <w:numPr>
          <w:ilvl w:val="0"/>
          <w:numId w:val="0"/>
        </w:numPr>
        <w:adjustRightInd w:val="0"/>
        <w:snapToGrid w:val="0"/>
        <w:spacing w:before="0" w:after="0" w:line="240" w:lineRule="auto"/>
        <w:ind w:left="1134"/>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（一）合同条款</w:t>
      </w:r>
    </w:p>
    <w:p>
      <w:pPr>
        <w:spacing w:before="319" w:beforeLines="100" w:after="319" w:afterLines="100" w:line="480" w:lineRule="exact"/>
        <w:jc w:val="center"/>
        <w:rPr>
          <w:rFonts w:ascii="仿宋" w:hAnsi="仿宋" w:cs="仿宋"/>
          <w:b/>
          <w:color w:val="000000" w:themeColor="text1"/>
          <w:sz w:val="44"/>
          <w:szCs w:val="44"/>
          <w:highlight w:val="none"/>
          <w14:textFill>
            <w14:solidFill>
              <w14:schemeClr w14:val="tx1"/>
            </w14:solidFill>
          </w14:textFill>
        </w:rPr>
      </w:pPr>
      <w:bookmarkStart w:id="155" w:name="_Toc30224_WPSOffice_Level1"/>
      <w:r>
        <w:rPr>
          <w:rFonts w:hint="eastAsia" w:ascii="仿宋" w:hAnsi="仿宋" w:cs="仿宋"/>
          <w:b/>
          <w:color w:val="000000" w:themeColor="text1"/>
          <w:sz w:val="44"/>
          <w:szCs w:val="44"/>
          <w:highlight w:val="none"/>
          <w14:textFill>
            <w14:solidFill>
              <w14:schemeClr w14:val="tx1"/>
            </w14:solidFill>
          </w14:textFill>
        </w:rPr>
        <w:t>政府采购合同条款</w:t>
      </w:r>
      <w:bookmarkEnd w:id="155"/>
    </w:p>
    <w:p>
      <w:pPr>
        <w:wordWrap w:val="0"/>
        <w:adjustRightInd w:val="0"/>
        <w:snapToGrid w:val="0"/>
        <w:spacing w:line="360" w:lineRule="auto"/>
        <w:jc w:val="right"/>
        <w:rPr>
          <w:rFonts w:ascii="仿宋" w:hAnsi="仿宋" w:cs="仿宋"/>
          <w:color w:val="000000" w:themeColor="text1"/>
          <w:szCs w:val="21"/>
          <w:highlight w:val="none"/>
          <w14:textFill>
            <w14:solidFill>
              <w14:schemeClr w14:val="tx1"/>
            </w14:solidFill>
          </w14:textFill>
        </w:rPr>
      </w:pPr>
    </w:p>
    <w:p>
      <w:pPr>
        <w:adjustRightInd w:val="0"/>
        <w:snapToGrid w:val="0"/>
        <w:spacing w:line="360" w:lineRule="auto"/>
        <w:ind w:firstLine="411" w:firstLineChars="196"/>
        <w:rPr>
          <w:rFonts w:ascii="仿宋" w:hAnsi="仿宋" w:cs="仿宋"/>
          <w:b/>
          <w:bCs/>
          <w:color w:val="000000" w:themeColor="text1"/>
          <w:szCs w:val="21"/>
          <w:highlight w:val="none"/>
          <w14:textFill>
            <w14:solidFill>
              <w14:schemeClr w14:val="tx1"/>
            </w14:solidFill>
          </w14:textFill>
        </w:rPr>
      </w:pPr>
      <w:bookmarkStart w:id="156" w:name="_Toc10117_WPSOffice_Level1"/>
      <w:bookmarkStart w:id="157" w:name="_Toc25596_WPSOffice_Level1"/>
      <w:bookmarkStart w:id="158" w:name="_Toc398_WPSOffice_Level1"/>
      <w:r>
        <w:rPr>
          <w:rFonts w:hint="eastAsia" w:ascii="仿宋" w:hAnsi="仿宋" w:cs="仿宋"/>
          <w:b/>
          <w:bCs/>
          <w:color w:val="000000" w:themeColor="text1"/>
          <w:szCs w:val="21"/>
          <w:highlight w:val="none"/>
          <w14:textFill>
            <w14:solidFill>
              <w14:schemeClr w14:val="tx1"/>
            </w14:solidFill>
          </w14:textFill>
        </w:rPr>
        <w:t>1.术语定义</w:t>
      </w:r>
      <w:bookmarkEnd w:id="156"/>
      <w:bookmarkEnd w:id="157"/>
      <w:bookmarkEnd w:id="158"/>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本政府采购合同下列术语应解释为：</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1.1“政府采购合同”指供需双方依照政府采购程序、按照招标文件、投标文件确定的事项所达成的协议，包括附件、附录和上述文件所提到的构成政府采购合同的所有文件。</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1.2“政府采购合同价”指根据合同约定供方在正确地完全履行政府采购合同义务后，需方应支付给供方的价格。</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政府采购合同货物”指政府采购合同货物清单（同投标文件中开标一览表及其附表，下同）中所约定的各种形态和种类的物品，包括原材料、燃料、设备、产品、硬件、软件、安装材料、备件及专用器具、文件资料等内容。</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1.4“服务”指根据政府采购合同约定供方应承担的与供货有关的伴随服务，包括（但不限于）政府采购合同货物的运输、保险、安装、测试、调试、培训、维修、提供技术指导和支持、保修期外的维护以及其它类似的义务。</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1.5“需方”指项目基本内容及要求中所述取得货物和服务的采购人。</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1.6“供方”指项目基本内容及要求中所述提供产品和服务的中标人。</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1.7“检验”指需方或者需方的最终用户收货后，按照本政府采购合同约定的标准对政府采购合同货物进行的检测与查验。</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1.8“验收书”指需方对供方履行政府采购合同情况及结果进行现场检验和评估意见的文件。</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1.9“技术资料”指安装、调试、使用、维修政府采购合同货物所应具备的产品使用说明书和、或使用指南、操作手册、维修指南、服务手册、电路图、产品演示等文件及音像资料。</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1.10“保修期”指自验收书签署之日起，供方以自担费用方式保证政府采购合同货物正常运行的时期。</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1.11“第三人”是指本政府采购合同双方以外的任何中国境内外的自然人、法人或其它经济组织。</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1.12“法律、法规”是指由中国各级政府及有关部门制定的法律、行政法规、地方性法规、规章及其它规范性文件的有关规定。</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1.13“招标文件”指采购人或者采购代理机构发布的招标文件。</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1.14“投标文件”指供方按照采购代理机构招标文件的要求编制和递交，并最终被评标委员会接受的投标文件。</w:t>
      </w:r>
    </w:p>
    <w:p>
      <w:pPr>
        <w:rPr>
          <w:rFonts w:ascii="仿宋" w:hAnsi="仿宋" w:cs="仿宋"/>
          <w:color w:val="000000" w:themeColor="text1"/>
          <w:highlight w:val="none"/>
          <w14:textFill>
            <w14:solidFill>
              <w14:schemeClr w14:val="tx1"/>
            </w14:solidFill>
          </w14:textFill>
        </w:rPr>
      </w:pPr>
      <w:bookmarkStart w:id="159" w:name="_Toc750_WPSOffice_Level1"/>
      <w:bookmarkStart w:id="160" w:name="_Toc29737_WPSOffice_Level1"/>
      <w:bookmarkStart w:id="161" w:name="_Toc22454_WPSOffice_Level1"/>
      <w:r>
        <w:rPr>
          <w:rFonts w:hint="eastAsia" w:ascii="仿宋" w:hAnsi="仿宋" w:cs="仿宋"/>
          <w:color w:val="000000" w:themeColor="text1"/>
          <w:highlight w:val="none"/>
          <w14:textFill>
            <w14:solidFill>
              <w14:schemeClr w14:val="tx1"/>
            </w14:solidFill>
          </w14:textFill>
        </w:rPr>
        <w:t>2.技术指标</w:t>
      </w:r>
      <w:bookmarkEnd w:id="159"/>
      <w:bookmarkEnd w:id="160"/>
      <w:bookmarkEnd w:id="161"/>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2.1交付产品的技术指标应与招标文件规定的技术指标要求及投标文件中的“技术规格偏离表及商务条款偏离表”的承诺内容相一致。</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2.2 除技术指标另有规定外，计量单位应该使用公制。</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62" w:name="_Toc17648_WPSOffice_Level1"/>
      <w:bookmarkStart w:id="163" w:name="_Toc1538_WPSOffice_Level1"/>
      <w:bookmarkStart w:id="164" w:name="_Toc19640_WPSOffice_Level1"/>
      <w:r>
        <w:rPr>
          <w:rFonts w:hint="eastAsia" w:ascii="仿宋" w:hAnsi="仿宋" w:cs="仿宋"/>
          <w:b/>
          <w:color w:val="000000" w:themeColor="text1"/>
          <w:szCs w:val="21"/>
          <w:highlight w:val="none"/>
          <w14:textFill>
            <w14:solidFill>
              <w14:schemeClr w14:val="tx1"/>
            </w14:solidFill>
          </w14:textFill>
        </w:rPr>
        <w:t>3.交货</w:t>
      </w:r>
      <w:bookmarkEnd w:id="162"/>
      <w:bookmarkEnd w:id="163"/>
      <w:bookmarkEnd w:id="164"/>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3.1供方按照合同约定的时间、地点交货</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3.2供方交货的同时应提交下列文件：销售发票，制造厂商出具的质量检验证书、产品合格证以及招标文件、投标文件确定供方应随货物同时提供的其他资料。</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65" w:name="_Toc11745_WPSOffice_Level1"/>
      <w:bookmarkStart w:id="166" w:name="_Toc15048_WPSOffice_Level1"/>
      <w:bookmarkStart w:id="167" w:name="_Toc1266_WPSOffice_Level1"/>
      <w:r>
        <w:rPr>
          <w:rFonts w:hint="eastAsia" w:ascii="仿宋" w:hAnsi="仿宋" w:cs="仿宋"/>
          <w:b/>
          <w:color w:val="000000" w:themeColor="text1"/>
          <w:szCs w:val="21"/>
          <w:highlight w:val="none"/>
          <w14:textFill>
            <w14:solidFill>
              <w14:schemeClr w14:val="tx1"/>
            </w14:solidFill>
          </w14:textFill>
        </w:rPr>
        <w:t>4.合同金额</w:t>
      </w:r>
      <w:bookmarkEnd w:id="165"/>
      <w:bookmarkEnd w:id="166"/>
      <w:bookmarkEnd w:id="167"/>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根据政府采购合同文件要求，确定政府采购合同的总金额。</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68" w:name="_Toc22359_WPSOffice_Level1"/>
      <w:bookmarkStart w:id="169" w:name="_Toc11969_WPSOffice_Level1"/>
      <w:bookmarkStart w:id="170" w:name="_Toc941_WPSOffice_Level1"/>
      <w:r>
        <w:rPr>
          <w:rFonts w:hint="eastAsia" w:ascii="仿宋" w:hAnsi="仿宋" w:cs="仿宋"/>
          <w:b/>
          <w:color w:val="000000" w:themeColor="text1"/>
          <w:szCs w:val="21"/>
          <w:highlight w:val="none"/>
          <w14:textFill>
            <w14:solidFill>
              <w14:schemeClr w14:val="tx1"/>
            </w14:solidFill>
          </w14:textFill>
        </w:rPr>
        <w:t>5.付款</w:t>
      </w:r>
      <w:bookmarkEnd w:id="168"/>
      <w:bookmarkEnd w:id="169"/>
      <w:bookmarkEnd w:id="170"/>
    </w:p>
    <w:p>
      <w:pPr>
        <w:adjustRightInd w:val="0"/>
        <w:snapToGrid w:val="0"/>
        <w:spacing w:line="360" w:lineRule="auto"/>
        <w:ind w:firstLine="411" w:firstLineChars="196"/>
        <w:rPr>
          <w:rFonts w:ascii="仿宋" w:hAnsi="仿宋" w:cs="仿宋"/>
          <w:color w:val="000000" w:themeColor="text1"/>
          <w:szCs w:val="21"/>
          <w:highlight w:val="none"/>
          <w:u w:val="single"/>
          <w14:textFill>
            <w14:solidFill>
              <w14:schemeClr w14:val="tx1"/>
            </w14:solidFill>
          </w14:textFill>
        </w:rPr>
      </w:pPr>
      <w:bookmarkStart w:id="171" w:name="_Toc22351_WPSOffice_Level2"/>
      <w:r>
        <w:rPr>
          <w:rFonts w:hint="eastAsia" w:ascii="仿宋" w:hAnsi="仿宋" w:cs="仿宋"/>
          <w:color w:val="000000" w:themeColor="text1"/>
          <w:szCs w:val="21"/>
          <w:highlight w:val="none"/>
          <w14:textFill>
            <w14:solidFill>
              <w14:schemeClr w14:val="tx1"/>
            </w14:solidFill>
          </w14:textFill>
        </w:rPr>
        <w:t>5.1付款方式、条件：需方按照合同约定的方式和条件付款。</w:t>
      </w:r>
      <w:bookmarkEnd w:id="171"/>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72" w:name="_Toc10526_WPSOffice_Level1"/>
      <w:bookmarkStart w:id="173" w:name="_Toc30478_WPSOffice_Level1"/>
      <w:bookmarkStart w:id="174" w:name="_Toc27769_WPSOffice_Level1"/>
      <w:r>
        <w:rPr>
          <w:rFonts w:hint="eastAsia" w:ascii="仿宋" w:hAnsi="仿宋" w:cs="仿宋"/>
          <w:b/>
          <w:color w:val="000000" w:themeColor="text1"/>
          <w:szCs w:val="21"/>
          <w:highlight w:val="none"/>
          <w14:textFill>
            <w14:solidFill>
              <w14:schemeClr w14:val="tx1"/>
            </w14:solidFill>
          </w14:textFill>
        </w:rPr>
        <w:t>6.验收</w:t>
      </w:r>
      <w:bookmarkEnd w:id="172"/>
      <w:bookmarkEnd w:id="173"/>
      <w:bookmarkEnd w:id="174"/>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6.1供方提交的货物由需方或者需方的最终用户负责验收。</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6.2需方或者需方的最终用户应当按照采购合同规定的技术、服务等要求组织对供应商履约的验收，并出具验收书。验收书应当包括每一项技术、服务等要求的履约情况。</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6.3大型或者复杂的项目，应当邀请国家认可的质量检测机构参加验收。</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6.4政府向社会公众提供的公共服务项目，验收时应当邀请服务对象参与并出具意见，验收结果应当向社会公告。</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6.6货物保修期自验收书签署之日起计算。</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75" w:name="_Toc23127_WPSOffice_Level1"/>
      <w:bookmarkStart w:id="176" w:name="_Toc31292_WPSOffice_Level1"/>
      <w:bookmarkStart w:id="177" w:name="_Toc21868_WPSOffice_Level1"/>
      <w:r>
        <w:rPr>
          <w:rFonts w:hint="eastAsia" w:ascii="仿宋" w:hAnsi="仿宋" w:cs="仿宋"/>
          <w:b/>
          <w:color w:val="000000" w:themeColor="text1"/>
          <w:szCs w:val="21"/>
          <w:highlight w:val="none"/>
          <w14:textFill>
            <w14:solidFill>
              <w14:schemeClr w14:val="tx1"/>
            </w14:solidFill>
          </w14:textFill>
        </w:rPr>
        <w:t>7.知识产权及有关规定</w:t>
      </w:r>
      <w:bookmarkEnd w:id="175"/>
      <w:bookmarkEnd w:id="176"/>
      <w:bookmarkEnd w:id="177"/>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7.2一方对另一方提供的技术资料、样件、图纸及其他与质量、技术、经营相关信息（包括但不限于价格、数量）有保密义务。双方应确保其人员及相关协作方承担保密义务。</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7.4本合同中涉及保密和知识产权任何条款，在合同期限内及合同终止后持续有效。</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78" w:name="_Toc26796_WPSOffice_Level1"/>
      <w:bookmarkStart w:id="179" w:name="_Toc21090_WPSOffice_Level1"/>
      <w:bookmarkStart w:id="180" w:name="_Toc24765_WPSOffice_Level1"/>
      <w:r>
        <w:rPr>
          <w:rFonts w:hint="eastAsia" w:ascii="仿宋" w:hAnsi="仿宋" w:cs="仿宋"/>
          <w:b/>
          <w:color w:val="000000" w:themeColor="text1"/>
          <w:szCs w:val="21"/>
          <w:highlight w:val="none"/>
          <w14:textFill>
            <w14:solidFill>
              <w14:schemeClr w14:val="tx1"/>
            </w14:solidFill>
          </w14:textFill>
        </w:rPr>
        <w:t>8.包装要求</w:t>
      </w:r>
      <w:bookmarkEnd w:id="178"/>
      <w:bookmarkEnd w:id="179"/>
      <w:bookmarkEnd w:id="180"/>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8.2每一个包装箱内应附一份详细的装箱单和质量合格证书。</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8.3包装费由供方承担，包装物不回收。</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81" w:name="_Toc1308_WPSOffice_Level1"/>
      <w:bookmarkStart w:id="182" w:name="_Toc2304_WPSOffice_Level1"/>
      <w:bookmarkStart w:id="183" w:name="_Toc26447_WPSOffice_Level1"/>
      <w:r>
        <w:rPr>
          <w:rFonts w:hint="eastAsia" w:ascii="仿宋" w:hAnsi="仿宋" w:cs="仿宋"/>
          <w:b/>
          <w:color w:val="000000" w:themeColor="text1"/>
          <w:szCs w:val="21"/>
          <w:highlight w:val="none"/>
          <w14:textFill>
            <w14:solidFill>
              <w14:schemeClr w14:val="tx1"/>
            </w14:solidFill>
          </w14:textFill>
        </w:rPr>
        <w:t>9.伴随服务</w:t>
      </w:r>
      <w:bookmarkEnd w:id="181"/>
      <w:bookmarkEnd w:id="182"/>
      <w:bookmarkEnd w:id="183"/>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9.1供方应提供所交付货物的全套技术文件资料，包括产品目录、图纸、操作手册、使用说明、维护手册和服务指南等。</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9.2供方还应提供下列服务：</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9.2.1货物的现场安装、启动和试运行；</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9.2.2提供货物组装和维修所需的工具；</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9.2.3在质量保证期内对所交付货物提供运行监督、维修、保养等,如果招标文件没有特别要求，以供方在投标文件中提交的售后服务承诺书为准。如果上述文件规定有不一致之处，以对需方有利的为准。</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9.2.4在制造厂家或在项目现场就货物的安装、启动、运行、维护等对需方人员进行培训，直至需方人员掌握全部上述技能为止。</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9.3伴随服务的费用应含在合同价中，不单独进行支付。</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84" w:name="_Toc14320_WPSOffice_Level1"/>
      <w:bookmarkStart w:id="185" w:name="_Toc8205_WPSOffice_Level1"/>
      <w:bookmarkStart w:id="186" w:name="_Toc7636_WPSOffice_Level1"/>
      <w:r>
        <w:rPr>
          <w:rFonts w:hint="eastAsia" w:ascii="仿宋" w:hAnsi="仿宋" w:cs="仿宋"/>
          <w:b/>
          <w:color w:val="000000" w:themeColor="text1"/>
          <w:szCs w:val="21"/>
          <w:highlight w:val="none"/>
          <w14:textFill>
            <w14:solidFill>
              <w14:schemeClr w14:val="tx1"/>
            </w14:solidFill>
          </w14:textFill>
        </w:rPr>
        <w:t>10.质量保证期</w:t>
      </w:r>
      <w:bookmarkEnd w:id="184"/>
      <w:bookmarkEnd w:id="185"/>
      <w:bookmarkEnd w:id="186"/>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10.1以招标文件中的规定为准，如果投标文件中的承诺优于招标文件规定，则以投标文件为准。</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10.2如果招标文件没有特别要求，以供方在投标文件中提交的制造厂商的有关文件为准。如果上述文件规定有不一致之处，以对需方有利的为准。</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87" w:name="_Toc16220_WPSOffice_Level1"/>
      <w:bookmarkStart w:id="188" w:name="_Toc18427_WPSOffice_Level1"/>
      <w:bookmarkStart w:id="189" w:name="_Toc13950_WPSOffice_Level1"/>
      <w:r>
        <w:rPr>
          <w:rFonts w:hint="eastAsia" w:ascii="仿宋" w:hAnsi="仿宋" w:cs="仿宋"/>
          <w:b/>
          <w:color w:val="000000" w:themeColor="text1"/>
          <w:szCs w:val="21"/>
          <w:highlight w:val="none"/>
          <w14:textFill>
            <w14:solidFill>
              <w14:schemeClr w14:val="tx1"/>
            </w14:solidFill>
          </w14:textFill>
        </w:rPr>
        <w:t>11.质量保证</w:t>
      </w:r>
      <w:bookmarkEnd w:id="187"/>
      <w:bookmarkEnd w:id="188"/>
      <w:bookmarkEnd w:id="189"/>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11.3如果供方在接到需方通知后，在本政府采购合同约定的响应时间内没有弥补缺陷，需方可采取必要的补救措施，但其风险和费用将由供方负担，并且需方根据合同规定对供方行使的其它权利不受影响。</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90" w:name="_Toc24667_WPSOffice_Level1"/>
      <w:bookmarkStart w:id="191" w:name="_Toc29469_WPSOffice_Level1"/>
      <w:bookmarkStart w:id="192" w:name="_Toc9090_WPSOffice_Level1"/>
      <w:r>
        <w:rPr>
          <w:rFonts w:hint="eastAsia" w:ascii="仿宋" w:hAnsi="仿宋" w:cs="仿宋"/>
          <w:b/>
          <w:color w:val="000000" w:themeColor="text1"/>
          <w:szCs w:val="21"/>
          <w:highlight w:val="none"/>
          <w14:textFill>
            <w14:solidFill>
              <w14:schemeClr w14:val="tx1"/>
            </w14:solidFill>
          </w14:textFill>
        </w:rPr>
        <w:t>12.技术服务和保修责任</w:t>
      </w:r>
      <w:bookmarkEnd w:id="190"/>
      <w:bookmarkEnd w:id="191"/>
      <w:bookmarkEnd w:id="192"/>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12.1供方对政府采购合同货物的保修期，以招标文件中的规定为准，如果投标文件中的承诺优于招标文件规定，则以投标文件为准。</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12.2供方应按如下内容提供售后服务：</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12.2.1产品经过试运行期，所有性能指标达到技术规范书的要求时，可按招标文件、投标文件内容进行初验。在试运行期间，由于产品质量等造成某些指标达不到要求，供方须更换或进行修复，试运行期重新计算。</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12.2.3保修期间供方要保修除消耗品以外的所有产品。如果系统、设备等发生故障，供方要调查故障原因并修复直至满足最终验收指标和性能的要求，或者修理、更换整个或部分有缺陷的材料。</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12.2.4保修期内，供方提供电话、电子邮件、Web、现场服务等方式的技术支持，对用户的现场服务要求，供方必须按投标文件做出的承诺进行响应。</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12.2.5保修期内，供方应对出现故障无法修复的产品或无法正常运行的系统，提供替代产品以保证系统的正常工作。</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12.2.6保修期内，供方应投标时的承诺提供相关服务。</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93" w:name="_Toc8548_WPSOffice_Level1"/>
      <w:bookmarkStart w:id="194" w:name="_Toc11781_WPSOffice_Level1"/>
      <w:bookmarkStart w:id="195" w:name="_Toc16924_WPSOffice_Level1"/>
      <w:r>
        <w:rPr>
          <w:rFonts w:hint="eastAsia" w:ascii="仿宋" w:hAnsi="仿宋" w:cs="仿宋"/>
          <w:b/>
          <w:color w:val="000000" w:themeColor="text1"/>
          <w:szCs w:val="21"/>
          <w:highlight w:val="none"/>
          <w14:textFill>
            <w14:solidFill>
              <w14:schemeClr w14:val="tx1"/>
            </w14:solidFill>
          </w14:textFill>
        </w:rPr>
        <w:t>13.违约责任</w:t>
      </w:r>
      <w:bookmarkEnd w:id="193"/>
      <w:bookmarkEnd w:id="194"/>
      <w:bookmarkEnd w:id="195"/>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13.1.1在需方同意延长的期限内交付全部货物、提供服务并承担由此给需方造成的一切损失；</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13.1.3根据货物低劣程度、损坏程度以及使需方所遭受的损失，经双方商定降低货物的价格或赔偿需方所遭受的损失；</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13.1.5需方有权部分或全部解除政府采购合同并要求供方赔偿由此造成的损失。此时需方可采取必要的补救措施，相关费用由供方承担。</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13.3延期交货的违约责任</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13.3.2如供方在政府采购合同规定的交货日期后10天内仍未能交货，则视为供方不能交货，需方有权解除政府采购合同，供方除退还已收取的货款外，还应向需方偿付政府采购合同总金额10%的违约金。</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13.4以上各项交付的违约金并不影响违约方履行政府采购合同的各项义务。</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96" w:name="_Toc32310_WPSOffice_Level1"/>
      <w:bookmarkStart w:id="197" w:name="_Toc28610_WPSOffice_Level1"/>
      <w:bookmarkStart w:id="198" w:name="_Toc21833_WPSOffice_Level1"/>
      <w:r>
        <w:rPr>
          <w:rFonts w:hint="eastAsia" w:ascii="仿宋" w:hAnsi="仿宋" w:cs="仿宋"/>
          <w:b/>
          <w:color w:val="000000" w:themeColor="text1"/>
          <w:szCs w:val="21"/>
          <w:highlight w:val="none"/>
          <w14:textFill>
            <w14:solidFill>
              <w14:schemeClr w14:val="tx1"/>
            </w14:solidFill>
          </w14:textFill>
        </w:rPr>
        <w:t>14.不可抗力</w:t>
      </w:r>
      <w:bookmarkEnd w:id="196"/>
      <w:bookmarkEnd w:id="197"/>
      <w:bookmarkEnd w:id="198"/>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14.2本条所述的“不可抗力”系指那些双方无法控制，不可预见的事件，但不包括双方的违约或疏忽。这些事件包括但不限于：战争、严重火灾、洪水、台风、地震。</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199" w:name="_Toc12037_WPSOffice_Level1"/>
      <w:bookmarkStart w:id="200" w:name="_Toc13390_WPSOffice_Level1"/>
      <w:bookmarkStart w:id="201" w:name="_Toc3262_WPSOffice_Level1"/>
      <w:r>
        <w:rPr>
          <w:rFonts w:hint="eastAsia" w:ascii="仿宋" w:hAnsi="仿宋" w:cs="仿宋"/>
          <w:b/>
          <w:color w:val="000000" w:themeColor="text1"/>
          <w:szCs w:val="21"/>
          <w:highlight w:val="none"/>
          <w14:textFill>
            <w14:solidFill>
              <w14:schemeClr w14:val="tx1"/>
            </w14:solidFill>
          </w14:textFill>
        </w:rPr>
        <w:t>15.争端的解决</w:t>
      </w:r>
      <w:bookmarkEnd w:id="199"/>
      <w:bookmarkEnd w:id="200"/>
      <w:bookmarkEnd w:id="201"/>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15.1政府采购合同的履行、违约责任和解决争议的方法等适用《中华人民共和国合同法》。</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15.2需方和供方应通过友好协商，解决在执行本政府采购合同过程中所发生的或与本政府采购合同有关的一切争端。</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15.3如果协商不成，双方中的任何一方可向需方所在地的人民法院提起诉讼。</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15.4因政府采购合同部分履行引发诉讼的，在诉讼期间，除正在进行诉讼的部分外，本政府采购合同的其它部分应继续执行。</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202" w:name="_Toc7773_WPSOffice_Level1"/>
      <w:bookmarkStart w:id="203" w:name="_Toc1917_WPSOffice_Level1"/>
      <w:bookmarkStart w:id="204" w:name="_Toc27539_WPSOffice_Level1"/>
      <w:r>
        <w:rPr>
          <w:rFonts w:hint="eastAsia" w:ascii="仿宋" w:hAnsi="仿宋" w:cs="仿宋"/>
          <w:b/>
          <w:color w:val="000000" w:themeColor="text1"/>
          <w:szCs w:val="21"/>
          <w:highlight w:val="none"/>
          <w14:textFill>
            <w14:solidFill>
              <w14:schemeClr w14:val="tx1"/>
            </w14:solidFill>
          </w14:textFill>
        </w:rPr>
        <w:t>16.违约终止政府采购合同</w:t>
      </w:r>
      <w:bookmarkEnd w:id="202"/>
      <w:bookmarkEnd w:id="203"/>
      <w:bookmarkEnd w:id="204"/>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16.1在需方因供方违约而按政府采购合同约定采取的任何补救措施均无效的情况下，需方可在下列情况下向供方发出书面通知，提出终止部分或全部政府采购合同。</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16.1.1如果供方未能在政府采购合同规定的限期或需方同意延长的限期内提供部分或全部货物和服务；</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16.1.2未经需方事先书面同意，供方部分转让和分包或全部转让和分包其应履行的政府采购合同义务。</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205" w:name="_Toc11967_WPSOffice_Level1"/>
      <w:bookmarkStart w:id="206" w:name="_Toc4220_WPSOffice_Level1"/>
      <w:bookmarkStart w:id="207" w:name="_Toc27976_WPSOffice_Level1"/>
      <w:r>
        <w:rPr>
          <w:rFonts w:hint="eastAsia" w:ascii="仿宋" w:hAnsi="仿宋" w:cs="仿宋"/>
          <w:b/>
          <w:color w:val="000000" w:themeColor="text1"/>
          <w:szCs w:val="21"/>
          <w:highlight w:val="none"/>
          <w14:textFill>
            <w14:solidFill>
              <w14:schemeClr w14:val="tx1"/>
            </w14:solidFill>
          </w14:textFill>
        </w:rPr>
        <w:t>17.政府采购合同转让和分包</w:t>
      </w:r>
      <w:bookmarkEnd w:id="205"/>
      <w:bookmarkEnd w:id="206"/>
      <w:bookmarkEnd w:id="207"/>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除招标文件规定,并经需方事先书面同意外，供方不得部分转让和分包或全部转让和分包其应履行的政府采购合同义务。</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208" w:name="_Toc737_WPSOffice_Level1"/>
      <w:bookmarkStart w:id="209" w:name="_Toc16873_WPSOffice_Level1"/>
      <w:bookmarkStart w:id="210" w:name="_Toc30020_WPSOffice_Level1"/>
      <w:r>
        <w:rPr>
          <w:rFonts w:hint="eastAsia" w:ascii="仿宋" w:hAnsi="仿宋" w:cs="仿宋"/>
          <w:b/>
          <w:color w:val="000000" w:themeColor="text1"/>
          <w:szCs w:val="21"/>
          <w:highlight w:val="none"/>
          <w14:textFill>
            <w14:solidFill>
              <w14:schemeClr w14:val="tx1"/>
            </w14:solidFill>
          </w14:textFill>
        </w:rPr>
        <w:t>18.适用法律：</w:t>
      </w:r>
      <w:bookmarkEnd w:id="208"/>
      <w:bookmarkEnd w:id="209"/>
      <w:bookmarkEnd w:id="210"/>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本政府采购合同按照中华人民共和国的现行法律进行解释。</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211" w:name="_Toc23749_WPSOffice_Level1"/>
      <w:bookmarkStart w:id="212" w:name="_Toc29009_WPSOffice_Level1"/>
      <w:bookmarkStart w:id="213" w:name="_Toc20985_WPSOffice_Level1"/>
      <w:r>
        <w:rPr>
          <w:rFonts w:hint="eastAsia" w:ascii="仿宋" w:hAnsi="仿宋" w:cs="仿宋"/>
          <w:b/>
          <w:color w:val="000000" w:themeColor="text1"/>
          <w:szCs w:val="21"/>
          <w:highlight w:val="none"/>
          <w14:textFill>
            <w14:solidFill>
              <w14:schemeClr w14:val="tx1"/>
            </w14:solidFill>
          </w14:textFill>
        </w:rPr>
        <w:t>19.政府采购合同生效</w:t>
      </w:r>
      <w:bookmarkEnd w:id="211"/>
      <w:bookmarkEnd w:id="212"/>
      <w:bookmarkEnd w:id="213"/>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19.1本政府采购合同在供需双方法定代表人或其授权代理人签字和加盖公章后生效。</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19.2本政府采购合同一式五份，需方执二份，供方、采购代理机构、财政部门各执一份。</w:t>
      </w:r>
    </w:p>
    <w:p>
      <w:pPr>
        <w:adjustRightInd w:val="0"/>
        <w:snapToGrid w:val="0"/>
        <w:spacing w:line="360" w:lineRule="auto"/>
        <w:ind w:firstLine="411" w:firstLineChars="196"/>
        <w:rPr>
          <w:rFonts w:ascii="仿宋" w:hAnsi="仿宋" w:cs="仿宋"/>
          <w:b/>
          <w:color w:val="000000" w:themeColor="text1"/>
          <w:szCs w:val="21"/>
          <w:highlight w:val="none"/>
          <w14:textFill>
            <w14:solidFill>
              <w14:schemeClr w14:val="tx1"/>
            </w14:solidFill>
          </w14:textFill>
        </w:rPr>
      </w:pPr>
      <w:bookmarkStart w:id="214" w:name="_Toc12339_WPSOffice_Level1"/>
      <w:bookmarkStart w:id="215" w:name="_Toc20274_WPSOffice_Level1"/>
      <w:bookmarkStart w:id="216" w:name="_Toc405_WPSOffice_Level1"/>
      <w:r>
        <w:rPr>
          <w:rFonts w:hint="eastAsia" w:ascii="仿宋" w:hAnsi="仿宋" w:cs="仿宋"/>
          <w:b/>
          <w:color w:val="000000" w:themeColor="text1"/>
          <w:szCs w:val="21"/>
          <w:highlight w:val="none"/>
          <w14:textFill>
            <w14:solidFill>
              <w14:schemeClr w14:val="tx1"/>
            </w14:solidFill>
          </w14:textFill>
        </w:rPr>
        <w:t>20.政府采购合同附件</w:t>
      </w:r>
      <w:bookmarkEnd w:id="214"/>
      <w:bookmarkEnd w:id="215"/>
      <w:bookmarkEnd w:id="216"/>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下列文件构成本政府采购合同不可分割的组成部分，与本政府采购合同具有同等法律效力：</w:t>
      </w:r>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bookmarkStart w:id="217" w:name="_Toc3518_WPSOffice_Level2"/>
      <w:r>
        <w:rPr>
          <w:rFonts w:hint="eastAsia" w:ascii="仿宋" w:hAnsi="仿宋" w:cs="仿宋"/>
          <w:color w:val="000000" w:themeColor="text1"/>
          <w:szCs w:val="21"/>
          <w:highlight w:val="none"/>
          <w14:textFill>
            <w14:solidFill>
              <w14:schemeClr w14:val="tx1"/>
            </w14:solidFill>
          </w14:textFill>
        </w:rPr>
        <w:t>20.1招标文件；</w:t>
      </w:r>
      <w:bookmarkEnd w:id="217"/>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bookmarkStart w:id="218" w:name="_Toc7342_WPSOffice_Level2"/>
      <w:r>
        <w:rPr>
          <w:rFonts w:hint="eastAsia" w:ascii="仿宋" w:hAnsi="仿宋" w:cs="仿宋"/>
          <w:color w:val="000000" w:themeColor="text1"/>
          <w:szCs w:val="21"/>
          <w:highlight w:val="none"/>
          <w14:textFill>
            <w14:solidFill>
              <w14:schemeClr w14:val="tx1"/>
            </w14:solidFill>
          </w14:textFill>
        </w:rPr>
        <w:t>20.2招标文件的更正公告、变更公告；</w:t>
      </w:r>
      <w:bookmarkEnd w:id="218"/>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bookmarkStart w:id="219" w:name="_Toc576_WPSOffice_Level2"/>
      <w:r>
        <w:rPr>
          <w:rFonts w:hint="eastAsia" w:ascii="仿宋" w:hAnsi="仿宋" w:cs="仿宋"/>
          <w:color w:val="000000" w:themeColor="text1"/>
          <w:szCs w:val="21"/>
          <w:highlight w:val="none"/>
          <w14:textFill>
            <w14:solidFill>
              <w14:schemeClr w14:val="tx1"/>
            </w14:solidFill>
          </w14:textFill>
        </w:rPr>
        <w:t>20.3中标人提交的投标文件；</w:t>
      </w:r>
      <w:bookmarkEnd w:id="219"/>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bookmarkStart w:id="220" w:name="_Toc25464_WPSOffice_Level2"/>
      <w:r>
        <w:rPr>
          <w:rFonts w:hint="eastAsia" w:ascii="仿宋" w:hAnsi="仿宋" w:cs="仿宋"/>
          <w:color w:val="000000" w:themeColor="text1"/>
          <w:szCs w:val="21"/>
          <w:highlight w:val="none"/>
          <w14:textFill>
            <w14:solidFill>
              <w14:schemeClr w14:val="tx1"/>
            </w14:solidFill>
          </w14:textFill>
        </w:rPr>
        <w:t>20.4政府采购合同条款；</w:t>
      </w:r>
      <w:bookmarkEnd w:id="220"/>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bookmarkStart w:id="221" w:name="_Toc25590_WPSOffice_Level2"/>
      <w:r>
        <w:rPr>
          <w:rFonts w:hint="eastAsia" w:ascii="仿宋" w:hAnsi="仿宋" w:cs="仿宋"/>
          <w:color w:val="000000" w:themeColor="text1"/>
          <w:szCs w:val="21"/>
          <w:highlight w:val="none"/>
          <w14:textFill>
            <w14:solidFill>
              <w14:schemeClr w14:val="tx1"/>
            </w14:solidFill>
          </w14:textFill>
        </w:rPr>
        <w:t>20.5中标通知书；</w:t>
      </w:r>
      <w:bookmarkEnd w:id="221"/>
    </w:p>
    <w:p>
      <w:pPr>
        <w:adjustRightInd w:val="0"/>
        <w:snapToGrid w:val="0"/>
        <w:spacing w:line="360" w:lineRule="auto"/>
        <w:ind w:firstLine="411" w:firstLineChars="196"/>
        <w:rPr>
          <w:rFonts w:ascii="仿宋" w:hAnsi="仿宋" w:cs="仿宋"/>
          <w:color w:val="000000" w:themeColor="text1"/>
          <w:szCs w:val="21"/>
          <w:highlight w:val="none"/>
          <w14:textFill>
            <w14:solidFill>
              <w14:schemeClr w14:val="tx1"/>
            </w14:solidFill>
          </w14:textFill>
        </w:rPr>
      </w:pPr>
      <w:bookmarkStart w:id="222" w:name="_Toc10297_WPSOffice_Level2"/>
      <w:r>
        <w:rPr>
          <w:rFonts w:hint="eastAsia" w:ascii="仿宋" w:hAnsi="仿宋" w:cs="仿宋"/>
          <w:color w:val="000000" w:themeColor="text1"/>
          <w:szCs w:val="21"/>
          <w:highlight w:val="none"/>
          <w14:textFill>
            <w14:solidFill>
              <w14:schemeClr w14:val="tx1"/>
            </w14:solidFill>
          </w14:textFill>
        </w:rPr>
        <w:t>20.6政府采购合同的其它附件。</w:t>
      </w:r>
      <w:bookmarkEnd w:id="222"/>
    </w:p>
    <w:p>
      <w:pPr>
        <w:ind w:firstLine="470" w:firstLineChars="196"/>
        <w:rPr>
          <w:rFonts w:ascii="仿宋" w:hAnsi="仿宋" w:cs="仿宋"/>
          <w:color w:val="000000" w:themeColor="text1"/>
          <w:sz w:val="24"/>
          <w:highlight w:val="none"/>
          <w14:textFill>
            <w14:solidFill>
              <w14:schemeClr w14:val="tx1"/>
            </w14:solidFill>
          </w14:textFill>
        </w:rPr>
      </w:pPr>
    </w:p>
    <w:p>
      <w:pPr>
        <w:ind w:firstLine="470" w:firstLineChars="196"/>
        <w:rPr>
          <w:rFonts w:ascii="仿宋" w:hAnsi="仿宋" w:cs="仿宋"/>
          <w:color w:val="000000" w:themeColor="text1"/>
          <w:sz w:val="24"/>
          <w:highlight w:val="none"/>
          <w14:textFill>
            <w14:solidFill>
              <w14:schemeClr w14:val="tx1"/>
            </w14:solidFill>
          </w14:textFill>
        </w:rPr>
      </w:pPr>
    </w:p>
    <w:p>
      <w:pPr>
        <w:wordWrap w:val="0"/>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color w:val="000000" w:themeColor="text1"/>
          <w:sz w:val="24"/>
          <w:highlight w:val="none"/>
          <w14:textFill>
            <w14:solidFill>
              <w14:schemeClr w14:val="tx1"/>
            </w14:solidFill>
          </w14:textFill>
        </w:rPr>
        <w:br w:type="page"/>
      </w:r>
      <w:bookmarkStart w:id="223" w:name="_Toc3044_WPSOffice_Level1"/>
      <w:bookmarkStart w:id="224" w:name="_Toc372_WPSOffice_Level1"/>
      <w:bookmarkStart w:id="225" w:name="_Toc7342_WPSOffice_Level1"/>
      <w:r>
        <w:rPr>
          <w:rFonts w:hint="eastAsia" w:ascii="仿宋" w:hAnsi="仿宋" w:cs="仿宋"/>
          <w:color w:val="000000" w:themeColor="text1"/>
          <w:szCs w:val="28"/>
          <w:highlight w:val="none"/>
          <w14:textFill>
            <w14:solidFill>
              <w14:schemeClr w14:val="tx1"/>
            </w14:solidFill>
          </w14:textFill>
        </w:rPr>
        <w:t>（二）合同格式</w:t>
      </w:r>
      <w:bookmarkEnd w:id="223"/>
      <w:bookmarkEnd w:id="224"/>
      <w:bookmarkEnd w:id="225"/>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b/>
          <w:color w:val="000000" w:themeColor="text1"/>
          <w:szCs w:val="21"/>
          <w:highlight w:val="none"/>
          <w14:textFill>
            <w14:solidFill>
              <w14:schemeClr w14:val="tx1"/>
            </w14:solidFill>
          </w14:textFill>
        </w:rPr>
        <w:t xml:space="preserve">编号：        </w:t>
      </w:r>
    </w:p>
    <w:p>
      <w:pPr>
        <w:spacing w:line="360" w:lineRule="auto"/>
        <w:ind w:firstLine="2625" w:firstLineChars="1250"/>
        <w:rPr>
          <w:rFonts w:ascii="仿宋" w:hAnsi="仿宋" w:cs="仿宋"/>
          <w:b/>
          <w:color w:val="000000" w:themeColor="text1"/>
          <w:szCs w:val="21"/>
          <w:highlight w:val="none"/>
          <w14:textFill>
            <w14:solidFill>
              <w14:schemeClr w14:val="tx1"/>
            </w14:solidFill>
          </w14:textFill>
        </w:rPr>
      </w:pPr>
    </w:p>
    <w:p>
      <w:pPr>
        <w:spacing w:line="360" w:lineRule="auto"/>
        <w:ind w:firstLine="2625" w:firstLineChars="1250"/>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辽 宁 省 政 府 采 购 项 目</w:t>
      </w:r>
    </w:p>
    <w:p>
      <w:pPr>
        <w:spacing w:line="360" w:lineRule="auto"/>
        <w:ind w:firstLine="1803" w:firstLineChars="859"/>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大连医科大学附属第二医院医疗设备采购项目</w:t>
      </w:r>
    </w:p>
    <w:p>
      <w:pPr>
        <w:spacing w:line="360" w:lineRule="auto"/>
        <w:ind w:firstLine="3378" w:firstLineChars="1609"/>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合    同</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项目名称：</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计划编号：</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招标编号：</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招标公司：</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甲方（买方）：大连医科大学附属第二医院</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地址：辽宁省大连市沙河口区中山路467号</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联系方式:0411-84671291</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乙方（卖方）：</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法定代表人：</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地址：</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联系方式：</w:t>
      </w:r>
    </w:p>
    <w:p>
      <w:pPr>
        <w:spacing w:line="360" w:lineRule="auto"/>
        <w:ind w:firstLine="3378" w:firstLineChars="1609"/>
        <w:rPr>
          <w:rFonts w:ascii="仿宋" w:hAnsi="仿宋" w:cs="仿宋"/>
          <w:color w:val="000000" w:themeColor="text1"/>
          <w:szCs w:val="21"/>
          <w:highlight w:val="none"/>
          <w14:textFill>
            <w14:solidFill>
              <w14:schemeClr w14:val="tx1"/>
            </w14:solidFill>
          </w14:textFill>
        </w:rPr>
      </w:pP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鉴于：</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1、甲乙双方根据辽宁省政府采购项目的采购结果，甲方接受乙方为本项目采购所做的投标文件，乙方必须完全按成交通知书中项目履行义务。</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2、依照《中华人民共和国民法典》等相关法律规定，甲乙双方在自愿、平等、公平、诚实信用的基础上，就本项目采购事宜协商一致订立本合同（以下简称合同）。</w:t>
      </w:r>
    </w:p>
    <w:p>
      <w:pPr>
        <w:spacing w:line="360" w:lineRule="auto"/>
        <w:rPr>
          <w:rFonts w:ascii="仿宋" w:hAnsi="仿宋" w:cs="仿宋"/>
          <w:color w:val="000000" w:themeColor="text1"/>
          <w:szCs w:val="21"/>
          <w:highlight w:val="none"/>
          <w14:textFill>
            <w14:solidFill>
              <w14:schemeClr w14:val="tx1"/>
            </w14:solidFill>
          </w14:textFill>
        </w:rPr>
      </w:pPr>
    </w:p>
    <w:p>
      <w:pPr>
        <w:spacing w:line="360" w:lineRule="auto"/>
        <w:jc w:val="left"/>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第一条  产品的基本信息与技术标准</w:t>
      </w:r>
    </w:p>
    <w:p>
      <w:pPr>
        <w:spacing w:line="360"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产品的基本信息：见供货产品一览表</w:t>
      </w:r>
    </w:p>
    <w:p>
      <w:pPr>
        <w:spacing w:line="360" w:lineRule="auto"/>
        <w:jc w:val="left"/>
        <w:rPr>
          <w:rFonts w:ascii="仿宋" w:hAnsi="仿宋" w:cs="仿宋"/>
          <w:color w:val="000000" w:themeColor="text1"/>
          <w:szCs w:val="21"/>
          <w:highlight w:val="none"/>
          <w14:textFill>
            <w14:solidFill>
              <w14:schemeClr w14:val="tx1"/>
            </w14:solidFill>
          </w14:textFill>
        </w:rPr>
      </w:pPr>
    </w:p>
    <w:p>
      <w:pPr>
        <w:spacing w:line="360" w:lineRule="auto"/>
        <w:ind w:left="1155" w:leftChars="550" w:firstLine="2100" w:firstLineChars="1000"/>
        <w:jc w:val="left"/>
        <w:rPr>
          <w:rFonts w:ascii="仿宋" w:hAnsi="仿宋" w:cs="仿宋"/>
          <w:color w:val="000000" w:themeColor="text1"/>
          <w:szCs w:val="21"/>
          <w:highlight w:val="none"/>
          <w14:textFill>
            <w14:solidFill>
              <w14:schemeClr w14:val="tx1"/>
            </w14:solidFill>
          </w14:textFill>
        </w:rPr>
      </w:pPr>
    </w:p>
    <w:p>
      <w:pPr>
        <w:spacing w:line="360" w:lineRule="auto"/>
        <w:ind w:left="1155" w:leftChars="550" w:firstLine="2100" w:firstLineChars="100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供货产品一览表</w:t>
      </w:r>
    </w:p>
    <w:tbl>
      <w:tblPr>
        <w:tblStyle w:val="21"/>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709"/>
        <w:gridCol w:w="1276"/>
        <w:gridCol w:w="1417"/>
        <w:gridCol w:w="992"/>
        <w:gridCol w:w="1134"/>
        <w:gridCol w:w="1378"/>
        <w:gridCol w:w="1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center"/>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产品名称</w:t>
            </w:r>
          </w:p>
        </w:tc>
        <w:tc>
          <w:tcPr>
            <w:tcW w:w="709" w:type="dxa"/>
            <w:vAlign w:val="center"/>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数量</w:t>
            </w:r>
          </w:p>
        </w:tc>
        <w:tc>
          <w:tcPr>
            <w:tcW w:w="1276" w:type="dxa"/>
            <w:vAlign w:val="center"/>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规格、型号</w:t>
            </w:r>
          </w:p>
        </w:tc>
        <w:tc>
          <w:tcPr>
            <w:tcW w:w="1417" w:type="dxa"/>
            <w:vAlign w:val="center"/>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制造商名称</w:t>
            </w:r>
          </w:p>
        </w:tc>
        <w:tc>
          <w:tcPr>
            <w:tcW w:w="992" w:type="dxa"/>
            <w:vAlign w:val="center"/>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原产地</w:t>
            </w:r>
          </w:p>
        </w:tc>
        <w:tc>
          <w:tcPr>
            <w:tcW w:w="1134" w:type="dxa"/>
            <w:vAlign w:val="center"/>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出厂日期（一年内）</w:t>
            </w:r>
          </w:p>
        </w:tc>
        <w:tc>
          <w:tcPr>
            <w:tcW w:w="1378" w:type="dxa"/>
            <w:vAlign w:val="center"/>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单价</w:t>
            </w:r>
          </w:p>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（人民币/元）</w:t>
            </w:r>
          </w:p>
        </w:tc>
        <w:tc>
          <w:tcPr>
            <w:tcW w:w="1457" w:type="dxa"/>
            <w:vAlign w:val="center"/>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合计</w:t>
            </w:r>
          </w:p>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投标名称：</w:t>
            </w:r>
          </w:p>
          <w:p>
            <w:pPr>
              <w:spacing w:line="360"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（注册证名称：）</w:t>
            </w:r>
          </w:p>
        </w:tc>
        <w:tc>
          <w:tcPr>
            <w:tcW w:w="709"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276" w:type="dxa"/>
          </w:tcPr>
          <w:p>
            <w:pPr>
              <w:spacing w:line="360"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投标型号：（注册证型号：）</w:t>
            </w:r>
          </w:p>
        </w:tc>
        <w:tc>
          <w:tcPr>
            <w:tcW w:w="1417"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992"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134" w:type="dxa"/>
          </w:tcPr>
          <w:p>
            <w:pPr>
              <w:spacing w:line="360"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kern w:val="0"/>
                <w:szCs w:val="21"/>
                <w:highlight w:val="none"/>
                <w14:textFill>
                  <w14:solidFill>
                    <w14:schemeClr w14:val="tx1"/>
                  </w14:solidFill>
                </w14:textFill>
              </w:rPr>
              <w:t>（交货日期的一年内）</w:t>
            </w:r>
          </w:p>
        </w:tc>
        <w:tc>
          <w:tcPr>
            <w:tcW w:w="1378"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457" w:type="dxa"/>
          </w:tcPr>
          <w:p>
            <w:pPr>
              <w:spacing w:line="360" w:lineRule="auto"/>
              <w:jc w:val="left"/>
              <w:rPr>
                <w:rFonts w:ascii="仿宋" w:hAnsi="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709"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276"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417"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992"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134"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378"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457" w:type="dxa"/>
          </w:tcPr>
          <w:p>
            <w:pPr>
              <w:spacing w:line="360" w:lineRule="auto"/>
              <w:jc w:val="left"/>
              <w:rPr>
                <w:rFonts w:ascii="仿宋" w:hAnsi="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配套及随机附带产品名称</w:t>
            </w:r>
          </w:p>
        </w:tc>
        <w:tc>
          <w:tcPr>
            <w:tcW w:w="709"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276"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417"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992"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134"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378"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457" w:type="dxa"/>
          </w:tcPr>
          <w:p>
            <w:pPr>
              <w:spacing w:line="360" w:lineRule="auto"/>
              <w:jc w:val="left"/>
              <w:rPr>
                <w:rFonts w:ascii="仿宋" w:hAnsi="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384"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709"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276"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417"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992"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134"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378"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457" w:type="dxa"/>
          </w:tcPr>
          <w:p>
            <w:pPr>
              <w:spacing w:line="360" w:lineRule="auto"/>
              <w:jc w:val="left"/>
              <w:rPr>
                <w:rFonts w:ascii="仿宋" w:hAnsi="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384"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709"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276"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417"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992"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134"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378" w:type="dxa"/>
          </w:tcPr>
          <w:p>
            <w:pPr>
              <w:spacing w:line="360" w:lineRule="auto"/>
              <w:jc w:val="left"/>
              <w:rPr>
                <w:rFonts w:ascii="仿宋" w:hAnsi="仿宋" w:cs="仿宋"/>
                <w:color w:val="000000" w:themeColor="text1"/>
                <w:szCs w:val="21"/>
                <w:highlight w:val="none"/>
                <w14:textFill>
                  <w14:solidFill>
                    <w14:schemeClr w14:val="tx1"/>
                  </w14:solidFill>
                </w14:textFill>
              </w:rPr>
            </w:pPr>
          </w:p>
        </w:tc>
        <w:tc>
          <w:tcPr>
            <w:tcW w:w="1457" w:type="dxa"/>
          </w:tcPr>
          <w:p>
            <w:pPr>
              <w:spacing w:line="360" w:lineRule="auto"/>
              <w:jc w:val="left"/>
              <w:rPr>
                <w:rFonts w:ascii="仿宋" w:hAnsi="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2093" w:type="dxa"/>
            <w:gridSpan w:val="2"/>
          </w:tcPr>
          <w:p>
            <w:pPr>
              <w:spacing w:line="360" w:lineRule="auto"/>
              <w:jc w:val="center"/>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成交总价</w:t>
            </w:r>
          </w:p>
        </w:tc>
        <w:tc>
          <w:tcPr>
            <w:tcW w:w="7654" w:type="dxa"/>
            <w:gridSpan w:val="6"/>
          </w:tcPr>
          <w:p>
            <w:pPr>
              <w:spacing w:line="360"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（小写）RMB            （大写）  圆整</w:t>
            </w:r>
          </w:p>
        </w:tc>
      </w:tr>
    </w:tbl>
    <w:p>
      <w:pPr>
        <w:spacing w:line="360" w:lineRule="auto"/>
        <w:rPr>
          <w:rFonts w:ascii="仿宋" w:hAnsi="仿宋" w:cs="仿宋"/>
          <w:b/>
          <w:color w:val="000000" w:themeColor="text1"/>
          <w:szCs w:val="21"/>
          <w:highlight w:val="none"/>
          <w14:textFill>
            <w14:solidFill>
              <w14:schemeClr w14:val="tx1"/>
            </w14:solidFill>
          </w14:textFill>
        </w:rPr>
      </w:pP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第二条  产品的价格与货款的结算</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产品的价格</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(1) 人民币：（小写）    RMB（大写）     圆整。（含税）该价格已经包括了甲方履行本合同所需支付的全部费用，除此之外，甲方不负责其他任何费用。</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(2) 乙方投标的产品单价在合同的执行过程中是固定不变的，如经甲方同意，采购数量发生变更，总价按实际交付签收单结算。</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本合同全部价款，将按照下述付款进度支付:(1)合同签订后7日内乙方需按照合同所附保函格式开具符合甲方要求的 30%合同金额预付款保函，乙方办理预付款保函的费用己包括在合同价格内。甲方应在收到预付款保函之日起【7】日内，向乙方指定帐户支付30%合同金额的预付款。(2)乙方需在合同签订后四个月内按照合同所附保函格式开具符合甲方要求的70%合同金额履约保函，乙方办理预付款保函的费用己包括在合同价格内。甲方应在收到履约保函之日起【7】日内，向乙方指定帐户支付70%合同金额的预付款。(3)设备到达甲方指定地点并收到乙方出具的正本全额增值税专用发票，甲方即退回70%履约保函，乙方提交发票的信息与合同中的收款单位、银行账户(包括银行账户名称、账号、开户行)等信息必须保持一致。乙方不得随意更改，否则影响付款的后果由乙方自行承担。乙方需按照合同所附保函格式开具符合甲方要求的预付款保函及履约保函，保函需由甲方认可的商业银行以书面形式出具，保函有效期自开立之日起生效至2025年9月底。甲方支付款项前，乙方应当事前依规定提交等额的增值税发票，否则甲方有权顺延支付而无须承担逾期付款的违约责任，乙方不得以此为由不履行合同。</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执行国家相关标准、行业标准、地方标准或者其他标准、规范。根据国家或地方政府规定强制检验、检测、检疫、认证证明产生的费用由乙方承担。</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 乙方承诺，除本次安装调试外，在设备寿命使用周期内再提供免费搬运、安装调试一次。</w:t>
      </w:r>
    </w:p>
    <w:p>
      <w:pPr>
        <w:spacing w:line="360" w:lineRule="auto"/>
        <w:rPr>
          <w:rFonts w:ascii="仿宋" w:hAnsi="仿宋" w:cs="仿宋"/>
          <w:b/>
          <w:color w:val="000000" w:themeColor="text1"/>
          <w:szCs w:val="21"/>
          <w:highlight w:val="none"/>
          <w14:textFill>
            <w14:solidFill>
              <w14:schemeClr w14:val="tx1"/>
            </w14:solidFill>
          </w14:textFill>
        </w:rPr>
      </w:pP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第三条  产品的包装与装运标记</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包装</w:t>
      </w:r>
    </w:p>
    <w:p>
      <w:pPr>
        <w:spacing w:line="360" w:lineRule="auto"/>
        <w:ind w:left="522" w:leftChars="92" w:hanging="329" w:hangingChars="1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乙方应提供产品运至合同规定的最终目的地所需要的包装，以防止产品在转运中损坏或变质。这类包装应采取防潮、防晒、防腐蚀、防震动及防止其它损坏的必要保护措施，从而保护产品能够经受多次搬运、装卸及远洋和内陆的长途运输。乙方应承担由于其包装或其防护措施不妥而引起产品锈蚀、损坏和丢失的任何损失的责任或费用。</w:t>
      </w:r>
    </w:p>
    <w:p>
      <w:pPr>
        <w:spacing w:line="360" w:lineRule="auto"/>
        <w:ind w:left="522" w:leftChars="92" w:hanging="329" w:hangingChars="1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对于木质包装材料，应按照中华人民共和国国家质量监督检验检疫总局的规定，对木质包装进行除害处理并加施IPPC专用标识的声明或未使用木质包装的声明。如果乙方未能及时提供上述证明或声明，乙方应赔偿甲方因此遭受的所有损失和费用，包括但不限于仓储费、滞期费、滞箱费，以及甲方在卸货港对木质包装实施除害处理、销毁处理或作退运处理所发生的所有费用。</w:t>
      </w:r>
    </w:p>
    <w:p>
      <w:pPr>
        <w:spacing w:line="360" w:lineRule="auto"/>
        <w:ind w:left="522" w:leftChars="92" w:hanging="329" w:hangingChars="1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若乙方未按照合同规定的要求进行包装，导致合同产品在清关及内陆运输过程中出现的短少、瑕疵、损坏等情况，乙方应承担相应的赔偿责任。</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装运标记</w:t>
      </w:r>
    </w:p>
    <w:p>
      <w:pPr>
        <w:spacing w:line="360" w:lineRule="auto"/>
        <w:ind w:firstLine="210" w:firstLineChars="1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乙方应在每一包装箱相邻的四面用不可擦除的油漆和明显的中文/英文字样做出以下标记：</w:t>
      </w:r>
    </w:p>
    <w:p>
      <w:pPr>
        <w:spacing w:line="360" w:lineRule="auto"/>
        <w:ind w:firstLine="539" w:firstLine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收货人名称及地址</w:t>
      </w:r>
    </w:p>
    <w:p>
      <w:pPr>
        <w:spacing w:line="360" w:lineRule="auto"/>
        <w:ind w:firstLine="539" w:firstLine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合同号</w:t>
      </w:r>
    </w:p>
    <w:p>
      <w:pPr>
        <w:spacing w:line="360" w:lineRule="auto"/>
        <w:ind w:firstLine="539" w:firstLine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发货标记</w:t>
      </w:r>
    </w:p>
    <w:p>
      <w:pPr>
        <w:spacing w:line="360" w:lineRule="auto"/>
        <w:ind w:firstLine="539" w:firstLine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 收货人编号</w:t>
      </w:r>
    </w:p>
    <w:p>
      <w:pPr>
        <w:spacing w:line="360" w:lineRule="auto"/>
        <w:ind w:firstLine="539" w:firstLine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5) 目的地</w:t>
      </w:r>
    </w:p>
    <w:p>
      <w:pPr>
        <w:spacing w:line="360" w:lineRule="auto"/>
        <w:ind w:firstLine="539" w:firstLine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 产品名称、品目号和箱号</w:t>
      </w:r>
    </w:p>
    <w:p>
      <w:pPr>
        <w:spacing w:line="360" w:lineRule="auto"/>
        <w:ind w:firstLine="539" w:firstLine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 毛重／净重（用kg表示）</w:t>
      </w:r>
    </w:p>
    <w:p>
      <w:pPr>
        <w:spacing w:line="360" w:lineRule="auto"/>
        <w:ind w:firstLine="539" w:firstLine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8) 尺寸（长×宽×高 用cm表示）</w:t>
      </w:r>
    </w:p>
    <w:p>
      <w:pPr>
        <w:spacing w:line="360" w:lineRule="auto"/>
        <w:ind w:firstLine="539" w:firstLine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9) 发货人名称及地址</w:t>
      </w:r>
    </w:p>
    <w:p>
      <w:pPr>
        <w:spacing w:line="360" w:lineRule="auto"/>
        <w:ind w:left="526" w:leftChars="58" w:hanging="405" w:hangingChars="193"/>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(2) 如果单件包装箱的质量在2吨 (t) 或2吨 (t) 以上，乙方应在包装箱两侧用中文/英文和国际贸易通用的运输标记标注“重心”和“起吊点”，以便装卸和搬运。根据产品的特点和运输的不同要求，乙方应在包装箱上清楚地标注“小心轻放”、“此端朝上，请勿倒置”、“保持干燥”等字样和其它国际贸易中使用的适当标记。</w:t>
      </w:r>
    </w:p>
    <w:p>
      <w:pPr>
        <w:spacing w:line="360" w:lineRule="auto"/>
        <w:ind w:left="515" w:leftChars="118" w:hanging="268" w:hangingChars="128"/>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乙方保证所使用包装材料符合环境卫生标准。包装物由乙方自行回收，甲方对其完整性和循环可利用性不承担责任。</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第四条  产品的装运条件、装运通知、发运通知与运输</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装运条件：乙方应负责安排订仓位、运输和支付运费，以确保按照合同规定的交货期交货。</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发运通知：乙方应随时向甲方通报合同产品状态和预计交货时间，并在取得甲方同意后，发运产品。</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运输</w:t>
      </w:r>
    </w:p>
    <w:p>
      <w:pPr>
        <w:spacing w:line="360" w:lineRule="auto"/>
        <w:ind w:left="540" w:hanging="539" w:hanging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(1) 乙方应负责办理、支付将产品运至甲方住所地或合同中指定的其它目的地的一切运输事项，相关费用已包括在本合同价中。</w:t>
      </w:r>
    </w:p>
    <w:p>
      <w:pPr>
        <w:spacing w:line="360" w:lineRule="auto"/>
        <w:ind w:firstLine="210" w:firstLineChars="1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乙方对所选择承运人，事先应负责资质和实力审慎审核，并获甲方同意。</w:t>
      </w:r>
    </w:p>
    <w:p>
      <w:pPr>
        <w:spacing w:line="360" w:lineRule="auto"/>
        <w:rPr>
          <w:rFonts w:ascii="仿宋" w:hAnsi="仿宋" w:cs="仿宋"/>
          <w:b/>
          <w:color w:val="000000" w:themeColor="text1"/>
          <w:szCs w:val="21"/>
          <w:highlight w:val="none"/>
          <w14:textFill>
            <w14:solidFill>
              <w14:schemeClr w14:val="tx1"/>
            </w14:solidFill>
          </w14:textFill>
        </w:rPr>
      </w:pP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第五条  保险</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乙方应对本合同下提供的产品，按本条款规定的方式，用一种可以自由兑换的货币对其在制造、购置、运输、存放及交货过程中的丢失或损坏进行全面保险。</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乙方需按照最终用户项目现场条款办理保险，并以甲方为受益人，以合同货币为保险货币，以发票金额的110％投保一切险和战争险。保险单上应注明“可以在中国理赔”，并且在保险单上不应含有抵免条款。</w:t>
      </w:r>
    </w:p>
    <w:p>
      <w:pPr>
        <w:spacing w:line="360" w:lineRule="auto"/>
        <w:rPr>
          <w:rFonts w:ascii="仿宋" w:hAnsi="仿宋" w:cs="仿宋"/>
          <w:color w:val="000000" w:themeColor="text1"/>
          <w:szCs w:val="21"/>
          <w:highlight w:val="none"/>
          <w14:textFill>
            <w14:solidFill>
              <w14:schemeClr w14:val="tx1"/>
            </w14:solidFill>
          </w14:textFill>
        </w:rPr>
      </w:pP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第六条  产品的交货与单据</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产品的交货</w:t>
      </w:r>
    </w:p>
    <w:p>
      <w:pPr>
        <w:spacing w:line="360" w:lineRule="auto"/>
        <w:ind w:left="540" w:hanging="539" w:hangingChars="257"/>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(1) 交货期限：交货日期为自本合同签字日起国产设备1个月内，进口设备</w:t>
      </w:r>
      <w:r>
        <w:rPr>
          <w:rFonts w:ascii="仿宋" w:hAnsi="仿宋" w:cs="仿宋"/>
          <w:color w:val="000000" w:themeColor="text1"/>
          <w:szCs w:val="21"/>
          <w:highlight w:val="none"/>
          <w14:textFill>
            <w14:solidFill>
              <w14:schemeClr w14:val="tx1"/>
            </w14:solidFill>
          </w14:textFill>
        </w:rPr>
        <w:t>3</w:t>
      </w:r>
      <w:r>
        <w:rPr>
          <w:rFonts w:hint="eastAsia" w:ascii="仿宋" w:hAnsi="仿宋" w:cs="仿宋"/>
          <w:color w:val="000000" w:themeColor="text1"/>
          <w:szCs w:val="21"/>
          <w:highlight w:val="none"/>
          <w14:textFill>
            <w14:solidFill>
              <w14:schemeClr w14:val="tx1"/>
            </w14:solidFill>
          </w14:textFill>
        </w:rPr>
        <w:t>个月内，以乙方将产品送达甲方指定到货地点、卸货并</w:t>
      </w:r>
      <w:r>
        <w:rPr>
          <w:rFonts w:hint="eastAsia" w:ascii="仿宋" w:hAnsi="仿宋" w:cs="仿宋"/>
          <w:color w:val="000000" w:themeColor="text1"/>
          <w:szCs w:val="21"/>
          <w:highlight w:val="none"/>
          <w:lang w:eastAsia="zh-Hans"/>
          <w14:textFill>
            <w14:solidFill>
              <w14:schemeClr w14:val="tx1"/>
            </w14:solidFill>
          </w14:textFill>
        </w:rPr>
        <w:t>完成</w:t>
      </w:r>
      <w:r>
        <w:rPr>
          <w:rFonts w:hint="eastAsia" w:ascii="仿宋" w:hAnsi="仿宋" w:cs="仿宋"/>
          <w:color w:val="000000" w:themeColor="text1"/>
          <w:szCs w:val="21"/>
          <w:highlight w:val="none"/>
          <w14:textFill>
            <w14:solidFill>
              <w14:schemeClr w14:val="tx1"/>
            </w14:solidFill>
          </w14:textFill>
        </w:rPr>
        <w:t>安装</w:t>
      </w:r>
      <w:r>
        <w:rPr>
          <w:rFonts w:hint="eastAsia" w:ascii="仿宋" w:hAnsi="仿宋" w:cs="仿宋"/>
          <w:color w:val="000000" w:themeColor="text1"/>
          <w:szCs w:val="21"/>
          <w:highlight w:val="none"/>
          <w:lang w:eastAsia="zh-Hans"/>
          <w14:textFill>
            <w14:solidFill>
              <w14:schemeClr w14:val="tx1"/>
            </w14:solidFill>
          </w14:textFill>
        </w:rPr>
        <w:t>、调试</w:t>
      </w:r>
      <w:r>
        <w:rPr>
          <w:rFonts w:hint="eastAsia" w:ascii="仿宋" w:hAnsi="仿宋" w:cs="仿宋"/>
          <w:color w:val="000000" w:themeColor="text1"/>
          <w:szCs w:val="21"/>
          <w:highlight w:val="none"/>
          <w14:textFill>
            <w14:solidFill>
              <w14:schemeClr w14:val="tx1"/>
            </w14:solidFill>
          </w14:textFill>
        </w:rPr>
        <w:t>的日期为准。</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(2) 交货单位（乙方）：</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(3) 交货方法：由乙方负责送货到甲方指定地点，包括卸货、合理堆放。</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(4)到货地点和收货单位（或收货人）</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1) 到货地点：大连市沙河口区中山路467号（大连医科大学附属第二医院）</w:t>
      </w:r>
    </w:p>
    <w:p>
      <w:pPr>
        <w:spacing w:line="360" w:lineRule="auto"/>
        <w:ind w:firstLine="315" w:firstLineChars="15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 2) 收货单位：大连医科大学附属第二医院</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单据</w:t>
      </w:r>
    </w:p>
    <w:p>
      <w:pPr>
        <w:spacing w:line="360" w:lineRule="auto"/>
        <w:ind w:firstLine="105" w:firstLineChars="5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乙方应提供以下文件：</w:t>
      </w:r>
    </w:p>
    <w:p>
      <w:pPr>
        <w:spacing w:line="360" w:lineRule="auto"/>
        <w:ind w:firstLine="44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乙方的资质和医疗器械的合格证明文件；</w:t>
      </w:r>
    </w:p>
    <w:p>
      <w:pPr>
        <w:spacing w:line="360" w:lineRule="auto"/>
        <w:ind w:left="653" w:leftChars="183" w:hanging="26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产品中文说明书、中文标签。说明书、标签应当符合法律法规规定以及相关强制性标准的要求，并在说明书中载明医疗器械的原产地以及代理人的名称、地址、联系方式；</w:t>
      </w:r>
    </w:p>
    <w:p>
      <w:pPr>
        <w:spacing w:line="360" w:lineRule="auto"/>
        <w:ind w:firstLine="44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招标文件中要求的其他证件或证明文件。</w:t>
      </w:r>
    </w:p>
    <w:p>
      <w:pPr>
        <w:spacing w:line="360" w:lineRule="auto"/>
        <w:ind w:left="396" w:leftChars="46" w:hanging="300" w:hangingChars="143"/>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乙方应按本合同的规定，按时提交有关单证，并担保各单证及其内容的正确性、完整性和一致性。否则，乙方应承担由于乙方单证出现问题而产生的一切费用。</w:t>
      </w:r>
    </w:p>
    <w:p>
      <w:pPr>
        <w:spacing w:line="360" w:lineRule="auto"/>
        <w:ind w:left="396" w:leftChars="46" w:hanging="300" w:hangingChars="143"/>
        <w:rPr>
          <w:rFonts w:ascii="仿宋" w:hAnsi="仿宋" w:cs="仿宋"/>
          <w:color w:val="000000" w:themeColor="text1"/>
          <w:szCs w:val="21"/>
          <w:highlight w:val="none"/>
          <w14:textFill>
            <w14:solidFill>
              <w14:schemeClr w14:val="tx1"/>
            </w14:solidFill>
          </w14:textFill>
        </w:rPr>
      </w:pP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第七条  产品的验收</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验收标准及方法：本项目采购人及其委托的采购代理机构将严格按照政府采购相关法律法规以及《辽宁省政府采购履约验收管理办法》（辽财采〔2017〕603号）的要求进行验收。交付产品应为自交货日期前一年内生产的全新产品，否则不予验收。</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在交货前，乙方应让制造商对产品的质量、规格、性能、数量和重量等进行详细而全面的检验，并出具一份证明产品符合合同规定的检验证书，检验证书是付款时提交给议付行的文件的一个组成部分，但不能作为有关质量、规格、性能、数量或重量的最终检验。制造商检验的结果和细节应附在质量检验证书后面。</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产品运抵交货地点后，甲乙双方（含商检）应于</w:t>
      </w:r>
      <w:r>
        <w:rPr>
          <w:rFonts w:hint="eastAsia" w:ascii="仿宋" w:hAnsi="仿宋" w:cs="仿宋"/>
          <w:color w:val="000000" w:themeColor="text1"/>
          <w:szCs w:val="21"/>
          <w:highlight w:val="none"/>
          <w:u w:val="single"/>
          <w14:textFill>
            <w14:solidFill>
              <w14:schemeClr w14:val="tx1"/>
            </w14:solidFill>
          </w14:textFill>
        </w:rPr>
        <w:t xml:space="preserve">  10 </w:t>
      </w:r>
      <w:r>
        <w:rPr>
          <w:rFonts w:hint="eastAsia" w:ascii="仿宋" w:hAnsi="仿宋" w:cs="仿宋"/>
          <w:color w:val="000000" w:themeColor="text1"/>
          <w:szCs w:val="21"/>
          <w:highlight w:val="none"/>
          <w14:textFill>
            <w14:solidFill>
              <w14:schemeClr w14:val="tx1"/>
            </w14:solidFill>
          </w14:textFill>
        </w:rPr>
        <w:t>日内一同对包装箱共同开箱检验。如果任何被检验或测试的产品不能满足规格的要求，甲方可以拒绝接受该产品，乙方应更换被拒绝的产品，或者免费进行必要的修改以满足规格的要求。</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 货到后，乙方须在约定的时间内，到指定的地点免费为用户进行安装、调试。</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5. 免费提供产品的中文使用说明、中文维修手册、中文操作手册和现场培训，并提供维护手册电子版文件，有标准的开放数字化接口（并配合甲方完成HIS系统的对接工作）等。自带独立软件操作系统的（一般为进口设备），需提供系统备份。特殊专科设备在现场培训的同时，应根据院方要求提供设备临床现场使用指导服务。如产品属于特种设备，乙方应在产品安装前或者投入使用后1个月内配合相关科室完成特种设备使用登记，取得使用登记证书。</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 甲方在产品到达目的港和/或货物交付/安装最终目的地后对货物进行检验、测试及必要时拒绝接受产品的权利将不会因为产品在从来源国/地区启运前通过了乙方或其代表的检验、测试和认可而受到限制或放弃。</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 产品抵达目的港和／或最终目的地后，甲方应向中华人民共和国国家出入境检验检疫局（以下称为“检验检疫局”）申请对产品的质量、规格、数量等进行检验，并由检验检疫局向甲方出具交货后检验证书。如果检验检疫局发现质量、规格、数量等有与合同规定不一致的地方，甲方有权在产品到达最终目的地后90日内向乙方提出索赔。</w:t>
      </w:r>
    </w:p>
    <w:p>
      <w:pPr>
        <w:spacing w:line="360" w:lineRule="auto"/>
        <w:rPr>
          <w:rFonts w:ascii="仿宋" w:hAnsi="仿宋" w:cs="仿宋"/>
          <w:color w:val="000000" w:themeColor="text1"/>
          <w:szCs w:val="21"/>
          <w:highlight w:val="none"/>
          <w14:textFill>
            <w14:solidFill>
              <w14:schemeClr w14:val="tx1"/>
            </w14:solidFill>
          </w14:textFill>
        </w:rPr>
      </w:pP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第八条  质量保证和售后服务要求，需满足的服务标准、期限、效率等</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产品原厂质量保证期为产品验收合格后</w:t>
      </w:r>
      <w:r>
        <w:rPr>
          <w:rFonts w:hint="eastAsia" w:ascii="仿宋" w:hAnsi="仿宋" w:cs="仿宋"/>
          <w:color w:val="000000" w:themeColor="text1"/>
          <w:szCs w:val="21"/>
          <w:highlight w:val="none"/>
          <w:u w:val="single"/>
          <w14:textFill>
            <w14:solidFill>
              <w14:schemeClr w14:val="tx1"/>
            </w14:solidFill>
          </w14:textFill>
        </w:rPr>
        <w:t xml:space="preserve"> </w:t>
      </w:r>
      <w:r>
        <w:rPr>
          <w:rFonts w:ascii="仿宋" w:hAnsi="仿宋" w:cs="仿宋"/>
          <w:color w:val="000000" w:themeColor="text1"/>
          <w:szCs w:val="21"/>
          <w:highlight w:val="none"/>
          <w:u w:val="single"/>
          <w14:textFill>
            <w14:solidFill>
              <w14:schemeClr w14:val="tx1"/>
            </w14:solidFill>
          </w14:textFill>
        </w:rPr>
        <w:t xml:space="preserve"> </w:t>
      </w:r>
      <w:r>
        <w:rPr>
          <w:rFonts w:hint="eastAsia" w:ascii="仿宋" w:hAnsi="仿宋" w:cs="仿宋"/>
          <w:color w:val="000000" w:themeColor="text1"/>
          <w:szCs w:val="21"/>
          <w:highlight w:val="none"/>
          <w:u w:val="single"/>
          <w14:textFill>
            <w14:solidFill>
              <w14:schemeClr w14:val="tx1"/>
            </w14:solidFill>
          </w14:textFill>
        </w:rPr>
        <w:t>个月</w:t>
      </w:r>
      <w:r>
        <w:rPr>
          <w:rFonts w:hint="eastAsia" w:ascii="仿宋" w:hAnsi="仿宋" w:cs="仿宋"/>
          <w:color w:val="000000" w:themeColor="text1"/>
          <w:szCs w:val="21"/>
          <w:highlight w:val="none"/>
          <w14:textFill>
            <w14:solidFill>
              <w14:schemeClr w14:val="tx1"/>
            </w14:solidFill>
          </w14:textFill>
        </w:rPr>
        <w:t>。</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乙方保证其供应的本合同设备是全新的，技术水平是先进的、成熟的、质量优良的，设备的选型均符合安全可靠、经济运行和易于维护的要求。乙方保证根据本合同所交付的技术材料完整统一和内容正确、准确的并能满足合同设备的设计、安装、调试、运行和维修的要求。</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在质保期内因货物本身的质量问题发生故障，乙方应负责免费更换。对达不到技术要求及质量要求者（包括且不限于以下情况：①质保期内同类故障发生3次及以上产品；②质保期内发生故障，修复期超过14个工作日；③质保期内维修响应时间超过1天），院方可要求进行退货处理，乙方应退还甲方支付的全部合同款，同时应承担该货物的直接费用（运输、保险、检验、货款利息及银行手续费等）。</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 本设备合同执行期间，如果乙方提供的设备有缺陷或技术资料有错误，或者由于乙方技术人员指导错误和疏忽，造成工程返工、设备报废，乙方应立即无偿更换和修理。如需更换，乙方应负担由此产生的到安装现场更换的一切费用，更换期限应不迟于证实属乙方责任之日起国产设备一个月，进口设备三个月，修理期限应不迟于证实属乙方责任之日起5日。</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5. 如由于乙方责任需要更换、修理有缺陷的设备，而使合同设备停运或推迟安装时，则保证期应按实际修理或更换所延误的时间做相应的延长。</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6. 质保期内，乙方必须在接到甲方报修通知后4小时内电话反馈，24小时内维修工程师到达现场，48小时内维修配件到达现场进行维修。在产品质保期内上门免费服务，须免费维护、维修或更换系统故障部件；超过质保期的机器设备,须终生提供技术服务及维修服务,维修时只收部件费，并承诺所收部件费为全国最低价。免费质保服务应包含“人工费”、“配件费”等全部费用。除本合同另有约定外，甲方不负责其他任何费用。 </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 质保期满后，乙方必须在接到甲方维修通知后1天内派人至甲方现场维修。设备的维修、更换，可向甲方酌情收取成本费和服务费，收费标准另行约定。</w:t>
      </w: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第九条  索赔</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甲方在验收中，如果发现产品的原产地、品种、型号、规格、花色和质量不合规定，或者系使用过的旧产品，应一面妥为保管，一面在60日内向乙方提出书面异议；甲方有权拒付不符合合同规定部分产品的货款。</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如果甲方未按照规定期限提出书面异议的，视为所交产品符合合同规定，产品潜在品质缺陷除外。</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有证据证明产品因甲方使用、保管、保养不善等造成产品质量下降的，不得提出异议。</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 乙方在接到甲方书面异议后，应在30日内负责处理，否则视为默认甲方提出的异议和处理意见。</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5. 在合同规定的质量保证期满前如果发现产品的质量或规格与合同不符，或发生产品无论任何原因引起的缺陷，包括潜在的缺陷或使用不良材料，甲方有权根据权威机构出具的检验证书等证据向乙方索赔包括诉讼（仲裁）费、律师费、鉴定费、公证费等在内的全部损失。</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 如果在甲方发出索赔通知后30日内，乙方未做答复，应视为索赔已被乙方接受。</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7. 在验收及使用过程中，一项或数项技术指标未能达到乙方在投标文件中承诺到技术指标，甲方有权按照每一未达到项扣除不少于合同总价1％向乙方进行索赔，此款项可从未支付款项中直接扣除，应付索赔金余额不足扣除的，乙方应另行支付赔偿金或罚金；同时乙方将被列入国家卫生计生委集中采购不良纪录名单。</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8. 如果交付的产品不符合合同约定，乙方负责向甲方退还所收货款，并承担甲方的全部损失和费用，包括违约金、利息、银行费用、运费、运杂费、仓储保管费、验收费、鉴定费、公证费、诉讼费和律师费等。</w:t>
      </w:r>
    </w:p>
    <w:p>
      <w:pPr>
        <w:spacing w:line="360" w:lineRule="auto"/>
        <w:rPr>
          <w:rFonts w:ascii="仿宋" w:hAnsi="仿宋" w:cs="仿宋"/>
          <w:color w:val="000000" w:themeColor="text1"/>
          <w:szCs w:val="21"/>
          <w:highlight w:val="none"/>
          <w14:textFill>
            <w14:solidFill>
              <w14:schemeClr w14:val="tx1"/>
            </w14:solidFill>
          </w14:textFill>
        </w:rPr>
      </w:pP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第十条 乙方的权利和义务</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乙方负责合同履行中的产品供货、进口报关、商检、水陆运输、保险、安装、培训、售后服务及设备使用等所有问题。</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自本合同签订之日起 30 日内，提供《项目确认书》，《项目确认书》中应明确项目进度、产品质量要求、交货时间、交货地点等有关情况。</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3. 除非本合同另有约定，乙方负责按照国家有关法律法规规定到国家相关行政主管部门办理项目所需的各种手续，包括不限于申请、登记、备案、许可。 </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 收到甲方按照乙方资金使用计划支付的相关款项后及时办理对外付款，按照约定和甲方办理财务结算，办理清关、提运、保险、商检、免税、入库以及国内外运输等事宜。</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5. 合同履行过程中，乙方应及时向甲方通报有关情况，及时解决出现的问题。</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 乙方应本着诚实信用原则、谨慎勤勉的完成工作，并保证未经甲方书面同意，不得将本合同转委托第三人或将本合同项下权利和义务全部或部分转让第三人。</w:t>
      </w: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第十一条  甲方的违约责任</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甲方无故中途退货，应向乙方偿付退货部分货款3％的违约金。</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甲方未按合同规定的时间和要求提供应交的技术资料的，交货日期顺延，如果不能提供的，按中途退货处理。</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甲方违反合同规定无正当理由拒绝接收货物的，应当承担由此造成的损失。</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乙方按照约定完全履行本合同约定的义务后，甲方应及时按照甲方的审批制度进行相应的审批工作，待审批程序完成后应及时向乙方支付合同款项。若因甲方未及时履行审批等程序而造成延迟支付款项的依照法律规定承担相应的违约责任。</w:t>
      </w: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第十二条 乙方的违约责任</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非因法定原因，乙方不得单方终止本合同。如乙方擅自终止合同，除负责返还甲方已付的合同总金额款项（并同期贷款利息）外，还要向甲方承担合同总金额5%的违约金，并赔偿甲方的全部损失。</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2. 除不可抗力的情况外，如果乙方没有按照合同规定的时间交货和提供服务，甲方应在不影响合同项下的其他补救措施的情况下，从合同总价中扣除迟延交货违约金。每延误一日的迟延交货违约金，按迟交产品货价或未提供服务的服务费用的1‰计收，直至交货、提供服务或合同终止日为止。此项迟交违约金由合同总价中扣除。因乙方原因造成迟延交货超过90日时，甲方有权终止合同，甲方选择解除合同的，乙方除了按照上述约定支付违约金外，还应当承担相当于合同总价款30%的款项作为合同解除的赔偿金，并赔偿甲方的直接损失和可预期间接损失。乙方交付的货物不符合约定的，甲方有权要求退换货或维修，直至符合合同约定为止，因此造成逾期交货，按合同的有关逾期交货的违约条款处理。</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3. 乙方所交产品品种、型号、规格、花色、质量不符合合同规定的或与提交样品不一致的，甲方有权拒绝接收，乙方应无条件退货，同时承担相应的责任，赔偿相应的损失。如果甲方同意利用，可以按质协商折价；如果甲方认为不能利用的，应根据产品的具体情况，由乙方负责包换或包修，并承担尽快修理和运输，并支付实际发生的费用。乙方不能修理或者不能调换的，按乙方不能交货处理。</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4. 乙方提前交货的产品、多交的产品和品种、型号、规格、花色、质量不符合合同规定的产品，其由甲方在代保管期内实际支付的保管、保养等费用以及非因甲方保管不善而发生的损失，应当由乙方承担。</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5. 乙方产品错发到货地点或收货人的，由乙方承担全部责任。</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6. 乙方保证对所售商品在交付前不存在任何物权争议、他物权或系查封扣押财产；所售产品不存在知识产权侵权和纠纷，并对此承担全部法律责任。</w:t>
      </w: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第十三条  不可抗力</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甲乙双方的任何一方由于不可抗力的原因不能履行合同时，应</w:t>
      </w:r>
      <w:r>
        <w:rPr>
          <w:rFonts w:hint="eastAsia" w:ascii="仿宋" w:hAnsi="仿宋" w:cs="仿宋"/>
          <w:color w:val="000000" w:themeColor="text1"/>
          <w:szCs w:val="21"/>
          <w:highlight w:val="none"/>
          <w:lang w:eastAsia="zh-Hans"/>
          <w14:textFill>
            <w14:solidFill>
              <w14:schemeClr w14:val="tx1"/>
            </w14:solidFill>
          </w14:textFill>
        </w:rPr>
        <w:t>在七日内</w:t>
      </w:r>
      <w:r>
        <w:rPr>
          <w:rFonts w:hint="eastAsia" w:ascii="仿宋" w:hAnsi="仿宋" w:cs="仿宋"/>
          <w:color w:val="000000" w:themeColor="text1"/>
          <w:szCs w:val="21"/>
          <w:highlight w:val="none"/>
          <w14:textFill>
            <w14:solidFill>
              <w14:schemeClr w14:val="tx1"/>
            </w14:solidFill>
          </w14:textFill>
        </w:rPr>
        <w:t>向对方通报不能履行或能完全履行的理由，在取得有关主管机关的证明以后，允许延期履行、部分履行或者不履行合同，并根据情况可部分或全部免予承担违约责任。</w:t>
      </w:r>
    </w:p>
    <w:p>
      <w:pPr>
        <w:spacing w:line="360" w:lineRule="auto"/>
        <w:rPr>
          <w:rFonts w:ascii="仿宋" w:hAnsi="仿宋" w:cs="仿宋"/>
          <w:b/>
          <w:bCs/>
          <w:color w:val="000000" w:themeColor="text1"/>
          <w:szCs w:val="21"/>
          <w:highlight w:val="none"/>
          <w14:textFill>
            <w14:solidFill>
              <w14:schemeClr w14:val="tx1"/>
            </w14:solidFill>
          </w14:textFill>
        </w:rPr>
      </w:pPr>
    </w:p>
    <w:p>
      <w:pPr>
        <w:spacing w:line="360" w:lineRule="auto"/>
        <w:rPr>
          <w:rFonts w:ascii="仿宋" w:hAnsi="仿宋" w:cs="仿宋"/>
          <w:b/>
          <w:color w:val="000000" w:themeColor="text1"/>
          <w:szCs w:val="21"/>
          <w:highlight w:val="none"/>
          <w14:textFill>
            <w14:solidFill>
              <w14:schemeClr w14:val="tx1"/>
            </w14:solidFill>
          </w14:textFill>
        </w:rPr>
      </w:pPr>
      <w:r>
        <w:rPr>
          <w:rFonts w:hint="eastAsia" w:ascii="仿宋" w:hAnsi="仿宋" w:cs="仿宋"/>
          <w:b/>
          <w:bCs/>
          <w:color w:val="000000" w:themeColor="text1"/>
          <w:szCs w:val="21"/>
          <w:highlight w:val="none"/>
          <w14:textFill>
            <w14:solidFill>
              <w14:schemeClr w14:val="tx1"/>
            </w14:solidFill>
          </w14:textFill>
        </w:rPr>
        <w:t xml:space="preserve">第十四条  </w:t>
      </w:r>
      <w:r>
        <w:rPr>
          <w:rFonts w:hint="eastAsia" w:ascii="仿宋" w:hAnsi="仿宋" w:cs="仿宋"/>
          <w:b/>
          <w:color w:val="000000" w:themeColor="text1"/>
          <w:szCs w:val="21"/>
          <w:highlight w:val="none"/>
          <w14:textFill>
            <w14:solidFill>
              <w14:schemeClr w14:val="tx1"/>
            </w14:solidFill>
          </w14:textFill>
        </w:rPr>
        <w:t>其 他</w:t>
      </w:r>
    </w:p>
    <w:p>
      <w:pPr>
        <w:spacing w:line="360" w:lineRule="auto"/>
        <w:ind w:left="271" w:hanging="270" w:hangingChars="129"/>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1. 本合同的解释顺序为：（1）合同书及其附件（2）招标文件（3）甲乙双方确认的价格（4）投标文件（5）标准、规范及有关技术条件（6）甲乙双方确认的图纸</w:t>
      </w:r>
    </w:p>
    <w:p>
      <w:pPr>
        <w:pStyle w:val="17"/>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2.因执行本合同而引起的一切争议，由双方通过友好协商解决；协商不成时合同任一方均可向甲方所在地法院提起诉讼。</w:t>
      </w:r>
    </w:p>
    <w:p>
      <w:pPr>
        <w:pStyle w:val="17"/>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3. 甲乙双方共同承诺遵守采购廉洁书中的相关内容，详细内容见附件1.</w:t>
      </w:r>
    </w:p>
    <w:p>
      <w:pPr>
        <w:spacing w:line="360" w:lineRule="auto"/>
        <w:rPr>
          <w:rFonts w:ascii="仿宋" w:hAnsi="仿宋" w:cs="仿宋"/>
          <w:color w:val="000000" w:themeColor="text1"/>
          <w:szCs w:val="21"/>
          <w:highlight w:val="none"/>
          <w14:textFill>
            <w14:solidFill>
              <w14:schemeClr w14:val="tx1"/>
            </w14:solidFill>
          </w14:textFill>
        </w:rPr>
      </w:pPr>
      <w:r>
        <w:rPr>
          <w:rFonts w:hint="eastAsia" w:ascii="仿宋" w:hAnsi="仿宋" w:cs="仿宋"/>
          <w:b/>
          <w:bCs/>
          <w:color w:val="000000" w:themeColor="text1"/>
          <w:szCs w:val="21"/>
          <w:highlight w:val="none"/>
          <w14:textFill>
            <w14:solidFill>
              <w14:schemeClr w14:val="tx1"/>
            </w14:solidFill>
          </w14:textFill>
        </w:rPr>
        <w:t xml:space="preserve">第十五条  </w:t>
      </w:r>
      <w:r>
        <w:rPr>
          <w:rFonts w:hint="eastAsia" w:ascii="仿宋" w:hAnsi="仿宋" w:cs="仿宋"/>
          <w:color w:val="000000" w:themeColor="text1"/>
          <w:szCs w:val="21"/>
          <w:highlight w:val="none"/>
          <w14:textFill>
            <w14:solidFill>
              <w14:schemeClr w14:val="tx1"/>
            </w14:solidFill>
          </w14:textFill>
        </w:rPr>
        <w:t>本合同双方签字并加盖单位公章或合同专用章后生效，非法定原因，双方均不得单方变更或解除合同。合同条款如须变更、修改，经双方共同协商，做出补充规定，补充规定与本合同具有同等效力。本合同正本一式五份，具有同等法律效力。</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采购方单位（甲方）： 大连医科大学附属第二医院 （公章）</w:t>
      </w: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代    表    人：   </w:t>
      </w: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开  户  银  行：   光大银行西岗支行</w:t>
      </w: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账          号：   75910188000055140</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地          址：   辽宁省大连市沙河口区中山路467号</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电          话：   0411-84671291</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日          期：   </w:t>
      </w:r>
    </w:p>
    <w:p>
      <w:pPr>
        <w:spacing w:line="360" w:lineRule="auto"/>
        <w:ind w:firstLine="420" w:firstLineChars="200"/>
        <w:rPr>
          <w:rFonts w:ascii="仿宋" w:hAnsi="仿宋" w:cs="仿宋"/>
          <w:color w:val="000000" w:themeColor="text1"/>
          <w:szCs w:val="21"/>
          <w:highlight w:val="none"/>
          <w14:textFill>
            <w14:solidFill>
              <w14:schemeClr w14:val="tx1"/>
            </w14:solidFill>
          </w14:textFill>
        </w:rPr>
      </w:pP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供货方单位（乙方）：             （公章）</w:t>
      </w: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代    表    人：   </w:t>
      </w:r>
      <w:r>
        <w:rPr>
          <w:rFonts w:hint="eastAsia" w:ascii="仿宋" w:hAnsi="仿宋" w:cs="仿宋"/>
          <w:color w:val="000000" w:themeColor="text1"/>
          <w:szCs w:val="21"/>
          <w:highlight w:val="none"/>
          <w:u w:val="single"/>
          <w14:textFill>
            <w14:solidFill>
              <w14:schemeClr w14:val="tx1"/>
            </w14:solidFill>
          </w14:textFill>
        </w:rPr>
        <w:t>姓名（必须手签）+手机号码</w:t>
      </w: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如果是代表人(非企业法人)签字,请附代表人身份证复印件和法人授权委托书，PS：本行文字打印时请删除</w:t>
      </w: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开  户  银  行：   </w:t>
      </w: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账          号：   </w:t>
      </w: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地          址：   </w:t>
      </w:r>
    </w:p>
    <w:p>
      <w:pPr>
        <w:spacing w:line="360" w:lineRule="auto"/>
        <w:ind w:firstLine="420" w:firstLineChars="200"/>
        <w:rPr>
          <w:rFonts w:ascii="仿宋" w:hAnsi="仿宋" w:cs="仿宋"/>
          <w:color w:val="000000" w:themeColor="text1"/>
          <w:szCs w:val="21"/>
          <w:highlight w:val="none"/>
          <w:u w:val="singl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公  司  电  话：   </w:t>
      </w:r>
      <w:r>
        <w:rPr>
          <w:rFonts w:hint="eastAsia" w:ascii="仿宋" w:hAnsi="仿宋" w:cs="仿宋"/>
          <w:color w:val="000000" w:themeColor="text1"/>
          <w:szCs w:val="21"/>
          <w:highlight w:val="none"/>
          <w:u w:val="single"/>
          <w14:textFill>
            <w14:solidFill>
              <w14:schemeClr w14:val="tx1"/>
            </w14:solidFill>
          </w14:textFill>
        </w:rPr>
        <w:t>固定电话</w:t>
      </w:r>
    </w:p>
    <w:p>
      <w:pPr>
        <w:spacing w:line="360" w:lineRule="auto"/>
        <w:ind w:firstLine="44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 xml:space="preserve">日          期：   </w:t>
      </w:r>
    </w:p>
    <w:p>
      <w:pPr>
        <w:widowControl/>
        <w:jc w:val="left"/>
        <w:rPr>
          <w:rFonts w:ascii="仿宋" w:hAnsi="仿宋" w:cs="仿宋"/>
          <w:color w:val="000000" w:themeColor="text1"/>
          <w:szCs w:val="21"/>
          <w:highlight w:val="none"/>
          <w14:textFill>
            <w14:solidFill>
              <w14:schemeClr w14:val="tx1"/>
            </w14:solidFill>
          </w14:textFill>
        </w:rPr>
      </w:pPr>
    </w:p>
    <w:p>
      <w:pPr>
        <w:widowControl/>
        <w:jc w:val="left"/>
        <w:rPr>
          <w:rFonts w:ascii="仿宋" w:hAnsi="仿宋" w:cs="仿宋"/>
          <w:color w:val="000000" w:themeColor="text1"/>
          <w:szCs w:val="21"/>
          <w:highlight w:val="none"/>
          <w14:textFill>
            <w14:solidFill>
              <w14:schemeClr w14:val="tx1"/>
            </w14:solidFill>
          </w14:textFill>
        </w:rPr>
      </w:pPr>
    </w:p>
    <w:p>
      <w:pPr>
        <w:widowControl/>
        <w:jc w:val="left"/>
        <w:rPr>
          <w:rFonts w:ascii="仿宋" w:hAnsi="仿宋" w:cs="仿宋"/>
          <w:color w:val="000000" w:themeColor="text1"/>
          <w:szCs w:val="21"/>
          <w:highlight w:val="none"/>
          <w14:textFill>
            <w14:solidFill>
              <w14:schemeClr w14:val="tx1"/>
            </w14:solidFill>
          </w14:textFill>
        </w:rPr>
      </w:pPr>
    </w:p>
    <w:p>
      <w:pPr>
        <w:widowControl/>
        <w:jc w:val="left"/>
        <w:rPr>
          <w:rFonts w:ascii="仿宋" w:hAnsi="仿宋" w:cs="仿宋"/>
          <w:color w:val="000000" w:themeColor="text1"/>
          <w:szCs w:val="21"/>
          <w:highlight w:val="none"/>
          <w14:textFill>
            <w14:solidFill>
              <w14:schemeClr w14:val="tx1"/>
            </w14:solidFill>
          </w14:textFill>
        </w:rPr>
      </w:pPr>
    </w:p>
    <w:p>
      <w:pPr>
        <w:widowControl/>
        <w:jc w:val="left"/>
        <w:rPr>
          <w:rFonts w:ascii="仿宋" w:hAnsi="仿宋" w:cs="仿宋"/>
          <w:color w:val="000000" w:themeColor="text1"/>
          <w:szCs w:val="21"/>
          <w:highlight w:val="none"/>
          <w14:textFill>
            <w14:solidFill>
              <w14:schemeClr w14:val="tx1"/>
            </w14:solidFill>
          </w14:textFill>
        </w:rPr>
      </w:pPr>
    </w:p>
    <w:p>
      <w:pPr>
        <w:widowControl/>
        <w:jc w:val="left"/>
        <w:rPr>
          <w:rFonts w:ascii="仿宋" w:hAnsi="仿宋" w:cs="仿宋"/>
          <w:color w:val="000000" w:themeColor="text1"/>
          <w:szCs w:val="21"/>
          <w:highlight w:val="none"/>
          <w14:textFill>
            <w14:solidFill>
              <w14:schemeClr w14:val="tx1"/>
            </w14:solidFill>
          </w14:textFill>
        </w:rPr>
      </w:pPr>
    </w:p>
    <w:p>
      <w:pPr>
        <w:widowControl/>
        <w:jc w:val="left"/>
        <w:rPr>
          <w:rFonts w:ascii="仿宋" w:hAnsi="仿宋" w:cs="仿宋"/>
          <w:color w:val="000000" w:themeColor="text1"/>
          <w:szCs w:val="21"/>
          <w:highlight w:val="none"/>
          <w14:textFill>
            <w14:solidFill>
              <w14:schemeClr w14:val="tx1"/>
            </w14:solidFill>
          </w14:textFill>
        </w:rPr>
      </w:pPr>
    </w:p>
    <w:p>
      <w:pPr>
        <w:widowControl/>
        <w:jc w:val="left"/>
        <w:rPr>
          <w:rFonts w:ascii="仿宋" w:hAnsi="仿宋" w:cs="仿宋"/>
          <w:color w:val="000000" w:themeColor="text1"/>
          <w:szCs w:val="21"/>
          <w:highlight w:val="none"/>
          <w14:textFill>
            <w14:solidFill>
              <w14:schemeClr w14:val="tx1"/>
            </w14:solidFill>
          </w14:textFill>
        </w:rPr>
      </w:pPr>
    </w:p>
    <w:p>
      <w:pPr>
        <w:widowControl/>
        <w:jc w:val="left"/>
        <w:rPr>
          <w:rFonts w:ascii="仿宋" w:hAnsi="仿宋" w:cs="仿宋"/>
          <w:color w:val="000000" w:themeColor="text1"/>
          <w:szCs w:val="21"/>
          <w:highlight w:val="none"/>
          <w14:textFill>
            <w14:solidFill>
              <w14:schemeClr w14:val="tx1"/>
            </w14:solidFill>
          </w14:textFill>
        </w:rPr>
      </w:pPr>
    </w:p>
    <w:p>
      <w:pPr>
        <w:widowControl/>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附件1：</w:t>
      </w:r>
    </w:p>
    <w:p>
      <w:pPr>
        <w:jc w:val="center"/>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采购廉洁书</w:t>
      </w:r>
    </w:p>
    <w:p>
      <w:pPr>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甲方（医疗卫生机构）：大连医科大学附属第二医院</w:t>
      </w:r>
    </w:p>
    <w:p>
      <w:pPr>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乙方（医药生产经营企业及其代理人）：</w:t>
      </w:r>
    </w:p>
    <w:p>
      <w:pPr>
        <w:spacing w:line="360" w:lineRule="auto"/>
        <w:ind w:firstLine="525" w:firstLineChars="250"/>
        <w:jc w:val="left"/>
        <w:rPr>
          <w:rFonts w:ascii="仿宋" w:hAnsi="仿宋" w:cs="仿宋"/>
          <w:color w:val="000000" w:themeColor="text1"/>
          <w:szCs w:val="21"/>
          <w:highlight w:val="none"/>
          <w14:textFill>
            <w14:solidFill>
              <w14:schemeClr w14:val="tx1"/>
            </w14:solidFill>
          </w14:textFill>
        </w:rPr>
      </w:pPr>
    </w:p>
    <w:p>
      <w:pPr>
        <w:spacing w:line="276" w:lineRule="auto"/>
        <w:ind w:firstLine="525" w:firstLineChars="25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为进一步加强医疗卫生行风建设，规范医疗卫生机构医药购销行为，有效防范商业贿赂行为，营造公平交易、诚实守信的购销环境，经甲、乙双方协商，同意签订本合同，并共同遵守：</w:t>
      </w:r>
    </w:p>
    <w:p>
      <w:pPr>
        <w:numPr>
          <w:ilvl w:val="0"/>
          <w:numId w:val="9"/>
        </w:numPr>
        <w:spacing w:line="276"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甲乙双方按照《民法典》及医药产品购销合同约定购销药品、医用设备、医用耗材等医药产品。</w:t>
      </w:r>
    </w:p>
    <w:p>
      <w:pPr>
        <w:numPr>
          <w:ilvl w:val="0"/>
          <w:numId w:val="9"/>
        </w:numPr>
        <w:spacing w:line="276"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甲方应当严格执行医药产品购销合同验收、入库制度，对采购医药产品及发票进行查验，不得违反有关规定合同外采购、违价采购或从非规定渠道采购。</w:t>
      </w:r>
    </w:p>
    <w:p>
      <w:pPr>
        <w:numPr>
          <w:ilvl w:val="0"/>
          <w:numId w:val="9"/>
        </w:numPr>
        <w:spacing w:line="276"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pPr>
        <w:numPr>
          <w:ilvl w:val="0"/>
          <w:numId w:val="9"/>
        </w:numPr>
        <w:spacing w:line="276"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严禁甲方工作人员利用任何途径和方式，为乙方统计医师个人及临床科室有关医药产品用量信息，或为乙方统计提供便利。</w:t>
      </w:r>
    </w:p>
    <w:p>
      <w:pPr>
        <w:numPr>
          <w:ilvl w:val="0"/>
          <w:numId w:val="9"/>
        </w:numPr>
        <w:spacing w:line="276"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乙方不得以回扣、宴请等方式影响甲方工作人员采购或使用医药产品的选择权，不得在学术活动中提供旅游、超标准支付食宿费用。</w:t>
      </w:r>
    </w:p>
    <w:p>
      <w:pPr>
        <w:numPr>
          <w:ilvl w:val="0"/>
          <w:numId w:val="9"/>
        </w:numPr>
        <w:spacing w:line="276"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乙方作为销售代表洽谈业务。销售代表必须在工作时间到甲方指定地点联系商谈，不得到住院部、门诊部、医技科室等推销医药产品，不得借故到甲方相关领导、部门负责人及相关工作人员家中访谈并提供任何好处费。</w:t>
      </w:r>
    </w:p>
    <w:p>
      <w:pPr>
        <w:numPr>
          <w:ilvl w:val="0"/>
          <w:numId w:val="9"/>
        </w:numPr>
        <w:spacing w:line="276"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pPr>
        <w:numPr>
          <w:ilvl w:val="0"/>
          <w:numId w:val="9"/>
        </w:numPr>
        <w:spacing w:line="276" w:lineRule="auto"/>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本合同作为医药产品购销合同的重要组成部分，与购销合同一并执行，具有同等的法律效力。</w:t>
      </w:r>
    </w:p>
    <w:p>
      <w:pPr>
        <w:spacing w:line="276" w:lineRule="auto"/>
        <w:ind w:firstLine="525" w:firstLineChars="250"/>
        <w:jc w:val="left"/>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t>九、本合同一式两份，甲、乙双方各执一份。</w:t>
      </w:r>
    </w:p>
    <w:p>
      <w:pPr>
        <w:spacing w:line="360" w:lineRule="auto"/>
        <w:jc w:val="left"/>
        <w:rPr>
          <w:rFonts w:ascii="仿宋" w:hAnsi="仿宋" w:cs="仿宋"/>
          <w:color w:val="000000" w:themeColor="text1"/>
          <w:szCs w:val="21"/>
          <w:highlight w:val="none"/>
          <w14:textFill>
            <w14:solidFill>
              <w14:schemeClr w14:val="tx1"/>
            </w14:solidFill>
          </w14:textFill>
        </w:rPr>
      </w:pPr>
    </w:p>
    <w:bookmarkEnd w:id="154"/>
    <w:p>
      <w:pPr>
        <w:widowControl/>
        <w:ind w:firstLine="5880" w:firstLineChars="2800"/>
        <w:jc w:val="left"/>
        <w:rPr>
          <w:rFonts w:ascii="Times New Roman" w:hAnsi="Times New Roman" w:eastAsia="宋体" w:cs="Times New Roman"/>
          <w:color w:val="000000" w:themeColor="text1"/>
          <w:szCs w:val="21"/>
          <w:highlight w:val="none"/>
          <w14:textFill>
            <w14:solidFill>
              <w14:schemeClr w14:val="tx1"/>
            </w14:solidFill>
          </w14:textFill>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127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pPr>
                            <w:pStyle w:val="15"/>
                          </w:pPr>
                          <w:r>
                            <w:fldChar w:fldCharType="begin"/>
                          </w:r>
                          <w:r>
                            <w:instrText xml:space="preserve"> PAGE  \* MERGEFORMAT </w:instrText>
                          </w:r>
                          <w:r>
                            <w:fldChar w:fldCharType="separate"/>
                          </w:r>
                          <w:r>
                            <w:t>4</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y1u5d9AAAAACAQAADwAAAAAAAAABACAAAAAiAAAAZHJzL2Rvd25yZXYueG1sUEsBAhQAFAAA&#10;AAgAh07iQE1YEGL3AQAAAAQAAA4AAAAAAAAAAQAgAAAAHwEAAGRycy9lMm9Eb2MueG1sUEsFBgAA&#10;AAAGAAYAWQEAAIgFAAAAAA==&#10;">
              <v:fill on="f" focussize="0,0"/>
              <v:stroke on="f"/>
              <v:imagedata o:title=""/>
              <o:lock v:ext="edit" aspectratio="f"/>
              <v:textbox inset="0mm,0mm,0mm,0mm" style="mso-fit-shape-to-text:t;">
                <w:txbxContent>
                  <w:p>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rPr>
        <w:lang w:val="zh-CN"/>
      </w:rPr>
      <w:fldChar w:fldCharType="begin"/>
    </w:r>
    <w:r>
      <w:rPr>
        <w:lang w:val="zh-CN"/>
      </w:rPr>
      <w:instrText xml:space="preserve">PAGE   \* MERGEFORMAT</w:instrText>
    </w:r>
    <w:r>
      <w:rPr>
        <w:lang w:val="zh-CN"/>
      </w:rPr>
      <w:fldChar w:fldCharType="separate"/>
    </w:r>
    <w:r>
      <w:rPr>
        <w:lang w:val="zh-CN"/>
      </w:rPr>
      <w:t>81</w:t>
    </w:r>
    <w:r>
      <w:rPr>
        <w:lang w:val="zh-CN"/>
      </w:rPr>
      <w:fldChar w:fldCharType="end"/>
    </w:r>
  </w:p>
  <w:p>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EE8E3184"/>
    <w:multiLevelType w:val="singleLevel"/>
    <w:tmpl w:val="EE8E3184"/>
    <w:lvl w:ilvl="0" w:tentative="0">
      <w:start w:val="1"/>
      <w:numFmt w:val="decimal"/>
      <w:suff w:val="nothing"/>
      <w:lvlText w:val="（%1）"/>
      <w:lvlJc w:val="left"/>
    </w:lvl>
  </w:abstractNum>
  <w:abstractNum w:abstractNumId="3">
    <w:nsid w:val="234B3ACD"/>
    <w:multiLevelType w:val="multilevel"/>
    <w:tmpl w:val="234B3ACD"/>
    <w:lvl w:ilvl="0" w:tentative="0">
      <w:start w:val="1"/>
      <w:numFmt w:val="decimalEnclosedCircle"/>
      <w:lvlText w:val="%1"/>
      <w:lvlJc w:val="left"/>
      <w:pPr>
        <w:ind w:left="360" w:hanging="360"/>
      </w:pPr>
      <w:rPr>
        <w:rFonts w:hint="default" w:cs="Calibri"/>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3B0F68C8"/>
    <w:multiLevelType w:val="multilevel"/>
    <w:tmpl w:val="3B0F68C8"/>
    <w:lvl w:ilvl="0" w:tentative="0">
      <w:start w:val="1"/>
      <w:numFmt w:val="chineseCountingThousand"/>
      <w:pStyle w:val="2"/>
      <w:lvlText w:val="%1"/>
      <w:lvlJc w:val="left"/>
      <w:pPr>
        <w:ind w:left="0" w:firstLine="0"/>
      </w:pPr>
      <w:rPr>
        <w:rFonts w:hint="eastAsia"/>
      </w:rPr>
    </w:lvl>
    <w:lvl w:ilvl="1" w:tentative="0">
      <w:start w:val="1"/>
      <w:numFmt w:val="chineseCountingThousand"/>
      <w:pStyle w:val="3"/>
      <w:lvlText w:val="（%2）"/>
      <w:lvlJc w:val="left"/>
      <w:pPr>
        <w:ind w:left="1134" w:firstLine="0"/>
      </w:pPr>
      <w:rPr>
        <w:rFonts w:hint="eastAsia"/>
      </w:rPr>
    </w:lvl>
    <w:lvl w:ilvl="2" w:tentative="0">
      <w:start w:val="1"/>
      <w:numFmt w:val="none"/>
      <w:pStyle w:val="4"/>
      <w:lvlText w:val=""/>
      <w:lvlJc w:val="left"/>
      <w:pPr>
        <w:ind w:left="0" w:firstLine="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468ACDF8"/>
    <w:multiLevelType w:val="singleLevel"/>
    <w:tmpl w:val="468ACDF8"/>
    <w:lvl w:ilvl="0" w:tentative="0">
      <w:start w:val="2"/>
      <w:numFmt w:val="chineseCounting"/>
      <w:suff w:val="nothing"/>
      <w:lvlText w:val="（%1）"/>
      <w:lvlJc w:val="left"/>
      <w:rPr>
        <w:rFonts w:hint="eastAsia"/>
      </w:rPr>
    </w:lvl>
  </w:abstractNum>
  <w:abstractNum w:abstractNumId="7">
    <w:nsid w:val="4DC54649"/>
    <w:multiLevelType w:val="multilevel"/>
    <w:tmpl w:val="4DC54649"/>
    <w:lvl w:ilvl="0" w:tentative="0">
      <w:start w:val="1"/>
      <w:numFmt w:val="japaneseCounting"/>
      <w:lvlText w:val="%1、"/>
      <w:lvlJc w:val="left"/>
      <w:pPr>
        <w:ind w:left="786"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7B4156D0"/>
    <w:multiLevelType w:val="singleLevel"/>
    <w:tmpl w:val="7B4156D0"/>
    <w:lvl w:ilvl="0" w:tentative="0">
      <w:start w:val="1"/>
      <w:numFmt w:val="decimal"/>
      <w:suff w:val="nothing"/>
      <w:lvlText w:val="（%1）"/>
      <w:lvlJc w:val="left"/>
    </w:lvl>
  </w:abstractNum>
  <w:num w:numId="1">
    <w:abstractNumId w:val="5"/>
  </w:num>
  <w:num w:numId="2">
    <w:abstractNumId w:val="0"/>
  </w:num>
  <w:num w:numId="3">
    <w:abstractNumId w:val="3"/>
  </w:num>
  <w:num w:numId="4">
    <w:abstractNumId w:val="1"/>
  </w:num>
  <w:num w:numId="5">
    <w:abstractNumId w:val="4"/>
  </w:num>
  <w:num w:numId="6">
    <w:abstractNumId w:val="2"/>
  </w:num>
  <w:num w:numId="7">
    <w:abstractNumId w:val="8"/>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FmYjgyMGQxYTRjYzVmNGFlNGQzNTJmNmEzNjM5NmYifQ=="/>
    <w:docVar w:name="KSO_WPS_MARK_KEY" w:val="f5fe1e6d-eb0c-42ff-9ba6-70425bff9ec5"/>
  </w:docVars>
  <w:rsids>
    <w:rsidRoot w:val="00F35D57"/>
    <w:rsid w:val="00000209"/>
    <w:rsid w:val="000053DC"/>
    <w:rsid w:val="00011353"/>
    <w:rsid w:val="0001357E"/>
    <w:rsid w:val="00022FB8"/>
    <w:rsid w:val="00032243"/>
    <w:rsid w:val="00035DED"/>
    <w:rsid w:val="00041488"/>
    <w:rsid w:val="00041534"/>
    <w:rsid w:val="00044966"/>
    <w:rsid w:val="00047931"/>
    <w:rsid w:val="00051972"/>
    <w:rsid w:val="000531D1"/>
    <w:rsid w:val="0005371C"/>
    <w:rsid w:val="00053A13"/>
    <w:rsid w:val="00056C3F"/>
    <w:rsid w:val="000657BE"/>
    <w:rsid w:val="00075BF6"/>
    <w:rsid w:val="000810F7"/>
    <w:rsid w:val="000822D7"/>
    <w:rsid w:val="00084DAA"/>
    <w:rsid w:val="000929D3"/>
    <w:rsid w:val="00096DC4"/>
    <w:rsid w:val="00096FF1"/>
    <w:rsid w:val="000A0DCA"/>
    <w:rsid w:val="000A336D"/>
    <w:rsid w:val="000A3459"/>
    <w:rsid w:val="000A44D2"/>
    <w:rsid w:val="000B2F78"/>
    <w:rsid w:val="000B3406"/>
    <w:rsid w:val="000B3568"/>
    <w:rsid w:val="000B4539"/>
    <w:rsid w:val="000B4D17"/>
    <w:rsid w:val="000B543A"/>
    <w:rsid w:val="000D283B"/>
    <w:rsid w:val="000E017E"/>
    <w:rsid w:val="000E1942"/>
    <w:rsid w:val="000E40E3"/>
    <w:rsid w:val="000E530C"/>
    <w:rsid w:val="000E5B47"/>
    <w:rsid w:val="000F1025"/>
    <w:rsid w:val="000F2763"/>
    <w:rsid w:val="000F39C8"/>
    <w:rsid w:val="00105CD2"/>
    <w:rsid w:val="00111EEA"/>
    <w:rsid w:val="001121B6"/>
    <w:rsid w:val="001221B5"/>
    <w:rsid w:val="0013353C"/>
    <w:rsid w:val="00141A17"/>
    <w:rsid w:val="00142BF4"/>
    <w:rsid w:val="00145788"/>
    <w:rsid w:val="00146718"/>
    <w:rsid w:val="00146D56"/>
    <w:rsid w:val="00151650"/>
    <w:rsid w:val="00154FAA"/>
    <w:rsid w:val="0015635E"/>
    <w:rsid w:val="00161C81"/>
    <w:rsid w:val="00173656"/>
    <w:rsid w:val="00176150"/>
    <w:rsid w:val="00177C30"/>
    <w:rsid w:val="0018442D"/>
    <w:rsid w:val="0019041C"/>
    <w:rsid w:val="00192538"/>
    <w:rsid w:val="00194561"/>
    <w:rsid w:val="00194E84"/>
    <w:rsid w:val="00196B35"/>
    <w:rsid w:val="001B49CE"/>
    <w:rsid w:val="001B6384"/>
    <w:rsid w:val="001B685C"/>
    <w:rsid w:val="001C5534"/>
    <w:rsid w:val="001C5691"/>
    <w:rsid w:val="001C5812"/>
    <w:rsid w:val="001D2F5B"/>
    <w:rsid w:val="001D602C"/>
    <w:rsid w:val="001D6069"/>
    <w:rsid w:val="001D7407"/>
    <w:rsid w:val="001E0835"/>
    <w:rsid w:val="001E10F7"/>
    <w:rsid w:val="001E4F1D"/>
    <w:rsid w:val="001E6702"/>
    <w:rsid w:val="001F62E2"/>
    <w:rsid w:val="001F6458"/>
    <w:rsid w:val="001F7730"/>
    <w:rsid w:val="00203164"/>
    <w:rsid w:val="002048EB"/>
    <w:rsid w:val="00210890"/>
    <w:rsid w:val="00212B26"/>
    <w:rsid w:val="00217D9D"/>
    <w:rsid w:val="00221944"/>
    <w:rsid w:val="00222B13"/>
    <w:rsid w:val="00233549"/>
    <w:rsid w:val="00243916"/>
    <w:rsid w:val="00243CE8"/>
    <w:rsid w:val="002451AA"/>
    <w:rsid w:val="00246BB1"/>
    <w:rsid w:val="00272091"/>
    <w:rsid w:val="002769C7"/>
    <w:rsid w:val="002803A9"/>
    <w:rsid w:val="00280FBB"/>
    <w:rsid w:val="00284AC4"/>
    <w:rsid w:val="00287C94"/>
    <w:rsid w:val="002925C4"/>
    <w:rsid w:val="00292B40"/>
    <w:rsid w:val="00295262"/>
    <w:rsid w:val="002A28F7"/>
    <w:rsid w:val="002A4E05"/>
    <w:rsid w:val="002B2225"/>
    <w:rsid w:val="002B41F8"/>
    <w:rsid w:val="002B6A92"/>
    <w:rsid w:val="002C2DDD"/>
    <w:rsid w:val="002C7392"/>
    <w:rsid w:val="002C780D"/>
    <w:rsid w:val="002D20AD"/>
    <w:rsid w:val="002D40B8"/>
    <w:rsid w:val="002D568C"/>
    <w:rsid w:val="002D69DA"/>
    <w:rsid w:val="002D7943"/>
    <w:rsid w:val="002E4967"/>
    <w:rsid w:val="002E613A"/>
    <w:rsid w:val="002E74BF"/>
    <w:rsid w:val="00303768"/>
    <w:rsid w:val="003134C2"/>
    <w:rsid w:val="003135A4"/>
    <w:rsid w:val="00320DDC"/>
    <w:rsid w:val="00323535"/>
    <w:rsid w:val="00325186"/>
    <w:rsid w:val="00326DED"/>
    <w:rsid w:val="00327BAD"/>
    <w:rsid w:val="00334642"/>
    <w:rsid w:val="00342998"/>
    <w:rsid w:val="0035486F"/>
    <w:rsid w:val="0035603C"/>
    <w:rsid w:val="00360690"/>
    <w:rsid w:val="00361BF9"/>
    <w:rsid w:val="00362DF6"/>
    <w:rsid w:val="00372919"/>
    <w:rsid w:val="00372E0B"/>
    <w:rsid w:val="00374D5D"/>
    <w:rsid w:val="00381A9F"/>
    <w:rsid w:val="00394DAC"/>
    <w:rsid w:val="003A391E"/>
    <w:rsid w:val="003A4123"/>
    <w:rsid w:val="003A561B"/>
    <w:rsid w:val="003A7474"/>
    <w:rsid w:val="003B322E"/>
    <w:rsid w:val="003B3320"/>
    <w:rsid w:val="003B3F37"/>
    <w:rsid w:val="003B7C03"/>
    <w:rsid w:val="003C0122"/>
    <w:rsid w:val="003C2EE5"/>
    <w:rsid w:val="003C4E07"/>
    <w:rsid w:val="003C6B37"/>
    <w:rsid w:val="003D723D"/>
    <w:rsid w:val="003E3F9D"/>
    <w:rsid w:val="003E4191"/>
    <w:rsid w:val="003E6F46"/>
    <w:rsid w:val="003F0413"/>
    <w:rsid w:val="003F351A"/>
    <w:rsid w:val="00400D9A"/>
    <w:rsid w:val="0040219B"/>
    <w:rsid w:val="0040281A"/>
    <w:rsid w:val="00407F05"/>
    <w:rsid w:val="004146DF"/>
    <w:rsid w:val="00420967"/>
    <w:rsid w:val="0042325E"/>
    <w:rsid w:val="004261C6"/>
    <w:rsid w:val="00427554"/>
    <w:rsid w:val="00431C18"/>
    <w:rsid w:val="00436271"/>
    <w:rsid w:val="0044160D"/>
    <w:rsid w:val="00451201"/>
    <w:rsid w:val="00454BD9"/>
    <w:rsid w:val="004551E4"/>
    <w:rsid w:val="0045549B"/>
    <w:rsid w:val="00460FE8"/>
    <w:rsid w:val="00461622"/>
    <w:rsid w:val="00461BF0"/>
    <w:rsid w:val="004670B3"/>
    <w:rsid w:val="0047352C"/>
    <w:rsid w:val="00473D00"/>
    <w:rsid w:val="00475E80"/>
    <w:rsid w:val="00484827"/>
    <w:rsid w:val="00485B6D"/>
    <w:rsid w:val="004876F1"/>
    <w:rsid w:val="00496E30"/>
    <w:rsid w:val="0049787F"/>
    <w:rsid w:val="004A1442"/>
    <w:rsid w:val="004A1F89"/>
    <w:rsid w:val="004A40E9"/>
    <w:rsid w:val="004C0F91"/>
    <w:rsid w:val="004C2115"/>
    <w:rsid w:val="004C229E"/>
    <w:rsid w:val="004C4D87"/>
    <w:rsid w:val="004D3C35"/>
    <w:rsid w:val="004D5143"/>
    <w:rsid w:val="004E0405"/>
    <w:rsid w:val="004E0ED5"/>
    <w:rsid w:val="004E4355"/>
    <w:rsid w:val="004F3EBD"/>
    <w:rsid w:val="005046AB"/>
    <w:rsid w:val="00505A20"/>
    <w:rsid w:val="00510C70"/>
    <w:rsid w:val="00511CBA"/>
    <w:rsid w:val="00514CEE"/>
    <w:rsid w:val="00520F5D"/>
    <w:rsid w:val="0053214E"/>
    <w:rsid w:val="00534D65"/>
    <w:rsid w:val="0053604B"/>
    <w:rsid w:val="00536260"/>
    <w:rsid w:val="00536DF1"/>
    <w:rsid w:val="0053766E"/>
    <w:rsid w:val="005376E9"/>
    <w:rsid w:val="00540C7F"/>
    <w:rsid w:val="00544A34"/>
    <w:rsid w:val="00553FE0"/>
    <w:rsid w:val="005676F0"/>
    <w:rsid w:val="00577681"/>
    <w:rsid w:val="00582171"/>
    <w:rsid w:val="00583B1B"/>
    <w:rsid w:val="005852A6"/>
    <w:rsid w:val="00590B92"/>
    <w:rsid w:val="00591192"/>
    <w:rsid w:val="0059273C"/>
    <w:rsid w:val="00595E46"/>
    <w:rsid w:val="005972E4"/>
    <w:rsid w:val="00597B39"/>
    <w:rsid w:val="005A4245"/>
    <w:rsid w:val="005A4F4C"/>
    <w:rsid w:val="005B1F72"/>
    <w:rsid w:val="005B68F1"/>
    <w:rsid w:val="005C046D"/>
    <w:rsid w:val="005C3353"/>
    <w:rsid w:val="005D2B7C"/>
    <w:rsid w:val="005D310A"/>
    <w:rsid w:val="005D6ADA"/>
    <w:rsid w:val="005D7AA1"/>
    <w:rsid w:val="005E04FC"/>
    <w:rsid w:val="005E34C0"/>
    <w:rsid w:val="005F2534"/>
    <w:rsid w:val="005F52AB"/>
    <w:rsid w:val="005F5377"/>
    <w:rsid w:val="005F7B07"/>
    <w:rsid w:val="00601261"/>
    <w:rsid w:val="00620980"/>
    <w:rsid w:val="006220E4"/>
    <w:rsid w:val="00631F9F"/>
    <w:rsid w:val="00633010"/>
    <w:rsid w:val="00635E86"/>
    <w:rsid w:val="0064010D"/>
    <w:rsid w:val="0064293C"/>
    <w:rsid w:val="006442AC"/>
    <w:rsid w:val="00650589"/>
    <w:rsid w:val="00650FF4"/>
    <w:rsid w:val="00651E51"/>
    <w:rsid w:val="00652C63"/>
    <w:rsid w:val="0066041F"/>
    <w:rsid w:val="0066148C"/>
    <w:rsid w:val="00664123"/>
    <w:rsid w:val="00665080"/>
    <w:rsid w:val="00667389"/>
    <w:rsid w:val="0067247D"/>
    <w:rsid w:val="00674230"/>
    <w:rsid w:val="0069169A"/>
    <w:rsid w:val="0069290C"/>
    <w:rsid w:val="00694A82"/>
    <w:rsid w:val="006A2717"/>
    <w:rsid w:val="006A2BCE"/>
    <w:rsid w:val="006A3811"/>
    <w:rsid w:val="006B2786"/>
    <w:rsid w:val="006B521E"/>
    <w:rsid w:val="006C365B"/>
    <w:rsid w:val="006C5381"/>
    <w:rsid w:val="006C644B"/>
    <w:rsid w:val="006D407D"/>
    <w:rsid w:val="006E4A40"/>
    <w:rsid w:val="006F1FAD"/>
    <w:rsid w:val="006F35FD"/>
    <w:rsid w:val="00700A4D"/>
    <w:rsid w:val="0070378D"/>
    <w:rsid w:val="007107F6"/>
    <w:rsid w:val="007220D0"/>
    <w:rsid w:val="00724123"/>
    <w:rsid w:val="007264B5"/>
    <w:rsid w:val="007272A3"/>
    <w:rsid w:val="00731A85"/>
    <w:rsid w:val="00735D39"/>
    <w:rsid w:val="0074110C"/>
    <w:rsid w:val="007501C2"/>
    <w:rsid w:val="00752BF7"/>
    <w:rsid w:val="007536AA"/>
    <w:rsid w:val="0075476B"/>
    <w:rsid w:val="00754FCB"/>
    <w:rsid w:val="0075760A"/>
    <w:rsid w:val="00765219"/>
    <w:rsid w:val="0077095D"/>
    <w:rsid w:val="0077400D"/>
    <w:rsid w:val="00775D14"/>
    <w:rsid w:val="007821A2"/>
    <w:rsid w:val="00790191"/>
    <w:rsid w:val="0079232B"/>
    <w:rsid w:val="007A2981"/>
    <w:rsid w:val="007A3F4D"/>
    <w:rsid w:val="007A6328"/>
    <w:rsid w:val="007B0A17"/>
    <w:rsid w:val="007B0BF5"/>
    <w:rsid w:val="007B3B2C"/>
    <w:rsid w:val="007C092F"/>
    <w:rsid w:val="007C13B9"/>
    <w:rsid w:val="007C3456"/>
    <w:rsid w:val="007C3F80"/>
    <w:rsid w:val="007C5F85"/>
    <w:rsid w:val="007C6409"/>
    <w:rsid w:val="007D1E15"/>
    <w:rsid w:val="007D3730"/>
    <w:rsid w:val="007D4C74"/>
    <w:rsid w:val="007D7E1D"/>
    <w:rsid w:val="007D7F74"/>
    <w:rsid w:val="007E06AE"/>
    <w:rsid w:val="007E388F"/>
    <w:rsid w:val="007F4A79"/>
    <w:rsid w:val="008009BC"/>
    <w:rsid w:val="0080399E"/>
    <w:rsid w:val="00805413"/>
    <w:rsid w:val="0081376C"/>
    <w:rsid w:val="00813DF8"/>
    <w:rsid w:val="00816C2E"/>
    <w:rsid w:val="0082780C"/>
    <w:rsid w:val="00831D72"/>
    <w:rsid w:val="00835891"/>
    <w:rsid w:val="00836FCA"/>
    <w:rsid w:val="00844F71"/>
    <w:rsid w:val="0085053B"/>
    <w:rsid w:val="00851F6A"/>
    <w:rsid w:val="008618F4"/>
    <w:rsid w:val="00861F9B"/>
    <w:rsid w:val="008620D3"/>
    <w:rsid w:val="0086479E"/>
    <w:rsid w:val="0086597D"/>
    <w:rsid w:val="00867550"/>
    <w:rsid w:val="008717BC"/>
    <w:rsid w:val="0088003E"/>
    <w:rsid w:val="008862E5"/>
    <w:rsid w:val="0088767D"/>
    <w:rsid w:val="0089031A"/>
    <w:rsid w:val="00894B4F"/>
    <w:rsid w:val="008A2053"/>
    <w:rsid w:val="008B1531"/>
    <w:rsid w:val="008B55DA"/>
    <w:rsid w:val="008B6AF7"/>
    <w:rsid w:val="008C3355"/>
    <w:rsid w:val="008C3D2F"/>
    <w:rsid w:val="008C7739"/>
    <w:rsid w:val="008D1777"/>
    <w:rsid w:val="008D7455"/>
    <w:rsid w:val="008E50B9"/>
    <w:rsid w:val="008E53E8"/>
    <w:rsid w:val="008E5509"/>
    <w:rsid w:val="008E6620"/>
    <w:rsid w:val="008F2F71"/>
    <w:rsid w:val="008F4091"/>
    <w:rsid w:val="00903C93"/>
    <w:rsid w:val="0090525D"/>
    <w:rsid w:val="009060E7"/>
    <w:rsid w:val="00910E88"/>
    <w:rsid w:val="009206C3"/>
    <w:rsid w:val="00921386"/>
    <w:rsid w:val="00922D62"/>
    <w:rsid w:val="0092328F"/>
    <w:rsid w:val="009237DB"/>
    <w:rsid w:val="009361A2"/>
    <w:rsid w:val="00937862"/>
    <w:rsid w:val="009513F7"/>
    <w:rsid w:val="00951C03"/>
    <w:rsid w:val="00952A05"/>
    <w:rsid w:val="00955A35"/>
    <w:rsid w:val="009574F8"/>
    <w:rsid w:val="00965E99"/>
    <w:rsid w:val="00972194"/>
    <w:rsid w:val="009806B4"/>
    <w:rsid w:val="0099252A"/>
    <w:rsid w:val="00995390"/>
    <w:rsid w:val="009965E8"/>
    <w:rsid w:val="009A1973"/>
    <w:rsid w:val="009A3EEE"/>
    <w:rsid w:val="009A7A5D"/>
    <w:rsid w:val="009B1721"/>
    <w:rsid w:val="009B3881"/>
    <w:rsid w:val="009C4BF9"/>
    <w:rsid w:val="009D1104"/>
    <w:rsid w:val="009D1192"/>
    <w:rsid w:val="009D4725"/>
    <w:rsid w:val="009E061A"/>
    <w:rsid w:val="009E1AFB"/>
    <w:rsid w:val="009E7648"/>
    <w:rsid w:val="009F1134"/>
    <w:rsid w:val="009F24D4"/>
    <w:rsid w:val="009F5B1F"/>
    <w:rsid w:val="009F7145"/>
    <w:rsid w:val="00A00ADB"/>
    <w:rsid w:val="00A10395"/>
    <w:rsid w:val="00A14F0E"/>
    <w:rsid w:val="00A1675C"/>
    <w:rsid w:val="00A16FF4"/>
    <w:rsid w:val="00A20CEA"/>
    <w:rsid w:val="00A23998"/>
    <w:rsid w:val="00A31044"/>
    <w:rsid w:val="00A31121"/>
    <w:rsid w:val="00A3228A"/>
    <w:rsid w:val="00A33255"/>
    <w:rsid w:val="00A35F9F"/>
    <w:rsid w:val="00A40398"/>
    <w:rsid w:val="00A43B6E"/>
    <w:rsid w:val="00A43EF7"/>
    <w:rsid w:val="00A502CB"/>
    <w:rsid w:val="00A52AA4"/>
    <w:rsid w:val="00A57BEA"/>
    <w:rsid w:val="00A614D0"/>
    <w:rsid w:val="00A627B1"/>
    <w:rsid w:val="00A668BA"/>
    <w:rsid w:val="00A74980"/>
    <w:rsid w:val="00A804B6"/>
    <w:rsid w:val="00A824EB"/>
    <w:rsid w:val="00A85363"/>
    <w:rsid w:val="00A907EA"/>
    <w:rsid w:val="00A92670"/>
    <w:rsid w:val="00A96BD5"/>
    <w:rsid w:val="00AA3392"/>
    <w:rsid w:val="00AA33E0"/>
    <w:rsid w:val="00AA41EC"/>
    <w:rsid w:val="00AA77FF"/>
    <w:rsid w:val="00AA7AD8"/>
    <w:rsid w:val="00AA7CF7"/>
    <w:rsid w:val="00AB1B13"/>
    <w:rsid w:val="00AB343E"/>
    <w:rsid w:val="00AB69EF"/>
    <w:rsid w:val="00AB6D12"/>
    <w:rsid w:val="00AC0470"/>
    <w:rsid w:val="00AC43EB"/>
    <w:rsid w:val="00AC6435"/>
    <w:rsid w:val="00AE1007"/>
    <w:rsid w:val="00AE140D"/>
    <w:rsid w:val="00AE4D18"/>
    <w:rsid w:val="00B04DD7"/>
    <w:rsid w:val="00B12445"/>
    <w:rsid w:val="00B14E5B"/>
    <w:rsid w:val="00B15420"/>
    <w:rsid w:val="00B1616C"/>
    <w:rsid w:val="00B247C9"/>
    <w:rsid w:val="00B24ACD"/>
    <w:rsid w:val="00B2707D"/>
    <w:rsid w:val="00B31692"/>
    <w:rsid w:val="00B3285D"/>
    <w:rsid w:val="00B41578"/>
    <w:rsid w:val="00B436A1"/>
    <w:rsid w:val="00B439C0"/>
    <w:rsid w:val="00B45DFA"/>
    <w:rsid w:val="00B463D2"/>
    <w:rsid w:val="00B50504"/>
    <w:rsid w:val="00B5154D"/>
    <w:rsid w:val="00B71680"/>
    <w:rsid w:val="00B73A51"/>
    <w:rsid w:val="00B7464E"/>
    <w:rsid w:val="00B802A9"/>
    <w:rsid w:val="00B805E7"/>
    <w:rsid w:val="00B818EF"/>
    <w:rsid w:val="00B8216D"/>
    <w:rsid w:val="00B877A5"/>
    <w:rsid w:val="00B87871"/>
    <w:rsid w:val="00B96735"/>
    <w:rsid w:val="00BA064A"/>
    <w:rsid w:val="00BA10EA"/>
    <w:rsid w:val="00BA48D1"/>
    <w:rsid w:val="00BA4C7A"/>
    <w:rsid w:val="00BA544E"/>
    <w:rsid w:val="00BA6E91"/>
    <w:rsid w:val="00BB1747"/>
    <w:rsid w:val="00BB3D89"/>
    <w:rsid w:val="00BB759E"/>
    <w:rsid w:val="00BC0843"/>
    <w:rsid w:val="00BC6A73"/>
    <w:rsid w:val="00BC7442"/>
    <w:rsid w:val="00BD31EB"/>
    <w:rsid w:val="00BD3FA2"/>
    <w:rsid w:val="00BD531A"/>
    <w:rsid w:val="00BD7B0B"/>
    <w:rsid w:val="00BE166A"/>
    <w:rsid w:val="00BE3450"/>
    <w:rsid w:val="00BE3B4E"/>
    <w:rsid w:val="00BE3C31"/>
    <w:rsid w:val="00BF3FDD"/>
    <w:rsid w:val="00BF7B32"/>
    <w:rsid w:val="00C07837"/>
    <w:rsid w:val="00C10442"/>
    <w:rsid w:val="00C113BE"/>
    <w:rsid w:val="00C12F04"/>
    <w:rsid w:val="00C16B42"/>
    <w:rsid w:val="00C173F7"/>
    <w:rsid w:val="00C20C98"/>
    <w:rsid w:val="00C21FCB"/>
    <w:rsid w:val="00C22791"/>
    <w:rsid w:val="00C3216A"/>
    <w:rsid w:val="00C32C73"/>
    <w:rsid w:val="00C34036"/>
    <w:rsid w:val="00C40542"/>
    <w:rsid w:val="00C40A1B"/>
    <w:rsid w:val="00C414CF"/>
    <w:rsid w:val="00C4314B"/>
    <w:rsid w:val="00C43A45"/>
    <w:rsid w:val="00C579FA"/>
    <w:rsid w:val="00C7161F"/>
    <w:rsid w:val="00C734E3"/>
    <w:rsid w:val="00C74566"/>
    <w:rsid w:val="00C76ADB"/>
    <w:rsid w:val="00C90C70"/>
    <w:rsid w:val="00C96A6F"/>
    <w:rsid w:val="00C9751A"/>
    <w:rsid w:val="00CA1EB6"/>
    <w:rsid w:val="00CA534E"/>
    <w:rsid w:val="00CA5B54"/>
    <w:rsid w:val="00CA7965"/>
    <w:rsid w:val="00CA796C"/>
    <w:rsid w:val="00CB3D7D"/>
    <w:rsid w:val="00CC1AB9"/>
    <w:rsid w:val="00CC1C29"/>
    <w:rsid w:val="00CC48C2"/>
    <w:rsid w:val="00CC63D3"/>
    <w:rsid w:val="00CD0B61"/>
    <w:rsid w:val="00CD511D"/>
    <w:rsid w:val="00CE0502"/>
    <w:rsid w:val="00CE28A5"/>
    <w:rsid w:val="00CE4FB0"/>
    <w:rsid w:val="00CE51B7"/>
    <w:rsid w:val="00CF3A70"/>
    <w:rsid w:val="00CF46D7"/>
    <w:rsid w:val="00CF639E"/>
    <w:rsid w:val="00CF7BF7"/>
    <w:rsid w:val="00D01663"/>
    <w:rsid w:val="00D0250E"/>
    <w:rsid w:val="00D02D26"/>
    <w:rsid w:val="00D14B7F"/>
    <w:rsid w:val="00D178AE"/>
    <w:rsid w:val="00D227E3"/>
    <w:rsid w:val="00D32986"/>
    <w:rsid w:val="00D41EBA"/>
    <w:rsid w:val="00D465A4"/>
    <w:rsid w:val="00D5152B"/>
    <w:rsid w:val="00D517AE"/>
    <w:rsid w:val="00D51BA4"/>
    <w:rsid w:val="00D53F29"/>
    <w:rsid w:val="00D64890"/>
    <w:rsid w:val="00D64A92"/>
    <w:rsid w:val="00D734E7"/>
    <w:rsid w:val="00D751EB"/>
    <w:rsid w:val="00D811BA"/>
    <w:rsid w:val="00D8379A"/>
    <w:rsid w:val="00D87384"/>
    <w:rsid w:val="00D91DB9"/>
    <w:rsid w:val="00DA09AF"/>
    <w:rsid w:val="00DA4155"/>
    <w:rsid w:val="00DA5121"/>
    <w:rsid w:val="00DA5C32"/>
    <w:rsid w:val="00DA68EB"/>
    <w:rsid w:val="00DA71CD"/>
    <w:rsid w:val="00DB18EE"/>
    <w:rsid w:val="00DB7C7C"/>
    <w:rsid w:val="00DC1E6D"/>
    <w:rsid w:val="00DC2AEE"/>
    <w:rsid w:val="00DC2FFF"/>
    <w:rsid w:val="00DC61EB"/>
    <w:rsid w:val="00DC6555"/>
    <w:rsid w:val="00DE232E"/>
    <w:rsid w:val="00DF23A1"/>
    <w:rsid w:val="00DF6EC8"/>
    <w:rsid w:val="00E0204E"/>
    <w:rsid w:val="00E02D6F"/>
    <w:rsid w:val="00E04F18"/>
    <w:rsid w:val="00E06CCB"/>
    <w:rsid w:val="00E12290"/>
    <w:rsid w:val="00E15804"/>
    <w:rsid w:val="00E237A4"/>
    <w:rsid w:val="00E35114"/>
    <w:rsid w:val="00E40946"/>
    <w:rsid w:val="00E4424C"/>
    <w:rsid w:val="00E46911"/>
    <w:rsid w:val="00E47B79"/>
    <w:rsid w:val="00E61570"/>
    <w:rsid w:val="00E63413"/>
    <w:rsid w:val="00E6680B"/>
    <w:rsid w:val="00E66EA5"/>
    <w:rsid w:val="00E77B5D"/>
    <w:rsid w:val="00E90312"/>
    <w:rsid w:val="00E95B55"/>
    <w:rsid w:val="00EA1E14"/>
    <w:rsid w:val="00EA521F"/>
    <w:rsid w:val="00EB0479"/>
    <w:rsid w:val="00EB0CAC"/>
    <w:rsid w:val="00EB1E08"/>
    <w:rsid w:val="00EB2308"/>
    <w:rsid w:val="00EB3EEE"/>
    <w:rsid w:val="00EB45C8"/>
    <w:rsid w:val="00EB76BD"/>
    <w:rsid w:val="00EC3398"/>
    <w:rsid w:val="00ED2D03"/>
    <w:rsid w:val="00ED62F9"/>
    <w:rsid w:val="00ED7783"/>
    <w:rsid w:val="00EE04A8"/>
    <w:rsid w:val="00EE2CE7"/>
    <w:rsid w:val="00EE47E4"/>
    <w:rsid w:val="00EE5594"/>
    <w:rsid w:val="00EE5FAB"/>
    <w:rsid w:val="00EE66FB"/>
    <w:rsid w:val="00EF6B8E"/>
    <w:rsid w:val="00F02C01"/>
    <w:rsid w:val="00F06772"/>
    <w:rsid w:val="00F10D77"/>
    <w:rsid w:val="00F111CA"/>
    <w:rsid w:val="00F14669"/>
    <w:rsid w:val="00F17296"/>
    <w:rsid w:val="00F21E24"/>
    <w:rsid w:val="00F21E28"/>
    <w:rsid w:val="00F2571E"/>
    <w:rsid w:val="00F25B71"/>
    <w:rsid w:val="00F32BB7"/>
    <w:rsid w:val="00F35D57"/>
    <w:rsid w:val="00F411D2"/>
    <w:rsid w:val="00F446A5"/>
    <w:rsid w:val="00F4591D"/>
    <w:rsid w:val="00F53C7D"/>
    <w:rsid w:val="00F61C16"/>
    <w:rsid w:val="00F61FC8"/>
    <w:rsid w:val="00F62CBE"/>
    <w:rsid w:val="00F6355A"/>
    <w:rsid w:val="00F6554E"/>
    <w:rsid w:val="00F70D68"/>
    <w:rsid w:val="00F738FF"/>
    <w:rsid w:val="00F746E6"/>
    <w:rsid w:val="00F74BCC"/>
    <w:rsid w:val="00F76365"/>
    <w:rsid w:val="00F80E39"/>
    <w:rsid w:val="00F81914"/>
    <w:rsid w:val="00F8497A"/>
    <w:rsid w:val="00F8503A"/>
    <w:rsid w:val="00F85403"/>
    <w:rsid w:val="00F85EF1"/>
    <w:rsid w:val="00F92BA5"/>
    <w:rsid w:val="00F931CB"/>
    <w:rsid w:val="00F936C2"/>
    <w:rsid w:val="00FA145F"/>
    <w:rsid w:val="00FA5476"/>
    <w:rsid w:val="00FA5BB3"/>
    <w:rsid w:val="00FB1CF5"/>
    <w:rsid w:val="00FB2008"/>
    <w:rsid w:val="00FB27C0"/>
    <w:rsid w:val="00FB30CC"/>
    <w:rsid w:val="00FD5D4F"/>
    <w:rsid w:val="00FF0A26"/>
    <w:rsid w:val="00FF1FB8"/>
    <w:rsid w:val="00FF5366"/>
    <w:rsid w:val="013A71C7"/>
    <w:rsid w:val="02A83C6D"/>
    <w:rsid w:val="02CA0CCA"/>
    <w:rsid w:val="02F3512B"/>
    <w:rsid w:val="03C871F6"/>
    <w:rsid w:val="04366C6E"/>
    <w:rsid w:val="04E550C6"/>
    <w:rsid w:val="052F60A0"/>
    <w:rsid w:val="05462D5D"/>
    <w:rsid w:val="06381297"/>
    <w:rsid w:val="06D66368"/>
    <w:rsid w:val="076462FB"/>
    <w:rsid w:val="08290D11"/>
    <w:rsid w:val="09412F9E"/>
    <w:rsid w:val="0AA44133"/>
    <w:rsid w:val="0AF34476"/>
    <w:rsid w:val="0BA36D03"/>
    <w:rsid w:val="0D2B5ED0"/>
    <w:rsid w:val="0D8B6C53"/>
    <w:rsid w:val="0DA4333C"/>
    <w:rsid w:val="0E231755"/>
    <w:rsid w:val="0ED120CD"/>
    <w:rsid w:val="0FDE4B07"/>
    <w:rsid w:val="10106D74"/>
    <w:rsid w:val="1012336B"/>
    <w:rsid w:val="125A7425"/>
    <w:rsid w:val="144C211D"/>
    <w:rsid w:val="14F04A60"/>
    <w:rsid w:val="14F2554B"/>
    <w:rsid w:val="15AB7D27"/>
    <w:rsid w:val="15D647B5"/>
    <w:rsid w:val="15F47687"/>
    <w:rsid w:val="16D24B4E"/>
    <w:rsid w:val="16FC76C4"/>
    <w:rsid w:val="17067463"/>
    <w:rsid w:val="17AC78D3"/>
    <w:rsid w:val="18663F5C"/>
    <w:rsid w:val="18B07A8B"/>
    <w:rsid w:val="19093ADF"/>
    <w:rsid w:val="1A4651A0"/>
    <w:rsid w:val="1A634A6F"/>
    <w:rsid w:val="1BD936C0"/>
    <w:rsid w:val="1C1C16A5"/>
    <w:rsid w:val="1CC0714B"/>
    <w:rsid w:val="1D8A7424"/>
    <w:rsid w:val="1D912C39"/>
    <w:rsid w:val="1E052D99"/>
    <w:rsid w:val="1EAA2F90"/>
    <w:rsid w:val="1EB67887"/>
    <w:rsid w:val="1F656F37"/>
    <w:rsid w:val="1FC80E19"/>
    <w:rsid w:val="2199415F"/>
    <w:rsid w:val="21D81F44"/>
    <w:rsid w:val="225B53FC"/>
    <w:rsid w:val="234144BD"/>
    <w:rsid w:val="237E6741"/>
    <w:rsid w:val="23FD196F"/>
    <w:rsid w:val="24BB7B49"/>
    <w:rsid w:val="254D107D"/>
    <w:rsid w:val="25500EC8"/>
    <w:rsid w:val="25E427EE"/>
    <w:rsid w:val="26523795"/>
    <w:rsid w:val="28330F9D"/>
    <w:rsid w:val="292E712B"/>
    <w:rsid w:val="29392B9B"/>
    <w:rsid w:val="2A173BBA"/>
    <w:rsid w:val="2AB92459"/>
    <w:rsid w:val="2B36322F"/>
    <w:rsid w:val="2BAB33B7"/>
    <w:rsid w:val="2BC71092"/>
    <w:rsid w:val="2CEA0D94"/>
    <w:rsid w:val="2D186250"/>
    <w:rsid w:val="2E3D0584"/>
    <w:rsid w:val="2E5A2678"/>
    <w:rsid w:val="2E6F65D4"/>
    <w:rsid w:val="2E844FE8"/>
    <w:rsid w:val="2F8440CB"/>
    <w:rsid w:val="31124C9A"/>
    <w:rsid w:val="31A668A2"/>
    <w:rsid w:val="324C2040"/>
    <w:rsid w:val="32FD5037"/>
    <w:rsid w:val="33333E98"/>
    <w:rsid w:val="3541791F"/>
    <w:rsid w:val="359E278B"/>
    <w:rsid w:val="35DD508B"/>
    <w:rsid w:val="36897332"/>
    <w:rsid w:val="36D84407"/>
    <w:rsid w:val="37893C28"/>
    <w:rsid w:val="383A4938"/>
    <w:rsid w:val="388126A8"/>
    <w:rsid w:val="39510A66"/>
    <w:rsid w:val="399B1CFF"/>
    <w:rsid w:val="3A5B6709"/>
    <w:rsid w:val="3AAE6AAC"/>
    <w:rsid w:val="3BAD1C98"/>
    <w:rsid w:val="3BD0015A"/>
    <w:rsid w:val="3CC53D72"/>
    <w:rsid w:val="3CED0833"/>
    <w:rsid w:val="3D9A6C3F"/>
    <w:rsid w:val="3F7E7279"/>
    <w:rsid w:val="3F8D45C9"/>
    <w:rsid w:val="3F950533"/>
    <w:rsid w:val="40A65FA6"/>
    <w:rsid w:val="42CB72B6"/>
    <w:rsid w:val="436D3576"/>
    <w:rsid w:val="455C1569"/>
    <w:rsid w:val="455D73E6"/>
    <w:rsid w:val="45A3332A"/>
    <w:rsid w:val="468735A7"/>
    <w:rsid w:val="47272109"/>
    <w:rsid w:val="4740768C"/>
    <w:rsid w:val="47AC3873"/>
    <w:rsid w:val="47D70407"/>
    <w:rsid w:val="481713F7"/>
    <w:rsid w:val="48F93126"/>
    <w:rsid w:val="4BB61685"/>
    <w:rsid w:val="4C435623"/>
    <w:rsid w:val="4CBD5E84"/>
    <w:rsid w:val="4F145B27"/>
    <w:rsid w:val="5069222B"/>
    <w:rsid w:val="50CD5656"/>
    <w:rsid w:val="51B3643A"/>
    <w:rsid w:val="523753C3"/>
    <w:rsid w:val="52A2751B"/>
    <w:rsid w:val="52AD543D"/>
    <w:rsid w:val="53215E76"/>
    <w:rsid w:val="549B7E51"/>
    <w:rsid w:val="55EE01F0"/>
    <w:rsid w:val="561137C1"/>
    <w:rsid w:val="58002A26"/>
    <w:rsid w:val="5875340D"/>
    <w:rsid w:val="58972015"/>
    <w:rsid w:val="5DB11FA7"/>
    <w:rsid w:val="5DC047B5"/>
    <w:rsid w:val="5DF6154B"/>
    <w:rsid w:val="5E6F4CB8"/>
    <w:rsid w:val="5F0E6F93"/>
    <w:rsid w:val="5FA849EE"/>
    <w:rsid w:val="60AA1554"/>
    <w:rsid w:val="60FB626D"/>
    <w:rsid w:val="646878A1"/>
    <w:rsid w:val="65BA2E16"/>
    <w:rsid w:val="65DD71BE"/>
    <w:rsid w:val="682B1653"/>
    <w:rsid w:val="684D7B06"/>
    <w:rsid w:val="6A27600E"/>
    <w:rsid w:val="6B6B3F08"/>
    <w:rsid w:val="6BC219DD"/>
    <w:rsid w:val="6CD358BD"/>
    <w:rsid w:val="6D7F4B76"/>
    <w:rsid w:val="6E2924A5"/>
    <w:rsid w:val="6F2D15D1"/>
    <w:rsid w:val="6FEA0820"/>
    <w:rsid w:val="709F17AA"/>
    <w:rsid w:val="72532AFD"/>
    <w:rsid w:val="725D68FC"/>
    <w:rsid w:val="73831A7A"/>
    <w:rsid w:val="740F45FF"/>
    <w:rsid w:val="74D131E3"/>
    <w:rsid w:val="75770868"/>
    <w:rsid w:val="76086DA2"/>
    <w:rsid w:val="76940635"/>
    <w:rsid w:val="76BE354D"/>
    <w:rsid w:val="77265898"/>
    <w:rsid w:val="7913626B"/>
    <w:rsid w:val="791A368C"/>
    <w:rsid w:val="7AD92BC7"/>
    <w:rsid w:val="7B5F57EC"/>
    <w:rsid w:val="7B9769C6"/>
    <w:rsid w:val="7CE348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Calibri"/>
      <w:kern w:val="2"/>
      <w:sz w:val="21"/>
      <w:szCs w:val="24"/>
      <w:lang w:val="en-US" w:eastAsia="zh-CN" w:bidi="ar-SA"/>
    </w:rPr>
  </w:style>
  <w:style w:type="paragraph" w:styleId="2">
    <w:name w:val="heading 1"/>
    <w:basedOn w:val="1"/>
    <w:next w:val="1"/>
    <w:link w:val="34"/>
    <w:qFormat/>
    <w:uiPriority w:val="0"/>
    <w:pPr>
      <w:keepNext/>
      <w:keepLines/>
      <w:numPr>
        <w:ilvl w:val="0"/>
        <w:numId w:val="1"/>
      </w:numPr>
      <w:spacing w:before="120" w:after="120"/>
      <w:jc w:val="center"/>
      <w:outlineLvl w:val="0"/>
    </w:pPr>
    <w:rPr>
      <w:rFonts w:cs="Times New Roman"/>
      <w:b/>
      <w:kern w:val="44"/>
      <w:sz w:val="44"/>
    </w:rPr>
  </w:style>
  <w:style w:type="paragraph" w:styleId="3">
    <w:name w:val="heading 2"/>
    <w:basedOn w:val="1"/>
    <w:next w:val="1"/>
    <w:link w:val="29"/>
    <w:qFormat/>
    <w:uiPriority w:val="9"/>
    <w:pPr>
      <w:keepNext/>
      <w:keepLines/>
      <w:numPr>
        <w:ilvl w:val="1"/>
        <w:numId w:val="1"/>
      </w:numPr>
      <w:spacing w:before="140" w:after="140" w:line="413" w:lineRule="auto"/>
      <w:jc w:val="center"/>
      <w:outlineLvl w:val="1"/>
    </w:pPr>
    <w:rPr>
      <w:rFonts w:ascii="Arial" w:hAnsi="Arial"/>
      <w:b/>
      <w:sz w:val="28"/>
    </w:rPr>
  </w:style>
  <w:style w:type="paragraph" w:styleId="4">
    <w:name w:val="heading 3"/>
    <w:basedOn w:val="1"/>
    <w:next w:val="1"/>
    <w:link w:val="59"/>
    <w:unhideWhenUsed/>
    <w:qFormat/>
    <w:uiPriority w:val="9"/>
    <w:pPr>
      <w:keepNext/>
      <w:keepLines/>
      <w:numPr>
        <w:ilvl w:val="2"/>
        <w:numId w:val="1"/>
      </w:numPr>
      <w:spacing w:before="260" w:after="260" w:line="416" w:lineRule="auto"/>
      <w:jc w:val="left"/>
      <w:outlineLvl w:val="2"/>
    </w:pPr>
    <w:rPr>
      <w:rFonts w:ascii="Times New Roman" w:hAnsi="Times New Roman" w:eastAsia="微软雅黑" w:cs="Times New Roman"/>
      <w:b/>
      <w:bCs/>
      <w:sz w:val="32"/>
      <w:szCs w:val="32"/>
    </w:rPr>
  </w:style>
  <w:style w:type="paragraph" w:styleId="5">
    <w:name w:val="heading 4"/>
    <w:basedOn w:val="1"/>
    <w:next w:val="1"/>
    <w:link w:val="31"/>
    <w:qFormat/>
    <w:uiPriority w:val="0"/>
    <w:pPr>
      <w:keepNext/>
      <w:keepLines/>
      <w:outlineLvl w:val="3"/>
    </w:pPr>
    <w:rPr>
      <w:rFonts w:ascii="Arial" w:hAnsi="Arial" w:eastAsia="黑体"/>
      <w:bCs/>
      <w:kern w:val="0"/>
      <w:sz w:val="24"/>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unhideWhenUsed/>
    <w:qFormat/>
    <w:uiPriority w:val="99"/>
    <w:pPr>
      <w:ind w:left="420" w:leftChars="200"/>
    </w:pPr>
  </w:style>
  <w:style w:type="paragraph" w:styleId="7">
    <w:name w:val="Normal Indent"/>
    <w:basedOn w:val="1"/>
    <w:qFormat/>
    <w:uiPriority w:val="0"/>
    <w:pPr>
      <w:ind w:firstLine="420" w:firstLineChars="200"/>
    </w:pPr>
    <w:rPr>
      <w:rFonts w:ascii="Times New Roman" w:hAnsi="Times New Roman" w:eastAsia="宋体" w:cs="Times New Roman"/>
    </w:rPr>
  </w:style>
  <w:style w:type="paragraph" w:styleId="8">
    <w:name w:val="Document Map"/>
    <w:basedOn w:val="1"/>
    <w:link w:val="32"/>
    <w:qFormat/>
    <w:uiPriority w:val="0"/>
    <w:rPr>
      <w:rFonts w:ascii="宋体" w:cs="Times New Roman" w:eastAsiaTheme="minorEastAsia"/>
      <w:sz w:val="18"/>
      <w:szCs w:val="18"/>
    </w:rPr>
  </w:style>
  <w:style w:type="paragraph" w:styleId="9">
    <w:name w:val="annotation text"/>
    <w:basedOn w:val="1"/>
    <w:link w:val="36"/>
    <w:unhideWhenUsed/>
    <w:qFormat/>
    <w:uiPriority w:val="99"/>
    <w:pPr>
      <w:jc w:val="left"/>
    </w:pPr>
    <w:rPr>
      <w:rFonts w:cs="Times New Roman"/>
    </w:rPr>
  </w:style>
  <w:style w:type="paragraph" w:styleId="10">
    <w:name w:val="Body Text"/>
    <w:basedOn w:val="1"/>
    <w:qFormat/>
    <w:uiPriority w:val="0"/>
    <w:pPr>
      <w:spacing w:line="0" w:lineRule="atLeast"/>
    </w:pPr>
    <w:rPr>
      <w:b/>
      <w:sz w:val="30"/>
      <w:szCs w:val="20"/>
    </w:rPr>
  </w:style>
  <w:style w:type="paragraph" w:styleId="11">
    <w:name w:val="Body Text Indent"/>
    <w:basedOn w:val="1"/>
    <w:next w:val="1"/>
    <w:unhideWhenUsed/>
    <w:qFormat/>
    <w:uiPriority w:val="0"/>
    <w:pPr>
      <w:ind w:left="-531" w:leftChars="-253" w:firstLine="753" w:firstLineChars="251"/>
    </w:pPr>
    <w:rPr>
      <w:rFonts w:ascii="Times New Roman" w:hAnsi="Times New Roman" w:eastAsia="黑体" w:cs="Times New Roman"/>
      <w:kern w:val="10"/>
      <w:sz w:val="30"/>
      <w:szCs w:val="20"/>
    </w:rPr>
  </w:style>
  <w:style w:type="paragraph" w:styleId="12">
    <w:name w:val="Plain Text"/>
    <w:basedOn w:val="1"/>
    <w:link w:val="42"/>
    <w:qFormat/>
    <w:uiPriority w:val="99"/>
    <w:rPr>
      <w:rFonts w:ascii="宋体" w:hAnsi="Courier New" w:cs="Courier New"/>
      <w:szCs w:val="21"/>
    </w:rPr>
  </w:style>
  <w:style w:type="paragraph" w:styleId="13">
    <w:name w:val="Date"/>
    <w:basedOn w:val="1"/>
    <w:next w:val="1"/>
    <w:unhideWhenUsed/>
    <w:qFormat/>
    <w:uiPriority w:val="0"/>
    <w:pPr>
      <w:ind w:left="100" w:leftChars="2500"/>
    </w:pPr>
  </w:style>
  <w:style w:type="paragraph" w:styleId="14">
    <w:name w:val="Balloon Text"/>
    <w:basedOn w:val="1"/>
    <w:link w:val="33"/>
    <w:qFormat/>
    <w:uiPriority w:val="0"/>
    <w:rPr>
      <w:rFonts w:cs="Times New Roman"/>
      <w:sz w:val="18"/>
      <w:szCs w:val="18"/>
    </w:rPr>
  </w:style>
  <w:style w:type="paragraph" w:styleId="15">
    <w:name w:val="footer"/>
    <w:basedOn w:val="1"/>
    <w:link w:val="35"/>
    <w:qFormat/>
    <w:uiPriority w:val="0"/>
    <w:pPr>
      <w:tabs>
        <w:tab w:val="center" w:pos="4153"/>
        <w:tab w:val="right" w:pos="8306"/>
      </w:tabs>
      <w:snapToGrid w:val="0"/>
      <w:jc w:val="left"/>
    </w:pPr>
    <w:rPr>
      <w:rFonts w:asciiTheme="minorHAnsi" w:hAnsiTheme="minorHAnsi" w:cstheme="minorBidi"/>
      <w:sz w:val="18"/>
    </w:rPr>
  </w:style>
  <w:style w:type="paragraph" w:styleId="16">
    <w:name w:val="header"/>
    <w:basedOn w:val="1"/>
    <w:link w:val="6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cs="Times New Roman"/>
      <w:sz w:val="18"/>
    </w:rPr>
  </w:style>
  <w:style w:type="paragraph" w:styleId="17">
    <w:name w:val="Normal (Web)"/>
    <w:basedOn w:val="1"/>
    <w:link w:val="37"/>
    <w:unhideWhenUsed/>
    <w:qFormat/>
    <w:uiPriority w:val="0"/>
    <w:pPr>
      <w:widowControl/>
      <w:spacing w:before="100" w:beforeAutospacing="1" w:after="100" w:afterAutospacing="1"/>
      <w:jc w:val="left"/>
    </w:pPr>
    <w:rPr>
      <w:rFonts w:ascii="宋体" w:hAnsi="宋体" w:cs="宋体" w:eastAsiaTheme="minorEastAsia"/>
      <w:sz w:val="24"/>
    </w:rPr>
  </w:style>
  <w:style w:type="paragraph" w:styleId="18">
    <w:name w:val="Title"/>
    <w:basedOn w:val="1"/>
    <w:next w:val="1"/>
    <w:link w:val="60"/>
    <w:qFormat/>
    <w:uiPriority w:val="0"/>
    <w:pPr>
      <w:spacing w:before="240" w:after="60"/>
      <w:jc w:val="center"/>
      <w:outlineLvl w:val="0"/>
    </w:pPr>
    <w:rPr>
      <w:rFonts w:ascii="Cambria" w:hAnsi="Cambria" w:eastAsia="宋体" w:cs="Times New Roman"/>
      <w:b/>
      <w:bCs/>
      <w:sz w:val="32"/>
      <w:szCs w:val="32"/>
    </w:rPr>
  </w:style>
  <w:style w:type="paragraph" w:styleId="19">
    <w:name w:val="annotation subject"/>
    <w:basedOn w:val="9"/>
    <w:next w:val="9"/>
    <w:link w:val="38"/>
    <w:qFormat/>
    <w:uiPriority w:val="0"/>
    <w:rPr>
      <w:b/>
      <w:bCs/>
    </w:rPr>
  </w:style>
  <w:style w:type="paragraph" w:styleId="20">
    <w:name w:val="Body Text First Indent 2"/>
    <w:basedOn w:val="11"/>
    <w:next w:val="1"/>
    <w:qFormat/>
    <w:uiPriority w:val="0"/>
    <w:pPr>
      <w:ind w:firstLine="420"/>
    </w:pPr>
    <w:rPr>
      <w:rFonts w:ascii="等线" w:hAnsi="等线" w:eastAsia="等线"/>
    </w:rPr>
  </w:style>
  <w:style w:type="table" w:styleId="22">
    <w:name w:val="Table Grid"/>
    <w:basedOn w:val="21"/>
    <w:qFormat/>
    <w:uiPriority w:val="0"/>
    <w:pPr>
      <w:widowControl w:val="0"/>
      <w:jc w:val="both"/>
    </w:pPr>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qFormat/>
    <w:uiPriority w:val="0"/>
    <w:rPr>
      <w:b/>
    </w:rPr>
  </w:style>
  <w:style w:type="character" w:styleId="25">
    <w:name w:val="Hyperlink"/>
    <w:qFormat/>
    <w:uiPriority w:val="0"/>
    <w:rPr>
      <w:color w:val="0000FF"/>
      <w:u w:val="single"/>
    </w:rPr>
  </w:style>
  <w:style w:type="character" w:styleId="26">
    <w:name w:val="annotation reference"/>
    <w:unhideWhenUsed/>
    <w:qFormat/>
    <w:uiPriority w:val="99"/>
    <w:rPr>
      <w:sz w:val="21"/>
      <w:szCs w:val="21"/>
    </w:rPr>
  </w:style>
  <w:style w:type="paragraph" w:customStyle="1" w:styleId="27">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28">
    <w:name w:val="标题 1 Char"/>
    <w:basedOn w:val="23"/>
    <w:qFormat/>
    <w:uiPriority w:val="9"/>
    <w:rPr>
      <w:rFonts w:ascii="Calibri" w:hAnsi="Calibri" w:eastAsia="仿宋" w:cs="Calibri"/>
      <w:b/>
      <w:bCs/>
      <w:kern w:val="44"/>
      <w:sz w:val="44"/>
      <w:szCs w:val="44"/>
    </w:rPr>
  </w:style>
  <w:style w:type="character" w:customStyle="1" w:styleId="29">
    <w:name w:val="标题 2 Char"/>
    <w:basedOn w:val="23"/>
    <w:link w:val="3"/>
    <w:qFormat/>
    <w:uiPriority w:val="9"/>
    <w:rPr>
      <w:rFonts w:ascii="Arial" w:hAnsi="Arial" w:eastAsia="仿宋" w:cs="Calibri"/>
      <w:b/>
      <w:sz w:val="28"/>
      <w:szCs w:val="24"/>
    </w:rPr>
  </w:style>
  <w:style w:type="character" w:customStyle="1" w:styleId="30">
    <w:name w:val="标题 3 Char"/>
    <w:basedOn w:val="23"/>
    <w:semiHidden/>
    <w:qFormat/>
    <w:uiPriority w:val="9"/>
    <w:rPr>
      <w:rFonts w:ascii="Calibri" w:hAnsi="Calibri" w:eastAsia="仿宋" w:cs="Calibri"/>
      <w:b/>
      <w:bCs/>
      <w:sz w:val="32"/>
      <w:szCs w:val="32"/>
    </w:rPr>
  </w:style>
  <w:style w:type="character" w:customStyle="1" w:styleId="31">
    <w:name w:val="标题 4 Char"/>
    <w:basedOn w:val="23"/>
    <w:link w:val="5"/>
    <w:qFormat/>
    <w:uiPriority w:val="0"/>
    <w:rPr>
      <w:rFonts w:ascii="Arial" w:hAnsi="Arial" w:eastAsia="黑体" w:cs="Calibri"/>
      <w:bCs/>
      <w:kern w:val="0"/>
      <w:sz w:val="24"/>
      <w:szCs w:val="28"/>
    </w:rPr>
  </w:style>
  <w:style w:type="character" w:customStyle="1" w:styleId="32">
    <w:name w:val="文档结构图 Char1"/>
    <w:link w:val="8"/>
    <w:qFormat/>
    <w:uiPriority w:val="0"/>
    <w:rPr>
      <w:rFonts w:ascii="宋体" w:hAnsi="Calibri" w:cs="Times New Roman"/>
      <w:sz w:val="18"/>
      <w:szCs w:val="18"/>
    </w:rPr>
  </w:style>
  <w:style w:type="character" w:customStyle="1" w:styleId="33">
    <w:name w:val="批注框文本 Char1"/>
    <w:link w:val="14"/>
    <w:qFormat/>
    <w:uiPriority w:val="0"/>
    <w:rPr>
      <w:rFonts w:ascii="Calibri" w:hAnsi="Calibri" w:eastAsia="仿宋" w:cs="Times New Roman"/>
      <w:sz w:val="18"/>
      <w:szCs w:val="18"/>
    </w:rPr>
  </w:style>
  <w:style w:type="character" w:customStyle="1" w:styleId="34">
    <w:name w:val="标题 1 Char1"/>
    <w:link w:val="2"/>
    <w:qFormat/>
    <w:uiPriority w:val="0"/>
    <w:rPr>
      <w:rFonts w:ascii="Calibri" w:hAnsi="Calibri" w:eastAsia="仿宋" w:cs="Times New Roman"/>
      <w:b/>
      <w:kern w:val="44"/>
      <w:sz w:val="44"/>
      <w:szCs w:val="24"/>
    </w:rPr>
  </w:style>
  <w:style w:type="character" w:customStyle="1" w:styleId="35">
    <w:name w:val="页脚 Char1"/>
    <w:link w:val="15"/>
    <w:qFormat/>
    <w:uiPriority w:val="0"/>
    <w:rPr>
      <w:rFonts w:eastAsia="仿宋"/>
      <w:sz w:val="18"/>
      <w:szCs w:val="24"/>
    </w:rPr>
  </w:style>
  <w:style w:type="character" w:customStyle="1" w:styleId="36">
    <w:name w:val="批注文字 Char1"/>
    <w:link w:val="9"/>
    <w:qFormat/>
    <w:uiPriority w:val="99"/>
    <w:rPr>
      <w:rFonts w:ascii="Calibri" w:hAnsi="Calibri" w:eastAsia="仿宋" w:cs="Times New Roman"/>
      <w:szCs w:val="24"/>
    </w:rPr>
  </w:style>
  <w:style w:type="character" w:customStyle="1" w:styleId="37">
    <w:name w:val="普通(网站) Char"/>
    <w:link w:val="17"/>
    <w:qFormat/>
    <w:uiPriority w:val="0"/>
    <w:rPr>
      <w:rFonts w:ascii="宋体" w:hAnsi="宋体" w:cs="宋体"/>
      <w:sz w:val="24"/>
      <w:szCs w:val="24"/>
    </w:rPr>
  </w:style>
  <w:style w:type="character" w:customStyle="1" w:styleId="38">
    <w:name w:val="批注主题 Char1"/>
    <w:link w:val="19"/>
    <w:qFormat/>
    <w:uiPriority w:val="0"/>
    <w:rPr>
      <w:rFonts w:ascii="Calibri" w:hAnsi="Calibri" w:eastAsia="仿宋" w:cs="Times New Roman"/>
      <w:b/>
      <w:bCs/>
      <w:szCs w:val="24"/>
    </w:rPr>
  </w:style>
  <w:style w:type="character" w:customStyle="1" w:styleId="39">
    <w:name w:val="页脚 Char"/>
    <w:basedOn w:val="23"/>
    <w:semiHidden/>
    <w:qFormat/>
    <w:uiPriority w:val="99"/>
    <w:rPr>
      <w:rFonts w:ascii="Calibri" w:hAnsi="Calibri" w:eastAsia="仿宋" w:cs="Calibri"/>
      <w:sz w:val="18"/>
      <w:szCs w:val="18"/>
    </w:rPr>
  </w:style>
  <w:style w:type="character" w:customStyle="1" w:styleId="40">
    <w:name w:val="批注框文本 Char"/>
    <w:basedOn w:val="23"/>
    <w:semiHidden/>
    <w:qFormat/>
    <w:uiPriority w:val="99"/>
    <w:rPr>
      <w:rFonts w:ascii="Calibri" w:hAnsi="Calibri" w:eastAsia="仿宋" w:cs="Calibri"/>
      <w:sz w:val="18"/>
      <w:szCs w:val="18"/>
    </w:rPr>
  </w:style>
  <w:style w:type="character" w:customStyle="1" w:styleId="41">
    <w:name w:val="页眉 Char"/>
    <w:basedOn w:val="23"/>
    <w:semiHidden/>
    <w:qFormat/>
    <w:uiPriority w:val="99"/>
    <w:rPr>
      <w:rFonts w:ascii="Calibri" w:hAnsi="Calibri" w:eastAsia="仿宋" w:cs="Calibri"/>
      <w:sz w:val="18"/>
      <w:szCs w:val="18"/>
    </w:rPr>
  </w:style>
  <w:style w:type="character" w:customStyle="1" w:styleId="42">
    <w:name w:val="纯文本 Char"/>
    <w:basedOn w:val="23"/>
    <w:link w:val="12"/>
    <w:qFormat/>
    <w:uiPriority w:val="99"/>
    <w:rPr>
      <w:rFonts w:ascii="宋体" w:hAnsi="Courier New" w:eastAsia="仿宋" w:cs="Courier New"/>
      <w:szCs w:val="21"/>
    </w:rPr>
  </w:style>
  <w:style w:type="character" w:customStyle="1" w:styleId="43">
    <w:name w:val="批注文字 Char"/>
    <w:basedOn w:val="23"/>
    <w:semiHidden/>
    <w:qFormat/>
    <w:uiPriority w:val="99"/>
    <w:rPr>
      <w:rFonts w:ascii="Calibri" w:hAnsi="Calibri" w:eastAsia="仿宋" w:cs="Calibri"/>
      <w:szCs w:val="24"/>
    </w:rPr>
  </w:style>
  <w:style w:type="character" w:customStyle="1" w:styleId="44">
    <w:name w:val="文档结构图 Char"/>
    <w:basedOn w:val="23"/>
    <w:semiHidden/>
    <w:qFormat/>
    <w:uiPriority w:val="99"/>
    <w:rPr>
      <w:rFonts w:ascii="宋体" w:hAnsi="Calibri" w:eastAsia="宋体" w:cs="Calibri"/>
      <w:sz w:val="18"/>
      <w:szCs w:val="18"/>
    </w:rPr>
  </w:style>
  <w:style w:type="paragraph" w:customStyle="1" w:styleId="45">
    <w:name w:val="_Style 33"/>
    <w:basedOn w:val="1"/>
    <w:next w:val="46"/>
    <w:qFormat/>
    <w:uiPriority w:val="34"/>
    <w:pPr>
      <w:ind w:firstLine="420" w:firstLineChars="200"/>
    </w:pPr>
  </w:style>
  <w:style w:type="paragraph" w:styleId="46">
    <w:name w:val="List Paragraph"/>
    <w:basedOn w:val="1"/>
    <w:qFormat/>
    <w:uiPriority w:val="34"/>
    <w:pPr>
      <w:ind w:firstLine="420" w:firstLineChars="200"/>
    </w:pPr>
  </w:style>
  <w:style w:type="character" w:customStyle="1" w:styleId="47">
    <w:name w:val="批注主题 Char"/>
    <w:basedOn w:val="43"/>
    <w:semiHidden/>
    <w:qFormat/>
    <w:uiPriority w:val="99"/>
    <w:rPr>
      <w:rFonts w:ascii="Calibri" w:hAnsi="Calibri" w:eastAsia="仿宋" w:cs="Calibri"/>
      <w:b/>
      <w:bCs/>
      <w:szCs w:val="24"/>
    </w:rPr>
  </w:style>
  <w:style w:type="paragraph" w:customStyle="1" w:styleId="48">
    <w:name w:val="样式N"/>
    <w:basedOn w:val="49"/>
    <w:qFormat/>
    <w:uiPriority w:val="0"/>
    <w:rPr>
      <w:sz w:val="30"/>
    </w:rPr>
  </w:style>
  <w:style w:type="paragraph" w:customStyle="1" w:styleId="49">
    <w:name w:val="样式H"/>
    <w:basedOn w:val="2"/>
    <w:next w:val="1"/>
    <w:qFormat/>
    <w:uiPriority w:val="0"/>
    <w:pPr>
      <w:spacing w:before="100" w:line="500" w:lineRule="exact"/>
    </w:pPr>
  </w:style>
  <w:style w:type="paragraph" w:customStyle="1" w:styleId="50">
    <w:name w:val="WPSOffice手动目录 2"/>
    <w:qFormat/>
    <w:uiPriority w:val="0"/>
    <w:pPr>
      <w:ind w:left="200" w:leftChars="200"/>
    </w:pPr>
    <w:rPr>
      <w:rFonts w:ascii="Calibri" w:hAnsi="Calibri" w:eastAsia="宋体" w:cs="Calibri"/>
      <w:lang w:val="en-US" w:eastAsia="zh-CN" w:bidi="ar-SA"/>
    </w:rPr>
  </w:style>
  <w:style w:type="paragraph" w:customStyle="1" w:styleId="51">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52">
    <w:name w:val="WPSOffice手动目录 1"/>
    <w:qFormat/>
    <w:uiPriority w:val="0"/>
    <w:rPr>
      <w:rFonts w:ascii="Times New Roman" w:hAnsi="Times New Roman" w:eastAsia="宋体" w:cs="Calibri"/>
      <w:lang w:val="en-US" w:eastAsia="zh-CN" w:bidi="ar-SA"/>
    </w:rPr>
  </w:style>
  <w:style w:type="paragraph" w:customStyle="1" w:styleId="53">
    <w:name w:val="WPSOffice手动目录 3"/>
    <w:qFormat/>
    <w:uiPriority w:val="0"/>
    <w:pPr>
      <w:ind w:left="400" w:leftChars="400"/>
    </w:pPr>
    <w:rPr>
      <w:rFonts w:ascii="Calibri" w:hAnsi="Calibri" w:eastAsia="宋体" w:cs="Calibri"/>
      <w:lang w:val="en-US" w:eastAsia="zh-CN" w:bidi="ar-SA"/>
    </w:rPr>
  </w:style>
  <w:style w:type="paragraph" w:customStyle="1" w:styleId="54">
    <w:name w:val="列出段落1"/>
    <w:basedOn w:val="1"/>
    <w:qFormat/>
    <w:uiPriority w:val="99"/>
    <w:pPr>
      <w:ind w:firstLine="420" w:firstLineChars="200"/>
    </w:pPr>
    <w:rPr>
      <w:rFonts w:eastAsia="宋体" w:cs="Times New Roman"/>
    </w:rPr>
  </w:style>
  <w:style w:type="paragraph" w:customStyle="1" w:styleId="55">
    <w:name w:val="列出段落11"/>
    <w:basedOn w:val="1"/>
    <w:qFormat/>
    <w:uiPriority w:val="34"/>
    <w:pPr>
      <w:ind w:firstLine="420" w:firstLineChars="200"/>
    </w:pPr>
    <w:rPr>
      <w:rFonts w:eastAsia="宋体" w:cs="Times New Roman"/>
      <w:szCs w:val="22"/>
      <w:lang w:val="zh-CN"/>
    </w:rPr>
  </w:style>
  <w:style w:type="paragraph" w:customStyle="1" w:styleId="56">
    <w:name w:val="列出段落12"/>
    <w:basedOn w:val="1"/>
    <w:qFormat/>
    <w:uiPriority w:val="34"/>
    <w:pPr>
      <w:ind w:firstLine="420" w:firstLineChars="200"/>
    </w:pPr>
    <w:rPr>
      <w:rFonts w:eastAsia="宋体" w:cs="宋体"/>
      <w:szCs w:val="22"/>
    </w:rPr>
  </w:style>
  <w:style w:type="paragraph" w:customStyle="1" w:styleId="5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table" w:customStyle="1" w:styleId="58">
    <w:name w:val="网格型1"/>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9">
    <w:name w:val="标题 3 Char1"/>
    <w:link w:val="4"/>
    <w:qFormat/>
    <w:uiPriority w:val="9"/>
    <w:rPr>
      <w:rFonts w:ascii="Times New Roman" w:hAnsi="Times New Roman" w:eastAsia="微软雅黑" w:cs="Times New Roman"/>
      <w:b/>
      <w:bCs/>
      <w:sz w:val="32"/>
      <w:szCs w:val="32"/>
    </w:rPr>
  </w:style>
  <w:style w:type="character" w:customStyle="1" w:styleId="60">
    <w:name w:val="标题 Char"/>
    <w:basedOn w:val="23"/>
    <w:link w:val="18"/>
    <w:qFormat/>
    <w:uiPriority w:val="0"/>
    <w:rPr>
      <w:rFonts w:ascii="Cambria" w:hAnsi="Cambria" w:eastAsia="宋体" w:cs="Times New Roman"/>
      <w:b/>
      <w:bCs/>
      <w:sz w:val="32"/>
      <w:szCs w:val="32"/>
    </w:rPr>
  </w:style>
  <w:style w:type="character" w:customStyle="1" w:styleId="61">
    <w:name w:val="页眉 Char1"/>
    <w:link w:val="16"/>
    <w:qFormat/>
    <w:uiPriority w:val="99"/>
    <w:rPr>
      <w:rFonts w:ascii="Calibri" w:hAnsi="Calibri" w:eastAsia="仿宋" w:cs="Times New Roman"/>
      <w:sz w:val="18"/>
      <w:szCs w:val="24"/>
    </w:rPr>
  </w:style>
  <w:style w:type="paragraph" w:customStyle="1" w:styleId="62">
    <w:name w:val="List Paragraph1"/>
    <w:basedOn w:val="1"/>
    <w:qFormat/>
    <w:uiPriority w:val="0"/>
    <w:pPr>
      <w:ind w:firstLine="420" w:firstLineChars="200"/>
    </w:pPr>
    <w:rPr>
      <w:rFonts w:eastAsia="宋体" w:cs="Times New Roman"/>
    </w:rPr>
  </w:style>
  <w:style w:type="paragraph" w:customStyle="1" w:styleId="63">
    <w:name w:val="列表段落1"/>
    <w:basedOn w:val="1"/>
    <w:qFormat/>
    <w:uiPriority w:val="0"/>
    <w:pPr>
      <w:ind w:firstLine="420" w:firstLineChars="200"/>
    </w:pPr>
    <w:rPr>
      <w:rFonts w:ascii="Times New Roman" w:hAnsi="Times New Roman"/>
    </w:rPr>
  </w:style>
  <w:style w:type="character" w:customStyle="1" w:styleId="64">
    <w:name w:val="NormalCharacter"/>
    <w:qFormat/>
    <w:uiPriority w:val="0"/>
  </w:style>
  <w:style w:type="character" w:customStyle="1" w:styleId="65">
    <w:name w:val="font01"/>
    <w:basedOn w:val="23"/>
    <w:qFormat/>
    <w:uiPriority w:val="0"/>
    <w:rPr>
      <w:rFonts w:hint="eastAsia" w:ascii="宋体" w:hAnsi="宋体" w:eastAsia="宋体" w:cs="宋体"/>
      <w:color w:val="000000"/>
      <w:sz w:val="24"/>
      <w:szCs w:val="24"/>
      <w:u w:val="none"/>
    </w:rPr>
  </w:style>
  <w:style w:type="character" w:customStyle="1" w:styleId="66">
    <w:name w:val="font41"/>
    <w:basedOn w:val="23"/>
    <w:qFormat/>
    <w:uiPriority w:val="0"/>
    <w:rPr>
      <w:rFonts w:hint="eastAsia" w:ascii="宋体" w:hAnsi="宋体" w:eastAsia="宋体" w:cs="宋体"/>
      <w:color w:val="000000"/>
      <w:sz w:val="24"/>
      <w:szCs w:val="24"/>
      <w:u w:val="none"/>
    </w:rPr>
  </w:style>
  <w:style w:type="character" w:customStyle="1" w:styleId="67">
    <w:name w:val="font21"/>
    <w:basedOn w:val="23"/>
    <w:qFormat/>
    <w:uiPriority w:val="0"/>
    <w:rPr>
      <w:rFonts w:hint="eastAsia" w:ascii="宋体" w:hAnsi="宋体" w:eastAsia="宋体" w:cs="宋体"/>
      <w:color w:val="000000"/>
      <w:sz w:val="24"/>
      <w:szCs w:val="24"/>
      <w:u w:val="none"/>
    </w:rPr>
  </w:style>
  <w:style w:type="character" w:customStyle="1" w:styleId="68">
    <w:name w:val="font11"/>
    <w:basedOn w:val="23"/>
    <w:qFormat/>
    <w:uiPriority w:val="0"/>
    <w:rPr>
      <w:rFonts w:hint="eastAsia" w:ascii="等线" w:hAnsi="等线" w:eastAsia="等线" w:cs="等线"/>
      <w:color w:val="000000"/>
      <w:sz w:val="22"/>
      <w:szCs w:val="22"/>
      <w:u w:val="none"/>
    </w:rPr>
  </w:style>
  <w:style w:type="character" w:customStyle="1" w:styleId="69">
    <w:name w:val="font31"/>
    <w:basedOn w:val="23"/>
    <w:qFormat/>
    <w:uiPriority w:val="0"/>
    <w:rPr>
      <w:rFonts w:hint="eastAsia" w:ascii="仿宋" w:hAnsi="仿宋" w:eastAsia="仿宋" w:cs="仿宋"/>
      <w:color w:val="000000"/>
      <w:sz w:val="21"/>
      <w:szCs w:val="21"/>
      <w:u w:val="none"/>
    </w:rPr>
  </w:style>
  <w:style w:type="character" w:customStyle="1" w:styleId="70">
    <w:name w:val="font51"/>
    <w:basedOn w:val="23"/>
    <w:qFormat/>
    <w:uiPriority w:val="0"/>
    <w:rPr>
      <w:rFonts w:hint="eastAsia" w:ascii="等线" w:hAnsi="等线" w:eastAsia="等线" w:cs="等线"/>
      <w:color w:val="000000"/>
      <w:sz w:val="20"/>
      <w:szCs w:val="20"/>
      <w:u w:val="none"/>
    </w:rPr>
  </w:style>
  <w:style w:type="character" w:customStyle="1" w:styleId="71">
    <w:name w:val="font61"/>
    <w:basedOn w:val="23"/>
    <w:qFormat/>
    <w:uiPriority w:val="0"/>
    <w:rPr>
      <w:rFonts w:hint="eastAsia" w:ascii="等线" w:hAnsi="等线" w:eastAsia="等线" w:cs="等线"/>
      <w:color w:val="000000"/>
      <w:sz w:val="20"/>
      <w:szCs w:val="20"/>
      <w:u w:val="none"/>
      <w:vertAlign w:val="superscript"/>
    </w:rPr>
  </w:style>
  <w:style w:type="character" w:customStyle="1" w:styleId="72">
    <w:name w:val="font91"/>
    <w:basedOn w:val="23"/>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11797A-40B2-4B89-8BF5-6F3C90F1F5B2}">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86</Pages>
  <Words>45899</Words>
  <Characters>49462</Characters>
  <Lines>385</Lines>
  <Paragraphs>108</Paragraphs>
  <TotalTime>78</TotalTime>
  <ScaleCrop>false</ScaleCrop>
  <LinksUpToDate>false</LinksUpToDate>
  <CharactersWithSpaces>50697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2022-08-09T08:08:00Z</dcterms:created>
  <dc:creator>Administrator</dc:creator>
  <cp:lastModifiedBy>Administrator</cp:lastModifiedBy>
  <dcterms:modified xsi:type="dcterms:W3CDTF">2025-08-06T01:52:34Z</dcterms:modified>
  <cp:revision>175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BDDEF91861654DECBA53328E03F0F451_13</vt:lpwstr>
  </property>
  <property fmtid="{D5CDD505-2E9C-101B-9397-08002B2CF9AE}" pid="4" name="KSOTemplateDocerSaveRecord">
    <vt:lpwstr>eyJoZGlkIjoiMWU4NWI5YzI1ZWI4NDY0YjczYWQwNjFhMDcwZTg0YzgiLCJ1c2VySWQiOiIxNDc2MDM3OTY1In0=</vt:lpwstr>
  </property>
</Properties>
</file>