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441901-2025-02488</w:t>
      </w:r>
    </w:p>
    <w:p>
      <w:pPr>
        <w:pStyle w:val="null3"/>
        <w:jc w:val="center"/>
        <w:outlineLvl w:val="3"/>
      </w:pPr>
      <w:r>
        <w:rPr>
          <w:sz w:val="24"/>
          <w:b/>
        </w:rPr>
        <w:t>采购项目编号：</w:t>
      </w:r>
      <w:r>
        <w:rPr>
          <w:sz w:val="24"/>
          <w:b/>
        </w:rPr>
        <w:t>441901-2025-02488</w:t>
      </w:r>
    </w:p>
    <w:p>
      <w:pPr>
        <w:pStyle w:val="null3"/>
        <w:jc w:val="center"/>
        <w:outlineLvl w:val="3"/>
      </w:pPr>
      <w:r>
        <w:rPr>
          <w:sz w:val="24"/>
          <w:b/>
        </w:rPr>
        <w:t>项目名称：</w:t>
      </w:r>
      <w:r>
        <w:rPr>
          <w:sz w:val="24"/>
          <w:b/>
        </w:rPr>
        <w:t>东莞市中医院X射线骨密度检测仪采购项目</w:t>
      </w:r>
    </w:p>
    <w:p>
      <w:pPr>
        <w:pStyle w:val="null3"/>
        <w:jc w:val="center"/>
        <w:outlineLvl w:val="3"/>
      </w:pPr>
      <w:r>
        <w:rPr>
          <w:sz w:val="24"/>
          <w:b/>
        </w:rPr>
        <w:t>采购人：</w:t>
      </w:r>
      <w:r>
        <w:rPr>
          <w:sz w:val="24"/>
          <w:b/>
        </w:rPr>
        <w:t>东莞市中医院</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广东中元招标代理有限公司</w:t>
      </w:r>
      <w:r>
        <w:rPr/>
        <w:t>受</w:t>
      </w:r>
      <w:r>
        <w:rPr/>
        <w:t>东莞市中医院</w:t>
      </w:r>
      <w:r>
        <w:rPr/>
        <w:t>的委托，采用</w:t>
      </w:r>
      <w:r>
        <w:rPr/>
        <w:t>公开招标</w:t>
      </w:r>
      <w:r>
        <w:rPr/>
        <w:t>方式组织采购</w:t>
      </w:r>
      <w:r>
        <w:rPr/>
        <w:t>东莞市中医院X射线骨密度检测仪采购项目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东莞市中医院X射线骨密度检测仪采购项目</w:t>
      </w:r>
    </w:p>
    <w:p>
      <w:pPr>
        <w:pStyle w:val="null3"/>
        <w:ind w:firstLine="480"/>
      </w:pPr>
      <w:r>
        <w:rPr/>
        <w:t>采购计划编号：</w:t>
      </w:r>
      <w:r>
        <w:rPr/>
        <w:t>441901-2025-02488</w:t>
      </w:r>
    </w:p>
    <w:p>
      <w:pPr>
        <w:pStyle w:val="null3"/>
        <w:ind w:firstLine="480"/>
      </w:pPr>
      <w:r>
        <w:rPr/>
        <w:t>采购项目编号：</w:t>
      </w:r>
      <w:r>
        <w:rPr/>
        <w:t>441901-2025-02488</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采购包1(东莞市中医院X射线骨密度检测仪采购项目):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X射线骨密度检测仪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合同履行期限：★签订合同生效，接到采购人通知后60天内完成供货、安装调试，并通过验收。【交货时间指所有货物运抵现场安装调试完毕的日期，技术要求中有特殊要求的除外】。</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提供相应证明材料。或投标文件中提供《资格条件承诺函》。</w:t>
      </w:r>
    </w:p>
    <w:p>
      <w:pPr>
        <w:pStyle w:val="null3"/>
      </w:pPr>
      <w:r>
        <w:rPr/>
        <w:t>3）具有良好的商业信誉和健全的财务会计制度：供应商必须具有良好的商业信誉和健全的财务会计制度（提供2024年度财务状况报告或基本开户行出具的资信证明） 。或投标文件中提供《资格条件承诺函》。</w:t>
      </w:r>
    </w:p>
    <w:p>
      <w:pPr>
        <w:pStyle w:val="null3"/>
      </w:pPr>
      <w:r>
        <w:rPr/>
        <w:t>4）履行合同所必需的设备和专业技术能力：按投标（响应）文件格式填报设备及专业技术能力情况。或投标文件中提供《资格条件承诺函》。</w:t>
      </w:r>
    </w:p>
    <w:p>
      <w:pPr>
        <w:pStyle w:val="null3"/>
      </w:pPr>
      <w:r>
        <w:rPr/>
        <w:t>5）参加采购活动前3年内，在经营活动中没有重大违法记录：投标文件中提供《资格条件承诺函》。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采购包1（东莞市中医院X射线骨密度检测仪采购项目）：</w:t>
      </w:r>
      <w:r>
        <w:rPr/>
        <w:t>本采购项目属于非专门面向中小企业,所属行业划分标准为：工业。《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 发展改革委 生态环境部 市场监管总局 关于调整优化节能产品、环境标志产品政府采购执行机制的通知》（财库〔2019〕9号）</w:t>
      </w:r>
    </w:p>
    <w:p>
      <w:pPr>
        <w:pStyle w:val="null3"/>
        <w:outlineLvl w:val="3"/>
      </w:pPr>
      <w:r>
        <w:rPr>
          <w:sz w:val="24"/>
          <w:b/>
        </w:rPr>
        <w:t>3.本项目特定的资格要求：</w:t>
      </w:r>
    </w:p>
    <w:p>
      <w:pPr>
        <w:pStyle w:val="null3"/>
      </w:pPr>
      <w:r>
        <w:rPr/>
        <w:t>采购包1（东莞市中医院X射线骨密度检测仪采购项目）：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代理商的，从事第三类医疗器械经营的应取得《医疗器械经营许可证》或《医疗器械经营企业许可证》；②投标人为生产厂商的，从事第二类或第三类医疗器械生产的厂商，应取得药品监督管理部门颁发的《医疗器械生产许可证》或《医疗器械生产企业许可证》；③投标货物若属于中国医疗器械注册管理范围内的，则应取得监督管理部门颁发的相应的《中华人民共和国医疗器械注册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东莞市中医院</w:t>
      </w:r>
    </w:p>
    <w:p>
      <w:pPr>
        <w:pStyle w:val="null3"/>
        <w:ind w:firstLine="480"/>
      </w:pPr>
      <w:r>
        <w:rPr/>
        <w:t xml:space="preserve"> 地址：</w:t>
      </w:r>
      <w:r>
        <w:rPr/>
        <w:t>东莞市东城街道松山湖大道东城段3号</w:t>
      </w:r>
    </w:p>
    <w:p>
      <w:pPr>
        <w:pStyle w:val="null3"/>
        <w:ind w:firstLine="480"/>
      </w:pPr>
      <w:r>
        <w:rPr/>
        <w:t xml:space="preserve"> 联系方式：</w:t>
      </w:r>
      <w:r>
        <w:rPr/>
        <w:t>0769-26385133</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邹先生</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一、项目概况：</w:t>
      </w:r>
    </w:p>
    <w:p>
      <w:pPr>
        <w:pStyle w:val="null3"/>
        <w:ind w:firstLine="420"/>
        <w:jc w:val="both"/>
      </w:pPr>
      <w:r>
        <w:rPr>
          <w:sz w:val="22"/>
        </w:rPr>
        <w:t>东莞市中医院</w:t>
      </w:r>
      <w:r>
        <w:rPr>
          <w:sz w:val="22"/>
        </w:rPr>
        <w:t>X射线骨密度检测仪采购项目</w:t>
      </w:r>
      <w:r>
        <w:rPr>
          <w:sz w:val="22"/>
        </w:rPr>
        <w:t>共</w:t>
      </w:r>
      <w:r>
        <w:rPr>
          <w:sz w:val="22"/>
        </w:rPr>
        <w:t>1</w:t>
      </w:r>
      <w:r>
        <w:rPr>
          <w:sz w:val="22"/>
        </w:rPr>
        <w:t>个包，为：</w:t>
      </w:r>
      <w:r>
        <w:rPr>
          <w:sz w:val="22"/>
        </w:rPr>
        <w:t>X射线骨密度检测仪</w:t>
      </w:r>
      <w:r>
        <w:rPr>
          <w:sz w:val="22"/>
        </w:rPr>
        <w:t xml:space="preserve"> </w:t>
      </w:r>
      <w:r>
        <w:rPr>
          <w:sz w:val="22"/>
        </w:rPr>
        <w:t>1套；</w:t>
      </w:r>
      <w:r>
        <w:rPr>
          <w:sz w:val="22"/>
        </w:rPr>
        <w:t>上述采购内容</w:t>
      </w:r>
      <w:r>
        <w:rPr>
          <w:sz w:val="22"/>
          <w:u w:val="single"/>
        </w:rPr>
        <w:t>不接受进口产品投标</w:t>
      </w:r>
      <w:r>
        <w:rPr>
          <w:sz w:val="22"/>
        </w:rPr>
        <w:t>；具体详见</w:t>
      </w:r>
      <w:r>
        <w:rPr>
          <w:sz w:val="22"/>
        </w:rPr>
        <w:t>“技术标准与要求”。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900"/>
        <w:gridCol w:w="1650"/>
        <w:gridCol w:w="750"/>
        <w:gridCol w:w="1515"/>
        <w:gridCol w:w="1365"/>
        <w:gridCol w:w="1395"/>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预算单价金额（万元）</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预算总金额（万元）</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是否允许进口产品</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X射线骨密度检测仪</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140.00</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140.00</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否</w:t>
            </w:r>
          </w:p>
        </w:tc>
      </w:tr>
    </w:tbl>
    <w:p>
      <w:pPr>
        <w:pStyle w:val="null3"/>
        <w:jc w:val="both"/>
      </w:pPr>
      <w:r>
        <w:rPr>
          <w:sz w:val="22"/>
          <w:b/>
        </w:rPr>
        <w:t>附件一：质保及售后服务承诺书</w:t>
      </w:r>
    </w:p>
    <w:p>
      <w:pPr>
        <w:pStyle w:val="null3"/>
        <w:jc w:val="center"/>
      </w:pPr>
      <w:r>
        <w:rPr>
          <w:sz w:val="22"/>
          <w:b/>
        </w:rPr>
        <w:t>质保及售后服务承诺书（国产产品）</w:t>
      </w:r>
    </w:p>
    <w:p>
      <w:pPr>
        <w:pStyle w:val="null3"/>
        <w:jc w:val="left"/>
      </w:pPr>
      <w:r>
        <w:rPr>
          <w:sz w:val="22"/>
        </w:rPr>
        <w:t>致：东莞市</w:t>
      </w:r>
      <w:r>
        <w:rPr>
          <w:sz w:val="22"/>
        </w:rPr>
        <w:t>中</w:t>
      </w:r>
      <w:r>
        <w:rPr>
          <w:sz w:val="22"/>
        </w:rPr>
        <w:t>医院</w:t>
      </w:r>
    </w:p>
    <w:p>
      <w:pPr>
        <w:pStyle w:val="null3"/>
        <w:ind w:firstLine="420"/>
        <w:jc w:val="left"/>
      </w:pPr>
      <w:r>
        <w:rPr>
          <w:sz w:val="22"/>
        </w:rPr>
        <w:t>本公司参加项目名称：</w:t>
      </w:r>
      <w:r>
        <w:rPr>
          <w:u w:val="single"/>
        </w:rPr>
        <w:t xml:space="preserve">                    </w:t>
      </w:r>
      <w:r>
        <w:rPr>
          <w:sz w:val="22"/>
        </w:rPr>
        <w:t>的政府采购活动，并作出以下书面承诺：</w:t>
      </w:r>
    </w:p>
    <w:p>
      <w:pPr>
        <w:pStyle w:val="null3"/>
        <w:ind w:firstLine="482"/>
        <w:jc w:val="left"/>
      </w:pPr>
      <w:r>
        <w:rPr>
          <w:sz w:val="22"/>
        </w:rPr>
        <w:t>若本公司有幸中标，本公司承诺本项目免费质保服务期</w:t>
      </w:r>
      <w:r>
        <w:rPr>
          <w:sz w:val="22"/>
        </w:rPr>
        <w:t>（</w:t>
      </w:r>
      <w:r>
        <w:rPr>
          <w:sz w:val="22"/>
        </w:rPr>
        <w:t>含</w:t>
      </w:r>
      <w:r>
        <w:rPr>
          <w:sz w:val="22"/>
        </w:rPr>
        <w:t>软件免费升级）</w:t>
      </w:r>
      <w:r>
        <w:rPr>
          <w:sz w:val="22"/>
        </w:rPr>
        <w:t>：</w:t>
      </w:r>
      <w:r>
        <w:rPr>
          <w:u w:val="single"/>
        </w:rPr>
        <w:t xml:space="preserve">       </w:t>
      </w:r>
      <w:r>
        <w:rPr>
          <w:sz w:val="22"/>
        </w:rPr>
        <w:t>；在售后服务期内，售后服务由原厂提供，针对此产品产生的如维修、保养、升级等行为产生的一切费用由投标人承担；售后服务期间保证机器的完好率不低于</w:t>
      </w:r>
      <w:r>
        <w:rPr>
          <w:sz w:val="22"/>
        </w:rPr>
        <w:t>95%（按一年365个日历日计算，故障停机不超过18个日历日），每超出1天，售后服务期顺延2天；在签订合同时我公司将提供产品生产厂家出具的售后服务期承诺书（承诺对象需明确指向东莞市</w:t>
      </w:r>
      <w:r>
        <w:rPr>
          <w:sz w:val="22"/>
        </w:rPr>
        <w:t>中</w:t>
      </w:r>
      <w:r>
        <w:rPr>
          <w:sz w:val="22"/>
        </w:rPr>
        <w:t>医院及本采购项目标的产品，质保及售后服务期与投标文件响应时间一致，由产品生产厂家和供应商加盖公章）。若无法按要求提供，我公司视为放弃中标。如涉及医院信息系统接入要求，须无条件开放设备信息端口和端口文件，且必须支持现行软件系统国家标准与国际标准接口规范，并提供技术支持和承担各项相关费用。</w:t>
      </w:r>
    </w:p>
    <w:p>
      <w:pPr>
        <w:pStyle w:val="null3"/>
        <w:ind w:firstLine="420"/>
        <w:jc w:val="left"/>
      </w:pPr>
      <w:r>
        <w:rPr>
          <w:sz w:val="22"/>
        </w:rPr>
        <w:t>特此承诺！</w:t>
      </w:r>
    </w:p>
    <w:p>
      <w:pPr>
        <w:pStyle w:val="null3"/>
        <w:ind w:firstLine="420"/>
        <w:jc w:val="left"/>
      </w:pPr>
      <w:r>
        <w:rPr>
          <w:sz w:val="22"/>
        </w:rPr>
        <w:t>供应商（加盖公章）：</w:t>
      </w:r>
    </w:p>
    <w:p>
      <w:pPr>
        <w:pStyle w:val="null3"/>
        <w:ind w:firstLine="440"/>
        <w:jc w:val="left"/>
      </w:pPr>
      <w:r>
        <w:rPr>
          <w:sz w:val="22"/>
        </w:rPr>
        <w:t>供应商法定代表人或受委托人（签名或盖私章）：</w:t>
      </w:r>
    </w:p>
    <w:p>
      <w:pPr>
        <w:pStyle w:val="null3"/>
        <w:jc w:val="both"/>
      </w:pPr>
      <w:r>
        <w:rPr>
          <w:sz w:val="22"/>
        </w:rPr>
        <w:t xml:space="preserve">      日</w:t>
      </w:r>
      <w:r>
        <w:rPr>
          <w:sz w:val="22"/>
        </w:rPr>
        <w:t xml:space="preserve">       </w:t>
      </w:r>
      <w:r>
        <w:rPr>
          <w:sz w:val="22"/>
        </w:rPr>
        <w:t>期：</w:t>
      </w:r>
    </w:p>
    <w:p>
      <w:pPr>
        <w:pStyle w:val="null3"/>
      </w:pPr>
      <w:r>
        <w:rPr/>
        <w:t>采购包1（东莞市中医院X射线骨密度检测仪采购项目）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★签订合同生效后，接到采购人通知后60天内完成供货、安装调试，并通过验收。【交货时间指所有货物运抵现场安装调试完毕的日期，技术要求中有特殊要求的除外】。</w:t>
            </w:r>
          </w:p>
        </w:tc>
      </w:tr>
      <w:tr>
        <w:tc>
          <w:tcPr>
            <w:tcW w:type="dxa" w:w="4153"/>
          </w:tcPr>
          <w:p>
            <w:pPr>
              <w:pStyle w:val="null3"/>
            </w:pPr>
            <w:r>
              <w:rPr/>
              <w:t>标的提供的地点</w:t>
            </w:r>
          </w:p>
        </w:tc>
        <w:tc>
          <w:tcPr>
            <w:tcW w:type="dxa" w:w="4153"/>
          </w:tcPr>
          <w:p>
            <w:pPr>
              <w:pStyle w:val="null3"/>
            </w:pPr>
            <w:r>
              <w:rPr/>
              <w:t>东莞市中医院或采购人指定地点。</w:t>
            </w:r>
          </w:p>
        </w:tc>
      </w:tr>
      <w:tr/>
      <w:tr/>
      <w:tr>
        <w:tc>
          <w:tcPr>
            <w:tcW w:type="dxa" w:w="4153"/>
          </w:tcPr>
          <w:p>
            <w:pPr>
              <w:pStyle w:val="null3"/>
            </w:pPr>
            <w:r>
              <w:rPr/>
              <w:t>付款方式</w:t>
            </w:r>
          </w:p>
        </w:tc>
        <w:tc>
          <w:tcPr>
            <w:tcW w:type="dxa" w:w="4153"/>
          </w:tcPr>
          <w:p>
            <w:pPr>
              <w:pStyle w:val="null3"/>
            </w:pPr>
            <w:r>
              <w:rPr/>
              <w:t>第1期为(预付款)：支付比例30%，预付款：30%，合同签订生效后，采购人向中标人支付合同金额的30%。中标人须提供：（1）合同；（2）整机不少于五年原厂质保承诺函（含软件免费升级）。（具体质保时间按中标人承诺时间为准）；。</w:t>
            </w:r>
          </w:p>
          <w:p>
            <w:pPr>
              <w:pStyle w:val="null3"/>
            </w:pPr>
            <w:r>
              <w:rPr/>
              <w:t>第2期为(尾款)：支付比例70%，结算款：70%，中标人将合同货物供货至采购人指定地点，并安装、调试完毕及验收合格后，采购人向中标人支付合同金额的70%。（1）合同；（2）经双方签名确认后的送货单；（3）中标人开具的全额合规发票（如中标人未按采购人要求开具发票，付款期限相应顺延）；（4）经双方签名确认后的验收合格报告。 注：1、中标人在保修期内如有违约行为的，经双方协商进行赔偿。双方协商未成，中标人须根据第三方评估的损失结果，向采购人进行赔偿。2、采购人的付款能力与时间决定于政府财政，如因财政原因未能履行付款义务，中标人同意采购人付款义务自条件具备时履行，采购人不负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的调试验收：货物交货后进行调试验收，调试验收应在采购人和中标人双方共同参加下进行，设备各项技术指标须达到要求。（2）验收按国家有关的规定、规范进行。验收时如发现所交付的货物有短缺、次品、损坏或其它不符合本合同规定之情形者，采购人应做出详尽的现场记录，或由采购人和中标人双方签署备忘录。此现场记录或备忘录可用作补充、缺失和更换损坏部件的有效证据。由此产生的有关费用由中标人承担。 （3）如果合同货物运输和安装调试过程中因事故造成货物短缺、损坏，中标人应及时安排换货，以保证合同货物成功完整交付。换货的相关费用由中标人承担。（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采购人应当自中标人履行完合同义务之日起10个工作日内组织验收。验收工作由采购人（或采购人指定的单位）和中标人共同进行。（6）在验收时，中标人应向采购人提供货物的相关资料，按采购人提出的方式验收。（7）由采购人对货物的质量、规格和数量及其他进行检验。如发现质量、规格和数量等任何一项与招标要求规定不符，采购人有权拒绝接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投标报价以人民币填列。1.2、投标总报价及各单项设备报价不得超过单价预算金额及预算总金额，否则作无效投标处理。1.3、投标人的报价应包括：设备主机及附件货款、运输费、各种保险费、人工、差旅、装卸费、安装调试费、质保期内服务费和软件升级费用、各种税金、利润等其他完成本项目过程中应有的一切费用。投标人所报价格为货到现场安装调试完成的最终优惠价格。1.4、验收及相关费用由中标人负责。</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2.1、整机（含软件系统免费升级）设备质保期不少于五年（提供原厂不少于五年免费保修承诺书；用户单位使用验收合格之日起计算，各设备技术要求中有特殊质保期限要求的除外），且终身维护。2.2、售后服务（维保）由原厂提供，售后服务（维保）期间保证机器的开机率不低于95%（以一年365天计算，即一年故障停机天数不超过18天），每超出1天，售后服务（维保）期顺延2天。（投标人须对此进行响应或承诺）。2.3、售后服务（维保）期内，不限零配件更换次数、不限维修次数，按产品生产标准进行定期维护保养，软件免费升级。2.4、售后服务（维保）期内出现产品质量或安装问题，由中标人负责包修、包换或包退，并承担因此而产生的一切修理、调换或退货的实际费用。</w:t>
            </w:r>
          </w:p>
        </w:tc>
      </w:tr>
      <w:tr>
        <w:tc>
          <w:tcPr>
            <w:tcW w:type="dxa" w:w="2076"/>
          </w:tcPr>
          <w:p/>
        </w:tc>
        <w:tc>
          <w:tcPr>
            <w:tcW w:type="dxa" w:w="2076"/>
          </w:tcPr>
          <w:p>
            <w:pPr>
              <w:pStyle w:val="null3"/>
              <w:jc w:val="center"/>
            </w:pPr>
            <w:r>
              <w:rPr/>
              <w:t>3</w:t>
            </w:r>
          </w:p>
        </w:tc>
        <w:tc>
          <w:tcPr>
            <w:tcW w:type="dxa" w:w="2076"/>
          </w:tcPr>
          <w:p>
            <w:pPr>
              <w:pStyle w:val="null3"/>
              <w:jc w:val="left"/>
            </w:pPr>
            <w:r>
              <w:rPr/>
              <w:t>供货、安装及培训服务要求</w:t>
            </w:r>
          </w:p>
        </w:tc>
        <w:tc>
          <w:tcPr>
            <w:tcW w:type="dxa" w:w="2076"/>
          </w:tcPr>
          <w:p>
            <w:pPr>
              <w:pStyle w:val="null3"/>
              <w:jc w:val="left"/>
            </w:pPr>
            <w:r>
              <w:rPr/>
              <w:t>3.1、免费送货及安装调试。 3.2、仪器设备全新出厂未使用且均应配有《产品使用说明书》或《操作手册》（中文版）、《合格证》和装箱清单等基本资料。 3.3、在货物到达指定地点后，中标人应在7天内派工程技术人员到达现场，在采购人验收小组、技术人员在场的情况下开箱清点货物，组织安装、调试，并承担因此发生的一切费用。货物在经采购人验收合格前，其损耗、毁损、灭失等风险及责任由中标人承担，如因发生前述情形，导致中标人所供应的货物不能通过采购人验收的，中标人应按采购人要求予以免费更换、补齐或无条件退货。3.4、中标人须向采购人提供设备的运行、安装、使用环境要求。必要时要派技术人员参与装修现场技术指导。 3.5、设备安装后，中标人应向采购人提供详细的验收标准、验收手册。采购人按国际和国家标准及厂方标准进行质量验收。同时，采购人有权委托中国有资格的单位对上述仪器进行性能检测、精度校核等监测，费用由中标人承担。3.6、培训：3.6.1、现场培训：中标人应提供现场技术培训(不限次数)，保证使用人员正常操作设备的各种功能；根据设备技术要求，向采购人提供维修技术人员培训(不限次数)，费用由中标人承担。 3.6.2、集中培训：根据设备管理、技术要求，向采购人提供管理、使用和维修技术人员培训（次数不限），费用由中标人承担。 3.6.3、网络教育：提供与各地用户和专家进行网上交流和学习平台，并随时了解最新的技术进展和各种教育课程、会议信息。3.7、对采购人的服务通知，中标人在接报后1小时内响应，4小时内到达现场，24小时内处理完毕。若在24小时内仍未能有效解决，中标人须免费提供同样的设备予采购人临时使用。3.8、关于软件系统接口问题：3.8.1、需要提供报告打印程序进行打印，结果需要仪器和程序进行双向传输，数据共享，避免重复录入。3.8.2、本项目所有需要与计算机连接设备，须无条件向采购人开放端口，端口必须支持现软件系统国家标准与国际标准接口规范，本条要求作为项目验收的条件之一。3.9、以上为基本要求，投标人需针对本项目特点制定详细的售后服务承诺计划。</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★交货要求</w:t>
            </w:r>
          </w:p>
        </w:tc>
        <w:tc>
          <w:tcPr>
            <w:tcW w:type="dxa" w:w="2076"/>
          </w:tcPr>
          <w:p>
            <w:pPr>
              <w:pStyle w:val="null3"/>
              <w:jc w:val="left"/>
            </w:pPr>
            <w:r>
              <w:rPr/>
              <w:t>4.1、签订合同生效，接到采购人通知后60天内完成供货、安装调试，并通过验收。【交货时间指所有货物运抵现场安装调试完毕的日期，技术要求中有特殊要求的除外】。</w:t>
            </w:r>
          </w:p>
        </w:tc>
      </w:tr>
      <w:tr>
        <w:tc>
          <w:tcPr>
            <w:tcW w:type="dxa" w:w="2076"/>
          </w:tcPr>
          <w:p/>
        </w:tc>
        <w:tc>
          <w:tcPr>
            <w:tcW w:type="dxa" w:w="2076"/>
          </w:tcPr>
          <w:p>
            <w:pPr>
              <w:pStyle w:val="null3"/>
              <w:jc w:val="center"/>
            </w:pPr>
            <w:r>
              <w:rPr/>
              <w:t>5</w:t>
            </w:r>
          </w:p>
        </w:tc>
        <w:tc>
          <w:tcPr>
            <w:tcW w:type="dxa" w:w="2076"/>
          </w:tcPr>
          <w:p>
            <w:pPr>
              <w:pStyle w:val="null3"/>
              <w:jc w:val="left"/>
            </w:pPr>
            <w:r>
              <w:rPr/>
              <w:t>交货地点要求</w:t>
            </w:r>
          </w:p>
        </w:tc>
        <w:tc>
          <w:tcPr>
            <w:tcW w:type="dxa" w:w="2076"/>
          </w:tcPr>
          <w:p>
            <w:pPr>
              <w:pStyle w:val="null3"/>
              <w:jc w:val="left"/>
            </w:pPr>
            <w:r>
              <w:rPr/>
              <w:t>5.1、交货地点：东莞市中医院或采购人指定地点。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所投产品技术要求</w:t>
            </w:r>
          </w:p>
        </w:tc>
        <w:tc>
          <w:tcPr>
            <w:tcW w:type="dxa" w:w="2076"/>
          </w:tcPr>
          <w:p>
            <w:pPr>
              <w:pStyle w:val="null3"/>
              <w:jc w:val="left"/>
            </w:pPr>
            <w:r>
              <w:rPr/>
              <w:t>6.1、提供制造商完整的随机资料，包括完整的技术说明、使用和维修手册等。6.2、特别要求：交货时要求投标人就所投产品提供产品说明书、配置等，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tc>
      </w:tr>
      <w:tr>
        <w:tc>
          <w:tcPr>
            <w:tcW w:type="dxa" w:w="2076"/>
          </w:tcPr>
          <w:p/>
        </w:tc>
        <w:tc>
          <w:tcPr>
            <w:tcW w:type="dxa" w:w="2076"/>
          </w:tcPr>
          <w:p>
            <w:pPr>
              <w:pStyle w:val="null3"/>
              <w:jc w:val="center"/>
            </w:pPr>
            <w:r>
              <w:rPr/>
              <w:t>7</w:t>
            </w:r>
          </w:p>
        </w:tc>
        <w:tc>
          <w:tcPr>
            <w:tcW w:type="dxa" w:w="2076"/>
          </w:tcPr>
          <w:p>
            <w:pPr>
              <w:pStyle w:val="null3"/>
              <w:jc w:val="left"/>
            </w:pPr>
            <w:r>
              <w:rPr/>
              <w:t>售后服务要求</w:t>
            </w:r>
          </w:p>
        </w:tc>
        <w:tc>
          <w:tcPr>
            <w:tcW w:type="dxa" w:w="2076"/>
          </w:tcPr>
          <w:p>
            <w:pPr>
              <w:pStyle w:val="null3"/>
              <w:jc w:val="left"/>
            </w:pPr>
            <w:r>
              <w:rPr/>
              <w:t>7.1、提供技术资料、中文操作手册。7.2、设备安装、调试：设备到货后，厂家专业维修工程师免费在最终用户所在地对设备进行安装、调试、培训、技术协助等服务，并对维修工程师进行维护、维修培训。并承担所需相应费用。7.3、有专门的售后服务人员，产品出现故障时1小时内响应，4小时内到达现场，24小时内处理完毕。“假日无休”，保证所有服务的及时处理。7.4、保修期内服务：每季度定期组织服务工程师对用户进行多种形式的访问活动（包括电话和实地回访）。内容包括设备维护，指导设备的使用和保养、操作使用，解决设备出现的简单故障。</w:t>
            </w:r>
          </w:p>
        </w:tc>
      </w:tr>
      <w:tr>
        <w:tc>
          <w:tcPr>
            <w:tcW w:type="dxa" w:w="2076"/>
          </w:tcPr>
          <w:p/>
        </w:tc>
        <w:tc>
          <w:tcPr>
            <w:tcW w:type="dxa" w:w="2076"/>
          </w:tcPr>
          <w:p>
            <w:pPr>
              <w:pStyle w:val="null3"/>
              <w:jc w:val="center"/>
            </w:pPr>
            <w:r>
              <w:rPr/>
              <w:t>8</w:t>
            </w:r>
          </w:p>
        </w:tc>
        <w:tc>
          <w:tcPr>
            <w:tcW w:type="dxa" w:w="2076"/>
          </w:tcPr>
          <w:p>
            <w:pPr>
              <w:pStyle w:val="null3"/>
              <w:jc w:val="left"/>
            </w:pPr>
            <w:r>
              <w:rPr/>
              <w:t>日常维护要求</w:t>
            </w:r>
          </w:p>
        </w:tc>
        <w:tc>
          <w:tcPr>
            <w:tcW w:type="dxa" w:w="2076"/>
          </w:tcPr>
          <w:p>
            <w:pPr>
              <w:pStyle w:val="null3"/>
              <w:jc w:val="left"/>
            </w:pPr>
            <w:r>
              <w:rPr/>
              <w:t>8.1、日常维护要求：8.1.1、中标人需提供日常的基本维护，包括设备清洁、零配件的基础保养等，技术公司为设备提供终身维修和保养服务，在保修期外收取实际发生的维修材料费，在接到用户要求对所购仪器设备进行维修的通知后，即给予答复，并派合格的维修工程师在24小时内到达用户现场进行维修。8.1.2、设有专业技术服务热线，最终用户可以通过电话交流的方式直接与服务工程师沟通，了解产品的各种性能、操作方法和简单故障排除。8.1.3、软件升级：依据实际情况提供不同形式的软件免费升级服务。</w:t>
            </w:r>
          </w:p>
        </w:tc>
      </w:tr>
      <w:tr>
        <w:tc>
          <w:tcPr>
            <w:tcW w:type="dxa" w:w="2076"/>
          </w:tcPr>
          <w:p/>
        </w:tc>
        <w:tc>
          <w:tcPr>
            <w:tcW w:type="dxa" w:w="2076"/>
          </w:tcPr>
          <w:p>
            <w:pPr>
              <w:pStyle w:val="null3"/>
              <w:jc w:val="center"/>
            </w:pPr>
            <w:r>
              <w:rPr/>
              <w:t>9</w:t>
            </w:r>
          </w:p>
        </w:tc>
        <w:tc>
          <w:tcPr>
            <w:tcW w:type="dxa" w:w="2076"/>
          </w:tcPr>
          <w:p>
            <w:pPr>
              <w:pStyle w:val="null3"/>
              <w:jc w:val="left"/>
            </w:pPr>
            <w:r>
              <w:rPr/>
              <w:t>备件、专用工具和出厂日期等</w:t>
            </w:r>
          </w:p>
        </w:tc>
        <w:tc>
          <w:tcPr>
            <w:tcW w:type="dxa" w:w="2076"/>
          </w:tcPr>
          <w:p>
            <w:pPr>
              <w:pStyle w:val="null3"/>
              <w:jc w:val="left"/>
            </w:pPr>
            <w:r>
              <w:rPr/>
              <w:t>9.1、备件：9.1.1、如有备件，中标人应随机向采购人（需要时）提供一套标准备件包，并列出清单及单价。9.1.2、为保证设备正常运行，中标人应在中国境内设置备件库，存入所有必须的备件，并保证5年以上的供应期。9.2、专用工具：如有专用工具，中标人应向采购人提供设备维护的专用工具。9.3、供货设备为距合同签订之日一年内的设备；如为库存设备，采购人有权拒绝签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X射线骨密度检测仪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X射线骨密度检测仪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X射线骨密度检测仪</w:t>
            </w:r>
          </w:p>
          <w:p>
            <w:pPr>
              <w:pStyle w:val="null3"/>
            </w:pPr>
            <w:r>
              <w:rPr>
                <w:sz w:val="22"/>
              </w:rPr>
              <w:t>1</w:t>
            </w:r>
            <w:r>
              <w:rPr>
                <w:sz w:val="22"/>
              </w:rPr>
              <w:t>.</w:t>
            </w:r>
            <w:r>
              <w:rPr>
                <w:sz w:val="22"/>
              </w:rPr>
              <w:t>X线源</w:t>
            </w:r>
          </w:p>
          <w:p>
            <w:pPr>
              <w:pStyle w:val="null3"/>
              <w:jc w:val="both"/>
            </w:pPr>
            <w:r>
              <w:rPr>
                <w:sz w:val="22"/>
              </w:rPr>
              <w:t>1.1</w:t>
            </w:r>
            <w:r>
              <w:rPr>
                <w:sz w:val="21"/>
              </w:rPr>
              <w:t xml:space="preserve"> </w:t>
            </w:r>
            <w:r>
              <w:rPr>
                <w:sz w:val="22"/>
              </w:rPr>
              <w:t>K缘过滤，同时产生高低双能X线</w:t>
            </w:r>
            <w:r>
              <w:rPr>
                <w:sz w:val="22"/>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2"/>
              </w:rPr>
              <w:t>▲1.2</w:t>
            </w:r>
            <w:r>
              <w:rPr/>
              <w:t xml:space="preserve"> </w:t>
            </w:r>
            <w:r>
              <w:rPr>
                <w:sz w:val="22"/>
              </w:rPr>
              <w:t>X线扫描线束：窄角扇形且扇形开角≤4.5°</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tc>
      </w:tr>
      <w:tr>
        <w:tc>
          <w:tcPr>
            <w:tcW w:type="dxa" w:w="2076"/>
          </w:tcPr>
          <w:p/>
        </w:tc>
        <w:tc>
          <w:tcPr>
            <w:tcW w:type="dxa" w:w="415"/>
          </w:tcPr>
          <w:p>
            <w:pPr>
              <w:pStyle w:val="null3"/>
            </w:pPr>
            <w:r>
              <w:rPr/>
              <w:t>3</w:t>
            </w:r>
          </w:p>
        </w:tc>
        <w:tc>
          <w:tcPr>
            <w:tcW w:type="dxa" w:w="5814"/>
          </w:tcPr>
          <w:p>
            <w:pPr>
              <w:pStyle w:val="null3"/>
              <w:ind w:firstLine="220"/>
            </w:pPr>
            <w:r>
              <w:rPr>
                <w:sz w:val="22"/>
              </w:rPr>
              <w:t>1.</w:t>
            </w:r>
            <w:r>
              <w:rPr>
                <w:sz w:val="22"/>
              </w:rPr>
              <w:t xml:space="preserve">3 </w:t>
            </w:r>
            <w:r>
              <w:rPr>
                <w:sz w:val="22"/>
              </w:rPr>
              <w:t>采集成像方式：连续扫描式</w:t>
            </w:r>
            <w:r>
              <w:rPr>
                <w:sz w:val="22"/>
              </w:rPr>
              <w:t>；</w:t>
            </w:r>
          </w:p>
          <w:p>
            <w:pPr>
              <w:pStyle w:val="null3"/>
              <w:ind w:firstLine="220"/>
            </w:pPr>
            <w:r>
              <w:rPr>
                <w:sz w:val="22"/>
              </w:rPr>
              <w:t>1.4</w:t>
            </w:r>
            <w:r>
              <w:rPr/>
              <w:t xml:space="preserve"> </w:t>
            </w:r>
            <w:r>
              <w:rPr>
                <w:sz w:val="22"/>
              </w:rPr>
              <w:t>自动智能扫描</w:t>
            </w:r>
            <w:r>
              <w:rPr>
                <w:sz w:val="22"/>
              </w:rPr>
              <w:t>。</w:t>
            </w:r>
          </w:p>
          <w:p>
            <w:pPr>
              <w:pStyle w:val="null3"/>
            </w:pPr>
            <w:r>
              <w:rPr>
                <w:sz w:val="22"/>
              </w:rPr>
              <w:t>2</w:t>
            </w:r>
            <w:r>
              <w:rPr>
                <w:sz w:val="22"/>
              </w:rPr>
              <w:t>.</w:t>
            </w:r>
            <w:r>
              <w:rPr>
                <w:sz w:val="22"/>
              </w:rPr>
              <w:t>探测器系统</w:t>
            </w:r>
          </w:p>
          <w:p>
            <w:pPr>
              <w:pStyle w:val="null3"/>
              <w:ind w:firstLine="220"/>
            </w:pPr>
            <w:r>
              <w:rPr>
                <w:sz w:val="22"/>
              </w:rPr>
              <w:t>2.1</w:t>
            </w:r>
            <w:r>
              <w:rPr>
                <w:sz w:val="22"/>
              </w:rPr>
              <w:t>要求为</w:t>
            </w:r>
            <w:r>
              <w:rPr>
                <w:sz w:val="22"/>
              </w:rPr>
              <w:t>光子计数探测器</w:t>
            </w:r>
            <w:r>
              <w:rPr>
                <w:sz w:val="22"/>
              </w:rPr>
              <w:t>；</w:t>
            </w:r>
          </w:p>
          <w:p>
            <w:pPr>
              <w:pStyle w:val="null3"/>
              <w:jc w:val="both"/>
            </w:pPr>
            <w:r>
              <w:rPr>
                <w:sz w:val="22"/>
              </w:rPr>
              <w:t xml:space="preserve">    2.</w:t>
            </w:r>
            <w:r>
              <w:rPr>
                <w:sz w:val="22"/>
              </w:rPr>
              <w:t xml:space="preserve">2 </w:t>
            </w:r>
            <w:r>
              <w:rPr>
                <w:sz w:val="22"/>
              </w:rPr>
              <w:t>探测器通道数量：</w:t>
            </w:r>
            <w:r>
              <w:rPr>
                <w:sz w:val="22"/>
              </w:rPr>
              <w:t>≥16个</w:t>
            </w:r>
            <w:r>
              <w:rPr>
                <w:sz w:val="22"/>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2"/>
              </w:rPr>
              <w:t>3</w:t>
            </w:r>
            <w:r>
              <w:rPr>
                <w:sz w:val="22"/>
              </w:rPr>
              <w:t>.</w:t>
            </w:r>
            <w:r>
              <w:rPr>
                <w:sz w:val="22"/>
              </w:rPr>
              <w:t>扫描</w:t>
            </w:r>
          </w:p>
          <w:p>
            <w:pPr>
              <w:pStyle w:val="null3"/>
              <w:jc w:val="both"/>
            </w:pPr>
            <w:r>
              <w:rPr>
                <w:sz w:val="22"/>
              </w:rPr>
              <w:t>▲3.1</w:t>
            </w:r>
            <w:r>
              <w:rPr>
                <w:sz w:val="21"/>
              </w:rPr>
              <w:t xml:space="preserve"> </w:t>
            </w:r>
            <w:r>
              <w:rPr>
                <w:sz w:val="22"/>
              </w:rPr>
              <w:t>适用于全身的扫描床，长度：</w:t>
            </w:r>
            <w:r>
              <w:rPr>
                <w:sz w:val="22"/>
              </w:rPr>
              <w:t>≥260cm</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tc>
      </w:tr>
      <w:tr>
        <w:tc>
          <w:tcPr>
            <w:tcW w:type="dxa" w:w="2076"/>
          </w:tcPr>
          <w:p/>
        </w:tc>
        <w:tc>
          <w:tcPr>
            <w:tcW w:type="dxa" w:w="415"/>
          </w:tcPr>
          <w:p>
            <w:pPr>
              <w:pStyle w:val="null3"/>
            </w:pPr>
            <w:r>
              <w:rPr/>
              <w:t>5</w:t>
            </w:r>
          </w:p>
        </w:tc>
        <w:tc>
          <w:tcPr>
            <w:tcW w:type="dxa" w:w="5814"/>
          </w:tcPr>
          <w:p>
            <w:pPr>
              <w:pStyle w:val="null3"/>
              <w:ind w:firstLine="220"/>
            </w:pPr>
            <w:r>
              <w:rPr>
                <w:sz w:val="22"/>
              </w:rPr>
              <w:t>3.2</w:t>
            </w:r>
            <w:r>
              <w:rPr/>
              <w:t xml:space="preserve"> </w:t>
            </w:r>
            <w:r>
              <w:rPr>
                <w:sz w:val="22"/>
              </w:rPr>
              <w:t>适用于全身的扫描床，宽度：</w:t>
            </w:r>
            <w:r>
              <w:rPr>
                <w:sz w:val="22"/>
              </w:rPr>
              <w:t>≥105cm</w:t>
            </w:r>
            <w:r>
              <w:rPr>
                <w:sz w:val="22"/>
              </w:rPr>
              <w:t>；</w:t>
            </w:r>
          </w:p>
          <w:p>
            <w:pPr>
              <w:pStyle w:val="null3"/>
              <w:ind w:firstLine="220"/>
            </w:pPr>
            <w:r>
              <w:rPr>
                <w:sz w:val="22"/>
              </w:rPr>
              <w:t>3.3</w:t>
            </w:r>
            <w:r>
              <w:rPr/>
              <w:t xml:space="preserve"> </w:t>
            </w:r>
            <w:r>
              <w:rPr>
                <w:sz w:val="22"/>
              </w:rPr>
              <w:t>最大有效扫描视野</w:t>
            </w:r>
            <w:r>
              <w:rPr>
                <w:sz w:val="22"/>
              </w:rPr>
              <w:t>,长度X宽度：≥195cmX60cm</w:t>
            </w:r>
            <w:r>
              <w:rPr>
                <w:sz w:val="22"/>
              </w:rPr>
              <w:t>；</w:t>
            </w:r>
          </w:p>
          <w:p>
            <w:pPr>
              <w:pStyle w:val="null3"/>
              <w:jc w:val="both"/>
            </w:pPr>
            <w:r>
              <w:rPr>
                <w:sz w:val="22"/>
              </w:rPr>
              <w:t xml:space="preserve">   3.4</w:t>
            </w:r>
            <w:r>
              <w:rPr>
                <w:sz w:val="21"/>
              </w:rPr>
              <w:t xml:space="preserve"> </w:t>
            </w:r>
            <w:r>
              <w:rPr>
                <w:sz w:val="22"/>
              </w:rPr>
              <w:t>最大病人承重：</w:t>
            </w:r>
            <w:r>
              <w:rPr>
                <w:sz w:val="22"/>
              </w:rPr>
              <w:t>≥155kg</w:t>
            </w:r>
            <w:r>
              <w:rPr>
                <w:sz w:val="22"/>
              </w:rPr>
              <w:t>；</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220"/>
            </w:pPr>
            <w:r>
              <w:rPr>
                <w:sz w:val="22"/>
              </w:rPr>
              <w:t>3.5</w:t>
            </w:r>
            <w:r>
              <w:rPr/>
              <w:t xml:space="preserve"> </w:t>
            </w:r>
            <w:r>
              <w:rPr>
                <w:sz w:val="22"/>
              </w:rPr>
              <w:t>标准扫描时间：</w:t>
            </w:r>
          </w:p>
          <w:p>
            <w:pPr>
              <w:pStyle w:val="null3"/>
              <w:jc w:val="both"/>
            </w:pPr>
            <w:r>
              <w:rPr>
                <w:sz w:val="22"/>
              </w:rPr>
              <w:t>▲3.5.1</w:t>
            </w:r>
            <w:r>
              <w:rPr>
                <w:sz w:val="22"/>
              </w:rPr>
              <w:t>腰椎：</w:t>
            </w:r>
            <w:r>
              <w:rPr>
                <w:sz w:val="22"/>
              </w:rPr>
              <w:t>≤30秒钟，股骨：≤30秒钟</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tc>
      </w:tr>
      <w:tr>
        <w:tc>
          <w:tcPr>
            <w:tcW w:type="dxa" w:w="2076"/>
          </w:tcPr>
          <w:p/>
        </w:tc>
        <w:tc>
          <w:tcPr>
            <w:tcW w:type="dxa" w:w="415"/>
          </w:tcPr>
          <w:p>
            <w:pPr>
              <w:pStyle w:val="null3"/>
            </w:pPr>
            <w:r>
              <w:rPr/>
              <w:t>7</w:t>
            </w:r>
          </w:p>
        </w:tc>
        <w:tc>
          <w:tcPr>
            <w:tcW w:type="dxa" w:w="5814"/>
          </w:tcPr>
          <w:p>
            <w:pPr>
              <w:pStyle w:val="null3"/>
              <w:ind w:firstLine="220"/>
            </w:pPr>
            <w:r>
              <w:rPr>
                <w:sz w:val="22"/>
              </w:rPr>
              <w:t>3.5.2</w:t>
            </w:r>
            <w:r>
              <w:rPr>
                <w:sz w:val="22"/>
              </w:rPr>
              <w:t>全身：</w:t>
            </w:r>
            <w:r>
              <w:rPr>
                <w:sz w:val="22"/>
              </w:rPr>
              <w:t>≤5分钟</w:t>
            </w:r>
            <w:r>
              <w:rPr>
                <w:sz w:val="22"/>
              </w:rPr>
              <w:t>。</w:t>
            </w:r>
          </w:p>
          <w:p>
            <w:pPr>
              <w:pStyle w:val="null3"/>
              <w:ind w:firstLine="220"/>
            </w:pPr>
            <w:r>
              <w:rPr>
                <w:sz w:val="22"/>
              </w:rPr>
              <w:t>3.6</w:t>
            </w:r>
            <w:r>
              <w:rPr/>
              <w:t xml:space="preserve"> </w:t>
            </w:r>
            <w:r>
              <w:rPr>
                <w:sz w:val="22"/>
              </w:rPr>
              <w:t>精确激光定位灯</w:t>
            </w:r>
            <w:r>
              <w:rPr>
                <w:sz w:val="22"/>
              </w:rPr>
              <w:t>；</w:t>
            </w:r>
          </w:p>
          <w:p>
            <w:pPr>
              <w:pStyle w:val="null3"/>
              <w:ind w:firstLine="220"/>
            </w:pPr>
            <w:r>
              <w:rPr>
                <w:sz w:val="22"/>
              </w:rPr>
              <w:t>3.7</w:t>
            </w:r>
            <w:r>
              <w:rPr/>
              <w:t xml:space="preserve"> </w:t>
            </w:r>
            <w:r>
              <w:rPr>
                <w:sz w:val="22"/>
              </w:rPr>
              <w:t>全配套扫描定位器（包括腰椎、髋关节等）</w:t>
            </w:r>
            <w:r>
              <w:rPr>
                <w:sz w:val="22"/>
              </w:rPr>
              <w:t>；</w:t>
            </w:r>
          </w:p>
          <w:p>
            <w:pPr>
              <w:pStyle w:val="null3"/>
              <w:ind w:firstLine="220"/>
            </w:pPr>
            <w:r>
              <w:rPr>
                <w:sz w:val="22"/>
              </w:rPr>
              <w:t>3.8</w:t>
            </w:r>
            <w:r>
              <w:rPr/>
              <w:t xml:space="preserve"> </w:t>
            </w:r>
            <w:r>
              <w:rPr>
                <w:sz w:val="22"/>
              </w:rPr>
              <w:t>对腰椎质控模块扫描的精度</w:t>
            </w:r>
            <w:r>
              <w:rPr>
                <w:sz w:val="22"/>
              </w:rPr>
              <w:t>(重复性误差)：≤1.0%</w:t>
            </w:r>
            <w:r>
              <w:rPr>
                <w:sz w:val="22"/>
              </w:rPr>
              <w:t>；</w:t>
            </w:r>
          </w:p>
          <w:p>
            <w:pPr>
              <w:pStyle w:val="null3"/>
              <w:ind w:firstLine="220"/>
            </w:pPr>
            <w:r>
              <w:rPr>
                <w:sz w:val="22"/>
              </w:rPr>
              <w:t>3.9</w:t>
            </w:r>
            <w:r>
              <w:rPr/>
              <w:t xml:space="preserve"> </w:t>
            </w:r>
            <w:r>
              <w:rPr>
                <w:sz w:val="22"/>
              </w:rPr>
              <w:t>对活体常规部位扫描精度</w:t>
            </w:r>
            <w:r>
              <w:rPr>
                <w:sz w:val="22"/>
              </w:rPr>
              <w:t>(重复性误差)</w:t>
            </w:r>
            <w:r>
              <w:rPr>
                <w:sz w:val="22"/>
              </w:rPr>
              <w:t>：</w:t>
            </w:r>
          </w:p>
          <w:p>
            <w:pPr>
              <w:pStyle w:val="null3"/>
              <w:ind w:firstLine="220"/>
            </w:pPr>
            <w:r>
              <w:rPr>
                <w:sz w:val="22"/>
              </w:rPr>
              <w:t>3.9.1</w:t>
            </w:r>
            <w:r>
              <w:rPr>
                <w:sz w:val="22"/>
              </w:rPr>
              <w:t>腰椎、股骨</w:t>
            </w:r>
            <w:r>
              <w:rPr>
                <w:sz w:val="22"/>
              </w:rPr>
              <w:t>: ≤1.0%</w:t>
            </w:r>
            <w:r>
              <w:rPr>
                <w:sz w:val="22"/>
              </w:rPr>
              <w:t>；</w:t>
            </w:r>
          </w:p>
          <w:p>
            <w:pPr>
              <w:pStyle w:val="null3"/>
              <w:ind w:firstLine="220"/>
            </w:pPr>
            <w:r>
              <w:rPr>
                <w:sz w:val="22"/>
              </w:rPr>
              <w:t>3.9.2</w:t>
            </w:r>
            <w:r>
              <w:rPr>
                <w:sz w:val="22"/>
              </w:rPr>
              <w:t>双侧股骨：</w:t>
            </w:r>
            <w:r>
              <w:rPr>
                <w:sz w:val="22"/>
              </w:rPr>
              <w:t>≤0.6%</w:t>
            </w:r>
            <w:r>
              <w:rPr>
                <w:sz w:val="22"/>
              </w:rPr>
              <w:t>；</w:t>
            </w:r>
          </w:p>
          <w:p>
            <w:pPr>
              <w:pStyle w:val="null3"/>
              <w:ind w:firstLine="220"/>
            </w:pPr>
            <w:r>
              <w:rPr>
                <w:sz w:val="22"/>
              </w:rPr>
              <w:t>3.9.3</w:t>
            </w:r>
            <w:r>
              <w:rPr>
                <w:sz w:val="22"/>
              </w:rPr>
              <w:t>全身脂肪含量：</w:t>
            </w:r>
            <w:r>
              <w:rPr>
                <w:sz w:val="22"/>
              </w:rPr>
              <w:t>≤1.2%</w:t>
            </w:r>
            <w:r>
              <w:rPr>
                <w:sz w:val="22"/>
              </w:rPr>
              <w:t>；</w:t>
            </w:r>
          </w:p>
          <w:p>
            <w:pPr>
              <w:pStyle w:val="null3"/>
              <w:ind w:firstLine="220"/>
            </w:pPr>
            <w:r>
              <w:rPr>
                <w:sz w:val="22"/>
              </w:rPr>
              <w:t>3.9.4</w:t>
            </w:r>
            <w:r>
              <w:rPr>
                <w:sz w:val="22"/>
              </w:rPr>
              <w:t>全身肌肉组织：</w:t>
            </w:r>
            <w:r>
              <w:rPr>
                <w:sz w:val="22"/>
              </w:rPr>
              <w:t>≤0.7%</w:t>
            </w:r>
            <w:r>
              <w:rPr>
                <w:sz w:val="22"/>
              </w:rPr>
              <w:t>。</w:t>
            </w:r>
            <w:r>
              <w:rPr/>
              <w:t xml:space="preserve"> </w:t>
            </w:r>
          </w:p>
          <w:p>
            <w:pPr>
              <w:pStyle w:val="null3"/>
              <w:ind w:firstLine="220"/>
            </w:pPr>
            <w:r>
              <w:rPr>
                <w:sz w:val="22"/>
              </w:rPr>
              <w:t>3.10</w:t>
            </w:r>
            <w:r>
              <w:rPr/>
              <w:t xml:space="preserve"> </w:t>
            </w:r>
            <w:r>
              <w:rPr>
                <w:sz w:val="22"/>
              </w:rPr>
              <w:t>MVIR多视角影像重建技术</w:t>
            </w:r>
            <w:r>
              <w:rPr>
                <w:sz w:val="22"/>
              </w:rPr>
              <w:t>；</w:t>
            </w:r>
          </w:p>
          <w:p>
            <w:pPr>
              <w:pStyle w:val="null3"/>
              <w:ind w:firstLine="220"/>
            </w:pPr>
            <w:r>
              <w:rPr>
                <w:sz w:val="22"/>
              </w:rPr>
              <w:t>3.11</w:t>
            </w:r>
            <w:r>
              <w:rPr/>
              <w:t xml:space="preserve"> </w:t>
            </w:r>
            <w:r>
              <w:rPr>
                <w:sz w:val="22"/>
              </w:rPr>
              <w:t>提供高清晰度骨骼影像</w:t>
            </w:r>
            <w:r>
              <w:rPr>
                <w:sz w:val="22"/>
              </w:rPr>
              <w:t>；</w:t>
            </w:r>
          </w:p>
          <w:p>
            <w:pPr>
              <w:pStyle w:val="null3"/>
              <w:ind w:firstLine="220"/>
            </w:pPr>
            <w:r>
              <w:rPr>
                <w:sz w:val="22"/>
              </w:rPr>
              <w:t>3.12</w:t>
            </w:r>
            <w:r>
              <w:rPr/>
              <w:t xml:space="preserve"> </w:t>
            </w:r>
            <w:r>
              <w:rPr>
                <w:sz w:val="22"/>
              </w:rPr>
              <w:t>在扫描之后，系统能够自动检测脊柱、髋关节、前臂等部位是否存在摆位异常或是分析异常，并能给出提示和纠正建议。</w:t>
            </w:r>
          </w:p>
          <w:p>
            <w:pPr>
              <w:pStyle w:val="null3"/>
            </w:pPr>
            <w:r>
              <w:rPr>
                <w:sz w:val="22"/>
              </w:rPr>
              <w:t>4</w:t>
            </w:r>
            <w:r>
              <w:rPr>
                <w:sz w:val="22"/>
              </w:rPr>
              <w:t>.</w:t>
            </w:r>
            <w:r>
              <w:rPr>
                <w:sz w:val="22"/>
              </w:rPr>
              <w:t>扫描部位及临床应用功能</w:t>
            </w:r>
          </w:p>
          <w:p>
            <w:pPr>
              <w:pStyle w:val="null3"/>
              <w:ind w:firstLine="220"/>
            </w:pPr>
            <w:r>
              <w:rPr>
                <w:sz w:val="22"/>
              </w:rPr>
              <w:t>4.1</w:t>
            </w:r>
            <w:r>
              <w:rPr/>
              <w:t xml:space="preserve"> </w:t>
            </w:r>
            <w:r>
              <w:rPr>
                <w:sz w:val="22"/>
              </w:rPr>
              <w:t>正位腰椎扫描、评估</w:t>
            </w:r>
            <w:r>
              <w:rPr>
                <w:sz w:val="22"/>
              </w:rPr>
              <w:t>；</w:t>
            </w:r>
          </w:p>
          <w:p>
            <w:pPr>
              <w:pStyle w:val="null3"/>
              <w:ind w:firstLine="220"/>
            </w:pPr>
            <w:r>
              <w:rPr>
                <w:sz w:val="22"/>
              </w:rPr>
              <w:t>4.2</w:t>
            </w:r>
            <w:r>
              <w:rPr/>
              <w:t xml:space="preserve"> </w:t>
            </w:r>
            <w:r>
              <w:rPr>
                <w:sz w:val="22"/>
              </w:rPr>
              <w:t>单侧股骨扫描、评估</w:t>
            </w:r>
            <w:r>
              <w:rPr>
                <w:sz w:val="22"/>
              </w:rPr>
              <w:t>；</w:t>
            </w:r>
          </w:p>
          <w:p>
            <w:pPr>
              <w:pStyle w:val="null3"/>
              <w:ind w:firstLine="220"/>
            </w:pPr>
            <w:r>
              <w:rPr>
                <w:sz w:val="22"/>
              </w:rPr>
              <w:t>4.3</w:t>
            </w:r>
            <w:r>
              <w:rPr/>
              <w:t xml:space="preserve"> </w:t>
            </w:r>
            <w:r>
              <w:rPr>
                <w:sz w:val="22"/>
              </w:rPr>
              <w:t>双侧股骨自动扫描、评估</w:t>
            </w:r>
            <w:r>
              <w:rPr>
                <w:sz w:val="22"/>
              </w:rPr>
              <w:t>；</w:t>
            </w:r>
          </w:p>
          <w:p>
            <w:pPr>
              <w:pStyle w:val="null3"/>
              <w:ind w:firstLine="220"/>
            </w:pPr>
            <w:r>
              <w:rPr>
                <w:sz w:val="22"/>
              </w:rPr>
              <w:t>4.4</w:t>
            </w:r>
            <w:r>
              <w:rPr/>
              <w:t xml:space="preserve"> </w:t>
            </w:r>
            <w:r>
              <w:rPr>
                <w:sz w:val="22"/>
              </w:rPr>
              <w:t>前臂测量和分析</w:t>
            </w:r>
            <w:r>
              <w:rPr>
                <w:sz w:val="22"/>
              </w:rPr>
              <w:t>；</w:t>
            </w:r>
          </w:p>
          <w:p>
            <w:pPr>
              <w:pStyle w:val="null3"/>
              <w:ind w:firstLine="220"/>
            </w:pPr>
            <w:r>
              <w:rPr>
                <w:sz w:val="22"/>
              </w:rPr>
              <w:t>4.5</w:t>
            </w:r>
            <w:r>
              <w:rPr/>
              <w:t xml:space="preserve"> </w:t>
            </w:r>
            <w:r>
              <w:rPr>
                <w:sz w:val="22"/>
              </w:rPr>
              <w:t>全身骨密度扫描，并可进行四肢、躯干等部位的单独分析测量</w:t>
            </w:r>
            <w:r>
              <w:rPr>
                <w:sz w:val="22"/>
              </w:rPr>
              <w:t>；</w:t>
            </w:r>
          </w:p>
          <w:p>
            <w:pPr>
              <w:pStyle w:val="null3"/>
              <w:ind w:firstLine="220"/>
            </w:pPr>
            <w:r>
              <w:rPr>
                <w:sz w:val="22"/>
              </w:rPr>
              <w:t>4.6</w:t>
            </w:r>
            <w:r>
              <w:rPr/>
              <w:t xml:space="preserve"> </w:t>
            </w:r>
            <w:r>
              <w:rPr>
                <w:sz w:val="22"/>
              </w:rPr>
              <w:t>可进行全身肌肉</w:t>
            </w:r>
            <w:r>
              <w:rPr>
                <w:sz w:val="22"/>
              </w:rPr>
              <w:t>/脂肪成分分析，具备中国人体成分参考数据库，并在NMPA注册证产品适用范围中明确标明该产品可适用于脂肪肌肉组织测量和分析</w:t>
            </w:r>
            <w:r>
              <w:rPr>
                <w:sz w:val="22"/>
              </w:rPr>
              <w:t>；</w:t>
            </w:r>
          </w:p>
          <w:p>
            <w:pPr>
              <w:pStyle w:val="null3"/>
              <w:ind w:firstLine="220"/>
            </w:pPr>
            <w:r>
              <w:rPr>
                <w:sz w:val="22"/>
              </w:rPr>
              <w:t>4.7</w:t>
            </w:r>
            <w:r>
              <w:rPr/>
              <w:t xml:space="preserve"> </w:t>
            </w:r>
            <w:r>
              <w:rPr>
                <w:sz w:val="22"/>
              </w:rPr>
              <w:t>WHO体重指数评估</w:t>
            </w:r>
            <w:r>
              <w:rPr>
                <w:sz w:val="22"/>
              </w:rPr>
              <w:t>；</w:t>
            </w:r>
          </w:p>
          <w:p>
            <w:pPr>
              <w:pStyle w:val="null3"/>
              <w:ind w:firstLine="220"/>
            </w:pPr>
            <w:r>
              <w:rPr>
                <w:sz w:val="22"/>
              </w:rPr>
              <w:t>4.8</w:t>
            </w:r>
            <w:r>
              <w:rPr/>
              <w:t xml:space="preserve"> </w:t>
            </w:r>
            <w:r>
              <w:rPr>
                <w:sz w:val="22"/>
              </w:rPr>
              <w:t>自动腹臀区域脂肪分析，腹臀脂肪比</w:t>
            </w:r>
            <w:r>
              <w:rPr>
                <w:sz w:val="22"/>
              </w:rPr>
              <w:t>；</w:t>
            </w:r>
          </w:p>
          <w:p>
            <w:pPr>
              <w:pStyle w:val="null3"/>
              <w:ind w:firstLine="220"/>
            </w:pPr>
            <w:r>
              <w:rPr>
                <w:sz w:val="22"/>
              </w:rPr>
              <w:t>4.9</w:t>
            </w:r>
            <w:r>
              <w:rPr/>
              <w:t xml:space="preserve"> </w:t>
            </w:r>
            <w:r>
              <w:rPr>
                <w:sz w:val="22"/>
              </w:rPr>
              <w:t>双能脊柱评估功能</w:t>
            </w:r>
            <w:r>
              <w:rPr>
                <w:sz w:val="22"/>
              </w:rPr>
              <w:t>；</w:t>
            </w:r>
          </w:p>
          <w:p>
            <w:pPr>
              <w:pStyle w:val="null3"/>
              <w:ind w:firstLine="220"/>
            </w:pPr>
            <w:r>
              <w:rPr>
                <w:sz w:val="22"/>
              </w:rPr>
              <w:t>4.10</w:t>
            </w:r>
            <w:r>
              <w:rPr/>
              <w:t xml:space="preserve"> </w:t>
            </w:r>
            <w:r>
              <w:rPr>
                <w:sz w:val="22"/>
              </w:rPr>
              <w:t>人工髋关节置换后的自动扫描、评估</w:t>
            </w:r>
            <w:r>
              <w:rPr>
                <w:sz w:val="22"/>
              </w:rPr>
              <w:t>：</w:t>
            </w:r>
          </w:p>
          <w:p>
            <w:pPr>
              <w:pStyle w:val="null3"/>
              <w:jc w:val="both"/>
            </w:pPr>
            <w:r>
              <w:rPr>
                <w:sz w:val="22"/>
              </w:rPr>
              <w:t xml:space="preserve">   4.10.1增强型骨科专用软件（髋关节），用于人工髋关节置换术后假体周围骨量测量及变化评估</w:t>
            </w:r>
            <w:r>
              <w:rPr>
                <w:sz w:val="22"/>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2"/>
              </w:rPr>
              <w:t>▲4.10.2人工髋关节周围划分的评估区个数：≥19个</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p>
            <w:pPr>
              <w:pStyle w:val="null3"/>
              <w:jc w:val="both"/>
            </w:pPr>
            <w:r>
              <w:rPr>
                <w:sz w:val="22"/>
              </w:rPr>
              <w:t>▲4.11一次定位，要求能自动完成腰椎、双侧股骨扫描检测功能</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tc>
      </w:tr>
      <w:tr>
        <w:tc>
          <w:tcPr>
            <w:tcW w:type="dxa" w:w="2076"/>
          </w:tcPr>
          <w:p/>
        </w:tc>
        <w:tc>
          <w:tcPr>
            <w:tcW w:type="dxa" w:w="415"/>
          </w:tcPr>
          <w:p>
            <w:pPr>
              <w:pStyle w:val="null3"/>
            </w:pPr>
            <w:r>
              <w:rPr/>
              <w:t>9</w:t>
            </w:r>
          </w:p>
        </w:tc>
        <w:tc>
          <w:tcPr>
            <w:tcW w:type="dxa" w:w="5814"/>
          </w:tcPr>
          <w:p>
            <w:pPr>
              <w:pStyle w:val="null3"/>
              <w:ind w:firstLine="220"/>
            </w:pPr>
            <w:r>
              <w:rPr>
                <w:sz w:val="22"/>
              </w:rPr>
              <w:t>4.12要求具备骨折风险评估软件</w:t>
            </w:r>
            <w:r>
              <w:rPr>
                <w:sz w:val="22"/>
              </w:rPr>
              <w:t>；</w:t>
            </w:r>
          </w:p>
          <w:p>
            <w:pPr>
              <w:pStyle w:val="null3"/>
              <w:ind w:firstLine="220"/>
            </w:pPr>
            <w:r>
              <w:rPr>
                <w:sz w:val="22"/>
              </w:rPr>
              <w:t>4.13要求具备计算机自动辅助诊断分析软件</w:t>
            </w:r>
            <w:r>
              <w:rPr>
                <w:sz w:val="22"/>
              </w:rPr>
              <w:t>。</w:t>
            </w:r>
          </w:p>
          <w:p>
            <w:pPr>
              <w:pStyle w:val="null3"/>
            </w:pPr>
            <w:r>
              <w:rPr>
                <w:sz w:val="22"/>
              </w:rPr>
              <w:t>5</w:t>
            </w:r>
            <w:r>
              <w:rPr>
                <w:sz w:val="22"/>
              </w:rPr>
              <w:t>.</w:t>
            </w:r>
            <w:r>
              <w:rPr>
                <w:sz w:val="22"/>
              </w:rPr>
              <w:t>临床应用软件包</w:t>
            </w:r>
          </w:p>
          <w:p>
            <w:pPr>
              <w:pStyle w:val="null3"/>
              <w:ind w:firstLine="220"/>
            </w:pPr>
            <w:r>
              <w:rPr>
                <w:sz w:val="22"/>
              </w:rPr>
              <w:t>5.1</w:t>
            </w:r>
            <w:r>
              <w:rPr/>
              <w:t xml:space="preserve"> </w:t>
            </w:r>
            <w:r>
              <w:rPr>
                <w:sz w:val="22"/>
              </w:rPr>
              <w:t>运行环境：预装中文</w:t>
            </w:r>
            <w:r>
              <w:rPr>
                <w:sz w:val="22"/>
              </w:rPr>
              <w:t>WINDOWS操作系统</w:t>
            </w:r>
            <w:r>
              <w:rPr>
                <w:sz w:val="22"/>
              </w:rPr>
              <w:t>；</w:t>
            </w:r>
          </w:p>
          <w:p>
            <w:pPr>
              <w:pStyle w:val="null3"/>
              <w:ind w:firstLine="220"/>
            </w:pPr>
            <w:r>
              <w:rPr>
                <w:sz w:val="22"/>
              </w:rPr>
              <w:t>5.2</w:t>
            </w:r>
            <w:r>
              <w:rPr/>
              <w:t xml:space="preserve"> </w:t>
            </w:r>
            <w:r>
              <w:rPr>
                <w:sz w:val="22"/>
              </w:rPr>
              <w:t>骨密度仪中文操作软件及骨密度结果中文影像数据检测报告</w:t>
            </w:r>
            <w:r>
              <w:rPr>
                <w:sz w:val="22"/>
              </w:rPr>
              <w:t>；</w:t>
            </w:r>
          </w:p>
          <w:p>
            <w:pPr>
              <w:pStyle w:val="null3"/>
              <w:jc w:val="both"/>
            </w:pPr>
            <w:r>
              <w:rPr>
                <w:sz w:val="22"/>
              </w:rPr>
              <w:t xml:space="preserve">   5.3</w:t>
            </w:r>
            <w:r>
              <w:rPr>
                <w:sz w:val="21"/>
              </w:rPr>
              <w:t xml:space="preserve"> </w:t>
            </w:r>
            <w:r>
              <w:rPr>
                <w:sz w:val="22"/>
              </w:rPr>
              <w:t>要求具备骨密度计算软件包</w:t>
            </w:r>
            <w:r>
              <w:rPr>
                <w:sz w:val="22"/>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2"/>
              </w:rPr>
              <w:t>▲5.</w:t>
            </w:r>
            <w:r>
              <w:rPr>
                <w:sz w:val="22"/>
              </w:rPr>
              <w:t xml:space="preserve">4 </w:t>
            </w:r>
            <w:r>
              <w:rPr>
                <w:sz w:val="22"/>
              </w:rPr>
              <w:t>中国大陆人数据库：数据库由国内权威机构建立，全国多点采集，样本量</w:t>
            </w:r>
            <w:r>
              <w:rPr>
                <w:sz w:val="22"/>
              </w:rPr>
              <w:t>≥11,000</w:t>
            </w:r>
            <w:r>
              <w:rPr>
                <w:sz w:val="22"/>
              </w:rPr>
              <w:t>；</w:t>
            </w:r>
            <w:r>
              <w:rPr>
                <w:sz w:val="22"/>
              </w:rPr>
              <w:t>(提供所投产品注册证及其附件技术说明或公开发行的彩页或官网功能截图或原厂商/总代理商的官方技术说明材料或技术白皮书或第三方合格检测报告等证明资料佐证；</w:t>
            </w:r>
            <w:r>
              <w:rPr>
                <w:sz w:val="22"/>
              </w:rPr>
              <w:t>备注</w:t>
            </w:r>
            <w:r>
              <w:rPr>
                <w:sz w:val="22"/>
              </w:rPr>
              <w:t>说明：注册证及其附件、合格检测报告是指该产品进行备案或注册时向国家食品药品监督管理部门按要求提交的产品注册要求和产品检测报告证明材料。投标人须在证明材料上标记</w:t>
            </w:r>
            <w:r>
              <w:rPr>
                <w:sz w:val="22"/>
              </w:rPr>
              <w:t>/圈记具体参数响应位置，且所提供证明材料必须清晰可见。)</w:t>
            </w:r>
          </w:p>
        </w:tc>
      </w:tr>
      <w:tr>
        <w:tc>
          <w:tcPr>
            <w:tcW w:type="dxa" w:w="2076"/>
          </w:tcPr>
          <w:p/>
        </w:tc>
        <w:tc>
          <w:tcPr>
            <w:tcW w:type="dxa" w:w="415"/>
          </w:tcPr>
          <w:p>
            <w:pPr>
              <w:pStyle w:val="null3"/>
            </w:pPr>
            <w:r>
              <w:rPr/>
              <w:t>11</w:t>
            </w:r>
          </w:p>
        </w:tc>
        <w:tc>
          <w:tcPr>
            <w:tcW w:type="dxa" w:w="5814"/>
          </w:tcPr>
          <w:p>
            <w:pPr>
              <w:pStyle w:val="null3"/>
              <w:ind w:firstLine="220"/>
            </w:pPr>
            <w:r>
              <w:rPr>
                <w:sz w:val="22"/>
              </w:rPr>
              <w:t>5.</w:t>
            </w:r>
            <w:r>
              <w:rPr>
                <w:sz w:val="22"/>
              </w:rPr>
              <w:t xml:space="preserve">5 </w:t>
            </w:r>
            <w:r>
              <w:rPr>
                <w:sz w:val="22"/>
              </w:rPr>
              <w:t>智能自动确定骨边缘软件</w:t>
            </w:r>
            <w:r>
              <w:rPr>
                <w:sz w:val="22"/>
              </w:rPr>
              <w:t>；</w:t>
            </w:r>
          </w:p>
          <w:p>
            <w:pPr>
              <w:pStyle w:val="null3"/>
              <w:ind w:firstLine="220"/>
            </w:pPr>
            <w:r>
              <w:rPr>
                <w:sz w:val="22"/>
              </w:rPr>
              <w:t>5.</w:t>
            </w:r>
            <w:r>
              <w:rPr>
                <w:sz w:val="22"/>
              </w:rPr>
              <w:t xml:space="preserve">6 </w:t>
            </w:r>
            <w:r>
              <w:rPr>
                <w:sz w:val="22"/>
              </w:rPr>
              <w:t>与前一次扫描结果对比分析</w:t>
            </w:r>
            <w:r>
              <w:rPr>
                <w:sz w:val="22"/>
              </w:rPr>
              <w:t>；</w:t>
            </w:r>
          </w:p>
          <w:p>
            <w:pPr>
              <w:pStyle w:val="null3"/>
              <w:ind w:firstLine="220"/>
            </w:pPr>
            <w:r>
              <w:rPr>
                <w:sz w:val="22"/>
              </w:rPr>
              <w:t>5.</w:t>
            </w:r>
            <w:r>
              <w:rPr>
                <w:sz w:val="22"/>
              </w:rPr>
              <w:t xml:space="preserve">7 </w:t>
            </w:r>
            <w:r>
              <w:rPr>
                <w:sz w:val="22"/>
              </w:rPr>
              <w:t>异常骨密度区域或金属自动排除软件</w:t>
            </w:r>
            <w:r>
              <w:rPr>
                <w:sz w:val="22"/>
              </w:rPr>
              <w:t>；</w:t>
            </w:r>
          </w:p>
          <w:p>
            <w:pPr>
              <w:pStyle w:val="null3"/>
              <w:ind w:firstLine="220"/>
            </w:pPr>
            <w:r>
              <w:rPr>
                <w:sz w:val="22"/>
              </w:rPr>
              <w:t>5.</w:t>
            </w:r>
            <w:r>
              <w:rPr>
                <w:sz w:val="22"/>
              </w:rPr>
              <w:t xml:space="preserve">8 </w:t>
            </w:r>
            <w:r>
              <w:rPr>
                <w:sz w:val="22"/>
              </w:rPr>
              <w:t>屏幕上扫描部位调整</w:t>
            </w:r>
            <w:r>
              <w:rPr>
                <w:sz w:val="22"/>
              </w:rPr>
              <w:t>；</w:t>
            </w:r>
          </w:p>
          <w:p>
            <w:pPr>
              <w:pStyle w:val="null3"/>
              <w:ind w:firstLine="220"/>
            </w:pPr>
            <w:r>
              <w:rPr>
                <w:sz w:val="22"/>
              </w:rPr>
              <w:t>5.</w:t>
            </w:r>
            <w:r>
              <w:rPr>
                <w:sz w:val="22"/>
              </w:rPr>
              <w:t xml:space="preserve">9 </w:t>
            </w:r>
            <w:r>
              <w:rPr>
                <w:sz w:val="22"/>
              </w:rPr>
              <w:t>体重</w:t>
            </w:r>
            <w:r>
              <w:rPr>
                <w:sz w:val="22"/>
              </w:rPr>
              <w:t>/种族差异校正软件</w:t>
            </w:r>
            <w:r>
              <w:rPr>
                <w:sz w:val="22"/>
              </w:rPr>
              <w:t>；</w:t>
            </w:r>
          </w:p>
          <w:p>
            <w:pPr>
              <w:pStyle w:val="null3"/>
              <w:ind w:firstLine="220"/>
            </w:pPr>
            <w:r>
              <w:rPr>
                <w:sz w:val="22"/>
              </w:rPr>
              <w:t>5.1</w:t>
            </w:r>
            <w:r>
              <w:rPr>
                <w:sz w:val="22"/>
              </w:rPr>
              <w:t xml:space="preserve">0 </w:t>
            </w:r>
            <w:r>
              <w:rPr>
                <w:sz w:val="22"/>
              </w:rPr>
              <w:t>T值和Z值分析软件</w:t>
            </w:r>
            <w:r>
              <w:rPr>
                <w:sz w:val="22"/>
              </w:rPr>
              <w:t>；</w:t>
            </w:r>
          </w:p>
          <w:p>
            <w:pPr>
              <w:pStyle w:val="null3"/>
              <w:ind w:firstLine="220"/>
            </w:pPr>
            <w:r>
              <w:rPr>
                <w:sz w:val="22"/>
              </w:rPr>
              <w:t>5.1</w:t>
            </w:r>
            <w:r>
              <w:rPr>
                <w:sz w:val="22"/>
              </w:rPr>
              <w:t xml:space="preserve">1 </w:t>
            </w:r>
            <w:r>
              <w:rPr>
                <w:sz w:val="22"/>
              </w:rPr>
              <w:t>检测质量控制系统（含质量检测程序，</w:t>
            </w:r>
            <w:r>
              <w:rPr>
                <w:sz w:val="22"/>
              </w:rPr>
              <w:t>QA态势分析）</w:t>
            </w:r>
            <w:r>
              <w:rPr>
                <w:sz w:val="22"/>
              </w:rPr>
              <w:t>；</w:t>
            </w:r>
          </w:p>
          <w:p>
            <w:pPr>
              <w:pStyle w:val="null3"/>
              <w:ind w:firstLine="220"/>
            </w:pPr>
            <w:r>
              <w:rPr>
                <w:sz w:val="22"/>
              </w:rPr>
              <w:t>5.</w:t>
            </w:r>
            <w:r>
              <w:rPr>
                <w:sz w:val="22"/>
              </w:rPr>
              <w:t xml:space="preserve">12 </w:t>
            </w:r>
            <w:r>
              <w:rPr>
                <w:sz w:val="22"/>
              </w:rPr>
              <w:t>检测结果趋势分析功能</w:t>
            </w:r>
            <w:r>
              <w:rPr>
                <w:sz w:val="22"/>
              </w:rPr>
              <w:t>；</w:t>
            </w:r>
          </w:p>
          <w:p>
            <w:pPr>
              <w:pStyle w:val="null3"/>
              <w:ind w:firstLine="220"/>
            </w:pPr>
            <w:r>
              <w:rPr>
                <w:sz w:val="22"/>
              </w:rPr>
              <w:t>5.1</w:t>
            </w:r>
            <w:r>
              <w:rPr>
                <w:sz w:val="22"/>
              </w:rPr>
              <w:t xml:space="preserve">3 </w:t>
            </w:r>
            <w:r>
              <w:rPr>
                <w:sz w:val="22"/>
              </w:rPr>
              <w:t>多部位集成报告软件</w:t>
            </w:r>
            <w:r>
              <w:rPr>
                <w:sz w:val="22"/>
              </w:rPr>
              <w:t>-多部位集成报告系统，将所有检测结果打印在一张报告上进行联合评估</w:t>
            </w:r>
            <w:r>
              <w:rPr>
                <w:sz w:val="22"/>
              </w:rPr>
              <w:t>；</w:t>
            </w:r>
          </w:p>
          <w:p>
            <w:pPr>
              <w:pStyle w:val="null3"/>
              <w:ind w:firstLine="220"/>
            </w:pPr>
            <w:r>
              <w:rPr>
                <w:sz w:val="22"/>
              </w:rPr>
              <w:t>5.1</w:t>
            </w:r>
            <w:r>
              <w:rPr>
                <w:sz w:val="22"/>
              </w:rPr>
              <w:t xml:space="preserve">4 </w:t>
            </w:r>
            <w:r>
              <w:rPr>
                <w:sz w:val="22"/>
              </w:rPr>
              <w:t>自动化报告编辑书写软件</w:t>
            </w:r>
            <w:r>
              <w:rPr>
                <w:sz w:val="22"/>
              </w:rPr>
              <w:t>。</w:t>
            </w:r>
          </w:p>
          <w:p>
            <w:pPr>
              <w:pStyle w:val="null3"/>
              <w:jc w:val="both"/>
            </w:pPr>
            <w:r>
              <w:rPr>
                <w:sz w:val="22"/>
              </w:rPr>
              <w:t>6</w:t>
            </w:r>
            <w:r>
              <w:rPr>
                <w:sz w:val="22"/>
              </w:rPr>
              <w:t>.</w:t>
            </w:r>
            <w:r>
              <w:rPr>
                <w:sz w:val="21"/>
              </w:rPr>
              <w:t>打印输出设备</w:t>
            </w:r>
            <w:r>
              <w:rPr>
                <w:sz w:val="22"/>
              </w:rPr>
              <w:t>。</w:t>
            </w:r>
          </w:p>
        </w:tc>
      </w:tr>
      <w:tr>
        <w:tc>
          <w:tcPr>
            <w:tcW w:type="dxa" w:w="2076"/>
          </w:tcPr>
          <w:p/>
        </w:tc>
        <w:tc>
          <w:tcPr>
            <w:tcW w:type="dxa" w:w="415"/>
          </w:tcPr>
          <w:p>
            <w:pPr>
              <w:pStyle w:val="null3"/>
            </w:pPr>
            <w:r>
              <w:rPr/>
              <w:t>12</w:t>
            </w:r>
          </w:p>
        </w:tc>
        <w:tc>
          <w:tcPr>
            <w:tcW w:type="dxa" w:w="5814"/>
          </w:tcPr>
          <w:p>
            <w:pPr>
              <w:pStyle w:val="null3"/>
              <w:jc w:val="left"/>
            </w:pPr>
            <w:r>
              <w:rPr>
                <w:sz w:val="22"/>
                <w:b/>
              </w:rPr>
              <w:t>二</w:t>
            </w:r>
            <w:r>
              <w:rPr>
                <w:sz w:val="22"/>
                <w:b/>
              </w:rPr>
              <w:t>、</w:t>
            </w:r>
            <w:r>
              <w:rPr>
                <w:sz w:val="22"/>
                <w:b/>
              </w:rPr>
              <w:t>配置清单</w:t>
            </w:r>
            <w:r>
              <w:rPr>
                <w:sz w:val="22"/>
                <w:b/>
              </w:rPr>
              <w:t>：</w:t>
            </w:r>
          </w:p>
          <w:tbl>
            <w:tblPr>
              <w:tblBorders>
                <w:top w:val="none" w:color="000000" w:sz="4"/>
                <w:left w:val="none" w:color="000000" w:sz="4"/>
                <w:bottom w:val="none" w:color="000000" w:sz="4"/>
                <w:right w:val="none" w:color="000000" w:sz="4"/>
                <w:insideH w:val="none"/>
                <w:insideV w:val="none"/>
              </w:tblBorders>
            </w:tblPr>
            <w:tblGrid>
              <w:gridCol w:w="645"/>
              <w:gridCol w:w="4940"/>
            </w:tblGrid>
            <w:tr>
              <w:tc>
                <w:tcPr>
                  <w:tcW w:type="dxa" w:w="55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标准配置</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主机系统</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操作手册</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电源线</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高级全身体成分分析</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DVA双能椎体评估</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DICOM协议接口</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HL7协议接口</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LED</w:t>
                  </w:r>
                  <w:r>
                    <w:rPr>
                      <w:sz w:val="21"/>
                    </w:rPr>
                    <w:t>终端显示设备</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系统操作即</w:t>
                  </w:r>
                  <w:r>
                    <w:rPr>
                      <w:sz w:val="22"/>
                    </w:rPr>
                    <w:t>电脑工作站</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0</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电脑键盘</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1</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电脑</w:t>
                  </w:r>
                  <w:r>
                    <w:rPr>
                      <w:sz w:val="22"/>
                    </w:rPr>
                    <w:t>/显示器电源</w:t>
                  </w:r>
                  <w:r>
                    <w:rPr>
                      <w:sz w:val="22"/>
                    </w:rPr>
                    <w:t>线</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2</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矫形髋关节软件</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3</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前臂骨密度测量</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4</w:t>
                  </w:r>
                </w:p>
              </w:tc>
              <w:tc>
                <w:tcPr>
                  <w:tcW w:type="dxa" w:w="4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打印输出设备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采购机构代理服务收费标准：采购机构代理服务收费标准：1、以中标通知书中确定的中标总金额作为缴费的计算基数； 2、招标代理服务费按国家计委文件“计价格[2002]1980号文”和国家发展改革委员会办公厅颁布的《国家发展改革委办公厅关于招标代理机构服务收费有关问题》的通知（发改办价格[2003]857号）的相关规定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邹先生</w:t>
      </w:r>
    </w:p>
    <w:p>
      <w:pPr>
        <w:pStyle w:val="null3"/>
        <w:ind w:firstLine="480"/>
      </w:pPr>
      <w:r>
        <w:rPr/>
        <w:t>电话：</w:t>
      </w:r>
      <w:r>
        <w:rPr/>
        <w:t>0769-23663761</w:t>
      </w:r>
    </w:p>
    <w:p>
      <w:pPr>
        <w:pStyle w:val="null3"/>
        <w:ind w:firstLine="480"/>
      </w:pPr>
      <w:r>
        <w:rPr/>
        <w:t>传真：</w:t>
      </w:r>
      <w:r>
        <w:rPr/>
        <w:t>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中医院X射线骨密度检测仪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采购包1（东莞市中医院X射线骨密度检测仪采购项目）：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采购包1（东莞市中医院X射线骨密度检测仪采购项目）：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。或投标文件中提供《资格条件承诺函》。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代理商的，从事第三类医疗器械经营的应取得《医疗器械经营许可证》或《医疗器械经营企业许可证》；②投标人为生产厂商的，从事第二类或第三类医疗器械生产的厂商，应取得药品监督管理部门颁发的《医疗器械生产许可证》或《医疗器械生产企业许可证》；③投标货物若属于中国医疗器械注册管理范围内的，则应取得监督管理部门颁发的相应的《中华人民共和国医疗器械注册证》。</w:t>
            </w:r>
          </w:p>
        </w:tc>
      </w:tr>
      <w:tr>
        <w:tc>
          <w:tcPr>
            <w:tcW w:type="dxa" w:w="890"/>
          </w:tcPr>
          <w:p>
            <w:pPr>
              <w:pStyle w:val="null3"/>
            </w:pPr>
            <w:r>
              <w:rPr/>
              <w:t>9</w:t>
            </w:r>
          </w:p>
        </w:tc>
        <w:tc>
          <w:tcPr>
            <w:tcW w:type="dxa" w:w="3178"/>
          </w:tcPr>
          <w:p>
            <w:pPr>
              <w:pStyle w:val="null3"/>
            </w:pPr>
            <w:r>
              <w:rPr/>
              <w:t>落实政府采购政策要求</w:t>
            </w:r>
          </w:p>
        </w:tc>
        <w:tc>
          <w:tcPr>
            <w:tcW w:type="dxa" w:w="4238"/>
          </w:tcPr>
          <w:p>
            <w:pPr>
              <w:pStyle w:val="null3"/>
            </w:pPr>
            <w:r>
              <w:rPr/>
              <w:t>本采购项目属于非专门面向中小企业,所属行业划分标准为：工业。《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 发展改革委 生态环境部 市场监管总局 关于调整优化节能产品、环境标志产品政府采购执行机制的通知》（财库〔2019〕9号）</w:t>
            </w:r>
          </w:p>
        </w:tc>
      </w:tr>
    </w:tbl>
    <w:p>
      <w:pPr>
        <w:pStyle w:val="null3"/>
        <w:ind w:firstLine="480"/>
      </w:pPr>
      <w:r>
        <w:rPr/>
        <w:t>表二符合性审查表：</w:t>
      </w:r>
    </w:p>
    <w:p>
      <w:pPr>
        <w:pStyle w:val="null3"/>
      </w:pPr>
      <w:r>
        <w:rPr/>
        <w:t>采购包1（东莞市中医院X射线骨密度检测仪采购项目）：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投标文件的签署、盖章</w:t>
            </w:r>
          </w:p>
        </w:tc>
        <w:tc>
          <w:tcPr>
            <w:tcW w:type="dxa" w:w="4238"/>
          </w:tcPr>
          <w:p>
            <w:pPr>
              <w:pStyle w:val="null3"/>
            </w:pPr>
            <w:r>
              <w:rPr/>
              <w:t>包括但不限于：①投标文件无法定代表人或其授权代表签字，或签字人无法定代表人有效授权的；②投标文件签字、盖章不符合招标文件要求的；③投标文件的关键内容字迹模糊、无法辨认的。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报价超过招标文件中规定的最高限价的或报价不符合招标文件要求。</w:t>
            </w:r>
          </w:p>
        </w:tc>
      </w:tr>
      <w:tr>
        <w:tc>
          <w:tcPr>
            <w:tcW w:type="dxa" w:w="890"/>
          </w:tcPr>
          <w:p>
            <w:pPr>
              <w:pStyle w:val="null3"/>
            </w:pPr>
            <w:r>
              <w:rPr/>
              <w:t>3</w:t>
            </w:r>
          </w:p>
        </w:tc>
        <w:tc>
          <w:tcPr>
            <w:tcW w:type="dxa" w:w="3178"/>
          </w:tcPr>
          <w:p>
            <w:pPr>
              <w:pStyle w:val="null3"/>
            </w:pPr>
            <w:r>
              <w:rPr/>
              <w:t>投标文件的附加条件</w:t>
            </w:r>
          </w:p>
        </w:tc>
        <w:tc>
          <w:tcPr>
            <w:tcW w:type="dxa" w:w="4238"/>
          </w:tcPr>
          <w:p>
            <w:pPr>
              <w:pStyle w:val="null3"/>
            </w:pPr>
            <w:r>
              <w:rPr/>
              <w:t>投标文件含有采购人不能接受的附加条件的。</w:t>
            </w:r>
          </w:p>
        </w:tc>
      </w:tr>
      <w:tr>
        <w:tc>
          <w:tcPr>
            <w:tcW w:type="dxa" w:w="890"/>
          </w:tcPr>
          <w:p>
            <w:pPr>
              <w:pStyle w:val="null3"/>
            </w:pPr>
            <w:r>
              <w:rPr/>
              <w:t>4</w:t>
            </w:r>
          </w:p>
        </w:tc>
        <w:tc>
          <w:tcPr>
            <w:tcW w:type="dxa" w:w="3178"/>
          </w:tcPr>
          <w:p>
            <w:pPr>
              <w:pStyle w:val="null3"/>
            </w:pPr>
            <w:r>
              <w:rPr/>
              <w:t>投标文件实质性要求响应情况</w:t>
            </w:r>
          </w:p>
        </w:tc>
        <w:tc>
          <w:tcPr>
            <w:tcW w:type="dxa" w:w="4238"/>
          </w:tcPr>
          <w:p>
            <w:pPr>
              <w:pStyle w:val="null3"/>
            </w:pPr>
            <w:r>
              <w:rPr/>
              <w:t>包括但不限于：①投标文件不满足招标文件中加注星号（★）的重要条款要求的；②投标有效期未满足招标文件要求的；③投标文件商务和技术响应与事实不符或虚假投标的；④将一个包中的内容拆开投标的；⑤投标人对同一货物或服务投标时，同时提供两套或两套以上的投标方案的；⑥其他未实质性响应招标文件要求的。</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采购包1(东莞市中医院X射线骨密度检测仪采购项目):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用户需求书中的参数要求带“▲”技术指标条款全部响应为满足的得24分。参数指标不满足或者不响应的每一项扣4分；扣完为止。注：①采购需求中要求提供证明材料的，则投标文件中须提供对应产品参数的证明材料，投标人应在证明资料上框选标记清晰，否则投标人自行承担不利后果。②采购需求未要求提供证明资料的，则投标文件中须提供所投产品彩页或原厂商的官方技术白皮书或原厂商/总代理商所作的技术参数说明等详细技术资料，投标人应在证明资料上框选标记清晰，否则投标人自行承担不利后果。</w:t>
            </w:r>
          </w:p>
        </w:tc>
      </w:tr>
      <w:tr>
        <w:tc>
          <w:tcPr>
            <w:tcW w:type="dxa" w:w="922"/>
            <w:gridSpan w:val="2"/>
            <w:vMerge/>
          </w:tcPr>
          <w:p/>
        </w:tc>
        <w:tc>
          <w:tcPr>
            <w:tcW w:type="dxa" w:w="2307"/>
          </w:tcPr>
          <w:p>
            <w:pPr>
              <w:pStyle w:val="null3"/>
              <w:jc w:val="left"/>
            </w:pPr>
            <w:r>
              <w:rPr/>
              <w:t>所投产品的技术情况 (8.0分)</w:t>
            </w:r>
          </w:p>
        </w:tc>
        <w:tc>
          <w:tcPr>
            <w:tcW w:type="dxa" w:w="5076"/>
          </w:tcPr>
          <w:p>
            <w:pPr>
              <w:pStyle w:val="null3"/>
              <w:jc w:val="left"/>
            </w:pPr>
            <w:r>
              <w:rPr/>
              <w:t>根据投标人所投产品的设备设计及配置，用材可靠性，实用性、耐用性进行评分：①设备设计及配置非常丰富可靠，明显领先行业水平，充分考虑未来发展趋势；用材极其可靠，全部选用优质材料，性能稳定且寿命长；实用性和耐用性极佳，功能全面满足需求，操作简单方便，易于维护和保养，且设备寿命长，性能稳定，得8分。②设备设计及配置较丰富可靠，符合当前行业主流水平；用材可靠，选用优质材料，性能稳定；实用性和耐用性较好，功能满足大部分需求，操作和维护相对简便，设备寿命较长，得4分。③设备设计及配置基本符合行业要求，但缺乏创新性；用材基本可靠，性能一般，但无明显缺陷；实用性和耐用性一般，功能基本满足需求，操作和维护稍显复杂，设备寿命和性能中等，得1分。④设备设计及配置落后，不符合行业发展方向；用材存在明显问题，性能不稳定或寿命较短；实用性和耐用性差，功能不足或操作维护困难，设备寿命短或性能不稳定，得0分。</w:t>
            </w:r>
          </w:p>
        </w:tc>
      </w:tr>
      <w:tr>
        <w:tc>
          <w:tcPr>
            <w:tcW w:type="dxa" w:w="922"/>
            <w:gridSpan w:val="2"/>
            <w:vMerge/>
          </w:tcPr>
          <w:p/>
        </w:tc>
        <w:tc>
          <w:tcPr>
            <w:tcW w:type="dxa" w:w="2307"/>
          </w:tcPr>
          <w:p>
            <w:pPr>
              <w:pStyle w:val="null3"/>
              <w:jc w:val="left"/>
            </w:pPr>
            <w:r>
              <w:rPr/>
              <w:t>整体供货、安装方案 (8.0分)</w:t>
            </w:r>
          </w:p>
        </w:tc>
        <w:tc>
          <w:tcPr>
            <w:tcW w:type="dxa" w:w="5076"/>
          </w:tcPr>
          <w:p>
            <w:pPr>
              <w:pStyle w:val="null3"/>
              <w:jc w:val="left"/>
            </w:pPr>
            <w:r>
              <w:rPr/>
              <w:t>根据各投标人提供的针对本项目实施的总体方案（包括但不限于供货进度安排、安装调试方案及验收检验方案等）进行比较进行综合评审：（1）有具体供货进度时间安排、安装调试方案，方案科学合理，思路清晰，内容全面，能够根据实际情况制订，考虑问题周全各项指标均能完成，验收方案有具体的流程介绍，验收内容重点突出得8分；（2）有较为具体供货进度时间安排、安装调试方案，方案较为科学合理，思路较为清晰，内容较为全面，能够根据实际情况制订，考虑问题周全各项指标能完成，验收方案有较为具体的流程介绍，验收内容重点较为突出得5分；（3）有基本供货进度时间安排、安装调试方案，方案科学合理性一般，思路一般，内容一般，基本能够根据实际情况制订，考虑问题周全各项指标基本能完成，验收方案有基本的流程介绍，验收内容重点一般得2分；（4）供货进度时间安排较差、安装调试方案不完善，方案不够科学，思路不够清晰，内容不够全面，不能够根据实际情况制订，考虑问题不详细，验收方案流程介绍简单，验收内容重点简单得1分；（5）未提供相关方案得0分。</w:t>
            </w:r>
          </w:p>
        </w:tc>
      </w:tr>
      <w:tr>
        <w:tc>
          <w:tcPr>
            <w:tcW w:type="dxa" w:w="922"/>
            <w:gridSpan w:val="2"/>
            <w:vMerge/>
          </w:tcPr>
          <w:p/>
        </w:tc>
        <w:tc>
          <w:tcPr>
            <w:tcW w:type="dxa" w:w="2307"/>
          </w:tcPr>
          <w:p>
            <w:pPr>
              <w:pStyle w:val="null3"/>
              <w:jc w:val="left"/>
            </w:pPr>
            <w:r>
              <w:rPr/>
              <w:t>质量保证措施及方案 (8.0分)</w:t>
            </w:r>
          </w:p>
        </w:tc>
        <w:tc>
          <w:tcPr>
            <w:tcW w:type="dxa" w:w="5076"/>
          </w:tcPr>
          <w:p>
            <w:pPr>
              <w:pStyle w:val="null3"/>
              <w:jc w:val="left"/>
            </w:pPr>
            <w:r>
              <w:rPr/>
              <w:t>根据投标人提供的质量保证（包括但不限于设备安装技术，专业技术人员配备，应急措施等）方案进行比较进行综合评审：（1）拟投入本项目安装设备或技术配备齐全；专业技术力量完备，组织架构完善；应急措施科学合理，适用性强，针对故障有详细的应对措施及相应的解决方案，运输及安装过程安全有具体的防护措施，项目实施前对安装人员有进行培训并提供详细的培训流程得8分；（2）拟投入本项目安装设备或技术配备较为齐全；专业技术力量较为完备，组织架构较为完善；应急措施科学合理，适用性较强，针对故障有较为详细的应对措施及相应的解决方案，运输及安装过程安全有较为具体的防护措施，项目实施前对安装人员有进行培训并提供较为详细的培训流程得5分；（3）拟投入本项目安装设备或技术配备一般；专业技术力量一般，组织架构一般；应急措施合理性一般，适用性一般，针对故障有应对措施及相应的解决方案，运输及安装过程安全有防护措施，项目实施前对安装人员有基本的培训并提供培训流程得2分；（4）拟投入本项目安装设备或技术配备不齐全；专业技术力量不够完备，组织架构不完善；应急措施不够科学合理，适用性不强，针对故障的应对措施及相应的解决方案不完善，运输及安装过程安全防护措施较差，项目实施前对安装人员仅有基本的培训，培训流程不够详细得1分；（5）未提供相关方案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包括但不限于①维修及到达现场解决问题的响应时间、②产品保修内容与范围、③服务承诺及技术支持、④使用部门培训内容等）进行综合评审：（1）售后服务承诺细致，详细列明售后服务的方式、处理流程、技术人员组织安排及跟进流程等；所投产品备品备件充足，详细列明备品备件清单及技术参数说明、用途；有针对性的应急维修响应措施，有专门的具有售后服务管理人员对接跟进处理进度并对维修情况进行记录的得8分；（2）售后服务承诺较为细致，列明售后服务的方式、处理流程、技术人员组织安排及跟进流程等；所投产品备品备件较为充足，列明备品备件清单及技术参数说明、用途；有应急维修响应措施，有专门人员对接跟进处理进度并对维修情况进行记录的得5分；（3）售后服务承诺一般，基本列明售后服务的方式、处理流程、技术人员组织安排及跟进流程等；所投产品备品备件不够充足，基本列明备品备件清单及技术参数说明、用途；应急维修响应措施不够完善，有安排对接跟进处理进度并对维修情况进行记录的得2分；（4）售后服务承诺不明确，售后服务的方式、处理流程、技术人员组织安排及跟进流程不详细；所投产品备品备件不充足，备品备件清单及技术参数说明、用途不清晰；应急维修响应措施不完善得1分；（5）未提供相关方案得0分。</w:t>
            </w:r>
          </w:p>
        </w:tc>
      </w:tr>
      <w:tr>
        <w:tc>
          <w:tcPr>
            <w:tcW w:type="dxa" w:w="922"/>
            <w:gridSpan w:val="2"/>
            <w:vMerge/>
          </w:tcPr>
          <w:p/>
        </w:tc>
        <w:tc>
          <w:tcPr>
            <w:tcW w:type="dxa" w:w="2307"/>
          </w:tcPr>
          <w:p>
            <w:pPr>
              <w:pStyle w:val="null3"/>
              <w:jc w:val="left"/>
            </w:pPr>
            <w:r>
              <w:rPr/>
              <w:t>日常维护方案 (4.0分)</w:t>
            </w:r>
          </w:p>
        </w:tc>
        <w:tc>
          <w:tcPr>
            <w:tcW w:type="dxa" w:w="5076"/>
          </w:tcPr>
          <w:p>
            <w:pPr>
              <w:pStyle w:val="null3"/>
              <w:jc w:val="left"/>
            </w:pPr>
            <w:r>
              <w:rPr/>
              <w:t>根据采购需求的“日常维护要求”，对投标人提供的日常维护方案进行评审：①日常维护方案符合用户需求，方案详实具体，可操作性强的，得4分。②日常维护方案符合用户需求，方案不够详实具体，具有一定的可操作性的，得2分。③日常维护方案符合用户需求，方案简单笼统，可操作性一般的，得1分。④未提供相关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(4.0分)</w:t>
            </w:r>
          </w:p>
        </w:tc>
        <w:tc>
          <w:tcPr>
            <w:tcW w:type="dxa" w:w="5076"/>
          </w:tcPr>
          <w:p>
            <w:pPr>
              <w:pStyle w:val="null3"/>
              <w:jc w:val="left"/>
            </w:pPr>
            <w:r>
              <w:rPr/>
              <w:t>投标人具有医疗设备类项目业绩，每提供一个业绩得1分，满分为4分（须提供合同复印件/扫描件并加盖投标人公章，不提供不得分）。</w:t>
            </w:r>
          </w:p>
        </w:tc>
      </w:tr>
      <w:tr>
        <w:tc>
          <w:tcPr>
            <w:tcW w:type="dxa" w:w="922"/>
            <w:gridSpan w:val="2"/>
            <w:vMerge/>
          </w:tcPr>
          <w:p/>
        </w:tc>
        <w:tc>
          <w:tcPr>
            <w:tcW w:type="dxa" w:w="2307"/>
          </w:tcPr>
          <w:p>
            <w:pPr>
              <w:pStyle w:val="null3"/>
              <w:jc w:val="left"/>
            </w:pPr>
            <w:r>
              <w:rPr/>
              <w:t>售后服务响应情况 (6.0分)</w:t>
            </w:r>
          </w:p>
        </w:tc>
        <w:tc>
          <w:tcPr>
            <w:tcW w:type="dxa" w:w="5076"/>
          </w:tcPr>
          <w:p>
            <w:pPr>
              <w:pStyle w:val="null3"/>
              <w:jc w:val="left"/>
            </w:pPr>
            <w:r>
              <w:rPr/>
              <w:t>根据各投标人针对采购需求中“售后服务要求”，所提供的售后服务方案进行评分：①投标人提供的售后保证承诺非常明确、全面，承诺内容远超过行业标准或项目要求；质保期内的服务方案极其详细，涵盖所有可能的维护、维修、更换等场景，并附有完善的应急预案；方案中明确列出使用的先进工具、技术和方法，以及投标人或所投产品制造商具有完善的专业售后技术服务团队人员和高效的响应机制并列出技术服务工程师名单（提供设备维修或培训或认证等工程师相关资格证书及开标前三个月内任意一个月的投标人或产品制造商为其缴纳的社保证明材料）得6分。②投标人提供的售后保证承诺明确、具体，符合行业标准或项目要求；质保期内的服务方案详细，覆盖大部分可能的维护、维修场景，并有相应的应急预案；方案中提到使用的工具、技术和方法较先进，服务团队具备专业能力，响应机制较高效，以及投标人或所投产品制造商具有较为完善专业售后技术服务团队人员和良好的响应机制并列出技术服务工程师名单（提供设备维修或培训或认证等工程师相关资格证书及开标前三个月内任意一个月的投标人或产品制造商为其缴纳的社保证明材料）得3分。③投标人提供的售后保证承诺基本明确，但内容相对标准或略有不足；质保期内的服务方案基本可行，但某些方面可能缺乏详细性或深度；方案中使用的工具、技术和方法基本满足要求，服务团队和响应机制达到一般水平，以及投标人或所投产品制造商具有少量的专业售后技术服务团队人员和响应机制并列出技术服务工程师名单（提供设备维修或培训或认证等工程师相关资格证书及开标前三个月内任意一个月的投标人或产品制造商为其缴纳的社保证明材料）得1分。④投标人提供的售后保证承诺模糊、不明确或存在重大遗漏；质保期内的服务方案严重缺乏详细性，未能覆盖关键的维护、维修场景，或缺乏应急预案；方案中使用的工具、技术和方法落后，服务团队和响应机制存在明显不足，或未提供方案及服务人员资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pPr>
      <w:r>
        <w:rPr>
          <w:b/>
        </w:rPr>
        <w:t xml:space="preserve"> </w:t>
      </w:r>
    </w:p>
    <w:p>
      <w:pPr>
        <w:pStyle w:val="null3"/>
        <w:jc w:val="center"/>
      </w:pPr>
      <w:r>
        <w:rPr>
          <w:b/>
        </w:rPr>
        <w:t>合　同　书</w:t>
      </w:r>
    </w:p>
    <w:p>
      <w:pPr>
        <w:pStyle w:val="null3"/>
      </w:pPr>
      <w:r>
        <w:br/>
      </w:r>
      <w:r>
        <w:br/>
      </w:r>
      <w:r>
        <w:br/>
      </w:r>
      <w:r>
        <w:br/>
      </w:r>
      <w:r>
        <w:rPr/>
        <w:t xml:space="preserve">  </w:t>
      </w:r>
    </w:p>
    <w:p>
      <w:pPr>
        <w:pStyle w:val="null3"/>
      </w:pPr>
      <w:r>
        <w:rPr/>
        <w:t>合同编号：</w:t>
      </w:r>
    </w:p>
    <w:p>
      <w:pPr>
        <w:pStyle w:val="null3"/>
      </w:pPr>
      <w:r>
        <w:rPr/>
        <w:t>甲方：</w:t>
      </w:r>
    </w:p>
    <w:p>
      <w:pPr>
        <w:pStyle w:val="null3"/>
      </w:pPr>
      <w:r>
        <w:rPr/>
        <w:t xml:space="preserve">乙方：   </w:t>
      </w:r>
    </w:p>
    <w:p>
      <w:pPr>
        <w:pStyle w:val="null3"/>
      </w:pPr>
      <w:r>
        <w:rPr/>
        <w:t>根据《民法典》《政府采购法》及其实施条例，及甲方</w:t>
      </w:r>
      <w:r>
        <w:rPr>
          <w:u w:val="single"/>
        </w:rPr>
        <w:t xml:space="preserve">          </w:t>
      </w:r>
      <w:r>
        <w:rPr/>
        <w:t>采购项目（采购编号：</w:t>
      </w:r>
      <w:r>
        <w:rPr>
          <w:u w:val="single"/>
        </w:rPr>
        <w:t xml:space="preserve">          </w:t>
      </w:r>
      <w:r>
        <w:rPr/>
        <w:t>中</w:t>
      </w:r>
      <w:r>
        <w:rPr>
          <w:u w:val="single"/>
        </w:rPr>
        <w:t xml:space="preserve"> </w:t>
      </w:r>
      <w:r>
        <w:rPr>
          <w:u w:val="single"/>
        </w:rPr>
        <w:t xml:space="preserve">     </w:t>
      </w:r>
      <w:r>
        <w:rPr>
          <w:u w:val="single"/>
        </w:rPr>
        <w:t xml:space="preserve"> </w:t>
      </w:r>
      <w:r>
        <w:rPr/>
        <w:t>项目的招标文件、乙方投标文件和中标通知书的要求，经双方协商一致，签订本合同，共同遵守如下条款：</w:t>
      </w:r>
    </w:p>
    <w:p>
      <w:pPr>
        <w:pStyle w:val="null3"/>
      </w:pPr>
      <w:r>
        <w:rPr>
          <w:b/>
        </w:rPr>
        <w:t>一、货物内容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货物名称</w:t>
            </w:r>
          </w:p>
        </w:tc>
        <w:tc>
          <w:tcPr>
            <w:tcW w:type="dxa" w:w="1038"/>
          </w:tcPr>
          <w:p>
            <w:pPr>
              <w:pStyle w:val="null3"/>
            </w:pPr>
            <w:r>
              <w:rPr/>
              <w:t>规格型号</w:t>
            </w:r>
          </w:p>
        </w:tc>
        <w:tc>
          <w:tcPr>
            <w:tcW w:type="dxa" w:w="1038"/>
          </w:tcPr>
          <w:p>
            <w:pPr>
              <w:pStyle w:val="null3"/>
            </w:pPr>
            <w:r>
              <w:rPr/>
              <w:t>数量</w:t>
            </w:r>
          </w:p>
        </w:tc>
        <w:tc>
          <w:tcPr>
            <w:tcW w:type="dxa" w:w="1038"/>
          </w:tcPr>
          <w:p>
            <w:pPr>
              <w:pStyle w:val="null3"/>
            </w:pPr>
            <w:r>
              <w:rPr/>
              <w:t>单位</w:t>
            </w:r>
          </w:p>
        </w:tc>
        <w:tc>
          <w:tcPr>
            <w:tcW w:type="dxa" w:w="1038"/>
          </w:tcPr>
          <w:p>
            <w:pPr>
              <w:pStyle w:val="null3"/>
            </w:pPr>
            <w:r>
              <w:rPr/>
              <w:t>品牌</w:t>
            </w:r>
          </w:p>
        </w:tc>
        <w:tc>
          <w:tcPr>
            <w:tcW w:type="dxa" w:w="1038"/>
          </w:tcPr>
          <w:p>
            <w:pPr>
              <w:pStyle w:val="null3"/>
            </w:pPr>
            <w:r>
              <w:rPr/>
              <w:t>产地</w:t>
            </w:r>
          </w:p>
        </w:tc>
        <w:tc>
          <w:tcPr>
            <w:tcW w:type="dxa" w:w="1038"/>
          </w:tcPr>
          <w:p>
            <w:pPr>
              <w:pStyle w:val="null3"/>
            </w:pPr>
            <w:r>
              <w:rPr/>
              <w:t>制造商名称</w:t>
            </w:r>
          </w:p>
        </w:tc>
      </w:tr>
      <w:tr>
        <w:tc>
          <w:tcPr>
            <w:tcW w:type="dxa" w:w="1038"/>
          </w:tcPr>
          <w:p>
            <w:pPr>
              <w:pStyle w:val="null3"/>
            </w:pPr>
            <w:r>
              <w:rPr/>
              <w:t>1</w:t>
            </w:r>
          </w:p>
        </w:tc>
        <w:tc>
          <w:tcPr>
            <w:tcW w:type="dxa" w:w="1038"/>
          </w:tcPr>
          <w:p>
            <w:pPr>
              <w:pStyle w:val="null3"/>
            </w:pPr>
            <w:r>
              <w:rPr/>
              <w:t xml:space="preserve"> </w:t>
            </w:r>
          </w:p>
        </w:tc>
        <w:tc>
          <w:tcPr>
            <w:tcW w:type="dxa" w:w="1038"/>
          </w:tcPr>
          <w:p>
            <w:pPr>
              <w:pStyle w:val="null3"/>
            </w:pPr>
            <w:r>
              <w:rPr/>
              <w:t xml:space="preserve"> </w:t>
            </w:r>
          </w:p>
        </w:tc>
        <w:tc>
          <w:tcPr>
            <w:tcW w:type="dxa" w:w="1038"/>
          </w:tcPr>
          <w:p>
            <w:pPr>
              <w:pStyle w:val="null3"/>
            </w:pPr>
            <w:r>
              <w:rPr/>
              <w:t xml:space="preserve"> </w:t>
            </w:r>
          </w:p>
        </w:tc>
        <w:tc>
          <w:tcPr>
            <w:tcW w:type="dxa" w:w="1038"/>
          </w:tcPr>
          <w:p>
            <w:pPr>
              <w:pStyle w:val="null3"/>
            </w:pPr>
            <w:r>
              <w:rPr/>
              <w:t xml:space="preserve"> </w:t>
            </w:r>
          </w:p>
        </w:tc>
        <w:tc>
          <w:tcPr>
            <w:tcW w:type="dxa" w:w="1038"/>
          </w:tcPr>
          <w:p>
            <w:pPr>
              <w:pStyle w:val="null3"/>
            </w:pPr>
            <w:r>
              <w:rPr/>
              <w:t xml:space="preserve"> </w:t>
            </w:r>
          </w:p>
        </w:tc>
        <w:tc>
          <w:tcPr>
            <w:tcW w:type="dxa" w:w="1038"/>
          </w:tcPr>
          <w:p>
            <w:pPr>
              <w:pStyle w:val="null3"/>
            </w:pPr>
            <w:r>
              <w:rPr/>
              <w:t xml:space="preserve"> </w:t>
            </w:r>
          </w:p>
        </w:tc>
        <w:tc>
          <w:tcPr>
            <w:tcW w:type="dxa" w:w="1038"/>
          </w:tcPr>
          <w:p>
            <w:pPr>
              <w:pStyle w:val="null3"/>
            </w:pPr>
            <w:r>
              <w:rPr/>
              <w:t xml:space="preserve"> </w:t>
            </w:r>
          </w:p>
        </w:tc>
      </w:tr>
    </w:tbl>
    <w:p>
      <w:pPr>
        <w:pStyle w:val="null3"/>
      </w:pPr>
      <w:r>
        <w:rPr/>
        <w:t xml:space="preserve"> </w:t>
      </w:r>
      <w:r>
        <w:rPr>
          <w:b/>
        </w:rPr>
        <w:t>二、合同金额</w:t>
      </w:r>
    </w:p>
    <w:p>
      <w:pPr>
        <w:pStyle w:val="null3"/>
      </w:pPr>
      <w:r>
        <w:rPr/>
        <w:t>1.合同金额为：</w:t>
      </w:r>
      <w:r>
        <w:rPr>
          <w:u w:val="single"/>
        </w:rPr>
        <w:t xml:space="preserve">          </w:t>
      </w:r>
      <w:r>
        <w:rPr/>
        <w:t>（¥</w:t>
      </w:r>
      <w:r>
        <w:rPr>
          <w:u w:val="single"/>
        </w:rPr>
        <w:t xml:space="preserve">        </w:t>
      </w:r>
      <w:r>
        <w:rPr/>
        <w:t>）。</w:t>
      </w:r>
    </w:p>
    <w:p>
      <w:pPr>
        <w:pStyle w:val="null3"/>
      </w:pPr>
      <w:r>
        <w:rPr/>
        <w:t>2.总金额包含但不限于货物购置费、搬运费、运输费、卸装费、保险费、培训费、安装调试费、验收、人力成本、所有应向第三方支付的专利权和版权、设计或其他知识产权使用费、税金等完成本采购内容所需的一切费用。</w:t>
      </w:r>
    </w:p>
    <w:p>
      <w:pPr>
        <w:pStyle w:val="null3"/>
      </w:pPr>
      <w:r>
        <w:rPr/>
        <w:t>3.本合同价为固定不变价。甲方无需向乙方支付其他费用。</w:t>
      </w:r>
    </w:p>
    <w:p>
      <w:pPr>
        <w:pStyle w:val="null3"/>
      </w:pPr>
      <w:r>
        <w:rPr>
          <w:b/>
        </w:rPr>
        <w:t>三、货物要求</w:t>
      </w:r>
    </w:p>
    <w:p>
      <w:pPr>
        <w:pStyle w:val="null3"/>
      </w:pPr>
      <w:r>
        <w:rPr/>
        <w:t>1.提供的货物是原装全新的、符合国家质量标准、国家有关部门手续完备、具有生产厂家质量保证书（或合格证明）。</w:t>
      </w:r>
    </w:p>
    <w:p>
      <w:pPr>
        <w:pStyle w:val="null3"/>
      </w:pPr>
      <w:r>
        <w:rPr/>
        <w:t>2.提供的货物符合招标文件、响应文件承诺和本合同规定的技术要求。</w:t>
      </w:r>
    </w:p>
    <w:p>
      <w:pPr>
        <w:pStyle w:val="null3"/>
      </w:pPr>
      <w:r>
        <w:rPr/>
        <w:t>3.乙方供应货物整机（含其配套设备设施、软件系统升级）原厂或总代理免费保修三年。</w:t>
      </w:r>
    </w:p>
    <w:p>
      <w:pPr>
        <w:pStyle w:val="null3"/>
      </w:pPr>
      <w:r>
        <w:rPr/>
        <w:t>4. 乙方提供所售设备的厂家授权书、 产品注册证、 公司相关资质以及设备的相关资质证明、供货出库三联单，并加盖单位红章，可接受相关管理部门审验。</w:t>
      </w:r>
    </w:p>
    <w:p>
      <w:pPr>
        <w:pStyle w:val="null3"/>
      </w:pPr>
      <w:r>
        <w:rPr/>
        <w:t>5.保证甲方在合同设备(有配套软件的还包括软件产品)使用期间，不受第三方提出侵犯其专利权、 商标权等合法权利的主张，否则造成的损失全部由乙方负责。</w:t>
      </w:r>
    </w:p>
    <w:p>
      <w:pPr>
        <w:pStyle w:val="null3"/>
      </w:pPr>
      <w:r>
        <w:rPr/>
        <w:t>6.乙方提供的设备验收日期与出厂日期间隔小于壹年。</w:t>
      </w:r>
    </w:p>
    <w:p>
      <w:pPr>
        <w:pStyle w:val="null3"/>
      </w:pPr>
      <w:r>
        <w:rPr/>
        <w:t>7.进口产品必须具备原产地证明和相关部门检验检疫证明及合法进货渠道证明，必须提供完整的报关通关手续，必须保证设备安装取得相关合格使用等证件，甲方有权要求乙方提供进口货物的报关单。</w:t>
      </w:r>
    </w:p>
    <w:p>
      <w:pPr>
        <w:pStyle w:val="null3"/>
      </w:pPr>
      <w:r>
        <w:rPr/>
        <w:t>8.乙方应具备销售合同货物的相应资质。</w:t>
      </w:r>
    </w:p>
    <w:p>
      <w:pPr>
        <w:pStyle w:val="null3"/>
      </w:pPr>
      <w:r>
        <w:rPr>
          <w:b/>
        </w:rPr>
        <w:t>四、交货期、交货方式及交货地点</w:t>
      </w:r>
    </w:p>
    <w:p>
      <w:pPr>
        <w:pStyle w:val="null3"/>
      </w:pPr>
      <w:r>
        <w:rPr/>
        <w:t>1.交货期: 在签订合同并接到甲方通知后</w:t>
      </w:r>
      <w:r>
        <w:rPr>
          <w:u w:val="single"/>
        </w:rPr>
        <w:t xml:space="preserve">    </w:t>
      </w:r>
      <w:r>
        <w:rPr/>
        <w:t>天内交货并完成供货、安装调试及验收。</w:t>
      </w:r>
    </w:p>
    <w:p>
      <w:pPr>
        <w:pStyle w:val="null3"/>
      </w:pPr>
      <w:r>
        <w:rPr/>
        <w:t>2.交货方式：免费送货上门并免费负责安装调试。</w:t>
      </w:r>
    </w:p>
    <w:p>
      <w:pPr>
        <w:pStyle w:val="null3"/>
      </w:pPr>
      <w:r>
        <w:rPr/>
        <w:t>3.交货地点：甲方指定地点。</w:t>
      </w:r>
    </w:p>
    <w:p>
      <w:pPr>
        <w:pStyle w:val="null3"/>
      </w:pPr>
      <w:r>
        <w:rPr>
          <w:b/>
        </w:rPr>
        <w:t>五、付款方式</w:t>
      </w:r>
    </w:p>
    <w:p>
      <w:pPr>
        <w:pStyle w:val="null3"/>
      </w:pPr>
      <w:r>
        <w:rPr/>
        <w:t>1.预付款：30%，合同签订生效后，采购人向中标人支付合同金额的30%。中标人须提供：（1）合同；（2）整机不少于五年原厂质保承诺函（含软件免费升级）。（具体质保时间按中标人承诺时间为准）；</w:t>
      </w:r>
    </w:p>
    <w:p>
      <w:pPr>
        <w:pStyle w:val="null3"/>
      </w:pPr>
      <w:r>
        <w:rPr/>
        <w:t>结算款：70%，中标人将合同货物供货至采购人指定地点，并安装、调试完毕及验收合格后，采购人向中标人支付合同金额的70%。（1）合同；（2）经双方签名确认后的送货单；（3）中标人开具的全额合规发票（如中标人未按采购人要求开具发票，付款期限相应顺延）；（4）经双方签名确认后的验收合格报告。</w:t>
      </w:r>
    </w:p>
    <w:p>
      <w:pPr>
        <w:pStyle w:val="null3"/>
      </w:pPr>
      <w:r>
        <w:rPr/>
        <w:t>2.乙方在保修期内如有违约行为的，经双方协商进行赔偿。双方协商未成，乙方须根据第三方评估的损失结果，向甲方进行赔偿。</w:t>
      </w:r>
    </w:p>
    <w:p>
      <w:pPr>
        <w:pStyle w:val="null3"/>
      </w:pPr>
      <w:r>
        <w:rPr/>
        <w:t xml:space="preserve">3.甲方的付款能力与时间决定于政府财政，如因财政原因未能履行付款义务，乙方同意甲方付款义务自条件具备时履行，甲方不负违约责任。   </w:t>
      </w:r>
    </w:p>
    <w:p>
      <w:pPr>
        <w:pStyle w:val="null3"/>
      </w:pPr>
      <w:r>
        <w:rPr>
          <w:b/>
        </w:rPr>
        <w:t>六、包装、运输、保险</w:t>
      </w:r>
    </w:p>
    <w:p>
      <w:pPr>
        <w:pStyle w:val="null3"/>
      </w:pPr>
      <w:r>
        <w:rPr/>
        <w:t>1.包装必须与运输方式相适应，包装方式的确定及包装费用均由乙方负责，由于不适当的包装而造成货物在运输过程中有任何损坏、丢失由乙方负责。</w:t>
      </w:r>
    </w:p>
    <w:p>
      <w:pPr>
        <w:pStyle w:val="null3"/>
      </w:pPr>
      <w:r>
        <w:rPr/>
        <w:t>2.每一包装箱两个侧面用不褪色的容易识别的中文字样标记：箱号、装运标志、毛重、净重、到货地址、收货人名称、货物名称等。</w:t>
      </w:r>
    </w:p>
    <w:p>
      <w:pPr>
        <w:pStyle w:val="null3"/>
      </w:pPr>
      <w:r>
        <w:rPr/>
        <w:t>3.货物为原厂商未启封全新包装，具出厂合格证，序列号、包装箱号与出厂批号一致，并可追索查阅，所有随设备的附件必须齐全。</w:t>
      </w:r>
    </w:p>
    <w:p>
      <w:pPr>
        <w:pStyle w:val="null3"/>
      </w:pPr>
      <w:r>
        <w:rPr/>
        <w:t>4.包装应足以承受整个过程中的运输、转运、贮存等，并考虑交货地区的气候特点。</w:t>
      </w:r>
    </w:p>
    <w:p>
      <w:pPr>
        <w:pStyle w:val="null3"/>
      </w:pPr>
      <w:r>
        <w:rPr/>
        <w:t>5.验收合格前货物损毁灭失风险及一切费用由乙方负责，并负责其派出的现场服务人员人身意外保险。</w:t>
      </w:r>
    </w:p>
    <w:p>
      <w:pPr>
        <w:pStyle w:val="null3"/>
      </w:pPr>
      <w:r>
        <w:rPr>
          <w:b/>
        </w:rPr>
        <w:t>七、质保期及售后服务要求</w:t>
      </w:r>
    </w:p>
    <w:p>
      <w:pPr>
        <w:pStyle w:val="null3"/>
      </w:pPr>
      <w:r>
        <w:rPr/>
        <w:t>1. 质保期：整机（含软件系统免费升级）不少于五年原厂质保承诺函（具体质保时间按中标人承诺时间为准），验收合格之日起开始计算。</w:t>
      </w:r>
    </w:p>
    <w:p>
      <w:pPr>
        <w:pStyle w:val="null3"/>
      </w:pPr>
      <w:r>
        <w:rPr/>
        <w:t>2. 售后服务：</w:t>
      </w:r>
    </w:p>
    <w:p>
      <w:pPr>
        <w:pStyle w:val="null3"/>
      </w:pPr>
      <w:r>
        <w:rPr/>
        <w:t>（1）免费送货及安装调试，免费提供培训。乙方提供有偿终身维护。</w:t>
      </w:r>
    </w:p>
    <w:p>
      <w:pPr>
        <w:pStyle w:val="null3"/>
      </w:pPr>
      <w:r>
        <w:rPr/>
        <w:t>（2）售后服务（维保）由原厂提供，售后服务（维保）期间保证机器的开机率不低于95%（以一年365天计算，即一年故障停机天数不超过18天），每超出1天，售后服务（维保）期顺延2天。（投标人须对此进行响应或承诺）</w:t>
      </w:r>
    </w:p>
    <w:p>
      <w:pPr>
        <w:pStyle w:val="null3"/>
      </w:pPr>
      <w:r>
        <w:rPr/>
        <w:t>（3）售后服务（维保）期内，不限零配件更换次数、不限维修次数，按产品生产标准进行定期维护保养，软件升级。</w:t>
      </w:r>
    </w:p>
    <w:p>
      <w:pPr>
        <w:pStyle w:val="null3"/>
      </w:pPr>
      <w:r>
        <w:rPr/>
        <w:t>（4）售后服务（维保）期内出现产品质量或安装问题，由中标人负责包修、包换或包退，并承担因此而产生的一切修理、调换或退货的实际费用。</w:t>
      </w:r>
    </w:p>
    <w:p>
      <w:pPr>
        <w:pStyle w:val="null3"/>
      </w:pPr>
      <w:r>
        <w:rPr/>
        <w:t>（5）质保期内维修人员接到维修通知后8个小时内到达现场，24小时内修复，服务方式均为乙方上门服务。非甲方的人为原因而出现产品质量及安装问题，由乙方负责包修、包换或包退，并承担上述情况产生的一切费用。</w:t>
      </w:r>
    </w:p>
    <w:p>
      <w:pPr>
        <w:pStyle w:val="null3"/>
      </w:pPr>
      <w:r>
        <w:rPr/>
        <w:t>（6）质保期后如果甲方要求，乙方应长期负责有偿优惠维修，双方另行协商。</w:t>
      </w:r>
    </w:p>
    <w:p>
      <w:pPr>
        <w:pStyle w:val="null3"/>
      </w:pPr>
      <w:r>
        <w:rPr>
          <w:b/>
        </w:rPr>
        <w:t>八、安装与调试</w:t>
      </w:r>
    </w:p>
    <w:p>
      <w:pPr>
        <w:pStyle w:val="null3"/>
      </w:pPr>
      <w:r>
        <w:rPr/>
        <w:t>1.乙方派合格的、能独立解决问题的工程师，服务能力须满足本项目的需要。如果此人天数不能满足本工程需要，甲方追加人天数，乙方无须为此支付任何额外费用。</w:t>
      </w:r>
      <w:r>
        <w:br/>
      </w:r>
      <w:r>
        <w:rPr/>
        <w:t xml:space="preserve">     2.乙方服务工程师的一切费用已包含在合同总价中，包括服务工程师的报酬及各种补助、交通费、通讯费、食宿费、医疗费、各种保险费、各种税费等等。</w:t>
      </w:r>
      <w:r>
        <w:br/>
      </w:r>
      <w:r>
        <w:rPr/>
        <w:t xml:space="preserve">     3.现场服务工程师的工作时间与现场要求相一致，以满足现场安装、调试和试运行的要求。甲方不因乙方现场服务工程师的加班和节假日提供服务而另付费用。</w:t>
      </w:r>
    </w:p>
    <w:p>
      <w:pPr>
        <w:pStyle w:val="null3"/>
      </w:pPr>
      <w:r>
        <w:rPr/>
        <w:t>4.乙方做好现场保护，不得损坏甲方任何设施和设备、安装场地周围地下管线、邻近建筑物、构筑物，若有损坏，由乙方承担恢复原状所需费用。</w:t>
      </w:r>
    </w:p>
    <w:p>
      <w:pPr>
        <w:pStyle w:val="null3"/>
      </w:pPr>
      <w:r>
        <w:rPr/>
        <w:t>5.安装所需工具、设施、物料由乙方自备、自费运到现场，完工后自费搬走，清理现场。</w:t>
      </w:r>
    </w:p>
    <w:p>
      <w:pPr>
        <w:pStyle w:val="null3"/>
      </w:pPr>
      <w:r>
        <w:rPr/>
        <w:t>6.乙方负责现场安全和服务工程师管理工作, 做好安全措施，乙方保证服务工程师均具有相关作业资质。</w:t>
      </w:r>
    </w:p>
    <w:p>
      <w:pPr>
        <w:pStyle w:val="null3"/>
      </w:pPr>
      <w:r>
        <w:rPr>
          <w:b/>
        </w:rPr>
        <w:t>九、验收</w:t>
      </w:r>
    </w:p>
    <w:p>
      <w:pPr>
        <w:pStyle w:val="null3"/>
      </w:pPr>
      <w:r>
        <w:rPr/>
        <w:t>1.所供设备和材料乙方必须免费送货上门和免费负责安装调试。</w:t>
      </w:r>
    </w:p>
    <w:p>
      <w:pPr>
        <w:pStyle w:val="null3"/>
      </w:pPr>
      <w:r>
        <w:rPr/>
        <w:t>2.乙方依照招标文件的要求和投标文件的承诺，将设备、系统安装并调试至正常运行的最佳状态。</w:t>
      </w:r>
    </w:p>
    <w:p>
      <w:pPr>
        <w:pStyle w:val="null3"/>
      </w:pPr>
      <w:r>
        <w:rPr/>
        <w:t>3.设备安装调试完成后组织验收，验收应在甲、乙方双方共同参加下进行，并形成书面的验收报告（需双方签名确认）。对验收不合格的部分，乙方应在甲方规定时间内及时整改完善直至合格，由此产生的有关费用由乙方承担。</w:t>
      </w:r>
    </w:p>
    <w:p>
      <w:pPr>
        <w:pStyle w:val="null3"/>
      </w:pPr>
      <w:r>
        <w:rPr/>
        <w:t>4.货物若有国家标准，按照国家标准验收；若无国家标准，按行业标准验收。须为原制造商制造的全新产品，整机无污染，无侵权行为、表面无划损、无任何缺陷隐患，在中国境内可依常规安全合法使用。</w:t>
      </w:r>
    </w:p>
    <w:p>
      <w:pPr>
        <w:pStyle w:val="null3"/>
      </w:pPr>
      <w:r>
        <w:rPr/>
        <w:t>5.货物为原厂商未启封全新包装，具出厂合格证，序列号、包装箱号与出厂批号一致，并可追索查阅。所有随设备的附件必须齐全。</w:t>
      </w:r>
    </w:p>
    <w:p>
      <w:pPr>
        <w:pStyle w:val="null3"/>
      </w:pPr>
      <w:r>
        <w:rPr/>
        <w:t>6.乙方应将关键主机设备的用户手册、使用说明、保修手册、有关单证资料及配备件、随机工具等交付给甲方，使用操作及安全须知等重要资料应附有中文说明。</w:t>
      </w:r>
    </w:p>
    <w:p>
      <w:pPr>
        <w:pStyle w:val="null3"/>
      </w:pPr>
      <w:r>
        <w:rPr/>
        <w:t>7.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t>8.由采购人与委托的第三方代理机构共同验收，第三方代理机构必须是持有相关资质的单位。</w:t>
      </w:r>
    </w:p>
    <w:p>
      <w:pPr>
        <w:pStyle w:val="null3"/>
      </w:pPr>
      <w:r>
        <w:rPr>
          <w:b/>
        </w:rPr>
        <w:t>十、知识产权</w:t>
      </w:r>
    </w:p>
    <w:p>
      <w:pPr>
        <w:pStyle w:val="null3"/>
      </w:pPr>
      <w:r>
        <w:rPr/>
        <w:t>1.乙方应保证甲方在使用货物的任何一部分或技术、服务时，免受第三方提出侵权的法律或经济纠纷。如第三方提出侵权，乙方须与第三方交涉并承担由此发生的一切责任、费用和经济赔偿。若导致甲方不能使用成果的，乙方应退还全部项目费用，并赔偿因此给甲方造成的全部损失。</w:t>
      </w:r>
    </w:p>
    <w:p>
      <w:pPr>
        <w:pStyle w:val="null3"/>
      </w:pPr>
      <w:r>
        <w:rPr/>
        <w:t>2.甲方享有本项目实施过程中产生的知识成果及知识产权。</w:t>
      </w:r>
    </w:p>
    <w:p>
      <w:pPr>
        <w:pStyle w:val="null3"/>
      </w:pPr>
      <w:r>
        <w:rPr>
          <w:b/>
        </w:rPr>
        <w:t>十</w:t>
      </w:r>
      <w:r>
        <w:rPr>
          <w:b/>
        </w:rPr>
        <w:t>一</w:t>
      </w:r>
      <w:r>
        <w:rPr>
          <w:b/>
        </w:rPr>
        <w:t>、违约责任</w:t>
      </w:r>
    </w:p>
    <w:p>
      <w:pPr>
        <w:pStyle w:val="null3"/>
      </w:pPr>
      <w:r>
        <w:rPr/>
        <w:t>1.乙方交付的产品或提供的服务不符合招标文件、乙方投标文件或本合同约定的，视为乙方违约，甲方有权拒收，由此引起的风险及费用由乙方承担, 并支付合同总金额10%作为违约金；乙方严重违约，继续履行合同将损害社会公共利益的，甲方可单方终止合同。因违约造成甲方损失的，乙方还应承担赔偿责任。</w:t>
      </w:r>
    </w:p>
    <w:p>
      <w:pPr>
        <w:pStyle w:val="null3"/>
      </w:pPr>
      <w:r>
        <w:rPr/>
        <w:t>2.乙方原因未能按本合同约定的时间交付货物或提供服务的，从逾期之日起每日按本合同总金额0.5‰的数额向甲方支付违约金，逾期15天以上（含15天）的，继续履行本合同将损害国家利益和社会公共利益的，甲方有权终止合同，乙方支付合同总金额10%的违约金。</w:t>
      </w:r>
    </w:p>
    <w:p>
      <w:pPr>
        <w:pStyle w:val="null3"/>
      </w:pPr>
      <w:r>
        <w:rPr/>
        <w:t>3.质保期内非甲方原因乙方未能按合同约定时间排除故障的，乙方需赔偿甲方经济损失并自逾期之日起每日按本合同金额0.5‰的数额向甲方支付违约金。</w:t>
      </w:r>
    </w:p>
    <w:p>
      <w:pPr>
        <w:pStyle w:val="null3"/>
      </w:pPr>
      <w:r>
        <w:rPr/>
        <w:t>4.如乙方无故提出解约、拒不履行合同义务或乙方原因导致合同无法继续履行，甲方有权拒绝付款，乙方赔偿甲方全部损失并支付合同总金额的10%的违约金。</w:t>
      </w:r>
    </w:p>
    <w:p>
      <w:pPr>
        <w:pStyle w:val="null3"/>
      </w:pPr>
      <w:r>
        <w:rPr/>
        <w:t>5.乙方应对接触到的任何甲方业务数据及经营资料等保密，未经甲方书面同意不能向第三方提供或用作其它用途；乙方从甲方获取的所有健康医疗数据应永久保密。如乙方违反本保密约定，乙方支付合同总金额10%的违约金并赔偿甲方全部损失，继续履行本合同将损害国家利益和社会公共利益的，甲方有权终止合同并追究法律责任。一切保密责任不因合同的中止或终止而失效。</w:t>
      </w:r>
    </w:p>
    <w:p>
      <w:pPr>
        <w:pStyle w:val="null3"/>
      </w:pPr>
      <w:r>
        <w:rPr/>
        <w:t>6.乙方擅自转让或分包的，甲方有权拒绝付款，乙方支付合同总金额10%的违约金，继续履行本合同将损害国家利益和社会公共利益的，甲方有权解除合同。</w:t>
      </w:r>
    </w:p>
    <w:p>
      <w:pPr>
        <w:pStyle w:val="null3"/>
      </w:pPr>
      <w:r>
        <w:rPr/>
        <w:t>7.乙方提供发票须真实合法有效，与税局官网查询结果一致，如因乙方提供发票不及时、开具的发票金额不对、不合法、字体不工整、公司乔迁、证件不齐全等原因而造成延误结算的，一切后果由乙方负责。</w:t>
      </w:r>
    </w:p>
    <w:p>
      <w:pPr>
        <w:pStyle w:val="null3"/>
      </w:pPr>
      <w:r>
        <w:rPr/>
        <w:t>8.因乙方提供的产品或服务导致甲、乙双方或任何第三者人身或财产受到损害，由乙方承担一切责任，并负责处理解决并赔偿损失。如甲方需对外赔偿，甲方有权向乙方追偿全部损失。</w:t>
      </w:r>
    </w:p>
    <w:p>
      <w:pPr>
        <w:pStyle w:val="null3"/>
      </w:pPr>
      <w:r>
        <w:rPr/>
        <w:t>9.乙方违约应赔偿甲方的损失包括但不限于：甲方支出的赔偿款、罚款、重新招投标的损失、重新采购的费用、委托第三人继续履行的费用、甲方维权产生的律师费、诉讼费、差旅费等。</w:t>
      </w:r>
    </w:p>
    <w:p>
      <w:pPr>
        <w:pStyle w:val="null3"/>
      </w:pPr>
      <w:r>
        <w:rPr/>
        <w:t>10.甲方有权从应付款项中扣减违约金。</w:t>
      </w:r>
    </w:p>
    <w:p>
      <w:pPr>
        <w:pStyle w:val="null3"/>
      </w:pPr>
      <w:r>
        <w:rPr/>
        <w:t>11.甲方无合理理由拒绝付款的，甲方赔偿乙方直接经济损失。如因政策的影响，财政拨款未能及时到位，乙方不得以此为由不履行本合同规定的义务、追究甲方的违约责任。</w:t>
      </w:r>
    </w:p>
    <w:p>
      <w:pPr>
        <w:pStyle w:val="null3"/>
      </w:pPr>
      <w:r>
        <w:rPr/>
        <w:t>12.其它按照中华人民共和国有关法律执行。</w:t>
      </w:r>
    </w:p>
    <w:p>
      <w:pPr>
        <w:pStyle w:val="null3"/>
      </w:pPr>
      <w:r>
        <w:rPr>
          <w:b/>
        </w:rPr>
        <w:t>十</w:t>
      </w:r>
      <w:r>
        <w:rPr>
          <w:b/>
        </w:rPr>
        <w:t>二</w:t>
      </w:r>
      <w:r>
        <w:rPr>
          <w:b/>
        </w:rPr>
        <w:t>、不可抗力</w:t>
      </w:r>
    </w:p>
    <w:p>
      <w:pPr>
        <w:pStyle w:val="null3"/>
      </w:pPr>
      <w:r>
        <w:rPr/>
        <w:t>任何一方由于不可抗力不能履行合同时，应在不可抗力事件结束后7日内书面向对方通报，以减轻可能给对方造成的损失，在取得有关权威部门的不可抗力证明或双方谅解确认后，允许延期履行或修订合同。迟延履行合同后发生不可抗力的，不能免除责任。</w:t>
      </w:r>
    </w:p>
    <w:p>
      <w:pPr>
        <w:pStyle w:val="null3"/>
      </w:pPr>
      <w:r>
        <w:rPr>
          <w:b/>
        </w:rPr>
        <w:t>十</w:t>
      </w:r>
      <w:r>
        <w:rPr>
          <w:b/>
        </w:rPr>
        <w:t>三</w:t>
      </w:r>
      <w:r>
        <w:rPr>
          <w:b/>
        </w:rPr>
        <w:t>、争议解决</w:t>
      </w:r>
    </w:p>
    <w:p>
      <w:pPr>
        <w:pStyle w:val="null3"/>
      </w:pPr>
      <w:r>
        <w:rPr/>
        <w:t>合同执行过程中发生争议，如不能通过友好协商解决，甲、乙双方均可向甲方所在地人民法院提起诉讼。违约方承担守约方因此而产生的诉讼费、律师费、公证费、鉴定费、保全费、担保费等支出。在法院审理期间，除提交法院审理的事项外，合同其他部分仍继续履行。本合同按照中华人民共和国的法律进行解释。</w:t>
      </w:r>
    </w:p>
    <w:p>
      <w:pPr>
        <w:pStyle w:val="null3"/>
      </w:pPr>
      <w:r>
        <w:rPr>
          <w:b/>
        </w:rPr>
        <w:t>十</w:t>
      </w:r>
      <w:r>
        <w:rPr>
          <w:b/>
        </w:rPr>
        <w:t>四</w:t>
      </w:r>
      <w:r>
        <w:rPr>
          <w:b/>
        </w:rPr>
        <w:t>、其它</w:t>
      </w:r>
    </w:p>
    <w:p>
      <w:pPr>
        <w:pStyle w:val="null3"/>
      </w:pPr>
      <w:r>
        <w:rPr/>
        <w:t>1.本合同之所有附件、招标文件、乙方投标文件和中标通知书、乙方承诺书等均为合同的有效组成部分，与本合同具有同样法律效力。</w:t>
      </w:r>
    </w:p>
    <w:p>
      <w:pPr>
        <w:pStyle w:val="null3"/>
      </w:pPr>
      <w:r>
        <w:rPr/>
        <w:t>2.在执行本合同的过程中，所有经双方签署确认的文件（包括会议纪要、补充协议、往来信函）即成为本合同的有效组成部分。</w:t>
      </w:r>
    </w:p>
    <w:p>
      <w:pPr>
        <w:pStyle w:val="null3"/>
      </w:pPr>
      <w:r>
        <w:rPr/>
        <w:t>3.服务期间若遇上级部门政策影响合同继续履行，甲方有权终止合同且无须承担违约责任。</w:t>
      </w:r>
    </w:p>
    <w:p>
      <w:pPr>
        <w:pStyle w:val="null3"/>
      </w:pPr>
      <w:r>
        <w:rPr/>
        <w:t>4.本合同未尽事宜，协商解决，另行签订补充协议。</w:t>
      </w:r>
    </w:p>
    <w:p>
      <w:pPr>
        <w:pStyle w:val="null3"/>
      </w:pPr>
      <w:r>
        <w:rPr/>
        <w:t>5.合同一式五份，甲方执三份，乙方执一份，招标代理机构执一份。经双方法定代表人或授权代表签字盖章后生效，具有同等法律效力。</w:t>
      </w:r>
    </w:p>
    <w:p>
      <w:pPr>
        <w:pStyle w:val="null3"/>
      </w:pPr>
      <w:r>
        <w:rPr/>
        <w:t xml:space="preserve"> </w:t>
      </w:r>
    </w:p>
    <w:p>
      <w:pPr>
        <w:pStyle w:val="null3"/>
      </w:pPr>
      <w:r>
        <w:rPr/>
        <w:t>甲方（盖章）：东莞市中医院                             乙方（盖章）：</w:t>
      </w:r>
    </w:p>
    <w:p>
      <w:pPr>
        <w:pStyle w:val="null3"/>
      </w:pPr>
      <w:r>
        <w:rPr/>
        <w:t xml:space="preserve"> </w:t>
      </w:r>
    </w:p>
    <w:p>
      <w:pPr>
        <w:pStyle w:val="null3"/>
      </w:pPr>
      <w:r>
        <w:rPr/>
        <w:t>法定代表人：                                                    法定代表人：</w:t>
      </w:r>
    </w:p>
    <w:p>
      <w:pPr>
        <w:pStyle w:val="null3"/>
      </w:pPr>
      <w:r>
        <w:rPr/>
        <w:t>地址：东莞市东城街道松山湖大道东城段3号        地址：</w:t>
      </w:r>
    </w:p>
    <w:p>
      <w:pPr>
        <w:pStyle w:val="null3"/>
      </w:pPr>
      <w:r>
        <w:rPr/>
        <w:t>电话：0769-26385756                                       电话：</w:t>
      </w:r>
    </w:p>
    <w:p>
      <w:pPr>
        <w:pStyle w:val="null3"/>
      </w:pPr>
      <w:r>
        <w:rPr/>
        <w:t>税号：1244190045722969XW                           统一社会信用代码：</w:t>
      </w:r>
    </w:p>
    <w:p>
      <w:pPr>
        <w:pStyle w:val="null3"/>
      </w:pPr>
      <w:r>
        <w:rPr/>
        <w:t>开户银行：开户行：东莞银行中心区东湖支行</w:t>
      </w:r>
      <w:r>
        <w:br/>
      </w:r>
      <w:r>
        <w:rPr/>
        <w:t xml:space="preserve"> 账号：500088335709016                                  开户银行：</w:t>
      </w:r>
    </w:p>
    <w:p>
      <w:pPr>
        <w:pStyle w:val="null3"/>
      </w:pPr>
      <w:r>
        <w:rPr/>
        <w:t xml:space="preserve">                                                                             开户账号：</w:t>
      </w:r>
    </w:p>
    <w:p>
      <w:pPr>
        <w:pStyle w:val="null3"/>
      </w:pPr>
      <w:r>
        <w:rPr/>
        <w:t xml:space="preserve">签订时间：         年    月     日      </w:t>
      </w:r>
    </w:p>
    <w:p>
      <w:pPr>
        <w:pStyle w:val="null3"/>
      </w:pPr>
      <w:r>
        <w:rPr/>
        <w:t xml:space="preserve">签订地点：东莞市 </w:t>
      </w:r>
    </w:p>
    <w:p>
      <w:pPr>
        <w:pStyle w:val="null3"/>
      </w:pPr>
      <w:r>
        <w:rPr/>
        <w:t xml:space="preserve"> </w:t>
      </w:r>
    </w:p>
    <w:p>
      <w:pPr>
        <w:pStyle w:val="null3"/>
      </w:pPr>
      <w:r>
        <w:rPr>
          <w:b/>
        </w:rPr>
        <w:t>医疗卫生机构医药产品廉洁购销合同</w:t>
      </w:r>
    </w:p>
    <w:p>
      <w:pPr>
        <w:pStyle w:val="null3"/>
      </w:pPr>
      <w:r>
        <w:rPr/>
        <w:t>甲方（医疗卫生机构）：</w:t>
      </w:r>
    </w:p>
    <w:p>
      <w:pPr>
        <w:pStyle w:val="null3"/>
      </w:pPr>
      <w:r>
        <w:rPr/>
        <w:t>乙方（医药生产经营企业及其代理人）：</w:t>
      </w:r>
    </w:p>
    <w:p>
      <w:pPr>
        <w:pStyle w:val="null3"/>
      </w:pPr>
      <w:r>
        <w:rPr/>
        <w:t>为进一步加强医疗卫生行风建设，规范医疗卫生机构医药购销行为，有效防范商业贿赂行为，营造公平交易、诚实守信的购销环境，经甲、乙双方协商，同意签订本合同，并共同遵守：</w:t>
      </w:r>
    </w:p>
    <w:p>
      <w:pPr>
        <w:pStyle w:val="null3"/>
      </w:pPr>
      <w:r>
        <w:rPr/>
        <w:t>一、甲乙双方按照《中华人民共和国民法典》及医药产品购销合同约定购销药品、医用设备、医用耗材等医药产品。</w:t>
      </w:r>
    </w:p>
    <w:p>
      <w:pPr>
        <w:pStyle w:val="null3"/>
      </w:pPr>
      <w:r>
        <w:rPr/>
        <w:t>二、甲方应当严格执行医药产品购销合同验收、入库制度，对采购医药产品及发票进行查验，不得违反有关规定合同外采购、违价采购或从非规定渠道采购。</w:t>
      </w:r>
    </w:p>
    <w:p>
      <w:pPr>
        <w:pStyle w:val="null3"/>
      </w:pPr>
      <w:r>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pPr>
      <w:r>
        <w:rPr/>
        <w:t>四、严禁甲方工作人员利用任何途径和方式，为乙方统计医师个人及临床科室有关医药产品用量信息，或为乙方统计提供便利。</w:t>
      </w:r>
    </w:p>
    <w:p>
      <w:pPr>
        <w:pStyle w:val="null3"/>
      </w:pPr>
      <w:r>
        <w:rPr/>
        <w:t>五、乙方不得以好处、宴请等方式影响甲方工作人员采购或使用医药产品的选择权，不得在学术活动中提供旅游、超标准支付食宿费用。</w:t>
      </w:r>
    </w:p>
    <w:p>
      <w:pPr>
        <w:pStyle w:val="null3"/>
      </w:pPr>
      <w:r>
        <w:rPr/>
        <w:t>六、乙方指定</w:t>
      </w:r>
      <w:r>
        <w:rPr>
          <w:u w:val="single"/>
        </w:rPr>
        <w:t xml:space="preserve"> </w:t>
      </w:r>
      <w:r>
        <w:rPr>
          <w:u w:val="single"/>
        </w:rPr>
        <w:t xml:space="preserve">      </w:t>
      </w:r>
      <w:r>
        <w:rPr>
          <w:u w:val="single"/>
        </w:rPr>
        <w:t xml:space="preserve"> </w:t>
      </w:r>
      <w:r>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pPr>
      <w:r>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 号）相关规定处理。</w:t>
      </w:r>
    </w:p>
    <w:p>
      <w:pPr>
        <w:pStyle w:val="null3"/>
      </w:pPr>
      <w:r>
        <w:rPr/>
        <w:t>八、本合同作为医药产品购销合同的重要组成部分，与购销合同一并执行，具有同等的法律效力。</w:t>
      </w:r>
    </w:p>
    <w:p>
      <w:pPr>
        <w:pStyle w:val="null3"/>
      </w:pPr>
      <w:r>
        <w:rPr/>
        <w:t>九、本合同一式三份，甲、乙双方各执一份，甲方纪检监察部门（基层医疗卫生机构上报上级卫生计生行政部门）执一份，并从签订之日起生效。</w:t>
      </w:r>
    </w:p>
    <w:p>
      <w:pPr>
        <w:pStyle w:val="null3"/>
      </w:pPr>
      <w:r>
        <w:rPr/>
        <w:t xml:space="preserve"> </w:t>
      </w:r>
    </w:p>
    <w:p>
      <w:pPr>
        <w:pStyle w:val="null3"/>
      </w:pPr>
      <w:r>
        <w:rPr/>
        <w:t xml:space="preserve"> </w:t>
      </w:r>
    </w:p>
    <w:p>
      <w:pPr>
        <w:pStyle w:val="null3"/>
      </w:pPr>
      <w:r>
        <w:rPr/>
        <w:t>甲方（盖章）：                          乙方（盖章）：</w:t>
      </w:r>
    </w:p>
    <w:p>
      <w:pPr>
        <w:pStyle w:val="null3"/>
      </w:pPr>
      <w:r>
        <w:rPr/>
        <w:t>法定代表人：                             法定代表人：</w:t>
      </w:r>
    </w:p>
    <w:p>
      <w:pPr>
        <w:pStyle w:val="null3"/>
      </w:pPr>
      <w:r>
        <w:rPr/>
        <w:t>签订时间：      年   月   日          签订时间：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441901-2025-02488</w:t>
      </w:r>
    </w:p>
    <w:p>
      <w:pPr>
        <w:pStyle w:val="null3"/>
        <w:jc w:val="center"/>
        <w:outlineLvl w:val="3"/>
      </w:pPr>
      <w:r>
        <w:rPr>
          <w:sz w:val="24"/>
          <w:b/>
        </w:rPr>
        <w:t>采购项目编号：</w:t>
      </w:r>
      <w:r>
        <w:rPr>
          <w:sz w:val="24"/>
          <w:b/>
        </w:rPr>
        <w:t>441901-2025-02488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东莞市中医院X射线骨密度检测仪采购项目</w:t>
      </w:r>
      <w:r>
        <w:rPr>
          <w:u w:val="single"/>
        </w:rPr>
        <w:t>”</w:t>
      </w:r>
      <w:r>
        <w:rPr/>
        <w:t>项目的招标[采购项目编号为：</w:t>
      </w:r>
      <w:r>
        <w:rPr>
          <w:u w:val="single"/>
        </w:rPr>
        <w:t>441901-2025-02488</w:t>
      </w:r>
      <w:r>
        <w:rPr/>
        <w:t>]，我方愿参与投标。</w:t>
      </w:r>
    </w:p>
    <w:p>
      <w:pPr>
        <w:pStyle w:val="null3"/>
        <w:ind w:firstLine="480"/>
      </w:pPr>
      <w:r>
        <w:rPr/>
        <w:t>我方确认收到贵方提供的</w:t>
      </w:r>
      <w:r>
        <w:rPr>
          <w:u w:val="single"/>
        </w:rPr>
        <w:t>“</w:t>
      </w:r>
      <w:r>
        <w:rPr>
          <w:u w:val="single"/>
        </w:rPr>
        <w:t>东莞市中医院X射线骨密度检测仪采购项目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东莞市中医院X射线骨密度检测仪采购项目</w:t>
      </w:r>
      <w:r>
        <w:rPr/>
        <w:t>”项目采购[采购项目编号为</w:t>
      </w:r>
      <w:r>
        <w:rPr/>
        <w:t>441901-2025-02488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东莞市中医院X射线骨密度检测仪采购项目</w:t>
      </w:r>
      <w:r>
        <w:rPr/>
        <w:t>招标中获中标（采购项目编号：</w:t>
      </w:r>
      <w:r>
        <w:rPr/>
        <w:t>441901-2025-02488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东莞市中医院X射线骨密度检测仪采购项目</w:t>
      </w:r>
      <w:r>
        <w:rPr/>
        <w:t>”项目（采购项目编号：</w:t>
      </w:r>
      <w:r>
        <w:rPr/>
        <w:t>441901-2025-02488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